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C9C1D" w14:textId="77777777" w:rsidR="00B60D4C" w:rsidRPr="00236568" w:rsidRDefault="00B60D4C" w:rsidP="00595DDE">
      <w:pPr>
        <w:spacing w:after="0" w:line="240" w:lineRule="auto"/>
        <w:jc w:val="center"/>
        <w:rPr>
          <w:rFonts w:ascii="Times New Roman" w:hAnsi="Times New Roman"/>
          <w:b/>
          <w:bCs/>
          <w:color w:val="000000"/>
          <w:sz w:val="24"/>
          <w:szCs w:val="24"/>
          <w:lang w:eastAsia="lv-LV"/>
        </w:rPr>
      </w:pPr>
    </w:p>
    <w:p w14:paraId="03C57059"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4873B862"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1A756E55"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2616677B"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448CA0CA"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62014DAE"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670E066B"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20191A87"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7E1B76D8"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7EAB3972"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09C7C9B9"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509262B2"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1AE1321D"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4C4C4825"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25788377"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1B5845C6"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247972BB"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62333371"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61496924"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585363EA"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713DE052" w14:textId="148EC731" w:rsidR="00B60D4C" w:rsidRPr="00236568" w:rsidRDefault="00B60D4C" w:rsidP="00595DDE">
      <w:pPr>
        <w:spacing w:after="0" w:line="240" w:lineRule="auto"/>
        <w:jc w:val="center"/>
        <w:rPr>
          <w:rFonts w:ascii="Times New Roman" w:eastAsia="Times New Roman" w:hAnsi="Times New Roman"/>
          <w:b/>
          <w:bCs/>
          <w:color w:val="000000"/>
          <w:sz w:val="36"/>
          <w:szCs w:val="36"/>
          <w:lang w:eastAsia="lv-LV"/>
        </w:rPr>
      </w:pPr>
      <w:r w:rsidRPr="00236568">
        <w:rPr>
          <w:rFonts w:ascii="Times New Roman" w:eastAsia="Times New Roman" w:hAnsi="Times New Roman"/>
          <w:b/>
          <w:bCs/>
          <w:color w:val="000000"/>
          <w:sz w:val="36"/>
          <w:szCs w:val="36"/>
          <w:lang w:eastAsia="lv-LV"/>
        </w:rPr>
        <w:t xml:space="preserve">Financial Sector Development Plan 2017 </w:t>
      </w:r>
      <w:r w:rsidR="000732F0" w:rsidRPr="00236568">
        <w:rPr>
          <w:rFonts w:ascii="Times New Roman" w:eastAsia="Times New Roman" w:hAnsi="Times New Roman"/>
          <w:b/>
          <w:bCs/>
          <w:color w:val="000000"/>
          <w:sz w:val="36"/>
          <w:szCs w:val="36"/>
          <w:lang w:eastAsia="lv-LV"/>
        </w:rPr>
        <w:t>–</w:t>
      </w:r>
      <w:r w:rsidRPr="00236568">
        <w:rPr>
          <w:rFonts w:ascii="Times New Roman" w:eastAsia="Times New Roman" w:hAnsi="Times New Roman"/>
          <w:b/>
          <w:bCs/>
          <w:color w:val="000000"/>
          <w:sz w:val="36"/>
          <w:szCs w:val="36"/>
          <w:lang w:eastAsia="lv-LV"/>
        </w:rPr>
        <w:t xml:space="preserve"> 2019</w:t>
      </w:r>
    </w:p>
    <w:p w14:paraId="122D000C"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447C6E8E"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74AA098F"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3A3DBA32"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6D1CE4C1"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0880C317"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4EC91050"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1283A76E"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5FBADCAF"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1EB1087B"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089F2789"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5CBC65DF"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429CF135"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19DE45E3"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7F2BE1D0"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5182EC49"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26AF92F3"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38A5335E"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34B074BE"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707B5D76"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47BD59CC"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462AD089"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360B0299"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5F6F76B4"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5229D066"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292CC04F"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34DA55B7" w14:textId="0C820930" w:rsidR="000732F0" w:rsidRPr="00236568" w:rsidRDefault="000732F0" w:rsidP="00595DDE">
      <w:pPr>
        <w:spacing w:after="0" w:line="240" w:lineRule="auto"/>
        <w:jc w:val="center"/>
        <w:rPr>
          <w:rFonts w:ascii="Times New Roman" w:hAnsi="Times New Roman"/>
          <w:b/>
          <w:bCs/>
          <w:color w:val="000000"/>
          <w:sz w:val="24"/>
          <w:szCs w:val="24"/>
          <w:lang w:eastAsia="lv-LV"/>
        </w:rPr>
      </w:pPr>
      <w:r w:rsidRPr="00236568">
        <w:rPr>
          <w:rFonts w:ascii="Times New Roman" w:hAnsi="Times New Roman"/>
          <w:b/>
          <w:bCs/>
          <w:color w:val="000000"/>
          <w:sz w:val="24"/>
          <w:szCs w:val="24"/>
          <w:lang w:eastAsia="lv-LV"/>
        </w:rPr>
        <w:t>Riga</w:t>
      </w:r>
    </w:p>
    <w:p w14:paraId="6FEDAFE6" w14:textId="7ACF0DE8" w:rsidR="000732F0" w:rsidRPr="00236568" w:rsidRDefault="000732F0" w:rsidP="00595DDE">
      <w:pPr>
        <w:spacing w:after="0" w:line="240" w:lineRule="auto"/>
        <w:jc w:val="center"/>
        <w:rPr>
          <w:rFonts w:ascii="Times New Roman" w:hAnsi="Times New Roman"/>
          <w:b/>
          <w:bCs/>
          <w:color w:val="000000"/>
          <w:sz w:val="24"/>
          <w:szCs w:val="24"/>
          <w:lang w:eastAsia="lv-LV"/>
        </w:rPr>
      </w:pPr>
      <w:r w:rsidRPr="00236568">
        <w:rPr>
          <w:rFonts w:ascii="Times New Roman" w:hAnsi="Times New Roman"/>
          <w:b/>
          <w:bCs/>
          <w:color w:val="000000"/>
          <w:sz w:val="24"/>
          <w:szCs w:val="24"/>
          <w:lang w:eastAsia="lv-LV"/>
        </w:rPr>
        <w:t>2017</w:t>
      </w:r>
      <w:r w:rsidRPr="00236568">
        <w:rPr>
          <w:rFonts w:ascii="Times New Roman" w:hAnsi="Times New Roman"/>
          <w:b/>
          <w:bCs/>
          <w:color w:val="000000"/>
          <w:sz w:val="24"/>
          <w:szCs w:val="24"/>
          <w:lang w:eastAsia="lv-LV"/>
        </w:rPr>
        <w:br w:type="page"/>
      </w:r>
    </w:p>
    <w:p w14:paraId="37171E1B" w14:textId="77777777" w:rsidR="000732F0" w:rsidRPr="00236568" w:rsidRDefault="000732F0" w:rsidP="00595DDE">
      <w:pPr>
        <w:spacing w:after="0" w:line="240" w:lineRule="auto"/>
        <w:jc w:val="center"/>
        <w:rPr>
          <w:rFonts w:ascii="Times New Roman" w:hAnsi="Times New Roman"/>
          <w:b/>
          <w:bCs/>
          <w:color w:val="000000"/>
          <w:sz w:val="24"/>
          <w:szCs w:val="24"/>
          <w:lang w:eastAsia="lv-LV"/>
        </w:rPr>
      </w:pPr>
    </w:p>
    <w:p w14:paraId="31693B71" w14:textId="77777777" w:rsidR="00664B12" w:rsidRPr="00DE5FE5" w:rsidRDefault="00664B12" w:rsidP="00DE5FE5">
      <w:pPr>
        <w:pStyle w:val="TOCHeading"/>
        <w:spacing w:line="240" w:lineRule="auto"/>
        <w:rPr>
          <w:rFonts w:ascii="Times New Roman" w:hAnsi="Times New Roman"/>
          <w:color w:val="auto"/>
          <w:lang w:val="en-GB"/>
        </w:rPr>
      </w:pPr>
      <w:r w:rsidRPr="00DE5FE5">
        <w:rPr>
          <w:rFonts w:ascii="Times New Roman" w:hAnsi="Times New Roman"/>
          <w:color w:val="auto"/>
          <w:lang w:val="en-GB"/>
        </w:rPr>
        <w:t>Contents</w:t>
      </w:r>
    </w:p>
    <w:p w14:paraId="1764490F" w14:textId="77777777" w:rsidR="00D23096" w:rsidRPr="00DE5FE5" w:rsidRDefault="00664B12" w:rsidP="00DE5FE5">
      <w:pPr>
        <w:pStyle w:val="TOC1"/>
        <w:tabs>
          <w:tab w:val="right" w:leader="dot" w:pos="9062"/>
        </w:tabs>
        <w:spacing w:line="240" w:lineRule="auto"/>
        <w:rPr>
          <w:rFonts w:ascii="Times New Roman" w:eastAsia="Times New Roman" w:hAnsi="Times New Roman"/>
          <w:noProof/>
          <w:sz w:val="24"/>
          <w:szCs w:val="24"/>
          <w:lang w:eastAsia="en-GB"/>
        </w:rPr>
      </w:pPr>
      <w:r w:rsidRPr="00DE5FE5">
        <w:rPr>
          <w:rFonts w:ascii="Times New Roman" w:hAnsi="Times New Roman"/>
          <w:sz w:val="24"/>
          <w:szCs w:val="24"/>
        </w:rPr>
        <w:fldChar w:fldCharType="begin"/>
      </w:r>
      <w:r w:rsidRPr="00DE5FE5">
        <w:rPr>
          <w:rFonts w:ascii="Times New Roman" w:hAnsi="Times New Roman"/>
          <w:sz w:val="24"/>
          <w:szCs w:val="24"/>
        </w:rPr>
        <w:instrText xml:space="preserve"> TOC \o "1-3" \h \z \u </w:instrText>
      </w:r>
      <w:r w:rsidRPr="00DE5FE5">
        <w:rPr>
          <w:rFonts w:ascii="Times New Roman" w:hAnsi="Times New Roman"/>
          <w:sz w:val="24"/>
          <w:szCs w:val="24"/>
        </w:rPr>
        <w:fldChar w:fldCharType="separate"/>
      </w:r>
      <w:hyperlink w:anchor="_Toc479839710" w:history="1">
        <w:r w:rsidR="00D23096" w:rsidRPr="00DE5FE5">
          <w:rPr>
            <w:rStyle w:val="Hyperlink"/>
            <w:rFonts w:ascii="Times New Roman" w:hAnsi="Times New Roman"/>
            <w:noProof/>
            <w:sz w:val="24"/>
            <w:szCs w:val="24"/>
          </w:rPr>
          <w:t>1.Current situation</w:t>
        </w:r>
        <w:r w:rsidR="00D23096" w:rsidRPr="00DE5FE5">
          <w:rPr>
            <w:rFonts w:ascii="Times New Roman" w:hAnsi="Times New Roman"/>
            <w:noProof/>
            <w:webHidden/>
            <w:sz w:val="24"/>
            <w:szCs w:val="24"/>
          </w:rPr>
          <w:tab/>
        </w:r>
        <w:r w:rsidR="00D23096" w:rsidRPr="00DE5FE5">
          <w:rPr>
            <w:rFonts w:ascii="Times New Roman" w:hAnsi="Times New Roman"/>
            <w:noProof/>
            <w:webHidden/>
            <w:sz w:val="24"/>
            <w:szCs w:val="24"/>
          </w:rPr>
          <w:fldChar w:fldCharType="begin"/>
        </w:r>
        <w:r w:rsidR="00D23096" w:rsidRPr="00DE5FE5">
          <w:rPr>
            <w:rFonts w:ascii="Times New Roman" w:hAnsi="Times New Roman"/>
            <w:noProof/>
            <w:webHidden/>
            <w:sz w:val="24"/>
            <w:szCs w:val="24"/>
          </w:rPr>
          <w:instrText xml:space="preserve"> PAGEREF _Toc479839710 \h </w:instrText>
        </w:r>
        <w:r w:rsidR="00D23096" w:rsidRPr="00DE5FE5">
          <w:rPr>
            <w:rFonts w:ascii="Times New Roman" w:hAnsi="Times New Roman"/>
            <w:noProof/>
            <w:webHidden/>
            <w:sz w:val="24"/>
            <w:szCs w:val="24"/>
          </w:rPr>
        </w:r>
        <w:r w:rsidR="00D23096" w:rsidRPr="00DE5FE5">
          <w:rPr>
            <w:rFonts w:ascii="Times New Roman" w:hAnsi="Times New Roman"/>
            <w:noProof/>
            <w:webHidden/>
            <w:sz w:val="24"/>
            <w:szCs w:val="24"/>
          </w:rPr>
          <w:fldChar w:fldCharType="separate"/>
        </w:r>
        <w:r w:rsidR="00F40376">
          <w:rPr>
            <w:rFonts w:ascii="Times New Roman" w:hAnsi="Times New Roman"/>
            <w:noProof/>
            <w:webHidden/>
            <w:sz w:val="24"/>
            <w:szCs w:val="24"/>
          </w:rPr>
          <w:t>4</w:t>
        </w:r>
        <w:r w:rsidR="00D23096" w:rsidRPr="00DE5FE5">
          <w:rPr>
            <w:rFonts w:ascii="Times New Roman" w:hAnsi="Times New Roman"/>
            <w:noProof/>
            <w:webHidden/>
            <w:sz w:val="24"/>
            <w:szCs w:val="24"/>
          </w:rPr>
          <w:fldChar w:fldCharType="end"/>
        </w:r>
      </w:hyperlink>
    </w:p>
    <w:p w14:paraId="7D538E06" w14:textId="77777777" w:rsidR="00D23096" w:rsidRPr="00DE5FE5" w:rsidRDefault="00CE6CB9" w:rsidP="00DE5FE5">
      <w:pPr>
        <w:pStyle w:val="TOC2"/>
        <w:tabs>
          <w:tab w:val="right" w:leader="dot" w:pos="9062"/>
        </w:tabs>
        <w:spacing w:line="240" w:lineRule="auto"/>
        <w:rPr>
          <w:rFonts w:ascii="Times New Roman" w:hAnsi="Times New Roman"/>
          <w:noProof/>
          <w:sz w:val="24"/>
          <w:szCs w:val="24"/>
          <w:lang w:val="en-GB" w:eastAsia="en-GB"/>
        </w:rPr>
      </w:pPr>
      <w:hyperlink w:anchor="_Toc479839711" w:history="1">
        <w:r w:rsidR="00D23096" w:rsidRPr="00DE5FE5">
          <w:rPr>
            <w:rStyle w:val="Hyperlink"/>
            <w:rFonts w:ascii="Times New Roman" w:hAnsi="Times New Roman"/>
            <w:noProof/>
            <w:sz w:val="24"/>
            <w:szCs w:val="24"/>
            <w:lang w:val="en-GB"/>
          </w:rPr>
          <w:t>1. 1. The objective of the plan and the course of action</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_Toc479839711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4</w:t>
        </w:r>
        <w:r w:rsidR="00D23096" w:rsidRPr="00DE5FE5">
          <w:rPr>
            <w:rFonts w:ascii="Times New Roman" w:hAnsi="Times New Roman"/>
            <w:noProof/>
            <w:webHidden/>
            <w:sz w:val="24"/>
            <w:szCs w:val="24"/>
            <w:lang w:val="en-GB"/>
          </w:rPr>
          <w:fldChar w:fldCharType="end"/>
        </w:r>
      </w:hyperlink>
    </w:p>
    <w:p w14:paraId="097C8A9F"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12" w:history="1">
        <w:r w:rsidR="00D23096" w:rsidRPr="00DE5FE5">
          <w:rPr>
            <w:rStyle w:val="Hyperlink"/>
            <w:rFonts w:ascii="Times New Roman" w:hAnsi="Times New Roman"/>
            <w:noProof/>
            <w:sz w:val="24"/>
            <w:szCs w:val="24"/>
            <w:lang w:val="en-GB"/>
          </w:rPr>
          <w:t>1.1.1. Digitalization and Innovation</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_Toc479839712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8</w:t>
        </w:r>
        <w:r w:rsidR="00D23096" w:rsidRPr="00DE5FE5">
          <w:rPr>
            <w:rFonts w:ascii="Times New Roman" w:hAnsi="Times New Roman"/>
            <w:noProof/>
            <w:webHidden/>
            <w:sz w:val="24"/>
            <w:szCs w:val="24"/>
            <w:lang w:val="en-GB"/>
          </w:rPr>
          <w:fldChar w:fldCharType="end"/>
        </w:r>
      </w:hyperlink>
    </w:p>
    <w:p w14:paraId="09DEB4C8"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13" w:history="1">
        <w:r w:rsidR="00D23096" w:rsidRPr="00DE5FE5">
          <w:rPr>
            <w:rStyle w:val="Hyperlink"/>
            <w:rFonts w:ascii="Times New Roman" w:hAnsi="Times New Roman"/>
            <w:noProof/>
            <w:sz w:val="24"/>
            <w:szCs w:val="24"/>
            <w:lang w:val="en-GB"/>
          </w:rPr>
          <w:t>1.1.2. The financial sector's safety and reputation</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_Toc479839713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10</w:t>
        </w:r>
        <w:r w:rsidR="00D23096" w:rsidRPr="00DE5FE5">
          <w:rPr>
            <w:rFonts w:ascii="Times New Roman" w:hAnsi="Times New Roman"/>
            <w:noProof/>
            <w:webHidden/>
            <w:sz w:val="24"/>
            <w:szCs w:val="24"/>
            <w:lang w:val="en-GB"/>
          </w:rPr>
          <w:fldChar w:fldCharType="end"/>
        </w:r>
      </w:hyperlink>
    </w:p>
    <w:p w14:paraId="3FCA06EB"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14" w:history="1">
        <w:r w:rsidR="00D23096" w:rsidRPr="00DE5FE5">
          <w:rPr>
            <w:rStyle w:val="Hyperlink"/>
            <w:rFonts w:ascii="Times New Roman" w:hAnsi="Times New Roman"/>
            <w:noProof/>
            <w:sz w:val="24"/>
            <w:szCs w:val="24"/>
            <w:lang w:val="en-GB"/>
          </w:rPr>
          <w:t>1.1.3. International competitiveness</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_Toc479839714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12</w:t>
        </w:r>
        <w:r w:rsidR="00D23096" w:rsidRPr="00DE5FE5">
          <w:rPr>
            <w:rFonts w:ascii="Times New Roman" w:hAnsi="Times New Roman"/>
            <w:noProof/>
            <w:webHidden/>
            <w:sz w:val="24"/>
            <w:szCs w:val="24"/>
            <w:lang w:val="en-GB"/>
          </w:rPr>
          <w:fldChar w:fldCharType="end"/>
        </w:r>
      </w:hyperlink>
    </w:p>
    <w:p w14:paraId="447829EE"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15" w:history="1">
        <w:r w:rsidR="00D23096" w:rsidRPr="00DE5FE5">
          <w:rPr>
            <w:rStyle w:val="Hyperlink"/>
            <w:rFonts w:ascii="Times New Roman" w:hAnsi="Times New Roman"/>
            <w:noProof/>
            <w:sz w:val="24"/>
            <w:szCs w:val="24"/>
            <w:lang w:val="en-GB"/>
          </w:rPr>
          <w:t>1.1.4. Coordination with other planning documents</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_Toc479839715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14</w:t>
        </w:r>
        <w:r w:rsidR="00D23096" w:rsidRPr="00DE5FE5">
          <w:rPr>
            <w:rFonts w:ascii="Times New Roman" w:hAnsi="Times New Roman"/>
            <w:noProof/>
            <w:webHidden/>
            <w:sz w:val="24"/>
            <w:szCs w:val="24"/>
            <w:lang w:val="en-GB"/>
          </w:rPr>
          <w:fldChar w:fldCharType="end"/>
        </w:r>
      </w:hyperlink>
    </w:p>
    <w:p w14:paraId="50ED7104" w14:textId="77777777" w:rsidR="00D23096" w:rsidRPr="00DE5FE5" w:rsidRDefault="00CE6CB9" w:rsidP="00DE5FE5">
      <w:pPr>
        <w:pStyle w:val="TOC2"/>
        <w:tabs>
          <w:tab w:val="right" w:leader="dot" w:pos="9062"/>
        </w:tabs>
        <w:spacing w:line="240" w:lineRule="auto"/>
        <w:rPr>
          <w:rFonts w:ascii="Times New Roman" w:hAnsi="Times New Roman"/>
          <w:noProof/>
          <w:sz w:val="24"/>
          <w:szCs w:val="24"/>
          <w:lang w:val="en-GB" w:eastAsia="en-GB"/>
        </w:rPr>
      </w:pPr>
      <w:hyperlink w:anchor="_Toc479839716" w:history="1">
        <w:r w:rsidR="00D23096" w:rsidRPr="00DE5FE5">
          <w:rPr>
            <w:rStyle w:val="Hyperlink"/>
            <w:rFonts w:ascii="Times New Roman" w:hAnsi="Times New Roman"/>
            <w:noProof/>
            <w:sz w:val="24"/>
            <w:szCs w:val="24"/>
            <w:lang w:val="en-GB"/>
          </w:rPr>
          <w:t>1.2. The Banking sector</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_Toc479839716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15</w:t>
        </w:r>
        <w:r w:rsidR="00D23096" w:rsidRPr="00DE5FE5">
          <w:rPr>
            <w:rFonts w:ascii="Times New Roman" w:hAnsi="Times New Roman"/>
            <w:noProof/>
            <w:webHidden/>
            <w:sz w:val="24"/>
            <w:szCs w:val="24"/>
            <w:lang w:val="en-GB"/>
          </w:rPr>
          <w:fldChar w:fldCharType="end"/>
        </w:r>
      </w:hyperlink>
    </w:p>
    <w:p w14:paraId="40159353"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17" w:history="1">
        <w:r w:rsidR="00D23096" w:rsidRPr="00DE5FE5">
          <w:rPr>
            <w:rStyle w:val="Hyperlink"/>
            <w:rFonts w:ascii="Times New Roman" w:hAnsi="Times New Roman"/>
            <w:noProof/>
            <w:sz w:val="24"/>
            <w:szCs w:val="24"/>
            <w:lang w:val="en-GB"/>
          </w:rPr>
          <w:t>1.2.1. Lending activation</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_Toc479839717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20</w:t>
        </w:r>
        <w:r w:rsidR="00D23096" w:rsidRPr="00DE5FE5">
          <w:rPr>
            <w:rFonts w:ascii="Times New Roman" w:hAnsi="Times New Roman"/>
            <w:noProof/>
            <w:webHidden/>
            <w:sz w:val="24"/>
            <w:szCs w:val="24"/>
            <w:lang w:val="en-GB"/>
          </w:rPr>
          <w:fldChar w:fldCharType="end"/>
        </w:r>
      </w:hyperlink>
    </w:p>
    <w:p w14:paraId="16C1AE12" w14:textId="77777777" w:rsidR="00D23096" w:rsidRPr="00DE5FE5" w:rsidRDefault="00CE6CB9" w:rsidP="00DE5FE5">
      <w:pPr>
        <w:pStyle w:val="TOC2"/>
        <w:tabs>
          <w:tab w:val="right" w:leader="dot" w:pos="9062"/>
        </w:tabs>
        <w:spacing w:line="240" w:lineRule="auto"/>
        <w:rPr>
          <w:rFonts w:ascii="Times New Roman" w:hAnsi="Times New Roman"/>
          <w:noProof/>
          <w:sz w:val="24"/>
          <w:szCs w:val="24"/>
          <w:lang w:val="en-GB" w:eastAsia="en-GB"/>
        </w:rPr>
      </w:pPr>
      <w:hyperlink w:anchor="_Toc479839718" w:history="1">
        <w:r w:rsidR="00D23096" w:rsidRPr="00DE5FE5">
          <w:rPr>
            <w:rStyle w:val="Hyperlink"/>
            <w:rFonts w:ascii="Times New Roman" w:hAnsi="Times New Roman"/>
            <w:noProof/>
            <w:sz w:val="24"/>
            <w:szCs w:val="24"/>
            <w:lang w:val="en-GB"/>
          </w:rPr>
          <w:t>1.3. The Capital market sector</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_Toc479839718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21</w:t>
        </w:r>
        <w:r w:rsidR="00D23096" w:rsidRPr="00DE5FE5">
          <w:rPr>
            <w:rFonts w:ascii="Times New Roman" w:hAnsi="Times New Roman"/>
            <w:noProof/>
            <w:webHidden/>
            <w:sz w:val="24"/>
            <w:szCs w:val="24"/>
            <w:lang w:val="en-GB"/>
          </w:rPr>
          <w:fldChar w:fldCharType="end"/>
        </w:r>
      </w:hyperlink>
    </w:p>
    <w:p w14:paraId="1F3FB6FE"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19" w:history="1">
        <w:r w:rsidR="00D23096" w:rsidRPr="00DE5FE5">
          <w:rPr>
            <w:rStyle w:val="Hyperlink"/>
            <w:rFonts w:ascii="Times New Roman" w:hAnsi="Times New Roman"/>
            <w:noProof/>
            <w:sz w:val="24"/>
            <w:szCs w:val="24"/>
            <w:lang w:val="en-GB"/>
          </w:rPr>
          <w:t>1.3.1. Increasing the number of companies using capital market instruments funding</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_Toc479839719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24</w:t>
        </w:r>
        <w:r w:rsidR="00D23096" w:rsidRPr="00DE5FE5">
          <w:rPr>
            <w:rFonts w:ascii="Times New Roman" w:hAnsi="Times New Roman"/>
            <w:noProof/>
            <w:webHidden/>
            <w:sz w:val="24"/>
            <w:szCs w:val="24"/>
            <w:lang w:val="en-GB"/>
          </w:rPr>
          <w:fldChar w:fldCharType="end"/>
        </w:r>
      </w:hyperlink>
    </w:p>
    <w:p w14:paraId="6A5BE891"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20" w:history="1">
        <w:r w:rsidR="00D23096" w:rsidRPr="00DE5FE5">
          <w:rPr>
            <w:rStyle w:val="Hyperlink"/>
            <w:rFonts w:ascii="Times New Roman" w:hAnsi="Times New Roman"/>
            <w:noProof/>
            <w:sz w:val="24"/>
            <w:szCs w:val="24"/>
            <w:lang w:val="en-GB" w:eastAsia="lv-LV"/>
          </w:rPr>
          <w:t>1.3.2. Developing capital instruments to increase opportunities for access of funding and investment</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_Toc479839720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25</w:t>
        </w:r>
        <w:r w:rsidR="00D23096" w:rsidRPr="00DE5FE5">
          <w:rPr>
            <w:rFonts w:ascii="Times New Roman" w:hAnsi="Times New Roman"/>
            <w:noProof/>
            <w:webHidden/>
            <w:sz w:val="24"/>
            <w:szCs w:val="24"/>
            <w:lang w:val="en-GB"/>
          </w:rPr>
          <w:fldChar w:fldCharType="end"/>
        </w:r>
      </w:hyperlink>
    </w:p>
    <w:p w14:paraId="62F5E8A7"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21" w:history="1">
        <w:r w:rsidR="00D23096" w:rsidRPr="00DE5FE5">
          <w:rPr>
            <w:rStyle w:val="Hyperlink"/>
            <w:rFonts w:ascii="Times New Roman" w:hAnsi="Times New Roman"/>
            <w:noProof/>
            <w:sz w:val="24"/>
            <w:szCs w:val="24"/>
            <w:lang w:val="en-GB"/>
          </w:rPr>
          <w:t>1.3.3. Increasing activity of institutional and private investors in the domestic capital market</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_Toc479839721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26</w:t>
        </w:r>
        <w:r w:rsidR="00D23096" w:rsidRPr="00DE5FE5">
          <w:rPr>
            <w:rFonts w:ascii="Times New Roman" w:hAnsi="Times New Roman"/>
            <w:noProof/>
            <w:webHidden/>
            <w:sz w:val="24"/>
            <w:szCs w:val="24"/>
            <w:lang w:val="en-GB"/>
          </w:rPr>
          <w:fldChar w:fldCharType="end"/>
        </w:r>
      </w:hyperlink>
    </w:p>
    <w:p w14:paraId="0EEB30AD" w14:textId="77777777" w:rsidR="00D23096" w:rsidRPr="00DE5FE5" w:rsidRDefault="00CE6CB9" w:rsidP="00DE5FE5">
      <w:pPr>
        <w:pStyle w:val="TOC2"/>
        <w:tabs>
          <w:tab w:val="right" w:leader="dot" w:pos="9062"/>
        </w:tabs>
        <w:spacing w:line="240" w:lineRule="auto"/>
        <w:rPr>
          <w:rFonts w:ascii="Times New Roman" w:hAnsi="Times New Roman"/>
          <w:noProof/>
          <w:sz w:val="24"/>
          <w:szCs w:val="24"/>
          <w:lang w:val="en-GB" w:eastAsia="en-GB"/>
        </w:rPr>
      </w:pPr>
      <w:hyperlink w:anchor="_Toc479839722" w:history="1">
        <w:r w:rsidR="00D23096" w:rsidRPr="00DE5FE5">
          <w:rPr>
            <w:rStyle w:val="Hyperlink"/>
            <w:rFonts w:ascii="Times New Roman" w:hAnsi="Times New Roman"/>
            <w:noProof/>
            <w:sz w:val="24"/>
            <w:szCs w:val="24"/>
            <w:lang w:val="en-GB"/>
          </w:rPr>
          <w:t>1.4. Alternative funding financial services sector</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_Toc479839722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26</w:t>
        </w:r>
        <w:r w:rsidR="00D23096" w:rsidRPr="00DE5FE5">
          <w:rPr>
            <w:rFonts w:ascii="Times New Roman" w:hAnsi="Times New Roman"/>
            <w:noProof/>
            <w:webHidden/>
            <w:sz w:val="24"/>
            <w:szCs w:val="24"/>
            <w:lang w:val="en-GB"/>
          </w:rPr>
          <w:fldChar w:fldCharType="end"/>
        </w:r>
      </w:hyperlink>
    </w:p>
    <w:p w14:paraId="6FB726CD"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23" w:history="1">
        <w:r w:rsidR="00D23096" w:rsidRPr="00DE5FE5">
          <w:rPr>
            <w:rStyle w:val="Hyperlink"/>
            <w:rFonts w:ascii="Times New Roman" w:hAnsi="Times New Roman"/>
            <w:noProof/>
            <w:sz w:val="24"/>
            <w:szCs w:val="24"/>
            <w:lang w:val="en-GB"/>
          </w:rPr>
          <w:t>1.4.1. Adoption of national regulation on crowdfunding</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_Toc479839723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29</w:t>
        </w:r>
        <w:r w:rsidR="00D23096" w:rsidRPr="00DE5FE5">
          <w:rPr>
            <w:rFonts w:ascii="Times New Roman" w:hAnsi="Times New Roman"/>
            <w:noProof/>
            <w:webHidden/>
            <w:sz w:val="24"/>
            <w:szCs w:val="24"/>
            <w:lang w:val="en-GB"/>
          </w:rPr>
          <w:fldChar w:fldCharType="end"/>
        </w:r>
      </w:hyperlink>
    </w:p>
    <w:p w14:paraId="60586B06"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24" w:history="1">
        <w:r w:rsidR="00D23096" w:rsidRPr="00DE5FE5">
          <w:rPr>
            <w:rStyle w:val="Hyperlink"/>
            <w:rFonts w:ascii="Times New Roman" w:hAnsi="Times New Roman"/>
            <w:noProof/>
            <w:sz w:val="24"/>
            <w:szCs w:val="24"/>
            <w:lang w:val="en-GB"/>
          </w:rPr>
          <w:t>1.4.2. Innovative financial services and the development of risk management</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_Toc479839724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30</w:t>
        </w:r>
        <w:r w:rsidR="00D23096" w:rsidRPr="00DE5FE5">
          <w:rPr>
            <w:rFonts w:ascii="Times New Roman" w:hAnsi="Times New Roman"/>
            <w:noProof/>
            <w:webHidden/>
            <w:sz w:val="24"/>
            <w:szCs w:val="24"/>
            <w:lang w:val="en-GB"/>
          </w:rPr>
          <w:fldChar w:fldCharType="end"/>
        </w:r>
      </w:hyperlink>
    </w:p>
    <w:p w14:paraId="3B0EBC64" w14:textId="77777777" w:rsidR="00D23096" w:rsidRPr="00DE5FE5" w:rsidRDefault="00CE6CB9" w:rsidP="00DE5FE5">
      <w:pPr>
        <w:pStyle w:val="TOC2"/>
        <w:tabs>
          <w:tab w:val="right" w:leader="dot" w:pos="9062"/>
        </w:tabs>
        <w:spacing w:line="240" w:lineRule="auto"/>
        <w:rPr>
          <w:rFonts w:ascii="Times New Roman" w:hAnsi="Times New Roman"/>
          <w:noProof/>
          <w:sz w:val="24"/>
          <w:szCs w:val="24"/>
          <w:lang w:val="en-GB" w:eastAsia="en-GB"/>
        </w:rPr>
      </w:pPr>
      <w:hyperlink w:anchor="_Toc479839725" w:history="1">
        <w:r w:rsidR="00D23096" w:rsidRPr="00DE5FE5">
          <w:rPr>
            <w:rStyle w:val="Hyperlink"/>
            <w:rFonts w:ascii="Times New Roman" w:hAnsi="Times New Roman"/>
            <w:noProof/>
            <w:sz w:val="24"/>
            <w:szCs w:val="24"/>
            <w:lang w:val="en-GB"/>
          </w:rPr>
          <w:t>1.5. Insurance and reinsurance sector</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_Toc479839725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30</w:t>
        </w:r>
        <w:r w:rsidR="00D23096" w:rsidRPr="00DE5FE5">
          <w:rPr>
            <w:rFonts w:ascii="Times New Roman" w:hAnsi="Times New Roman"/>
            <w:noProof/>
            <w:webHidden/>
            <w:sz w:val="24"/>
            <w:szCs w:val="24"/>
            <w:lang w:val="en-GB"/>
          </w:rPr>
          <w:fldChar w:fldCharType="end"/>
        </w:r>
      </w:hyperlink>
    </w:p>
    <w:p w14:paraId="3F5E21CB"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26" w:history="1">
        <w:r w:rsidR="00D23096" w:rsidRPr="00DE5FE5">
          <w:rPr>
            <w:rStyle w:val="Hyperlink"/>
            <w:rFonts w:ascii="Times New Roman" w:hAnsi="Times New Roman"/>
            <w:noProof/>
            <w:sz w:val="24"/>
            <w:szCs w:val="24"/>
            <w:lang w:val="en-GB" w:eastAsia="lv-LV"/>
          </w:rPr>
          <w:t>1.5.1. Expanding the use of insurance services</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_Toc479839726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32</w:t>
        </w:r>
        <w:r w:rsidR="00D23096" w:rsidRPr="00DE5FE5">
          <w:rPr>
            <w:rFonts w:ascii="Times New Roman" w:hAnsi="Times New Roman"/>
            <w:noProof/>
            <w:webHidden/>
            <w:sz w:val="24"/>
            <w:szCs w:val="24"/>
            <w:lang w:val="en-GB"/>
          </w:rPr>
          <w:fldChar w:fldCharType="end"/>
        </w:r>
      </w:hyperlink>
    </w:p>
    <w:p w14:paraId="19433DF1"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27" w:history="1">
        <w:r w:rsidR="00D23096" w:rsidRPr="00DE5FE5">
          <w:rPr>
            <w:rStyle w:val="Hyperlink"/>
            <w:rFonts w:ascii="Times New Roman" w:hAnsi="Times New Roman"/>
            <w:noProof/>
            <w:sz w:val="24"/>
            <w:szCs w:val="24"/>
            <w:lang w:val="en-GB" w:eastAsia="lv-LV"/>
          </w:rPr>
          <w:t>1.5.2. Effective exchange of information for risk assessment and obligations</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_Toc479839727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32</w:t>
        </w:r>
        <w:r w:rsidR="00D23096" w:rsidRPr="00DE5FE5">
          <w:rPr>
            <w:rFonts w:ascii="Times New Roman" w:hAnsi="Times New Roman"/>
            <w:noProof/>
            <w:webHidden/>
            <w:sz w:val="24"/>
            <w:szCs w:val="24"/>
            <w:lang w:val="en-GB"/>
          </w:rPr>
          <w:fldChar w:fldCharType="end"/>
        </w:r>
      </w:hyperlink>
    </w:p>
    <w:p w14:paraId="43AC0E2F" w14:textId="77777777" w:rsidR="00D23096" w:rsidRPr="00DE5FE5" w:rsidRDefault="00CE6CB9" w:rsidP="00DE5FE5">
      <w:pPr>
        <w:pStyle w:val="TOC3"/>
        <w:tabs>
          <w:tab w:val="right" w:leader="dot" w:pos="9062"/>
        </w:tabs>
        <w:spacing w:line="240" w:lineRule="auto"/>
        <w:rPr>
          <w:rFonts w:ascii="Times New Roman" w:hAnsi="Times New Roman"/>
          <w:noProof/>
          <w:sz w:val="24"/>
          <w:szCs w:val="24"/>
          <w:lang w:val="en-GB" w:eastAsia="en-GB"/>
        </w:rPr>
      </w:pPr>
      <w:hyperlink w:anchor="_Toc479839728" w:history="1">
        <w:r w:rsidR="00D23096" w:rsidRPr="00DE5FE5">
          <w:rPr>
            <w:rStyle w:val="Hyperlink"/>
            <w:rFonts w:ascii="Times New Roman" w:hAnsi="Times New Roman"/>
            <w:noProof/>
            <w:sz w:val="24"/>
            <w:szCs w:val="24"/>
            <w:lang w:val="en-GB" w:eastAsia="lv-LV"/>
          </w:rPr>
          <w:t>1.5.3. Extension of services for more complete response to insurance needs</w:t>
        </w:r>
        <w:r w:rsidR="00D23096" w:rsidRPr="00DE5FE5">
          <w:rPr>
            <w:rFonts w:ascii="Times New Roman" w:hAnsi="Times New Roman"/>
            <w:noProof/>
            <w:webHidden/>
            <w:sz w:val="24"/>
            <w:szCs w:val="24"/>
            <w:lang w:val="en-GB"/>
          </w:rPr>
          <w:tab/>
        </w:r>
        <w:r w:rsidR="00D23096" w:rsidRPr="00DE5FE5">
          <w:rPr>
            <w:rFonts w:ascii="Times New Roman" w:hAnsi="Times New Roman"/>
            <w:noProof/>
            <w:webHidden/>
            <w:sz w:val="24"/>
            <w:szCs w:val="24"/>
            <w:lang w:val="en-GB"/>
          </w:rPr>
          <w:fldChar w:fldCharType="begin"/>
        </w:r>
        <w:r w:rsidR="00D23096" w:rsidRPr="00DE5FE5">
          <w:rPr>
            <w:rFonts w:ascii="Times New Roman" w:hAnsi="Times New Roman"/>
            <w:noProof/>
            <w:webHidden/>
            <w:sz w:val="24"/>
            <w:szCs w:val="24"/>
            <w:lang w:val="en-GB"/>
          </w:rPr>
          <w:instrText xml:space="preserve"> PAGEREF _Toc479839728 \h </w:instrText>
        </w:r>
        <w:r w:rsidR="00D23096" w:rsidRPr="00DE5FE5">
          <w:rPr>
            <w:rFonts w:ascii="Times New Roman" w:hAnsi="Times New Roman"/>
            <w:noProof/>
            <w:webHidden/>
            <w:sz w:val="24"/>
            <w:szCs w:val="24"/>
            <w:lang w:val="en-GB"/>
          </w:rPr>
        </w:r>
        <w:r w:rsidR="00D23096" w:rsidRPr="00DE5FE5">
          <w:rPr>
            <w:rFonts w:ascii="Times New Roman" w:hAnsi="Times New Roman"/>
            <w:noProof/>
            <w:webHidden/>
            <w:sz w:val="24"/>
            <w:szCs w:val="24"/>
            <w:lang w:val="en-GB"/>
          </w:rPr>
          <w:fldChar w:fldCharType="separate"/>
        </w:r>
        <w:r w:rsidR="00F40376">
          <w:rPr>
            <w:rFonts w:ascii="Times New Roman" w:hAnsi="Times New Roman"/>
            <w:noProof/>
            <w:webHidden/>
            <w:sz w:val="24"/>
            <w:szCs w:val="24"/>
            <w:lang w:val="en-GB"/>
          </w:rPr>
          <w:t>33</w:t>
        </w:r>
        <w:r w:rsidR="00D23096" w:rsidRPr="00DE5FE5">
          <w:rPr>
            <w:rFonts w:ascii="Times New Roman" w:hAnsi="Times New Roman"/>
            <w:noProof/>
            <w:webHidden/>
            <w:sz w:val="24"/>
            <w:szCs w:val="24"/>
            <w:lang w:val="en-GB"/>
          </w:rPr>
          <w:fldChar w:fldCharType="end"/>
        </w:r>
      </w:hyperlink>
    </w:p>
    <w:p w14:paraId="2D1A23BC" w14:textId="77777777" w:rsidR="00664B12" w:rsidRPr="00DE5FE5" w:rsidRDefault="00664B12" w:rsidP="00DE5FE5">
      <w:pPr>
        <w:spacing w:line="240" w:lineRule="auto"/>
        <w:rPr>
          <w:rFonts w:ascii="Times New Roman" w:hAnsi="Times New Roman"/>
          <w:sz w:val="24"/>
          <w:szCs w:val="24"/>
        </w:rPr>
      </w:pPr>
      <w:r w:rsidRPr="00DE5FE5">
        <w:rPr>
          <w:rFonts w:ascii="Times New Roman" w:hAnsi="Times New Roman"/>
          <w:b/>
          <w:bCs/>
          <w:noProof/>
          <w:sz w:val="24"/>
          <w:szCs w:val="24"/>
        </w:rPr>
        <w:fldChar w:fldCharType="end"/>
      </w:r>
    </w:p>
    <w:p w14:paraId="594D45F1" w14:textId="60DB39C1" w:rsidR="00005F6C" w:rsidRPr="00236568" w:rsidRDefault="00005F6C" w:rsidP="00DE5FE5">
      <w:pPr>
        <w:spacing w:line="240" w:lineRule="auto"/>
      </w:pPr>
    </w:p>
    <w:p w14:paraId="0CEAB65F" w14:textId="16098D48" w:rsidR="000732F0" w:rsidRPr="00236568" w:rsidRDefault="00664B12" w:rsidP="00595DDE">
      <w:pPr>
        <w:pStyle w:val="Virsraksts1"/>
        <w:rPr>
          <w:lang w:val="en-GB"/>
        </w:rPr>
      </w:pPr>
      <w:r w:rsidRPr="00236568">
        <w:rPr>
          <w:lang w:val="en-GB"/>
        </w:rPr>
        <w:br w:type="page"/>
      </w:r>
      <w:bookmarkStart w:id="0" w:name="_Toc479773675"/>
      <w:r w:rsidR="000732F0" w:rsidRPr="00236568">
        <w:rPr>
          <w:lang w:val="en-GB"/>
        </w:rPr>
        <w:lastRenderedPageBreak/>
        <w:t>Summary</w:t>
      </w:r>
      <w:bookmarkEnd w:id="0"/>
    </w:p>
    <w:p w14:paraId="6DD3972F" w14:textId="295981E0" w:rsidR="00B60D4C" w:rsidRPr="00236568" w:rsidRDefault="00B60D4C" w:rsidP="00595DDE">
      <w:pPr>
        <w:spacing w:before="100" w:beforeAutospacing="1" w:after="100" w:afterAutospacing="1" w:line="240" w:lineRule="auto"/>
        <w:jc w:val="both"/>
      </w:pPr>
      <w:r w:rsidRPr="00236568">
        <w:rPr>
          <w:rFonts w:ascii="Times New Roman" w:hAnsi="Times New Roman"/>
          <w:color w:val="000000"/>
          <w:sz w:val="24"/>
          <w:szCs w:val="24"/>
          <w:lang w:eastAsia="lv-LV"/>
        </w:rPr>
        <w:t>The Financial Sector Development Plan 2017 - 2019 (hereinafter - the Plan) is the Cabinet of Ministers</w:t>
      </w:r>
      <w:r w:rsidR="00FB4AB1"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planning document on the financial market policy, which includes objectives and measures for further development of the financial sector, </w:t>
      </w:r>
      <w:r w:rsidR="00FB4AB1" w:rsidRPr="00236568">
        <w:rPr>
          <w:rFonts w:ascii="Times New Roman" w:hAnsi="Times New Roman"/>
          <w:color w:val="000000"/>
          <w:sz w:val="24"/>
          <w:szCs w:val="24"/>
          <w:lang w:eastAsia="lv-LV"/>
        </w:rPr>
        <w:t xml:space="preserve">and </w:t>
      </w:r>
      <w:r w:rsidRPr="00236568">
        <w:rPr>
          <w:rFonts w:ascii="Times New Roman" w:hAnsi="Times New Roman"/>
          <w:color w:val="000000"/>
          <w:sz w:val="24"/>
          <w:szCs w:val="24"/>
          <w:lang w:eastAsia="lv-LV"/>
        </w:rPr>
        <w:t xml:space="preserve">designates the responsible institutions, </w:t>
      </w:r>
      <w:r w:rsidR="00FB4AB1" w:rsidRPr="00236568">
        <w:rPr>
          <w:rFonts w:ascii="Times New Roman" w:hAnsi="Times New Roman"/>
          <w:color w:val="000000"/>
          <w:sz w:val="24"/>
          <w:szCs w:val="24"/>
          <w:lang w:eastAsia="lv-LV"/>
        </w:rPr>
        <w:t xml:space="preserve">timelines </w:t>
      </w:r>
      <w:r w:rsidRPr="00236568">
        <w:rPr>
          <w:rFonts w:ascii="Times New Roman" w:hAnsi="Times New Roman"/>
          <w:color w:val="000000"/>
          <w:sz w:val="24"/>
          <w:szCs w:val="24"/>
          <w:lang w:eastAsia="lv-LV"/>
        </w:rPr>
        <w:t>and procedures for monitoring.</w:t>
      </w:r>
    </w:p>
    <w:p w14:paraId="695BC767" w14:textId="1DF17F3D" w:rsidR="00B60D4C" w:rsidRPr="00236568" w:rsidRDefault="00B60D4C" w:rsidP="00BF7917">
      <w:pPr>
        <w:spacing w:before="100" w:beforeAutospacing="1" w:after="100" w:afterAutospacing="1" w:line="240" w:lineRule="auto"/>
        <w:jc w:val="both"/>
      </w:pPr>
      <w:proofErr w:type="gramStart"/>
      <w:r w:rsidRPr="00236568">
        <w:rPr>
          <w:rFonts w:ascii="Times New Roman" w:hAnsi="Times New Roman"/>
          <w:color w:val="000000"/>
          <w:sz w:val="24"/>
          <w:szCs w:val="24"/>
          <w:lang w:eastAsia="lv-LV"/>
        </w:rPr>
        <w:t xml:space="preserve">The Action Plan on the Declaration of the Intended Activities of the Cabinet of Ministers Headed by </w:t>
      </w:r>
      <w:r w:rsidR="004004E3" w:rsidRPr="00236568">
        <w:rPr>
          <w:rFonts w:ascii="Times New Roman" w:hAnsi="Times New Roman"/>
          <w:color w:val="000000"/>
          <w:sz w:val="24"/>
          <w:szCs w:val="24"/>
          <w:lang w:eastAsia="lv-LV"/>
        </w:rPr>
        <w:t xml:space="preserve">Mr. </w:t>
      </w:r>
      <w:proofErr w:type="spellStart"/>
      <w:r w:rsidRPr="00236568">
        <w:rPr>
          <w:rFonts w:ascii="Times New Roman" w:hAnsi="Times New Roman"/>
          <w:color w:val="000000"/>
          <w:sz w:val="24"/>
          <w:szCs w:val="24"/>
          <w:lang w:eastAsia="lv-LV"/>
        </w:rPr>
        <w:t>Māris</w:t>
      </w:r>
      <w:proofErr w:type="spellEnd"/>
      <w:r w:rsidRPr="00236568">
        <w:rPr>
          <w:rFonts w:ascii="Times New Roman" w:hAnsi="Times New Roman"/>
          <w:color w:val="000000"/>
          <w:sz w:val="24"/>
          <w:szCs w:val="24"/>
          <w:lang w:eastAsia="lv-LV"/>
        </w:rPr>
        <w:t xml:space="preserve"> </w:t>
      </w:r>
      <w:proofErr w:type="spellStart"/>
      <w:r w:rsidRPr="00236568">
        <w:rPr>
          <w:rFonts w:ascii="Times New Roman" w:hAnsi="Times New Roman"/>
          <w:color w:val="000000"/>
          <w:sz w:val="24"/>
          <w:szCs w:val="24"/>
          <w:lang w:eastAsia="lv-LV"/>
        </w:rPr>
        <w:t>Kučinskis</w:t>
      </w:r>
      <w:proofErr w:type="spellEnd"/>
      <w:r w:rsidRPr="00236568">
        <w:rPr>
          <w:rFonts w:ascii="Times New Roman" w:hAnsi="Times New Roman"/>
          <w:color w:val="000000"/>
          <w:sz w:val="24"/>
          <w:szCs w:val="24"/>
          <w:lang w:eastAsia="lv-LV"/>
        </w:rPr>
        <w:t xml:space="preserve">, approved by the Cabinet Order No. 275 on 3rd May 2016, includes a task </w:t>
      </w:r>
      <w:r w:rsidRPr="00236568">
        <w:rPr>
          <w:rFonts w:ascii="Times New Roman" w:hAnsi="Times New Roman"/>
          <w:b/>
          <w:color w:val="000000"/>
          <w:sz w:val="24"/>
          <w:szCs w:val="24"/>
          <w:lang w:eastAsia="lv-LV"/>
        </w:rPr>
        <w:t>of developing the Financial Sector Development Plan 2017 - 2019, defining the policy framework for financial market development and international competitiveness, including strengthening the prevention of money laundering and terrorist financing</w:t>
      </w:r>
      <w:r w:rsidR="00961BE3" w:rsidRPr="00236568">
        <w:rPr>
          <w:rFonts w:ascii="Times New Roman" w:hAnsi="Times New Roman"/>
          <w:b/>
          <w:color w:val="000000"/>
          <w:sz w:val="24"/>
          <w:szCs w:val="24"/>
          <w:lang w:eastAsia="lv-LV"/>
        </w:rPr>
        <w:t xml:space="preserve"> (ML/TF)</w:t>
      </w:r>
      <w:r w:rsidRPr="00236568">
        <w:rPr>
          <w:rFonts w:ascii="Times New Roman" w:hAnsi="Times New Roman"/>
          <w:b/>
          <w:color w:val="000000"/>
          <w:sz w:val="24"/>
          <w:szCs w:val="24"/>
          <w:lang w:eastAsia="lv-LV"/>
        </w:rPr>
        <w:t>.</w:t>
      </w:r>
      <w:proofErr w:type="gramEnd"/>
    </w:p>
    <w:p w14:paraId="00FDB8D3" w14:textId="5B86C633" w:rsidR="00B60D4C" w:rsidRPr="00236568" w:rsidRDefault="00B60D4C">
      <w:pPr>
        <w:spacing w:before="100" w:beforeAutospacing="1" w:after="100" w:afterAutospacing="1"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w:t>
      </w:r>
      <w:r w:rsidR="00FB4AB1" w:rsidRPr="00236568">
        <w:rPr>
          <w:rFonts w:ascii="Times New Roman" w:hAnsi="Times New Roman"/>
          <w:color w:val="000000"/>
          <w:sz w:val="24"/>
          <w:szCs w:val="24"/>
          <w:lang w:eastAsia="lv-LV"/>
        </w:rPr>
        <w:t xml:space="preserve">previous </w:t>
      </w:r>
      <w:r w:rsidRPr="00236568">
        <w:rPr>
          <w:rFonts w:ascii="Times New Roman" w:hAnsi="Times New Roman"/>
          <w:color w:val="000000"/>
          <w:sz w:val="24"/>
          <w:szCs w:val="24"/>
          <w:lang w:eastAsia="lv-LV"/>
        </w:rPr>
        <w:t>Financial Sector Development Plan for 2014 to 2016 include</w:t>
      </w:r>
      <w:r w:rsidR="00FB4AB1" w:rsidRPr="00236568">
        <w:rPr>
          <w:rFonts w:ascii="Times New Roman" w:hAnsi="Times New Roman"/>
          <w:color w:val="000000"/>
          <w:sz w:val="24"/>
          <w:szCs w:val="24"/>
          <w:lang w:eastAsia="lv-LV"/>
        </w:rPr>
        <w:t>d</w:t>
      </w:r>
      <w:r w:rsidRPr="00236568">
        <w:rPr>
          <w:rFonts w:ascii="Times New Roman" w:hAnsi="Times New Roman"/>
          <w:color w:val="000000"/>
          <w:sz w:val="24"/>
          <w:szCs w:val="24"/>
          <w:lang w:eastAsia="lv-LV"/>
        </w:rPr>
        <w:t xml:space="preserve"> the following headings and measures:</w:t>
      </w:r>
    </w:p>
    <w:p w14:paraId="20A83A8A" w14:textId="77777777" w:rsidR="00B60D4C" w:rsidRPr="00236568" w:rsidRDefault="00B60D4C">
      <w:pPr>
        <w:spacing w:after="0" w:line="240" w:lineRule="auto"/>
        <w:ind w:left="567" w:hanging="567"/>
        <w:jc w:val="both"/>
        <w:rPr>
          <w:rFonts w:ascii="Times New Roman" w:hAnsi="Times New Roman"/>
          <w:sz w:val="24"/>
          <w:szCs w:val="24"/>
        </w:rPr>
      </w:pPr>
      <w:r w:rsidRPr="00236568">
        <w:rPr>
          <w:rFonts w:ascii="Times New Roman" w:hAnsi="Times New Roman"/>
          <w:sz w:val="24"/>
          <w:szCs w:val="24"/>
        </w:rPr>
        <w:t>1. Banking sector:</w:t>
      </w:r>
    </w:p>
    <w:p w14:paraId="70DA8956"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Improvement of the regulatory environment of banking / stable and responsible credit sector activity;</w:t>
      </w:r>
    </w:p>
    <w:p w14:paraId="0AD39F58"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Support for diversification of bank funding sources;</w:t>
      </w:r>
    </w:p>
    <w:p w14:paraId="7394AED5"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 xml:space="preserve">Decreasing </w:t>
      </w:r>
      <w:proofErr w:type="gramStart"/>
      <w:r w:rsidRPr="00236568">
        <w:rPr>
          <w:rFonts w:ascii="Times New Roman" w:hAnsi="Times New Roman"/>
          <w:sz w:val="24"/>
          <w:szCs w:val="24"/>
          <w:lang w:val="en-GB"/>
        </w:rPr>
        <w:t>money laundering</w:t>
      </w:r>
      <w:proofErr w:type="gramEnd"/>
      <w:r w:rsidRPr="00236568">
        <w:rPr>
          <w:rFonts w:ascii="Times New Roman" w:hAnsi="Times New Roman"/>
          <w:sz w:val="24"/>
          <w:szCs w:val="24"/>
          <w:lang w:val="en-GB"/>
        </w:rPr>
        <w:t xml:space="preserve"> risks.</w:t>
      </w:r>
    </w:p>
    <w:p w14:paraId="2A04269A" w14:textId="77777777" w:rsidR="00B60D4C" w:rsidRPr="00236568" w:rsidRDefault="00B60D4C">
      <w:pPr>
        <w:spacing w:after="0" w:line="240" w:lineRule="auto"/>
        <w:ind w:left="567" w:hanging="567"/>
        <w:jc w:val="both"/>
        <w:rPr>
          <w:rFonts w:ascii="Times New Roman" w:hAnsi="Times New Roman"/>
          <w:sz w:val="24"/>
          <w:szCs w:val="24"/>
        </w:rPr>
      </w:pPr>
      <w:r w:rsidRPr="00236568">
        <w:rPr>
          <w:rFonts w:ascii="Times New Roman" w:hAnsi="Times New Roman"/>
          <w:sz w:val="24"/>
          <w:szCs w:val="24"/>
        </w:rPr>
        <w:t>2. Capital market:</w:t>
      </w:r>
    </w:p>
    <w:p w14:paraId="7C49BA48"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Transparent sale of state ownership shares;</w:t>
      </w:r>
    </w:p>
    <w:p w14:paraId="337C6247"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Domestic government securities market development;</w:t>
      </w:r>
    </w:p>
    <w:p w14:paraId="45D31D07"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Promotion of corporate debt securities.</w:t>
      </w:r>
    </w:p>
    <w:p w14:paraId="4F0D6A36" w14:textId="77777777" w:rsidR="00B60D4C" w:rsidRPr="00236568" w:rsidRDefault="00B60D4C">
      <w:pPr>
        <w:spacing w:after="0" w:line="240" w:lineRule="auto"/>
        <w:ind w:left="567" w:hanging="567"/>
        <w:jc w:val="both"/>
        <w:rPr>
          <w:rFonts w:ascii="Times New Roman" w:hAnsi="Times New Roman"/>
          <w:sz w:val="24"/>
          <w:szCs w:val="24"/>
        </w:rPr>
      </w:pPr>
      <w:r w:rsidRPr="00236568">
        <w:rPr>
          <w:rFonts w:ascii="Times New Roman" w:hAnsi="Times New Roman"/>
          <w:sz w:val="24"/>
          <w:szCs w:val="24"/>
        </w:rPr>
        <w:t>3. The judicial system:</w:t>
      </w:r>
    </w:p>
    <w:p w14:paraId="50B07D32"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Training of judges and promotion of specialization;</w:t>
      </w:r>
    </w:p>
    <w:p w14:paraId="1DBFD05E"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Measures against accumulation of debts by housing owners;</w:t>
      </w:r>
    </w:p>
    <w:p w14:paraId="62A95A86"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Elaboration of financial dispute resolution mechanism;</w:t>
      </w:r>
    </w:p>
    <w:p w14:paraId="16029F3F"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Investor (shareholder) protection strengthening.</w:t>
      </w:r>
    </w:p>
    <w:p w14:paraId="7DA4022F" w14:textId="77777777" w:rsidR="00B60D4C" w:rsidRPr="00236568" w:rsidRDefault="00B60D4C">
      <w:pPr>
        <w:spacing w:after="0" w:line="240" w:lineRule="auto"/>
        <w:ind w:left="567" w:hanging="567"/>
        <w:jc w:val="both"/>
        <w:rPr>
          <w:rFonts w:ascii="Times New Roman" w:hAnsi="Times New Roman"/>
          <w:sz w:val="24"/>
          <w:szCs w:val="24"/>
        </w:rPr>
      </w:pPr>
      <w:r w:rsidRPr="00236568">
        <w:rPr>
          <w:rFonts w:ascii="Times New Roman" w:hAnsi="Times New Roman"/>
          <w:sz w:val="24"/>
          <w:szCs w:val="24"/>
        </w:rPr>
        <w:t>4. The national support programs:</w:t>
      </w:r>
    </w:p>
    <w:p w14:paraId="17F4BE29"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Support programs to tackle market failures;</w:t>
      </w:r>
    </w:p>
    <w:p w14:paraId="232FF2C1"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Centralization of the management support programmes.</w:t>
      </w:r>
    </w:p>
    <w:p w14:paraId="01809103" w14:textId="77777777" w:rsidR="00B60D4C" w:rsidRPr="00236568" w:rsidRDefault="00B60D4C">
      <w:pPr>
        <w:spacing w:after="0" w:line="240" w:lineRule="auto"/>
        <w:ind w:left="567" w:hanging="567"/>
        <w:jc w:val="both"/>
        <w:rPr>
          <w:rFonts w:ascii="Times New Roman" w:hAnsi="Times New Roman"/>
          <w:sz w:val="24"/>
          <w:szCs w:val="24"/>
        </w:rPr>
      </w:pPr>
      <w:r w:rsidRPr="00236568">
        <w:rPr>
          <w:rFonts w:ascii="Times New Roman" w:hAnsi="Times New Roman"/>
          <w:sz w:val="24"/>
          <w:szCs w:val="24"/>
        </w:rPr>
        <w:t>5. Alternative forms of funding:</w:t>
      </w:r>
    </w:p>
    <w:p w14:paraId="3C47CAB9"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Venture capital industry development;</w:t>
      </w:r>
    </w:p>
    <w:p w14:paraId="2939029C"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Introduction of  medium and long-term export-credit guarantee instrument;</w:t>
      </w:r>
    </w:p>
    <w:p w14:paraId="0B25F317"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Strengthening and optimization of the institutional capacity of monitoring.</w:t>
      </w:r>
    </w:p>
    <w:p w14:paraId="49EB79B8" w14:textId="77777777" w:rsidR="00B60D4C" w:rsidRPr="00236568" w:rsidRDefault="00B60D4C">
      <w:pPr>
        <w:spacing w:after="0" w:line="240" w:lineRule="auto"/>
        <w:ind w:left="567" w:hanging="567"/>
        <w:jc w:val="both"/>
        <w:rPr>
          <w:rFonts w:ascii="Times New Roman" w:hAnsi="Times New Roman"/>
          <w:sz w:val="24"/>
          <w:szCs w:val="24"/>
        </w:rPr>
      </w:pPr>
      <w:r w:rsidRPr="00236568">
        <w:rPr>
          <w:rFonts w:ascii="Times New Roman" w:hAnsi="Times New Roman"/>
          <w:sz w:val="24"/>
          <w:szCs w:val="24"/>
        </w:rPr>
        <w:t>6. Financial literacy:</w:t>
      </w:r>
    </w:p>
    <w:p w14:paraId="69A962CE"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Financial literacy development;</w:t>
      </w:r>
    </w:p>
    <w:p w14:paraId="2240664F"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Informative and educational campaign organization for reduction of consumer credit burden and information on financial services.</w:t>
      </w:r>
    </w:p>
    <w:p w14:paraId="23828F10" w14:textId="5C6E7415" w:rsidR="00B60D4C" w:rsidRPr="00236568" w:rsidRDefault="00B60D4C">
      <w:pPr>
        <w:spacing w:before="100" w:beforeAutospacing="1" w:after="100" w:afterAutospacing="1"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Financial Sector Development Plan for 2014 to 2016 </w:t>
      </w:r>
      <w:proofErr w:type="gramStart"/>
      <w:r w:rsidRPr="00236568">
        <w:rPr>
          <w:rFonts w:ascii="Times New Roman" w:hAnsi="Times New Roman"/>
          <w:color w:val="000000"/>
          <w:sz w:val="24"/>
          <w:szCs w:val="24"/>
          <w:lang w:eastAsia="lv-LV"/>
        </w:rPr>
        <w:t xml:space="preserve">have been largely implemented and evaluated, in </w:t>
      </w:r>
      <w:r w:rsidR="00464654" w:rsidRPr="00236568">
        <w:rPr>
          <w:rFonts w:ascii="Times New Roman" w:hAnsi="Times New Roman"/>
          <w:color w:val="000000"/>
          <w:sz w:val="24"/>
          <w:szCs w:val="24"/>
          <w:lang w:eastAsia="lv-LV"/>
        </w:rPr>
        <w:t>the corresponding</w:t>
      </w:r>
      <w:r w:rsidRPr="00236568">
        <w:rPr>
          <w:rFonts w:ascii="Times New Roman" w:hAnsi="Times New Roman"/>
          <w:color w:val="000000"/>
          <w:sz w:val="24"/>
          <w:szCs w:val="24"/>
          <w:lang w:eastAsia="lv-LV"/>
        </w:rPr>
        <w:t xml:space="preserve"> time limits</w:t>
      </w:r>
      <w:proofErr w:type="gramEnd"/>
      <w:r w:rsidRPr="00236568">
        <w:rPr>
          <w:rFonts w:ascii="Times New Roman" w:hAnsi="Times New Roman"/>
          <w:color w:val="000000"/>
          <w:sz w:val="24"/>
          <w:szCs w:val="24"/>
          <w:lang w:eastAsia="lv-LV"/>
        </w:rPr>
        <w:t xml:space="preserve">. With regard to measures, which are still ongoing or subjected to execution on "ongoing basis" several measures are transferred to the Plan </w:t>
      </w:r>
      <w:r w:rsidR="00FB4AB1" w:rsidRPr="00236568">
        <w:rPr>
          <w:rFonts w:ascii="Times New Roman" w:hAnsi="Times New Roman"/>
          <w:color w:val="000000"/>
          <w:sz w:val="24"/>
          <w:szCs w:val="24"/>
          <w:lang w:eastAsia="lv-LV"/>
        </w:rPr>
        <w:t xml:space="preserve">for </w:t>
      </w:r>
      <w:r w:rsidRPr="00236568">
        <w:rPr>
          <w:rFonts w:ascii="Times New Roman" w:hAnsi="Times New Roman"/>
          <w:color w:val="000000"/>
          <w:sz w:val="24"/>
          <w:szCs w:val="24"/>
          <w:lang w:eastAsia="lv-LV"/>
        </w:rPr>
        <w:t>2017 - 2019.</w:t>
      </w:r>
    </w:p>
    <w:p w14:paraId="62B7161A" w14:textId="3C7D8F38" w:rsidR="00B60D4C" w:rsidRPr="00236568" w:rsidRDefault="00B60D4C">
      <w:pPr>
        <w:spacing w:before="100" w:beforeAutospacing="1" w:after="100" w:afterAutospacing="1" w:line="240" w:lineRule="auto"/>
        <w:jc w:val="both"/>
        <w:rPr>
          <w:rFonts w:ascii="Times New Roman" w:hAnsi="Times New Roman"/>
          <w:color w:val="000000"/>
          <w:sz w:val="24"/>
          <w:szCs w:val="24"/>
          <w:lang w:eastAsia="lv-LV"/>
        </w:rPr>
      </w:pPr>
      <w:proofErr w:type="gramStart"/>
      <w:r w:rsidRPr="00236568">
        <w:rPr>
          <w:rFonts w:ascii="Times New Roman" w:hAnsi="Times New Roman"/>
          <w:color w:val="000000"/>
          <w:sz w:val="24"/>
          <w:szCs w:val="24"/>
          <w:lang w:eastAsia="lv-LV"/>
        </w:rPr>
        <w:t xml:space="preserve">The Plan for 2017 - 2019 was developed by the Ministry of Finance in cooperation with the Ministry of Economics, the Ministry of Justice, the Bank of Latvia, the Financial and Capital Market Commission, the Money Laundering Prevention Service, the Association of Latvian </w:t>
      </w:r>
      <w:r w:rsidRPr="00236568">
        <w:rPr>
          <w:rFonts w:ascii="Times New Roman" w:hAnsi="Times New Roman"/>
          <w:color w:val="000000"/>
          <w:sz w:val="24"/>
          <w:szCs w:val="24"/>
          <w:lang w:eastAsia="lv-LV"/>
        </w:rPr>
        <w:lastRenderedPageBreak/>
        <w:t xml:space="preserve">Commercial Banks, the Latvian Association of Cooperative Credit Unions, the Credit Union Association, Nasdaq Riga, the Latvian Insurers </w:t>
      </w:r>
      <w:r w:rsidR="00FB4AB1" w:rsidRPr="00236568">
        <w:rPr>
          <w:rFonts w:ascii="Times New Roman" w:hAnsi="Times New Roman"/>
          <w:color w:val="000000"/>
          <w:sz w:val="24"/>
          <w:szCs w:val="24"/>
          <w:lang w:eastAsia="lv-LV"/>
        </w:rPr>
        <w:t>A</w:t>
      </w:r>
      <w:r w:rsidRPr="00236568">
        <w:rPr>
          <w:rFonts w:ascii="Times New Roman" w:hAnsi="Times New Roman"/>
          <w:color w:val="000000"/>
          <w:sz w:val="24"/>
          <w:szCs w:val="24"/>
          <w:lang w:eastAsia="lv-LV"/>
        </w:rPr>
        <w:t xml:space="preserve">ssociation, Latvian </w:t>
      </w:r>
      <w:r w:rsidR="00FB4AB1" w:rsidRPr="00236568">
        <w:rPr>
          <w:rFonts w:ascii="Times New Roman" w:hAnsi="Times New Roman"/>
          <w:color w:val="000000"/>
          <w:sz w:val="24"/>
          <w:szCs w:val="24"/>
          <w:lang w:eastAsia="lv-LV"/>
        </w:rPr>
        <w:t xml:space="preserve">Insurance Brokers Association </w:t>
      </w:r>
      <w:r w:rsidRPr="00236568">
        <w:rPr>
          <w:rFonts w:ascii="Times New Roman" w:hAnsi="Times New Roman"/>
          <w:color w:val="000000"/>
          <w:sz w:val="24"/>
          <w:szCs w:val="24"/>
          <w:lang w:eastAsia="lv-LV"/>
        </w:rPr>
        <w:t xml:space="preserve">of Society "Latvian </w:t>
      </w:r>
      <w:r w:rsidR="00FB4AB1" w:rsidRPr="00236568">
        <w:rPr>
          <w:rFonts w:ascii="Times New Roman" w:hAnsi="Times New Roman"/>
          <w:color w:val="000000"/>
          <w:sz w:val="24"/>
          <w:szCs w:val="24"/>
          <w:lang w:eastAsia="lv-LV"/>
        </w:rPr>
        <w:t>Professional Insurance Brokers Association</w:t>
      </w:r>
      <w:r w:rsidRPr="00236568">
        <w:rPr>
          <w:rFonts w:ascii="Times New Roman" w:hAnsi="Times New Roman"/>
          <w:color w:val="000000"/>
          <w:sz w:val="24"/>
          <w:szCs w:val="24"/>
          <w:lang w:eastAsia="lv-LV"/>
        </w:rPr>
        <w:t xml:space="preserve">", the Latvian Venture </w:t>
      </w:r>
      <w:r w:rsidR="00FB4AB1" w:rsidRPr="00236568">
        <w:rPr>
          <w:rFonts w:ascii="Times New Roman" w:hAnsi="Times New Roman"/>
          <w:color w:val="000000"/>
          <w:sz w:val="24"/>
          <w:szCs w:val="24"/>
          <w:lang w:eastAsia="lv-LV"/>
        </w:rPr>
        <w:t>Capital Association</w:t>
      </w:r>
      <w:r w:rsidRPr="00236568">
        <w:rPr>
          <w:rFonts w:ascii="Times New Roman" w:hAnsi="Times New Roman"/>
          <w:color w:val="000000"/>
          <w:sz w:val="24"/>
          <w:szCs w:val="24"/>
          <w:lang w:eastAsia="lv-LV"/>
        </w:rPr>
        <w:t xml:space="preserve">, the Latvian Leasing </w:t>
      </w:r>
      <w:r w:rsidR="00FB4AB1" w:rsidRPr="00236568">
        <w:rPr>
          <w:rFonts w:ascii="Times New Roman" w:hAnsi="Times New Roman"/>
          <w:color w:val="000000"/>
          <w:sz w:val="24"/>
          <w:szCs w:val="24"/>
          <w:lang w:eastAsia="lv-LV"/>
        </w:rPr>
        <w:t>Association</w:t>
      </w:r>
      <w:r w:rsidRPr="00236568">
        <w:rPr>
          <w:rFonts w:ascii="Times New Roman" w:hAnsi="Times New Roman"/>
          <w:color w:val="000000"/>
          <w:sz w:val="24"/>
          <w:szCs w:val="24"/>
          <w:lang w:eastAsia="lv-LV"/>
        </w:rPr>
        <w:t xml:space="preserve">, the Latvian Payment </w:t>
      </w:r>
      <w:r w:rsidR="00FB4AB1" w:rsidRPr="00236568">
        <w:rPr>
          <w:rFonts w:ascii="Times New Roman" w:hAnsi="Times New Roman"/>
          <w:color w:val="000000"/>
          <w:sz w:val="24"/>
          <w:szCs w:val="24"/>
          <w:lang w:eastAsia="lv-LV"/>
        </w:rPr>
        <w:t xml:space="preserve">Services </w:t>
      </w:r>
      <w:r w:rsidRPr="00236568">
        <w:rPr>
          <w:rFonts w:ascii="Times New Roman" w:hAnsi="Times New Roman"/>
          <w:color w:val="000000"/>
          <w:sz w:val="24"/>
          <w:szCs w:val="24"/>
          <w:lang w:eastAsia="lv-LV"/>
        </w:rPr>
        <w:t xml:space="preserve">and </w:t>
      </w:r>
      <w:r w:rsidR="00FB4AB1" w:rsidRPr="00236568">
        <w:rPr>
          <w:rFonts w:ascii="Times New Roman" w:hAnsi="Times New Roman"/>
          <w:color w:val="000000"/>
          <w:sz w:val="24"/>
          <w:szCs w:val="24"/>
          <w:lang w:eastAsia="lv-LV"/>
        </w:rPr>
        <w:t>Electronic Money Institutions Association</w:t>
      </w:r>
      <w:r w:rsidRPr="00236568">
        <w:rPr>
          <w:rFonts w:ascii="Times New Roman" w:hAnsi="Times New Roman"/>
          <w:color w:val="000000"/>
          <w:sz w:val="24"/>
          <w:szCs w:val="24"/>
          <w:lang w:eastAsia="lv-LV"/>
        </w:rPr>
        <w:t xml:space="preserve">, the Latvian Alternative </w:t>
      </w:r>
      <w:r w:rsidR="00FB4AB1" w:rsidRPr="00236568">
        <w:rPr>
          <w:rFonts w:ascii="Times New Roman" w:hAnsi="Times New Roman"/>
          <w:color w:val="000000"/>
          <w:sz w:val="24"/>
          <w:szCs w:val="24"/>
          <w:lang w:eastAsia="lv-LV"/>
        </w:rPr>
        <w:t xml:space="preserve">Financial Services Association </w:t>
      </w:r>
      <w:r w:rsidRPr="00236568">
        <w:rPr>
          <w:rFonts w:ascii="Times New Roman" w:hAnsi="Times New Roman"/>
          <w:color w:val="000000"/>
          <w:sz w:val="24"/>
          <w:szCs w:val="24"/>
          <w:lang w:eastAsia="lv-LV"/>
        </w:rPr>
        <w:t xml:space="preserve">and the Latvian Chamber of Commerce and </w:t>
      </w:r>
      <w:r w:rsidR="00FB4AB1" w:rsidRPr="00236568">
        <w:rPr>
          <w:rFonts w:ascii="Times New Roman" w:hAnsi="Times New Roman"/>
          <w:color w:val="000000"/>
          <w:sz w:val="24"/>
          <w:szCs w:val="24"/>
          <w:lang w:eastAsia="lv-LV"/>
        </w:rPr>
        <w:t>Industry</w:t>
      </w:r>
      <w:r w:rsidRPr="00236568">
        <w:rPr>
          <w:rFonts w:ascii="Times New Roman" w:hAnsi="Times New Roman"/>
          <w:color w:val="000000"/>
          <w:sz w:val="24"/>
          <w:szCs w:val="24"/>
          <w:lang w:eastAsia="lv-LV"/>
        </w:rPr>
        <w:t>.</w:t>
      </w:r>
      <w:proofErr w:type="gramEnd"/>
    </w:p>
    <w:p w14:paraId="24D7D39D" w14:textId="77777777" w:rsidR="00B60D4C" w:rsidRPr="00236568" w:rsidRDefault="00B60D4C" w:rsidP="00DE5FE5">
      <w:pPr>
        <w:spacing w:line="240" w:lineRule="auto"/>
      </w:pPr>
    </w:p>
    <w:p w14:paraId="30C21874" w14:textId="5E70224E" w:rsidR="000732F0" w:rsidRPr="00236568" w:rsidRDefault="00DE5FE5" w:rsidP="00DE5FE5">
      <w:pPr>
        <w:pStyle w:val="Heading1"/>
        <w:spacing w:line="240" w:lineRule="auto"/>
        <w:rPr>
          <w:lang w:val="en-GB"/>
        </w:rPr>
      </w:pPr>
      <w:bookmarkStart w:id="1" w:name="_Toc479773676"/>
      <w:bookmarkStart w:id="2" w:name="_Toc479839710"/>
      <w:r w:rsidRPr="00236568">
        <w:rPr>
          <w:lang w:val="en-GB"/>
        </w:rPr>
        <w:t>1. Current</w:t>
      </w:r>
      <w:r w:rsidR="000732F0" w:rsidRPr="00236568">
        <w:rPr>
          <w:lang w:val="en-GB"/>
        </w:rPr>
        <w:t xml:space="preserve"> situation</w:t>
      </w:r>
      <w:bookmarkEnd w:id="1"/>
      <w:bookmarkEnd w:id="2"/>
    </w:p>
    <w:p w14:paraId="06DE04A8" w14:textId="4DA373C8" w:rsidR="00B60D4C" w:rsidRPr="00236568" w:rsidRDefault="00B60D4C" w:rsidP="00DE5FE5">
      <w:pPr>
        <w:pStyle w:val="Heading2"/>
        <w:spacing w:line="240" w:lineRule="auto"/>
      </w:pPr>
      <w:bookmarkStart w:id="3" w:name="_Toc479773677"/>
      <w:bookmarkStart w:id="4" w:name="_Toc479839711"/>
      <w:r w:rsidRPr="00236568">
        <w:t xml:space="preserve">1. </w:t>
      </w:r>
      <w:r w:rsidR="000732F0" w:rsidRPr="00236568">
        <w:t xml:space="preserve">1. </w:t>
      </w:r>
      <w:r w:rsidRPr="00236568">
        <w:t xml:space="preserve">The objective of the plan and </w:t>
      </w:r>
      <w:r w:rsidR="00464654" w:rsidRPr="00236568">
        <w:t xml:space="preserve">the </w:t>
      </w:r>
      <w:r w:rsidRPr="00236568">
        <w:t>course of action</w:t>
      </w:r>
      <w:bookmarkEnd w:id="3"/>
      <w:bookmarkEnd w:id="4"/>
    </w:p>
    <w:p w14:paraId="0E65539C" w14:textId="77777777" w:rsidR="00B60D4C" w:rsidRPr="00236568" w:rsidRDefault="00B60D4C" w:rsidP="00595DDE">
      <w:pPr>
        <w:spacing w:before="100" w:beforeAutospacing="1" w:after="100" w:afterAutospacing="1" w:line="240" w:lineRule="auto"/>
        <w:ind w:left="-207"/>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Plan </w:t>
      </w:r>
      <w:proofErr w:type="gramStart"/>
      <w:r w:rsidRPr="00236568">
        <w:rPr>
          <w:rFonts w:ascii="Times New Roman" w:hAnsi="Times New Roman"/>
          <w:color w:val="000000"/>
          <w:sz w:val="24"/>
          <w:szCs w:val="24"/>
          <w:lang w:eastAsia="lv-LV"/>
        </w:rPr>
        <w:t>is designed</w:t>
      </w:r>
      <w:proofErr w:type="gramEnd"/>
      <w:r w:rsidRPr="00236568">
        <w:rPr>
          <w:rFonts w:ascii="Times New Roman" w:hAnsi="Times New Roman"/>
          <w:color w:val="000000"/>
          <w:sz w:val="24"/>
          <w:szCs w:val="24"/>
          <w:lang w:eastAsia="lv-LV"/>
        </w:rPr>
        <w:t xml:space="preserve"> to establish the financial sector policy medium-term development directions, providing evaluation of the financial sector performance and setting targets for priorities and results.</w:t>
      </w:r>
    </w:p>
    <w:p w14:paraId="60455273" w14:textId="297937A4" w:rsidR="00B60D4C" w:rsidRPr="00236568" w:rsidRDefault="00B60D4C" w:rsidP="00BF7917">
      <w:pPr>
        <w:spacing w:before="100" w:beforeAutospacing="1" w:after="100" w:afterAutospacing="1" w:line="240" w:lineRule="auto"/>
        <w:ind w:left="-207"/>
        <w:jc w:val="both"/>
        <w:rPr>
          <w:rFonts w:ascii="Times New Roman" w:hAnsi="Times New Roman"/>
          <w:b/>
          <w:color w:val="000000"/>
          <w:sz w:val="24"/>
          <w:szCs w:val="24"/>
          <w:lang w:eastAsia="lv-LV"/>
        </w:rPr>
      </w:pPr>
      <w:r w:rsidRPr="00236568">
        <w:rPr>
          <w:rFonts w:ascii="Times New Roman" w:hAnsi="Times New Roman"/>
          <w:color w:val="000000"/>
          <w:sz w:val="24"/>
          <w:szCs w:val="24"/>
          <w:lang w:eastAsia="lv-LV"/>
        </w:rPr>
        <w:t xml:space="preserve">The objective of the implementation of the Plan’s measures aim </w:t>
      </w:r>
      <w:r w:rsidRPr="00236568">
        <w:rPr>
          <w:rFonts w:ascii="Times New Roman" w:hAnsi="Times New Roman"/>
          <w:b/>
          <w:color w:val="000000"/>
          <w:sz w:val="24"/>
          <w:szCs w:val="24"/>
          <w:lang w:eastAsia="lv-LV"/>
        </w:rPr>
        <w:t>to developing stable, safe and internationally competitive financial sector with access to innovative financial services designed to ensure sustainable growth of the Latvian economy</w:t>
      </w:r>
      <w:r w:rsidR="00BE045C" w:rsidRPr="00236568">
        <w:rPr>
          <w:rFonts w:ascii="Times New Roman" w:hAnsi="Times New Roman"/>
          <w:b/>
          <w:color w:val="000000"/>
          <w:sz w:val="24"/>
          <w:szCs w:val="24"/>
          <w:lang w:eastAsia="lv-LV"/>
        </w:rPr>
        <w:t>, and to strengthen the position of Latvia as a regional financial services centre</w:t>
      </w:r>
      <w:r w:rsidRPr="00236568">
        <w:rPr>
          <w:rFonts w:ascii="Times New Roman" w:hAnsi="Times New Roman"/>
          <w:b/>
          <w:color w:val="000000"/>
          <w:sz w:val="24"/>
          <w:szCs w:val="24"/>
          <w:lang w:eastAsia="lv-LV"/>
        </w:rPr>
        <w:t>.</w:t>
      </w:r>
    </w:p>
    <w:p w14:paraId="5E78EA41" w14:textId="5B048ABD" w:rsidR="00B60D4C" w:rsidRPr="00236568" w:rsidRDefault="00B60D4C">
      <w:pPr>
        <w:spacing w:before="100" w:beforeAutospacing="1" w:after="100" w:afterAutospacing="1" w:line="240" w:lineRule="auto"/>
        <w:ind w:left="-207"/>
        <w:jc w:val="both"/>
      </w:pPr>
      <w:r w:rsidRPr="00236568">
        <w:rPr>
          <w:rFonts w:ascii="Times New Roman" w:hAnsi="Times New Roman"/>
          <w:color w:val="000000"/>
          <w:sz w:val="24"/>
          <w:szCs w:val="24"/>
          <w:lang w:eastAsia="lv-LV"/>
        </w:rPr>
        <w:t xml:space="preserve">In 25 years, the Latvian financial sector has developed rapidly, the total assets at the end of the </w:t>
      </w:r>
      <w:proofErr w:type="gramStart"/>
      <w:r w:rsidRPr="00236568">
        <w:rPr>
          <w:rFonts w:ascii="Times New Roman" w:hAnsi="Times New Roman"/>
          <w:color w:val="000000"/>
          <w:sz w:val="24"/>
          <w:szCs w:val="24"/>
          <w:lang w:eastAsia="lv-LV"/>
        </w:rPr>
        <w:t>1st</w:t>
      </w:r>
      <w:proofErr w:type="gramEnd"/>
      <w:r w:rsidRPr="00236568">
        <w:rPr>
          <w:rFonts w:ascii="Times New Roman" w:hAnsi="Times New Roman"/>
          <w:color w:val="000000"/>
          <w:sz w:val="24"/>
          <w:szCs w:val="24"/>
          <w:lang w:eastAsia="lv-LV"/>
        </w:rPr>
        <w:t xml:space="preserve"> half of 2016 amounted to 174%</w:t>
      </w:r>
      <w:r w:rsidRPr="00236568">
        <w:rPr>
          <w:rStyle w:val="FootnoteReference"/>
          <w:rFonts w:ascii="Times New Roman" w:hAnsi="Times New Roman"/>
          <w:color w:val="000000"/>
          <w:sz w:val="24"/>
          <w:szCs w:val="24"/>
          <w:lang w:eastAsia="lv-LV"/>
        </w:rPr>
        <w:footnoteReference w:id="1"/>
      </w:r>
      <w:r w:rsidRPr="00236568">
        <w:rPr>
          <w:rFonts w:ascii="Times New Roman" w:hAnsi="Times New Roman"/>
          <w:color w:val="000000"/>
          <w:sz w:val="24"/>
          <w:szCs w:val="24"/>
          <w:lang w:eastAsia="lv-LV"/>
        </w:rPr>
        <w:t xml:space="preserve"> of Latvian GDP (</w:t>
      </w:r>
      <w:r w:rsidR="00BE045C" w:rsidRPr="00236568">
        <w:rPr>
          <w:rFonts w:ascii="Times New Roman" w:hAnsi="Times New Roman"/>
          <w:color w:val="000000"/>
          <w:sz w:val="24"/>
          <w:szCs w:val="24"/>
          <w:lang w:eastAsia="lv-LV"/>
        </w:rPr>
        <w:t>180</w:t>
      </w:r>
      <w:r w:rsidR="00105976"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of GDP at the end of 2015; </w:t>
      </w:r>
      <w:r w:rsidR="00BE045C" w:rsidRPr="00236568">
        <w:rPr>
          <w:rFonts w:ascii="Times New Roman" w:hAnsi="Times New Roman"/>
          <w:color w:val="000000"/>
          <w:sz w:val="24"/>
          <w:szCs w:val="24"/>
          <w:lang w:eastAsia="lv-LV"/>
        </w:rPr>
        <w:t>172</w:t>
      </w:r>
      <w:r w:rsidRPr="00236568">
        <w:rPr>
          <w:rFonts w:ascii="Times New Roman" w:hAnsi="Times New Roman"/>
          <w:color w:val="000000"/>
          <w:sz w:val="24"/>
          <w:szCs w:val="24"/>
          <w:lang w:eastAsia="lv-LV"/>
        </w:rPr>
        <w:t>% of GDP at the end of 2014).</w:t>
      </w:r>
      <w:r w:rsidRPr="00236568">
        <w:rPr>
          <w:rFonts w:ascii="Times New Roman" w:hAnsi="Times New Roman"/>
          <w:b/>
          <w:color w:val="000000"/>
          <w:sz w:val="24"/>
          <w:szCs w:val="24"/>
          <w:lang w:eastAsia="lv-LV"/>
        </w:rPr>
        <w:t xml:space="preserve"> </w:t>
      </w:r>
      <w:r w:rsidRPr="00236568">
        <w:rPr>
          <w:rFonts w:ascii="Times New Roman" w:hAnsi="Times New Roman"/>
          <w:color w:val="000000"/>
          <w:sz w:val="24"/>
          <w:szCs w:val="24"/>
          <w:lang w:eastAsia="lv-LV"/>
        </w:rPr>
        <w:t>The Latvian financial sector is the leader</w:t>
      </w:r>
      <w:r w:rsidRPr="00236568">
        <w:rPr>
          <w:rStyle w:val="FootnoteReference"/>
          <w:rFonts w:ascii="Times New Roman" w:hAnsi="Times New Roman"/>
          <w:color w:val="000000"/>
          <w:sz w:val="24"/>
          <w:szCs w:val="24"/>
          <w:lang w:eastAsia="lv-LV"/>
        </w:rPr>
        <w:footnoteReference w:id="2"/>
      </w:r>
      <w:r w:rsidRPr="00236568">
        <w:rPr>
          <w:rFonts w:ascii="Times New Roman" w:hAnsi="Times New Roman"/>
          <w:color w:val="000000"/>
          <w:sz w:val="24"/>
          <w:szCs w:val="24"/>
          <w:lang w:eastAsia="lv-LV"/>
        </w:rPr>
        <w:t xml:space="preserve"> in the Baltic region by indicator of total assets to GDP. </w:t>
      </w:r>
      <w:proofErr w:type="gramStart"/>
      <w:r w:rsidRPr="00236568">
        <w:rPr>
          <w:rFonts w:ascii="Times New Roman" w:hAnsi="Times New Roman"/>
          <w:color w:val="000000"/>
          <w:sz w:val="24"/>
          <w:szCs w:val="24"/>
          <w:lang w:eastAsia="lv-LV"/>
        </w:rPr>
        <w:t>The number of financial market participants under the supervision of the Financial and Capital Market Commission (hereinafter - FCMC) at the end of the 1st half of 2016 was 351 (at the end of 2015 - 328), and assets totalling EUR 34 billion, or about 140% of the Latvian GDP amount (35 billion euro at the end of 2015, or 145% of the Latvian GDP).</w:t>
      </w:r>
      <w:proofErr w:type="gramEnd"/>
      <w:r w:rsidRPr="00236568">
        <w:rPr>
          <w:rFonts w:ascii="Times New Roman" w:hAnsi="Times New Roman"/>
          <w:color w:val="000000"/>
          <w:sz w:val="24"/>
          <w:szCs w:val="24"/>
          <w:lang w:eastAsia="lv-LV"/>
        </w:rPr>
        <w:t xml:space="preserve"> Due to non-bank sector development, the share of the banking sector in </w:t>
      </w:r>
      <w:r w:rsidR="00186CBA" w:rsidRPr="00236568">
        <w:rPr>
          <w:rFonts w:ascii="Times New Roman" w:hAnsi="Times New Roman"/>
          <w:color w:val="000000"/>
          <w:sz w:val="24"/>
          <w:szCs w:val="24"/>
          <w:lang w:eastAsia="lv-LV"/>
        </w:rPr>
        <w:t xml:space="preserve">the </w:t>
      </w:r>
      <w:r w:rsidRPr="00236568">
        <w:rPr>
          <w:rFonts w:ascii="Times New Roman" w:hAnsi="Times New Roman"/>
          <w:color w:val="000000"/>
          <w:sz w:val="24"/>
          <w:szCs w:val="24"/>
          <w:lang w:eastAsia="lv-LV"/>
        </w:rPr>
        <w:t xml:space="preserve">financial sector assets </w:t>
      </w:r>
      <w:r w:rsidR="00137C71" w:rsidRPr="00236568">
        <w:rPr>
          <w:rFonts w:ascii="Times New Roman" w:hAnsi="Times New Roman"/>
          <w:color w:val="000000"/>
          <w:sz w:val="24"/>
          <w:szCs w:val="24"/>
          <w:lang w:eastAsia="lv-LV"/>
        </w:rPr>
        <w:t xml:space="preserve">(only those supervised by FCMC) </w:t>
      </w:r>
      <w:r w:rsidRPr="00236568">
        <w:rPr>
          <w:rFonts w:ascii="Times New Roman" w:hAnsi="Times New Roman"/>
          <w:color w:val="000000"/>
          <w:sz w:val="24"/>
          <w:szCs w:val="24"/>
          <w:lang w:eastAsia="lv-LV"/>
        </w:rPr>
        <w:t xml:space="preserve">continued to decline. Banking sector institutions' share of the Latvian financial sector at the end of 2015 was 78% and the total non-bank </w:t>
      </w:r>
      <w:r w:rsidR="00186CBA" w:rsidRPr="00236568">
        <w:rPr>
          <w:rFonts w:ascii="Times New Roman" w:hAnsi="Times New Roman"/>
          <w:color w:val="000000"/>
          <w:sz w:val="24"/>
          <w:szCs w:val="24"/>
          <w:lang w:eastAsia="lv-LV"/>
        </w:rPr>
        <w:t xml:space="preserve">financial services providers </w:t>
      </w:r>
      <w:r w:rsidRPr="00236568">
        <w:rPr>
          <w:rFonts w:ascii="Times New Roman" w:hAnsi="Times New Roman"/>
          <w:color w:val="000000"/>
          <w:sz w:val="24"/>
          <w:szCs w:val="24"/>
          <w:lang w:eastAsia="lv-LV"/>
        </w:rPr>
        <w:t>was approximately 22% (see Fig.1.1).</w:t>
      </w:r>
    </w:p>
    <w:p w14:paraId="5FBFAFB4" w14:textId="3A795F53" w:rsidR="00B60D4C" w:rsidRPr="00236568" w:rsidRDefault="00B60D4C">
      <w:pPr>
        <w:spacing w:before="100" w:beforeAutospacing="1" w:after="100" w:afterAutospacing="1" w:line="240" w:lineRule="auto"/>
        <w:ind w:left="-207"/>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Latvian financial sector has access to modern and efficient interbank euro payment system operated by the Bank of Latvia. In the </w:t>
      </w:r>
      <w:proofErr w:type="gramStart"/>
      <w:r w:rsidRPr="00236568">
        <w:rPr>
          <w:rFonts w:ascii="Times New Roman" w:hAnsi="Times New Roman"/>
          <w:color w:val="000000"/>
          <w:sz w:val="24"/>
          <w:szCs w:val="24"/>
          <w:lang w:eastAsia="lv-LV"/>
        </w:rPr>
        <w:t>1st</w:t>
      </w:r>
      <w:proofErr w:type="gramEnd"/>
      <w:r w:rsidRPr="00236568">
        <w:rPr>
          <w:rFonts w:ascii="Times New Roman" w:hAnsi="Times New Roman"/>
          <w:color w:val="000000"/>
          <w:sz w:val="24"/>
          <w:szCs w:val="24"/>
          <w:lang w:eastAsia="lv-LV"/>
        </w:rPr>
        <w:t xml:space="preserve"> half of 2016 the Bank of Latvia payment systems (TARGET2-Latvia and Electronic Clearing System) </w:t>
      </w:r>
      <w:r w:rsidR="00766BEA" w:rsidRPr="00236568">
        <w:rPr>
          <w:rFonts w:ascii="Times New Roman" w:hAnsi="Times New Roman"/>
          <w:color w:val="000000"/>
          <w:sz w:val="24"/>
          <w:szCs w:val="24"/>
          <w:lang w:eastAsia="lv-LV"/>
        </w:rPr>
        <w:t>processed</w:t>
      </w:r>
      <w:r w:rsidRPr="00236568">
        <w:rPr>
          <w:rFonts w:ascii="Times New Roman" w:hAnsi="Times New Roman"/>
          <w:color w:val="000000"/>
          <w:sz w:val="24"/>
          <w:szCs w:val="24"/>
          <w:lang w:eastAsia="lv-LV"/>
        </w:rPr>
        <w:t xml:space="preserve"> 20.2 million payments between the system participants in total amount 144.8 billion euro. Latvian payment infrastructure enables the Latvian financial sector </w:t>
      </w:r>
      <w:r w:rsidR="009E3C5B" w:rsidRPr="00236568">
        <w:rPr>
          <w:rFonts w:ascii="Times New Roman" w:hAnsi="Times New Roman"/>
          <w:color w:val="000000"/>
          <w:sz w:val="24"/>
          <w:szCs w:val="24"/>
          <w:lang w:eastAsia="lv-LV"/>
        </w:rPr>
        <w:t xml:space="preserve">to </w:t>
      </w:r>
      <w:r w:rsidRPr="00236568">
        <w:rPr>
          <w:rFonts w:ascii="Times New Roman" w:hAnsi="Times New Roman"/>
          <w:color w:val="000000"/>
          <w:sz w:val="24"/>
          <w:szCs w:val="24"/>
          <w:lang w:eastAsia="lv-LV"/>
        </w:rPr>
        <w:t xml:space="preserve">offer fast and efficient payments. In the </w:t>
      </w:r>
      <w:proofErr w:type="gramStart"/>
      <w:r w:rsidRPr="00236568">
        <w:rPr>
          <w:rFonts w:ascii="Times New Roman" w:hAnsi="Times New Roman"/>
          <w:color w:val="000000"/>
          <w:sz w:val="24"/>
          <w:szCs w:val="24"/>
          <w:lang w:eastAsia="lv-LV"/>
        </w:rPr>
        <w:t>1st</w:t>
      </w:r>
      <w:proofErr w:type="gramEnd"/>
      <w:r w:rsidRPr="00236568">
        <w:rPr>
          <w:rFonts w:ascii="Times New Roman" w:hAnsi="Times New Roman"/>
          <w:color w:val="000000"/>
          <w:sz w:val="24"/>
          <w:szCs w:val="24"/>
          <w:lang w:eastAsia="lv-LV"/>
        </w:rPr>
        <w:t xml:space="preserve"> half of 2016, 194.1 million settlements have been processed in euro and foreign currencies, in total amount of 375.2 billion euro.</w:t>
      </w:r>
    </w:p>
    <w:p w14:paraId="57C48267" w14:textId="50E8A2DC" w:rsidR="00B60D4C" w:rsidRPr="00236568" w:rsidRDefault="00B60D4C">
      <w:pPr>
        <w:spacing w:before="100" w:beforeAutospacing="1" w:after="100" w:afterAutospacing="1" w:line="240" w:lineRule="auto"/>
        <w:ind w:left="-207"/>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lastRenderedPageBreak/>
        <w:t xml:space="preserve">The Plan addresses the financial and capital market participants - banks, credit unions, insurance companies, alternative investment funds, private pension funds, investment funds, investment firms, investment management companies, payment institutions and </w:t>
      </w:r>
      <w:r w:rsidR="00137C71" w:rsidRPr="00236568">
        <w:rPr>
          <w:rFonts w:ascii="Times New Roman" w:hAnsi="Times New Roman"/>
          <w:color w:val="000000"/>
          <w:sz w:val="24"/>
          <w:szCs w:val="24"/>
          <w:lang w:eastAsia="lv-LV"/>
        </w:rPr>
        <w:t>financial services providers</w:t>
      </w:r>
      <w:r w:rsidRPr="00236568">
        <w:rPr>
          <w:rFonts w:ascii="Times New Roman" w:hAnsi="Times New Roman"/>
          <w:color w:val="000000"/>
          <w:sz w:val="24"/>
          <w:szCs w:val="24"/>
          <w:lang w:eastAsia="lv-LV"/>
        </w:rPr>
        <w:t xml:space="preserve">, such as </w:t>
      </w:r>
      <w:r w:rsidR="00137C71" w:rsidRPr="00236568">
        <w:rPr>
          <w:rFonts w:ascii="Times New Roman" w:hAnsi="Times New Roman"/>
          <w:color w:val="000000"/>
          <w:sz w:val="24"/>
          <w:szCs w:val="24"/>
          <w:lang w:eastAsia="lv-LV"/>
        </w:rPr>
        <w:t>consumer loans</w:t>
      </w:r>
      <w:r w:rsidRPr="00236568">
        <w:rPr>
          <w:rFonts w:ascii="Times New Roman" w:hAnsi="Times New Roman"/>
          <w:color w:val="000000"/>
          <w:sz w:val="24"/>
          <w:szCs w:val="24"/>
          <w:lang w:eastAsia="lv-LV"/>
        </w:rPr>
        <w:t xml:space="preserve">, </w:t>
      </w:r>
      <w:r w:rsidR="00DE5FE5" w:rsidRPr="00236568">
        <w:rPr>
          <w:rFonts w:ascii="Times New Roman" w:hAnsi="Times New Roman"/>
          <w:color w:val="000000"/>
          <w:sz w:val="24"/>
          <w:szCs w:val="24"/>
          <w:lang w:eastAsia="lv-LV"/>
        </w:rPr>
        <w:t>pawnshops,</w:t>
      </w:r>
      <w:r w:rsidRPr="00236568">
        <w:rPr>
          <w:rFonts w:ascii="Times New Roman" w:hAnsi="Times New Roman"/>
          <w:color w:val="000000"/>
          <w:sz w:val="24"/>
          <w:szCs w:val="24"/>
          <w:lang w:eastAsia="lv-LV"/>
        </w:rPr>
        <w:t xml:space="preserve"> leasing and factoring services. </w:t>
      </w:r>
    </w:p>
    <w:p w14:paraId="28CB867B" w14:textId="22D99464" w:rsidR="00B60D4C" w:rsidRPr="00236568" w:rsidRDefault="003D5CD6">
      <w:pPr>
        <w:spacing w:after="0" w:line="240" w:lineRule="auto"/>
        <w:jc w:val="both"/>
        <w:rPr>
          <w:rFonts w:ascii="Times New Roman" w:hAnsi="Times New Roman"/>
          <w:color w:val="000000"/>
          <w:sz w:val="24"/>
          <w:szCs w:val="24"/>
          <w:lang w:eastAsia="lv-LV"/>
        </w:rPr>
      </w:pPr>
      <w:r w:rsidRPr="00236568">
        <w:rPr>
          <w:noProof/>
          <w:lang w:val="lv-LV" w:eastAsia="lv-LV"/>
        </w:rPr>
        <w:drawing>
          <wp:inline distT="0" distB="0" distL="0" distR="0" wp14:anchorId="70AE4AF7" wp14:editId="408AAB47">
            <wp:extent cx="5762625" cy="32435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243580"/>
                    </a:xfrm>
                    <a:prstGeom prst="rect">
                      <a:avLst/>
                    </a:prstGeom>
                    <a:noFill/>
                    <a:ln>
                      <a:noFill/>
                    </a:ln>
                  </pic:spPr>
                </pic:pic>
              </a:graphicData>
            </a:graphic>
          </wp:inline>
        </w:drawing>
      </w:r>
    </w:p>
    <w:p w14:paraId="22F2E717" w14:textId="77777777" w:rsidR="00B60D4C" w:rsidRPr="00236568" w:rsidRDefault="00B60D4C">
      <w:pPr>
        <w:spacing w:after="0" w:line="240" w:lineRule="auto"/>
        <w:jc w:val="both"/>
        <w:rPr>
          <w:rFonts w:ascii="Times New Roman" w:hAnsi="Times New Roman"/>
          <w:color w:val="000000"/>
          <w:sz w:val="24"/>
          <w:szCs w:val="24"/>
          <w:lang w:eastAsia="lv-LV"/>
        </w:rPr>
      </w:pPr>
    </w:p>
    <w:p w14:paraId="5B981EFE" w14:textId="77777777" w:rsidR="00B60D4C" w:rsidRPr="00236568" w:rsidRDefault="00B60D4C" w:rsidP="00DE5FE5">
      <w:pPr>
        <w:spacing w:line="240" w:lineRule="auto"/>
        <w:rPr>
          <w:rFonts w:ascii="Times New Roman" w:hAnsi="Times New Roman"/>
          <w:i/>
          <w:sz w:val="20"/>
          <w:szCs w:val="20"/>
        </w:rPr>
      </w:pPr>
      <w:r w:rsidRPr="00236568">
        <w:rPr>
          <w:rFonts w:ascii="Times New Roman" w:hAnsi="Times New Roman"/>
          <w:i/>
          <w:sz w:val="20"/>
          <w:szCs w:val="20"/>
        </w:rPr>
        <w:t>Fig. 1.1. Financial market participants' share in total financial sector assets (Source: Central Statistical Bureau of Latvia, the Bank of Latvia, the Financial and Capital Market Commission, 2015).</w:t>
      </w:r>
    </w:p>
    <w:p w14:paraId="75E9D49B" w14:textId="0A15202B" w:rsidR="00B60D4C" w:rsidRPr="00236568" w:rsidRDefault="00B60D4C" w:rsidP="00595DDE">
      <w:pPr>
        <w:spacing w:before="100" w:beforeAutospacing="1" w:after="100" w:afterAutospacing="1"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Since </w:t>
      </w:r>
      <w:proofErr w:type="gramStart"/>
      <w:r w:rsidRPr="00236568">
        <w:rPr>
          <w:rFonts w:ascii="Times New Roman" w:hAnsi="Times New Roman"/>
          <w:color w:val="000000"/>
          <w:sz w:val="24"/>
          <w:szCs w:val="24"/>
          <w:lang w:eastAsia="lv-LV"/>
        </w:rPr>
        <w:t>2012</w:t>
      </w:r>
      <w:proofErr w:type="gramEnd"/>
      <w:r w:rsidRPr="00236568">
        <w:rPr>
          <w:rFonts w:ascii="Times New Roman" w:hAnsi="Times New Roman"/>
          <w:color w:val="000000"/>
          <w:sz w:val="24"/>
          <w:szCs w:val="24"/>
          <w:lang w:eastAsia="lv-LV"/>
        </w:rPr>
        <w:t xml:space="preserve"> the number of employees in the financial sector remains a little over 18 thousand employees on average per year. It represents 2.1% of the occupied jobs in economy at the end of 2015. In 2008, the number was 26 thousand </w:t>
      </w:r>
      <w:r w:rsidR="00766BEA" w:rsidRPr="00236568">
        <w:rPr>
          <w:rFonts w:ascii="Times New Roman" w:hAnsi="Times New Roman"/>
          <w:color w:val="000000"/>
          <w:sz w:val="24"/>
          <w:szCs w:val="24"/>
          <w:lang w:eastAsia="lv-LV"/>
        </w:rPr>
        <w:t xml:space="preserve">employees </w:t>
      </w:r>
      <w:r w:rsidRPr="00236568">
        <w:rPr>
          <w:rFonts w:ascii="Times New Roman" w:hAnsi="Times New Roman"/>
          <w:color w:val="000000"/>
          <w:sz w:val="24"/>
          <w:szCs w:val="24"/>
          <w:lang w:eastAsia="lv-LV"/>
        </w:rPr>
        <w:t xml:space="preserve">(Fig.1.2). According to the Central Statistical Bureau's data, compared to other areas of activity at the end of 2015, real </w:t>
      </w:r>
      <w:proofErr w:type="gramStart"/>
      <w:r w:rsidRPr="00236568">
        <w:rPr>
          <w:rFonts w:ascii="Times New Roman" w:hAnsi="Times New Roman"/>
          <w:color w:val="000000"/>
          <w:sz w:val="24"/>
          <w:szCs w:val="24"/>
          <w:lang w:eastAsia="lv-LV"/>
        </w:rPr>
        <w:t>estate and information</w:t>
      </w:r>
      <w:proofErr w:type="gramEnd"/>
      <w:r w:rsidRPr="00236568">
        <w:rPr>
          <w:rFonts w:ascii="Times New Roman" w:hAnsi="Times New Roman"/>
          <w:color w:val="000000"/>
          <w:sz w:val="24"/>
          <w:szCs w:val="24"/>
          <w:lang w:eastAsia="lv-LV"/>
        </w:rPr>
        <w:t xml:space="preserve"> and communication service sectors each employed over 27 thousand on average per year, or 3.1% of the occupied jobs.</w:t>
      </w:r>
    </w:p>
    <w:p w14:paraId="268E3273" w14:textId="77777777" w:rsidR="00B60D4C" w:rsidRPr="00236568" w:rsidRDefault="00B60D4C" w:rsidP="00DE5FE5">
      <w:pPr>
        <w:spacing w:line="240" w:lineRule="auto"/>
        <w:rPr>
          <w:i/>
        </w:rPr>
      </w:pPr>
    </w:p>
    <w:p w14:paraId="38322E3C" w14:textId="77777777" w:rsidR="00B60D4C" w:rsidRPr="00236568" w:rsidRDefault="00B60D4C" w:rsidP="00595DDE">
      <w:pPr>
        <w:spacing w:after="0" w:line="240" w:lineRule="auto"/>
        <w:jc w:val="both"/>
        <w:rPr>
          <w:rFonts w:ascii="Times New Roman" w:hAnsi="Times New Roman"/>
          <w:color w:val="000000"/>
          <w:sz w:val="24"/>
          <w:szCs w:val="24"/>
          <w:lang w:eastAsia="lv-LV"/>
        </w:rPr>
      </w:pPr>
    </w:p>
    <w:p w14:paraId="78248012" w14:textId="77777777" w:rsidR="00B60D4C" w:rsidRPr="00236568" w:rsidRDefault="00B60D4C" w:rsidP="00BF7917">
      <w:pPr>
        <w:spacing w:after="0" w:line="240" w:lineRule="auto"/>
        <w:jc w:val="both"/>
      </w:pPr>
    </w:p>
    <w:p w14:paraId="2B522F4C" w14:textId="38B0FB42" w:rsidR="00B60D4C" w:rsidRPr="00236568" w:rsidRDefault="003D5CD6" w:rsidP="00DE5FE5">
      <w:pPr>
        <w:spacing w:line="240" w:lineRule="auto"/>
      </w:pPr>
      <w:r w:rsidRPr="00236568">
        <w:rPr>
          <w:noProof/>
          <w:lang w:val="lv-LV" w:eastAsia="lv-LV"/>
        </w:rPr>
        <w:lastRenderedPageBreak/>
        <w:drawing>
          <wp:inline distT="0" distB="0" distL="0" distR="0" wp14:anchorId="12E6BC1F" wp14:editId="29FF0D61">
            <wp:extent cx="5613400" cy="3206115"/>
            <wp:effectExtent l="0" t="0" r="25400" b="1333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60D4C" w:rsidRPr="00236568">
        <w:rPr>
          <w:rFonts w:ascii="Times New Roman" w:hAnsi="Times New Roman"/>
          <w:i/>
          <w:color w:val="000000"/>
          <w:sz w:val="20"/>
          <w:szCs w:val="20"/>
          <w:lang w:eastAsia="lv-LV"/>
        </w:rPr>
        <w:t>Fi</w:t>
      </w:r>
      <w:r w:rsidR="00294E45" w:rsidRPr="00236568">
        <w:rPr>
          <w:rFonts w:ascii="Times New Roman" w:hAnsi="Times New Roman"/>
          <w:i/>
          <w:color w:val="000000"/>
          <w:sz w:val="20"/>
          <w:szCs w:val="20"/>
          <w:lang w:eastAsia="lv-LV"/>
        </w:rPr>
        <w:t>Fi</w:t>
      </w:r>
      <w:r w:rsidR="00B60D4C" w:rsidRPr="00236568">
        <w:rPr>
          <w:rFonts w:ascii="Times New Roman" w:hAnsi="Times New Roman"/>
          <w:i/>
          <w:color w:val="000000"/>
          <w:sz w:val="20"/>
          <w:szCs w:val="20"/>
          <w:lang w:eastAsia="lv-LV"/>
        </w:rPr>
        <w:t>g.1.2. Occupied jobs in the financial sector on average per year (Source: Central Statistical Bureau)</w:t>
      </w:r>
    </w:p>
    <w:p w14:paraId="0AED3AB9" w14:textId="2337F308" w:rsidR="00B60D4C" w:rsidRPr="00236568" w:rsidRDefault="00B60D4C" w:rsidP="00595DDE">
      <w:pPr>
        <w:spacing w:before="100" w:beforeAutospacing="1" w:after="100" w:afterAutospacing="1"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indicators of </w:t>
      </w:r>
      <w:r w:rsidR="00236568">
        <w:rPr>
          <w:rFonts w:ascii="Times New Roman" w:hAnsi="Times New Roman"/>
          <w:color w:val="000000"/>
          <w:sz w:val="24"/>
          <w:szCs w:val="24"/>
          <w:lang w:eastAsia="lv-LV"/>
        </w:rPr>
        <w:t xml:space="preserve">the </w:t>
      </w:r>
      <w:r w:rsidRPr="00236568">
        <w:rPr>
          <w:rFonts w:ascii="Times New Roman" w:hAnsi="Times New Roman"/>
          <w:color w:val="000000"/>
          <w:sz w:val="24"/>
          <w:szCs w:val="24"/>
          <w:lang w:eastAsia="lv-LV"/>
        </w:rPr>
        <w:t xml:space="preserve">Latvian financial sector continue to improve, including bank profits, operational efficiency, return on equity, while capitalization and liquidity of banks </w:t>
      </w:r>
      <w:proofErr w:type="gramStart"/>
      <w:r w:rsidRPr="00236568">
        <w:rPr>
          <w:rFonts w:ascii="Times New Roman" w:hAnsi="Times New Roman"/>
          <w:color w:val="000000"/>
          <w:sz w:val="24"/>
          <w:szCs w:val="24"/>
          <w:lang w:eastAsia="lv-LV"/>
        </w:rPr>
        <w:t>is maintained</w:t>
      </w:r>
      <w:proofErr w:type="gramEnd"/>
      <w:r w:rsidRPr="00236568">
        <w:rPr>
          <w:rFonts w:ascii="Times New Roman" w:hAnsi="Times New Roman"/>
          <w:color w:val="000000"/>
          <w:sz w:val="24"/>
          <w:szCs w:val="24"/>
          <w:lang w:eastAsia="lv-LV"/>
        </w:rPr>
        <w:t xml:space="preserve"> at high levels. In the environment of moderate economic growth, the domestic borrowers' creditworthiness and </w:t>
      </w:r>
      <w:proofErr w:type="gramStart"/>
      <w:r w:rsidRPr="00236568">
        <w:rPr>
          <w:rFonts w:ascii="Times New Roman" w:hAnsi="Times New Roman"/>
          <w:color w:val="000000"/>
          <w:sz w:val="24"/>
          <w:szCs w:val="24"/>
          <w:lang w:eastAsia="lv-LV"/>
        </w:rPr>
        <w:t>credit</w:t>
      </w:r>
      <w:proofErr w:type="gramEnd"/>
      <w:r w:rsidRPr="00236568">
        <w:rPr>
          <w:rFonts w:ascii="Times New Roman" w:hAnsi="Times New Roman"/>
          <w:color w:val="000000"/>
          <w:sz w:val="24"/>
          <w:szCs w:val="24"/>
          <w:lang w:eastAsia="lv-LV"/>
        </w:rPr>
        <w:t xml:space="preserve"> quality of the loan portfolio is gradually improving. At the same time loans to </w:t>
      </w:r>
      <w:r w:rsidR="009E3C5B" w:rsidRPr="00236568">
        <w:rPr>
          <w:rFonts w:ascii="Times New Roman" w:hAnsi="Times New Roman"/>
          <w:color w:val="000000"/>
          <w:sz w:val="24"/>
          <w:szCs w:val="24"/>
          <w:lang w:eastAsia="lv-LV"/>
        </w:rPr>
        <w:t>domestic client</w:t>
      </w:r>
      <w:r w:rsidRPr="00236568">
        <w:rPr>
          <w:rFonts w:ascii="Times New Roman" w:hAnsi="Times New Roman"/>
          <w:color w:val="000000"/>
          <w:sz w:val="24"/>
          <w:szCs w:val="24"/>
          <w:lang w:eastAsia="lv-LV"/>
        </w:rPr>
        <w:t xml:space="preserve">s increased in the </w:t>
      </w:r>
      <w:r w:rsidR="00137C71" w:rsidRPr="00236568">
        <w:rPr>
          <w:rFonts w:ascii="Times New Roman" w:hAnsi="Times New Roman"/>
          <w:color w:val="000000"/>
          <w:sz w:val="24"/>
          <w:szCs w:val="24"/>
          <w:lang w:eastAsia="lv-LV"/>
        </w:rPr>
        <w:t>2</w:t>
      </w:r>
      <w:r w:rsidR="00137C71" w:rsidRPr="00236568">
        <w:rPr>
          <w:rFonts w:ascii="Times New Roman" w:hAnsi="Times New Roman"/>
          <w:color w:val="000000"/>
          <w:sz w:val="24"/>
          <w:szCs w:val="24"/>
          <w:vertAlign w:val="superscript"/>
          <w:lang w:eastAsia="lv-LV"/>
        </w:rPr>
        <w:t>nd</w:t>
      </w:r>
      <w:r w:rsidR="00137C71" w:rsidRPr="00236568">
        <w:rPr>
          <w:rFonts w:ascii="Times New Roman" w:hAnsi="Times New Roman"/>
          <w:color w:val="000000"/>
          <w:sz w:val="24"/>
          <w:szCs w:val="24"/>
          <w:lang w:eastAsia="lv-LV"/>
        </w:rPr>
        <w:t xml:space="preserve"> and 3</w:t>
      </w:r>
      <w:r w:rsidR="00137C71" w:rsidRPr="00236568">
        <w:rPr>
          <w:rFonts w:ascii="Times New Roman" w:hAnsi="Times New Roman"/>
          <w:color w:val="000000"/>
          <w:sz w:val="24"/>
          <w:szCs w:val="24"/>
          <w:vertAlign w:val="superscript"/>
          <w:lang w:eastAsia="lv-LV"/>
        </w:rPr>
        <w:t>rd</w:t>
      </w:r>
      <w:r w:rsidR="00137C71" w:rsidRPr="00236568">
        <w:rPr>
          <w:rFonts w:ascii="Times New Roman" w:hAnsi="Times New Roman"/>
          <w:color w:val="000000"/>
          <w:sz w:val="24"/>
          <w:szCs w:val="24"/>
          <w:lang w:eastAsia="lv-LV"/>
        </w:rPr>
        <w:t xml:space="preserve"> quarter</w:t>
      </w:r>
      <w:r w:rsidRPr="00236568">
        <w:rPr>
          <w:rFonts w:ascii="Times New Roman" w:hAnsi="Times New Roman"/>
          <w:color w:val="000000"/>
          <w:sz w:val="24"/>
          <w:szCs w:val="24"/>
          <w:lang w:eastAsia="lv-LV"/>
        </w:rPr>
        <w:t xml:space="preserve"> of 2016. Of new loans granted to </w:t>
      </w:r>
      <w:r w:rsidR="009E3C5B" w:rsidRPr="00236568">
        <w:rPr>
          <w:rFonts w:ascii="Times New Roman" w:hAnsi="Times New Roman"/>
          <w:color w:val="000000"/>
          <w:sz w:val="24"/>
          <w:szCs w:val="24"/>
          <w:lang w:eastAsia="lv-LV"/>
        </w:rPr>
        <w:t>domestic client</w:t>
      </w:r>
      <w:r w:rsidRPr="00236568">
        <w:rPr>
          <w:rFonts w:ascii="Times New Roman" w:hAnsi="Times New Roman"/>
          <w:color w:val="000000"/>
          <w:sz w:val="24"/>
          <w:szCs w:val="24"/>
          <w:lang w:eastAsia="lv-LV"/>
        </w:rPr>
        <w:t xml:space="preserve"> companies exceeds the written-off and repaid loans the volume of credit in the first half of the year. Loans increased significantly in the financial, transportation and storage, real estate and agricultural sectors. Although new loans to </w:t>
      </w:r>
      <w:r w:rsidR="009E3C5B" w:rsidRPr="00236568">
        <w:rPr>
          <w:rFonts w:ascii="Times New Roman" w:hAnsi="Times New Roman"/>
          <w:color w:val="000000"/>
          <w:sz w:val="24"/>
          <w:szCs w:val="24"/>
          <w:lang w:eastAsia="lv-LV"/>
        </w:rPr>
        <w:t>domestic client</w:t>
      </w:r>
      <w:r w:rsidRPr="00236568">
        <w:rPr>
          <w:rFonts w:ascii="Times New Roman" w:hAnsi="Times New Roman"/>
          <w:color w:val="000000"/>
          <w:sz w:val="24"/>
          <w:szCs w:val="24"/>
          <w:lang w:eastAsia="lv-LV"/>
        </w:rPr>
        <w:t xml:space="preserve"> households are growing rapidly, the household loan portfolio continued to shrink in the </w:t>
      </w:r>
      <w:r w:rsidR="00137C71" w:rsidRPr="00236568">
        <w:rPr>
          <w:rFonts w:ascii="Times New Roman" w:hAnsi="Times New Roman"/>
          <w:color w:val="000000"/>
          <w:sz w:val="24"/>
          <w:szCs w:val="24"/>
          <w:lang w:eastAsia="lv-LV"/>
        </w:rPr>
        <w:t xml:space="preserve">first </w:t>
      </w:r>
      <w:r w:rsidRPr="00236568">
        <w:rPr>
          <w:rFonts w:ascii="Times New Roman" w:hAnsi="Times New Roman"/>
          <w:color w:val="000000"/>
          <w:sz w:val="24"/>
          <w:szCs w:val="24"/>
          <w:lang w:eastAsia="lv-LV"/>
        </w:rPr>
        <w:t>half of 2016.</w:t>
      </w:r>
    </w:p>
    <w:p w14:paraId="49F282F4" w14:textId="5F20EC14" w:rsidR="00B60D4C" w:rsidRPr="00236568" w:rsidRDefault="00B60D4C" w:rsidP="00BF7917">
      <w:pPr>
        <w:spacing w:before="100" w:beforeAutospacing="1" w:after="100" w:afterAutospacing="1"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current external macro-financial environment is </w:t>
      </w:r>
      <w:r w:rsidR="00FF0642" w:rsidRPr="00236568">
        <w:rPr>
          <w:rFonts w:ascii="Times New Roman" w:hAnsi="Times New Roman"/>
          <w:color w:val="000000"/>
          <w:sz w:val="24"/>
          <w:szCs w:val="24"/>
          <w:lang w:eastAsia="lv-LV"/>
        </w:rPr>
        <w:t>not supportive</w:t>
      </w:r>
      <w:r w:rsidRPr="00236568">
        <w:rPr>
          <w:rFonts w:ascii="Times New Roman" w:hAnsi="Times New Roman"/>
          <w:color w:val="000000"/>
          <w:sz w:val="24"/>
          <w:szCs w:val="24"/>
          <w:lang w:eastAsia="lv-LV"/>
        </w:rPr>
        <w:t xml:space="preserve">, </w:t>
      </w:r>
      <w:r w:rsidR="00FF0642" w:rsidRPr="00236568">
        <w:rPr>
          <w:rFonts w:ascii="Times New Roman" w:hAnsi="Times New Roman"/>
          <w:color w:val="000000"/>
          <w:sz w:val="24"/>
          <w:szCs w:val="24"/>
          <w:lang w:eastAsia="lv-LV"/>
        </w:rPr>
        <w:t xml:space="preserve">there is </w:t>
      </w:r>
      <w:r w:rsidRPr="00236568">
        <w:rPr>
          <w:rFonts w:ascii="Times New Roman" w:hAnsi="Times New Roman"/>
          <w:color w:val="000000"/>
          <w:sz w:val="24"/>
          <w:szCs w:val="24"/>
          <w:lang w:eastAsia="lv-LV"/>
        </w:rPr>
        <w:t xml:space="preserve">slowdown of global economic </w:t>
      </w:r>
      <w:r w:rsidR="00105976" w:rsidRPr="00236568">
        <w:rPr>
          <w:rFonts w:ascii="Times New Roman" w:hAnsi="Times New Roman"/>
          <w:color w:val="000000"/>
          <w:sz w:val="24"/>
          <w:szCs w:val="24"/>
          <w:lang w:eastAsia="lv-LV"/>
        </w:rPr>
        <w:t>growth that</w:t>
      </w:r>
      <w:r w:rsidR="00FF0642" w:rsidRPr="00236568">
        <w:rPr>
          <w:rFonts w:ascii="Times New Roman" w:hAnsi="Times New Roman"/>
          <w:color w:val="000000"/>
          <w:sz w:val="24"/>
          <w:szCs w:val="24"/>
          <w:lang w:eastAsia="lv-LV"/>
        </w:rPr>
        <w:t xml:space="preserve"> </w:t>
      </w:r>
      <w:proofErr w:type="gramStart"/>
      <w:r w:rsidR="00FF0642" w:rsidRPr="00236568">
        <w:rPr>
          <w:rFonts w:ascii="Times New Roman" w:hAnsi="Times New Roman"/>
          <w:color w:val="000000"/>
          <w:sz w:val="24"/>
          <w:szCs w:val="24"/>
          <w:lang w:eastAsia="lv-LV"/>
        </w:rPr>
        <w:t>is exacerbated</w:t>
      </w:r>
      <w:proofErr w:type="gramEnd"/>
      <w:r w:rsidR="00FF0642" w:rsidRPr="00236568">
        <w:rPr>
          <w:rFonts w:ascii="Times New Roman" w:hAnsi="Times New Roman"/>
          <w:color w:val="000000"/>
          <w:sz w:val="24"/>
          <w:szCs w:val="24"/>
          <w:lang w:eastAsia="lv-LV"/>
        </w:rPr>
        <w:t xml:space="preserve"> by </w:t>
      </w:r>
      <w:r w:rsidR="003D7902" w:rsidRPr="00236568">
        <w:rPr>
          <w:rFonts w:ascii="Times New Roman" w:hAnsi="Times New Roman"/>
          <w:color w:val="000000"/>
          <w:sz w:val="24"/>
          <w:szCs w:val="24"/>
          <w:lang w:eastAsia="lv-LV"/>
        </w:rPr>
        <w:t xml:space="preserve">geo-political situation, for instance, </w:t>
      </w:r>
      <w:proofErr w:type="spellStart"/>
      <w:r w:rsidR="003D7902" w:rsidRPr="00236568">
        <w:rPr>
          <w:rFonts w:ascii="Times New Roman" w:hAnsi="Times New Roman"/>
          <w:color w:val="000000"/>
          <w:sz w:val="24"/>
          <w:szCs w:val="24"/>
          <w:lang w:eastAsia="lv-LV"/>
        </w:rPr>
        <w:t>Brexit</w:t>
      </w:r>
      <w:proofErr w:type="spellEnd"/>
      <w:r w:rsidR="003D7902" w:rsidRPr="00236568">
        <w:rPr>
          <w:rFonts w:ascii="Times New Roman" w:hAnsi="Times New Roman"/>
          <w:color w:val="000000"/>
          <w:sz w:val="24"/>
          <w:szCs w:val="24"/>
          <w:lang w:eastAsia="lv-LV"/>
        </w:rPr>
        <w:t xml:space="preserve"> and some uncertainty related to the outcomes of US presidential elections</w:t>
      </w:r>
      <w:r w:rsidR="00FF0642"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w:t>
      </w:r>
      <w:r w:rsidR="003D7902" w:rsidRPr="00236568">
        <w:rPr>
          <w:rFonts w:ascii="Times New Roman" w:hAnsi="Times New Roman"/>
          <w:color w:val="000000"/>
          <w:sz w:val="24"/>
          <w:szCs w:val="24"/>
          <w:lang w:eastAsia="lv-LV"/>
        </w:rPr>
        <w:t xml:space="preserve">In addition, the economic recovery of the Euro area is still unstable. The indicators of growth, employment and investment are still lagging. There is still significant macroeconomic instability and general risks in the euro area and the EU as whole. The legacy of financial </w:t>
      </w:r>
      <w:r w:rsidR="00C84BD6" w:rsidRPr="00236568">
        <w:rPr>
          <w:rFonts w:ascii="Times New Roman" w:hAnsi="Times New Roman"/>
          <w:color w:val="000000"/>
          <w:sz w:val="24"/>
          <w:szCs w:val="24"/>
          <w:lang w:eastAsia="lv-LV"/>
        </w:rPr>
        <w:t>crisis is still experienced, and its impact on social policies, significant public and private sector debt, high levels of non-performing loans</w:t>
      </w:r>
      <w:r w:rsidR="00CD50BE" w:rsidRPr="00236568">
        <w:rPr>
          <w:rFonts w:ascii="Times New Roman" w:hAnsi="Times New Roman"/>
          <w:color w:val="000000"/>
          <w:sz w:val="24"/>
          <w:szCs w:val="24"/>
          <w:lang w:eastAsia="lv-LV"/>
        </w:rPr>
        <w:t xml:space="preserve"> (NPL)</w:t>
      </w:r>
      <w:r w:rsidR="00C84BD6" w:rsidRPr="00236568">
        <w:rPr>
          <w:rFonts w:ascii="Times New Roman" w:hAnsi="Times New Roman"/>
          <w:color w:val="000000"/>
          <w:sz w:val="24"/>
          <w:szCs w:val="24"/>
          <w:lang w:eastAsia="lv-LV"/>
        </w:rPr>
        <w:t xml:space="preserve">, that has </w:t>
      </w:r>
      <w:r w:rsidR="00CD50BE" w:rsidRPr="00236568">
        <w:rPr>
          <w:rFonts w:ascii="Times New Roman" w:hAnsi="Times New Roman"/>
          <w:color w:val="000000"/>
          <w:sz w:val="24"/>
          <w:szCs w:val="24"/>
          <w:lang w:eastAsia="lv-LV"/>
        </w:rPr>
        <w:t xml:space="preserve">initiated discussions on the EU level measures to support clean-up of banks from NPLs. </w:t>
      </w:r>
      <w:proofErr w:type="gramStart"/>
      <w:r w:rsidRPr="00236568">
        <w:rPr>
          <w:rFonts w:ascii="Times New Roman" w:hAnsi="Times New Roman"/>
          <w:color w:val="000000"/>
          <w:sz w:val="24"/>
          <w:szCs w:val="24"/>
          <w:lang w:eastAsia="lv-LV"/>
        </w:rPr>
        <w:t>Also</w:t>
      </w:r>
      <w:proofErr w:type="gramEnd"/>
      <w:r w:rsidRPr="00236568">
        <w:rPr>
          <w:rFonts w:ascii="Times New Roman" w:hAnsi="Times New Roman"/>
          <w:color w:val="000000"/>
          <w:sz w:val="24"/>
          <w:szCs w:val="24"/>
          <w:lang w:eastAsia="lv-LV"/>
        </w:rPr>
        <w:t>, certain euro</w:t>
      </w:r>
      <w:r w:rsidR="0062013E" w:rsidRPr="00236568">
        <w:rPr>
          <w:rFonts w:ascii="Times New Roman" w:hAnsi="Times New Roman"/>
          <w:color w:val="000000"/>
          <w:sz w:val="24"/>
          <w:szCs w:val="24"/>
          <w:lang w:eastAsia="lv-LV"/>
        </w:rPr>
        <w:t xml:space="preserve"> area</w:t>
      </w:r>
      <w:r w:rsidRPr="00236568">
        <w:rPr>
          <w:rFonts w:ascii="Times New Roman" w:hAnsi="Times New Roman"/>
          <w:color w:val="000000"/>
          <w:sz w:val="24"/>
          <w:szCs w:val="24"/>
          <w:lang w:eastAsia="lv-LV"/>
        </w:rPr>
        <w:t xml:space="preserve"> countries' debt level (Greece, Spain, Portugal, etc.) poses risks to growth. In addition to the slow development of the economy in some European Union countries concerns remain about the high proportion of bad loans in banks' balance sheets, which raises discussion on the need to introduce harmonized policies to promote effective restructuring of bad assets in banks.</w:t>
      </w:r>
    </w:p>
    <w:p w14:paraId="69FFCB0B" w14:textId="15EF88C1" w:rsidR="00B60D4C" w:rsidRPr="00236568" w:rsidRDefault="00B60D4C">
      <w:pPr>
        <w:spacing w:before="100" w:beforeAutospacing="1" w:after="100" w:afterAutospacing="1"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challenge for the further development of the financial sector is the rapid technological development, which </w:t>
      </w:r>
      <w:r w:rsidR="007825BE" w:rsidRPr="00236568">
        <w:rPr>
          <w:rFonts w:ascii="Times New Roman" w:hAnsi="Times New Roman"/>
          <w:color w:val="000000"/>
          <w:sz w:val="24"/>
          <w:szCs w:val="24"/>
          <w:lang w:eastAsia="lv-LV"/>
        </w:rPr>
        <w:t>could</w:t>
      </w:r>
      <w:r w:rsidRPr="00236568">
        <w:rPr>
          <w:rFonts w:ascii="Times New Roman" w:hAnsi="Times New Roman"/>
          <w:color w:val="000000"/>
          <w:sz w:val="24"/>
          <w:szCs w:val="24"/>
          <w:lang w:eastAsia="lv-LV"/>
        </w:rPr>
        <w:t xml:space="preserve"> redirect financial service providers from traditional services to </w:t>
      </w:r>
      <w:r w:rsidR="00B23238" w:rsidRPr="00236568">
        <w:rPr>
          <w:rFonts w:ascii="Times New Roman" w:hAnsi="Times New Roman"/>
          <w:color w:val="000000"/>
          <w:sz w:val="24"/>
          <w:szCs w:val="24"/>
          <w:lang w:eastAsia="lv-LV"/>
        </w:rPr>
        <w:t xml:space="preserve">the </w:t>
      </w:r>
      <w:r w:rsidRPr="00236568">
        <w:rPr>
          <w:rFonts w:ascii="Times New Roman" w:hAnsi="Times New Roman"/>
          <w:color w:val="000000"/>
          <w:sz w:val="24"/>
          <w:szCs w:val="24"/>
          <w:lang w:eastAsia="lv-LV"/>
        </w:rPr>
        <w:t>new players in the financial services industry</w:t>
      </w:r>
      <w:r w:rsidR="00105976" w:rsidRPr="00236568">
        <w:rPr>
          <w:rFonts w:ascii="Times New Roman" w:hAnsi="Times New Roman"/>
          <w:color w:val="000000"/>
          <w:sz w:val="24"/>
          <w:szCs w:val="24"/>
          <w:lang w:eastAsia="lv-LV"/>
        </w:rPr>
        <w:t xml:space="preserve">, </w:t>
      </w:r>
      <w:r w:rsidR="007825BE" w:rsidRPr="00236568">
        <w:rPr>
          <w:rFonts w:ascii="Times New Roman" w:hAnsi="Times New Roman"/>
          <w:color w:val="000000"/>
          <w:sz w:val="24"/>
          <w:szCs w:val="24"/>
          <w:lang w:eastAsia="lv-LV"/>
        </w:rPr>
        <w:t xml:space="preserve">as well as </w:t>
      </w:r>
      <w:r w:rsidR="00B23238" w:rsidRPr="00236568">
        <w:rPr>
          <w:rFonts w:ascii="Times New Roman" w:hAnsi="Times New Roman"/>
          <w:color w:val="000000"/>
          <w:sz w:val="24"/>
          <w:szCs w:val="24"/>
          <w:lang w:eastAsia="lv-LV"/>
        </w:rPr>
        <w:t xml:space="preserve">will introduce new innovative services in </w:t>
      </w:r>
      <w:r w:rsidR="007825BE" w:rsidRPr="00236568">
        <w:rPr>
          <w:rFonts w:ascii="Times New Roman" w:hAnsi="Times New Roman"/>
          <w:color w:val="000000"/>
          <w:sz w:val="24"/>
          <w:szCs w:val="24"/>
          <w:lang w:eastAsia="lv-LV"/>
        </w:rPr>
        <w:t>traditional financial companies</w:t>
      </w:r>
      <w:r w:rsidRPr="00236568">
        <w:rPr>
          <w:rFonts w:ascii="Times New Roman" w:hAnsi="Times New Roman"/>
          <w:color w:val="000000"/>
          <w:sz w:val="24"/>
          <w:szCs w:val="24"/>
          <w:lang w:eastAsia="lv-LV"/>
        </w:rPr>
        <w:t>. Such a tendency breaks down borders and allow</w:t>
      </w:r>
      <w:r w:rsidR="009E3C5B" w:rsidRPr="00236568">
        <w:rPr>
          <w:rFonts w:ascii="Times New Roman" w:hAnsi="Times New Roman"/>
          <w:color w:val="000000"/>
          <w:sz w:val="24"/>
          <w:szCs w:val="24"/>
          <w:lang w:eastAsia="lv-LV"/>
        </w:rPr>
        <w:t>s</w:t>
      </w:r>
      <w:r w:rsidRPr="00236568">
        <w:rPr>
          <w:rFonts w:ascii="Times New Roman" w:hAnsi="Times New Roman"/>
          <w:color w:val="000000"/>
          <w:sz w:val="24"/>
          <w:szCs w:val="24"/>
          <w:lang w:eastAsia="lv-LV"/>
        </w:rPr>
        <w:t xml:space="preserve"> </w:t>
      </w:r>
      <w:r w:rsidR="00B23238" w:rsidRPr="00236568">
        <w:rPr>
          <w:rFonts w:ascii="Times New Roman" w:hAnsi="Times New Roman"/>
          <w:color w:val="000000"/>
          <w:sz w:val="24"/>
          <w:szCs w:val="24"/>
          <w:lang w:eastAsia="lv-LV"/>
        </w:rPr>
        <w:t xml:space="preserve">customers to </w:t>
      </w:r>
      <w:r w:rsidRPr="00236568">
        <w:rPr>
          <w:rFonts w:ascii="Times New Roman" w:hAnsi="Times New Roman"/>
          <w:color w:val="000000"/>
          <w:sz w:val="24"/>
          <w:szCs w:val="24"/>
          <w:lang w:eastAsia="lv-LV"/>
        </w:rPr>
        <w:t xml:space="preserve">use of services provided by other countries, thereby creating competitive pressure </w:t>
      </w:r>
      <w:r w:rsidR="00B23238" w:rsidRPr="00236568">
        <w:rPr>
          <w:rFonts w:ascii="Times New Roman" w:hAnsi="Times New Roman"/>
          <w:color w:val="000000"/>
          <w:sz w:val="24"/>
          <w:szCs w:val="24"/>
          <w:lang w:eastAsia="lv-LV"/>
        </w:rPr>
        <w:t xml:space="preserve">to traditional financial services </w:t>
      </w:r>
      <w:r w:rsidRPr="00236568">
        <w:rPr>
          <w:rFonts w:ascii="Times New Roman" w:hAnsi="Times New Roman"/>
          <w:color w:val="000000"/>
          <w:sz w:val="24"/>
          <w:szCs w:val="24"/>
          <w:lang w:eastAsia="lv-LV"/>
        </w:rPr>
        <w:t xml:space="preserve">not only from </w:t>
      </w:r>
      <w:r w:rsidR="00B23238" w:rsidRPr="00236568">
        <w:rPr>
          <w:rFonts w:ascii="Times New Roman" w:hAnsi="Times New Roman"/>
          <w:color w:val="000000"/>
          <w:sz w:val="24"/>
          <w:szCs w:val="24"/>
          <w:lang w:eastAsia="lv-LV"/>
        </w:rPr>
        <w:t xml:space="preserve">domestic </w:t>
      </w:r>
      <w:proofErr w:type="spellStart"/>
      <w:r w:rsidR="00B23238" w:rsidRPr="00236568">
        <w:rPr>
          <w:rFonts w:ascii="Times New Roman" w:hAnsi="Times New Roman"/>
          <w:i/>
          <w:color w:val="000000"/>
          <w:sz w:val="24"/>
          <w:szCs w:val="24"/>
          <w:lang w:eastAsia="lv-LV"/>
        </w:rPr>
        <w:t>FinTech</w:t>
      </w:r>
      <w:proofErr w:type="spellEnd"/>
      <w:r w:rsidR="00B23238" w:rsidRPr="00236568">
        <w:rPr>
          <w:rFonts w:ascii="Times New Roman" w:hAnsi="Times New Roman"/>
          <w:color w:val="000000"/>
          <w:sz w:val="24"/>
          <w:szCs w:val="24"/>
          <w:lang w:eastAsia="lv-LV"/>
        </w:rPr>
        <w:t xml:space="preserve"> companies</w:t>
      </w:r>
      <w:r w:rsidRPr="00236568">
        <w:rPr>
          <w:rFonts w:ascii="Times New Roman" w:hAnsi="Times New Roman"/>
          <w:color w:val="000000"/>
          <w:sz w:val="24"/>
          <w:szCs w:val="24"/>
          <w:lang w:eastAsia="lv-LV"/>
        </w:rPr>
        <w:t xml:space="preserve">, but also from </w:t>
      </w:r>
      <w:r w:rsidR="00B23238" w:rsidRPr="00236568">
        <w:rPr>
          <w:rFonts w:ascii="Times New Roman" w:hAnsi="Times New Roman"/>
          <w:color w:val="000000"/>
          <w:sz w:val="24"/>
          <w:szCs w:val="24"/>
          <w:lang w:eastAsia="lv-LV"/>
        </w:rPr>
        <w:t>foreign</w:t>
      </w:r>
      <w:r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lastRenderedPageBreak/>
        <w:t>providers. In th</w:t>
      </w:r>
      <w:r w:rsidR="00B23238" w:rsidRPr="00236568">
        <w:rPr>
          <w:rFonts w:ascii="Times New Roman" w:hAnsi="Times New Roman"/>
          <w:color w:val="000000"/>
          <w:sz w:val="24"/>
          <w:szCs w:val="24"/>
          <w:lang w:eastAsia="lv-LV"/>
        </w:rPr>
        <w:t xml:space="preserve">e rapidly </w:t>
      </w:r>
      <w:r w:rsidR="001C2AF8" w:rsidRPr="00236568">
        <w:rPr>
          <w:rFonts w:ascii="Times New Roman" w:hAnsi="Times New Roman"/>
          <w:color w:val="000000"/>
          <w:sz w:val="24"/>
          <w:szCs w:val="24"/>
          <w:lang w:eastAsia="lv-LV"/>
        </w:rPr>
        <w:t xml:space="preserve">changing </w:t>
      </w:r>
      <w:r w:rsidRPr="00236568">
        <w:rPr>
          <w:rFonts w:ascii="Times New Roman" w:hAnsi="Times New Roman"/>
          <w:color w:val="000000"/>
          <w:sz w:val="24"/>
          <w:szCs w:val="24"/>
          <w:lang w:eastAsia="lv-LV"/>
        </w:rPr>
        <w:t xml:space="preserve">environment, the financial sector must be able to adapt </w:t>
      </w:r>
      <w:r w:rsidR="001C2AF8" w:rsidRPr="00236568">
        <w:rPr>
          <w:rFonts w:ascii="Times New Roman" w:hAnsi="Times New Roman"/>
          <w:color w:val="000000"/>
          <w:sz w:val="24"/>
          <w:szCs w:val="24"/>
          <w:lang w:eastAsia="lv-LV"/>
        </w:rPr>
        <w:t xml:space="preserve">successfully </w:t>
      </w:r>
      <w:r w:rsidRPr="00236568">
        <w:rPr>
          <w:rFonts w:ascii="Times New Roman" w:hAnsi="Times New Roman"/>
          <w:color w:val="000000"/>
          <w:sz w:val="24"/>
          <w:szCs w:val="24"/>
          <w:lang w:eastAsia="lv-LV"/>
        </w:rPr>
        <w:t>to the external environment, competitive challenges, to continue to develop and contribute to sustainable economic development</w:t>
      </w:r>
      <w:r w:rsidR="00E87147" w:rsidRPr="00236568">
        <w:rPr>
          <w:rFonts w:ascii="Times New Roman" w:hAnsi="Times New Roman"/>
          <w:color w:val="000000"/>
          <w:sz w:val="24"/>
          <w:szCs w:val="24"/>
          <w:lang w:eastAsia="lv-LV"/>
        </w:rPr>
        <w:t xml:space="preserve"> and to maintain the leader positions in the Baltic region</w:t>
      </w:r>
      <w:r w:rsidRPr="00236568">
        <w:rPr>
          <w:rFonts w:ascii="Times New Roman" w:hAnsi="Times New Roman"/>
          <w:color w:val="000000"/>
          <w:sz w:val="24"/>
          <w:szCs w:val="24"/>
          <w:lang w:eastAsia="lv-LV"/>
        </w:rPr>
        <w:t>. If unable to adapt to necessary changes (decreasing profitability, increased competition, more stringent regulation), the Latvian financial sector during this planning period may lose international competitiveness, which can lead to a reduction in the financial sector's contribution to the economy in the short and long-term development, reducing the economic growth potential, and also reducing the well-paid professional employment.</w:t>
      </w:r>
    </w:p>
    <w:p w14:paraId="151D48BB" w14:textId="77777777" w:rsidR="00B60D4C" w:rsidRPr="00236568" w:rsidRDefault="00B60D4C">
      <w:pPr>
        <w:spacing w:before="100" w:beforeAutospacing="1" w:after="100" w:afterAutospacing="1"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strengths and weaknesses of Latvian financial sector, as well as the external environment and opportunities and threats </w:t>
      </w:r>
      <w:proofErr w:type="gramStart"/>
      <w:r w:rsidRPr="00236568">
        <w:rPr>
          <w:rFonts w:ascii="Times New Roman" w:hAnsi="Times New Roman"/>
          <w:color w:val="000000"/>
          <w:sz w:val="24"/>
          <w:szCs w:val="24"/>
          <w:lang w:eastAsia="lv-LV"/>
        </w:rPr>
        <w:t>are summarized</w:t>
      </w:r>
      <w:proofErr w:type="gramEnd"/>
      <w:r w:rsidRPr="00236568">
        <w:rPr>
          <w:rFonts w:ascii="Times New Roman" w:hAnsi="Times New Roman"/>
          <w:color w:val="000000"/>
          <w:sz w:val="24"/>
          <w:szCs w:val="24"/>
          <w:lang w:eastAsia="lv-LV"/>
        </w:rPr>
        <w:t xml:space="preserv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2"/>
      </w:tblGrid>
      <w:tr w:rsidR="00B60D4C" w:rsidRPr="00236568" w14:paraId="1E92008C" w14:textId="77777777" w:rsidTr="00236568">
        <w:tc>
          <w:tcPr>
            <w:tcW w:w="4643" w:type="dxa"/>
            <w:shd w:val="clear" w:color="auto" w:fill="F2F2F2"/>
          </w:tcPr>
          <w:p w14:paraId="1F7BD858" w14:textId="77777777" w:rsidR="00B60D4C" w:rsidRPr="00236568" w:rsidRDefault="00B60D4C">
            <w:pPr>
              <w:pStyle w:val="ListParagraph"/>
              <w:spacing w:after="120" w:line="240" w:lineRule="auto"/>
              <w:jc w:val="center"/>
              <w:rPr>
                <w:rFonts w:ascii="Times New Roman" w:hAnsi="Times New Roman"/>
                <w:b/>
                <w:sz w:val="24"/>
                <w:szCs w:val="24"/>
                <w:lang w:val="en-GB"/>
              </w:rPr>
            </w:pPr>
            <w:r w:rsidRPr="00236568">
              <w:rPr>
                <w:rFonts w:ascii="Times New Roman" w:hAnsi="Times New Roman"/>
                <w:b/>
                <w:sz w:val="24"/>
                <w:szCs w:val="24"/>
                <w:lang w:val="en-GB"/>
              </w:rPr>
              <w:t>Strengths</w:t>
            </w:r>
          </w:p>
        </w:tc>
        <w:tc>
          <w:tcPr>
            <w:tcW w:w="4644" w:type="dxa"/>
            <w:shd w:val="clear" w:color="auto" w:fill="F2F2F2"/>
          </w:tcPr>
          <w:p w14:paraId="6D277A76" w14:textId="77777777" w:rsidR="00B60D4C" w:rsidRPr="00236568" w:rsidRDefault="00B60D4C">
            <w:pPr>
              <w:pStyle w:val="ListParagraph"/>
              <w:spacing w:after="120" w:line="240" w:lineRule="auto"/>
              <w:jc w:val="center"/>
              <w:rPr>
                <w:rFonts w:ascii="Times New Roman" w:hAnsi="Times New Roman"/>
                <w:b/>
                <w:sz w:val="24"/>
                <w:szCs w:val="24"/>
                <w:lang w:val="en-GB"/>
              </w:rPr>
            </w:pPr>
            <w:r w:rsidRPr="00236568">
              <w:rPr>
                <w:rFonts w:ascii="Times New Roman" w:hAnsi="Times New Roman"/>
                <w:b/>
                <w:sz w:val="24"/>
                <w:szCs w:val="24"/>
                <w:lang w:val="en-GB"/>
              </w:rPr>
              <w:t>Weaknesses</w:t>
            </w:r>
          </w:p>
        </w:tc>
      </w:tr>
      <w:tr w:rsidR="00B60D4C" w:rsidRPr="00236568" w14:paraId="390B3F0B" w14:textId="77777777" w:rsidTr="00236568">
        <w:tc>
          <w:tcPr>
            <w:tcW w:w="4643" w:type="dxa"/>
          </w:tcPr>
          <w:p w14:paraId="622BC21D" w14:textId="2C4D59A4" w:rsidR="00B60D4C" w:rsidRPr="00236568" w:rsidRDefault="00B60D4C" w:rsidP="00595DDE">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Developed banking sector;</w:t>
            </w:r>
          </w:p>
          <w:p w14:paraId="43C2C8C6" w14:textId="0A11A3B7" w:rsidR="00B60D4C" w:rsidRPr="00236568" w:rsidRDefault="00B60D4C" w:rsidP="00BF7917">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Financial services exports account for a substantial share of the financial sector; there is experienced human resource working with international clients;</w:t>
            </w:r>
          </w:p>
          <w:p w14:paraId="229D1F89" w14:textId="258D6315"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Effective and modern interbank payment system;</w:t>
            </w:r>
          </w:p>
          <w:p w14:paraId="00CF88D0" w14:textId="0524BA24"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A rapidly evolving payment services and non-bank lender in the sector, including crowdfunding lending platform and other innovative services;</w:t>
            </w:r>
          </w:p>
          <w:p w14:paraId="34C05653" w14:textId="2E8D27EA"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Generated a substantial amount of resources 2nd pillar;</w:t>
            </w:r>
          </w:p>
          <w:p w14:paraId="51BC81EC" w14:textId="5160DF71"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Good capital market infrastructure;</w:t>
            </w:r>
          </w:p>
          <w:p w14:paraId="47D122EC" w14:textId="63D7C3D0"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The development of the government securities market;</w:t>
            </w:r>
          </w:p>
          <w:p w14:paraId="3D359459" w14:textId="7BE806D3"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Gradually increas</w:t>
            </w:r>
            <w:r w:rsidR="0062013E" w:rsidRPr="00236568">
              <w:rPr>
                <w:rFonts w:ascii="Times New Roman" w:hAnsi="Times New Roman"/>
                <w:sz w:val="24"/>
                <w:szCs w:val="24"/>
                <w:lang w:val="en-GB"/>
              </w:rPr>
              <w:t>ing</w:t>
            </w:r>
            <w:r w:rsidRPr="00236568">
              <w:rPr>
                <w:rFonts w:ascii="Times New Roman" w:hAnsi="Times New Roman"/>
                <w:sz w:val="24"/>
                <w:szCs w:val="24"/>
                <w:lang w:val="en-GB"/>
              </w:rPr>
              <w:t xml:space="preserve"> household savings rate;</w:t>
            </w:r>
          </w:p>
          <w:p w14:paraId="4B88E14A" w14:textId="7C75F545"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 xml:space="preserve">As a Member States of the EU, the </w:t>
            </w:r>
            <w:r w:rsidR="0062013E" w:rsidRPr="00236568">
              <w:rPr>
                <w:rFonts w:ascii="Times New Roman" w:hAnsi="Times New Roman"/>
                <w:sz w:val="24"/>
                <w:szCs w:val="24"/>
                <w:lang w:val="en-GB"/>
              </w:rPr>
              <w:t>e</w:t>
            </w:r>
            <w:r w:rsidR="003230BC" w:rsidRPr="00236568">
              <w:rPr>
                <w:rFonts w:ascii="Times New Roman" w:hAnsi="Times New Roman"/>
                <w:sz w:val="24"/>
                <w:szCs w:val="24"/>
                <w:lang w:val="en-GB"/>
              </w:rPr>
              <w:t xml:space="preserve">uro </w:t>
            </w:r>
            <w:r w:rsidR="0062013E" w:rsidRPr="00236568">
              <w:rPr>
                <w:rFonts w:ascii="Times New Roman" w:hAnsi="Times New Roman"/>
                <w:sz w:val="24"/>
                <w:szCs w:val="24"/>
                <w:lang w:val="en-GB"/>
              </w:rPr>
              <w:t>area</w:t>
            </w:r>
            <w:r w:rsidR="003230BC" w:rsidRPr="00236568">
              <w:rPr>
                <w:rFonts w:ascii="Times New Roman" w:hAnsi="Times New Roman"/>
                <w:sz w:val="24"/>
                <w:szCs w:val="24"/>
                <w:lang w:val="en-GB"/>
              </w:rPr>
              <w:t xml:space="preserve"> and </w:t>
            </w:r>
            <w:r w:rsidRPr="00236568">
              <w:rPr>
                <w:rFonts w:ascii="Times New Roman" w:hAnsi="Times New Roman"/>
                <w:sz w:val="24"/>
                <w:szCs w:val="24"/>
                <w:lang w:val="en-GB"/>
              </w:rPr>
              <w:t>the OECD, there is a commitment to ensure a high standard of economic policy and management;</w:t>
            </w:r>
          </w:p>
          <w:p w14:paraId="5D37AE3F" w14:textId="5504D443"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Simple and competitive tax system - 3rd place in the tax framework between OECD countries in 2016 Tax Competitiveness Index;</w:t>
            </w:r>
          </w:p>
          <w:p w14:paraId="3C2482F9" w14:textId="6A7FDE17" w:rsidR="00B60D4C"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Good communication infrastructure;</w:t>
            </w:r>
          </w:p>
          <w:p w14:paraId="5FC16D5C" w14:textId="5BEF368D" w:rsidR="00105976" w:rsidRPr="00236568" w:rsidRDefault="00B60D4C">
            <w:pPr>
              <w:pStyle w:val="ListParagraph"/>
              <w:numPr>
                <w:ilvl w:val="0"/>
                <w:numId w:val="7"/>
              </w:numPr>
              <w:spacing w:after="120" w:line="240" w:lineRule="auto"/>
              <w:ind w:left="425"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A flexible labour market</w:t>
            </w:r>
            <w:r w:rsidR="0062013E" w:rsidRPr="00236568">
              <w:rPr>
                <w:rFonts w:ascii="Times New Roman" w:hAnsi="Times New Roman"/>
                <w:sz w:val="24"/>
                <w:szCs w:val="24"/>
                <w:lang w:val="en-GB"/>
              </w:rPr>
              <w:t>.</w:t>
            </w:r>
          </w:p>
        </w:tc>
        <w:tc>
          <w:tcPr>
            <w:tcW w:w="4644" w:type="dxa"/>
          </w:tcPr>
          <w:p w14:paraId="1A8D59A3" w14:textId="1CF9D54F" w:rsidR="00B60D4C" w:rsidRPr="00236568" w:rsidRDefault="00B60D4C">
            <w:pPr>
              <w:pStyle w:val="ListParagraph"/>
              <w:numPr>
                <w:ilvl w:val="0"/>
                <w:numId w:val="7"/>
              </w:numPr>
              <w:spacing w:after="120" w:line="240" w:lineRule="auto"/>
              <w:ind w:left="459"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An underdeveloped capital market (low capitalization compared with other EU countries, lack of local investment vehicle for institutional investors);</w:t>
            </w:r>
          </w:p>
          <w:p w14:paraId="3BB47551" w14:textId="3E5FE14E" w:rsidR="00B60D4C" w:rsidRPr="00236568" w:rsidRDefault="00B60D4C">
            <w:pPr>
              <w:pStyle w:val="ListParagraph"/>
              <w:numPr>
                <w:ilvl w:val="0"/>
                <w:numId w:val="7"/>
              </w:numPr>
              <w:spacing w:after="120" w:line="240" w:lineRule="auto"/>
              <w:ind w:left="459"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Underdeveloped insurance market (compared with other EU countries, a very low amount of insurance premiums per capita);</w:t>
            </w:r>
          </w:p>
          <w:p w14:paraId="4FA43061" w14:textId="77777777" w:rsidR="00236568" w:rsidRPr="00236568" w:rsidRDefault="00B60D4C">
            <w:pPr>
              <w:pStyle w:val="ListParagraph"/>
              <w:numPr>
                <w:ilvl w:val="0"/>
                <w:numId w:val="7"/>
              </w:numPr>
              <w:spacing w:after="120" w:line="240" w:lineRule="auto"/>
              <w:ind w:left="459"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 xml:space="preserve">Historically negative </w:t>
            </w:r>
            <w:r w:rsidR="003230BC" w:rsidRPr="00236568">
              <w:rPr>
                <w:rFonts w:ascii="Times New Roman" w:hAnsi="Times New Roman"/>
                <w:sz w:val="24"/>
                <w:szCs w:val="24"/>
                <w:lang w:val="en-GB"/>
              </w:rPr>
              <w:t xml:space="preserve">opinion </w:t>
            </w:r>
            <w:r w:rsidR="00285897" w:rsidRPr="00236568">
              <w:rPr>
                <w:rFonts w:ascii="Times New Roman" w:hAnsi="Times New Roman"/>
                <w:sz w:val="24"/>
                <w:szCs w:val="24"/>
                <w:lang w:val="en-GB"/>
              </w:rPr>
              <w:t xml:space="preserve">on Latvian banks that is based on incidents when financial market participants were used </w:t>
            </w:r>
            <w:r w:rsidRPr="00236568">
              <w:rPr>
                <w:rFonts w:ascii="Times New Roman" w:hAnsi="Times New Roman"/>
                <w:sz w:val="24"/>
                <w:szCs w:val="24"/>
                <w:lang w:val="en-GB"/>
              </w:rPr>
              <w:t xml:space="preserve"> in money laundering</w:t>
            </w:r>
            <w:r w:rsidR="00285897" w:rsidRPr="00236568">
              <w:rPr>
                <w:rFonts w:ascii="Times New Roman" w:hAnsi="Times New Roman"/>
                <w:sz w:val="24"/>
                <w:szCs w:val="24"/>
                <w:lang w:val="en-GB"/>
              </w:rPr>
              <w:t xml:space="preserve"> activities; </w:t>
            </w:r>
          </w:p>
          <w:p w14:paraId="0E179066" w14:textId="0D0D9A47" w:rsidR="00285897" w:rsidRPr="00236568" w:rsidRDefault="00236568">
            <w:pPr>
              <w:pStyle w:val="ListParagraph"/>
              <w:numPr>
                <w:ilvl w:val="0"/>
                <w:numId w:val="7"/>
              </w:numPr>
              <w:spacing w:after="120" w:line="240" w:lineRule="auto"/>
              <w:ind w:left="459" w:hanging="357"/>
              <w:contextualSpacing w:val="0"/>
              <w:jc w:val="both"/>
              <w:rPr>
                <w:rFonts w:ascii="Times New Roman" w:hAnsi="Times New Roman"/>
                <w:sz w:val="24"/>
                <w:szCs w:val="24"/>
              </w:rPr>
            </w:pPr>
            <w:r w:rsidRPr="00236568">
              <w:rPr>
                <w:rFonts w:ascii="Times New Roman" w:hAnsi="Times New Roman"/>
                <w:sz w:val="24"/>
                <w:szCs w:val="24"/>
                <w:lang w:val="en-GB"/>
              </w:rPr>
              <w:t>Increased</w:t>
            </w:r>
            <w:r w:rsidR="00285897" w:rsidRPr="00236568">
              <w:rPr>
                <w:rFonts w:ascii="Times New Roman" w:hAnsi="Times New Roman"/>
                <w:sz w:val="24"/>
                <w:szCs w:val="24"/>
                <w:lang w:val="en-GB"/>
              </w:rPr>
              <w:t xml:space="preserve"> exposure to </w:t>
            </w:r>
            <w:r w:rsidR="00961BE3" w:rsidRPr="00236568">
              <w:rPr>
                <w:rFonts w:ascii="Times New Roman" w:hAnsi="Times New Roman"/>
                <w:sz w:val="24"/>
                <w:szCs w:val="24"/>
                <w:lang w:val="en-GB"/>
              </w:rPr>
              <w:t>anti-money laundering and terrorist financing (</w:t>
            </w:r>
            <w:r w:rsidR="00285897" w:rsidRPr="00236568">
              <w:rPr>
                <w:rFonts w:ascii="Times New Roman" w:hAnsi="Times New Roman"/>
                <w:sz w:val="24"/>
                <w:szCs w:val="24"/>
                <w:lang w:val="en-GB"/>
              </w:rPr>
              <w:t>AML/TF</w:t>
            </w:r>
            <w:r w:rsidR="00961BE3" w:rsidRPr="00236568">
              <w:rPr>
                <w:rFonts w:ascii="Times New Roman" w:hAnsi="Times New Roman"/>
                <w:sz w:val="24"/>
                <w:szCs w:val="24"/>
                <w:lang w:val="en-GB"/>
              </w:rPr>
              <w:t>)</w:t>
            </w:r>
            <w:r w:rsidR="00285897" w:rsidRPr="00236568">
              <w:rPr>
                <w:rFonts w:ascii="Times New Roman" w:hAnsi="Times New Roman"/>
                <w:sz w:val="24"/>
                <w:szCs w:val="24"/>
                <w:lang w:val="en-GB"/>
              </w:rPr>
              <w:t xml:space="preserve"> risks that presented a burden</w:t>
            </w:r>
            <w:r w:rsidR="00BB1F3D" w:rsidRPr="00236568">
              <w:rPr>
                <w:rFonts w:ascii="Times New Roman" w:hAnsi="Times New Roman"/>
                <w:sz w:val="24"/>
                <w:szCs w:val="24"/>
                <w:lang w:val="en-GB"/>
              </w:rPr>
              <w:t xml:space="preserve"> </w:t>
            </w:r>
            <w:r w:rsidR="006E4295" w:rsidRPr="00236568">
              <w:rPr>
                <w:rFonts w:ascii="Times New Roman" w:hAnsi="Times New Roman"/>
                <w:sz w:val="24"/>
                <w:szCs w:val="24"/>
                <w:lang w:val="en-GB"/>
              </w:rPr>
              <w:t xml:space="preserve">for </w:t>
            </w:r>
            <w:r w:rsidR="00BB1F3D" w:rsidRPr="00236568">
              <w:rPr>
                <w:rFonts w:ascii="Times New Roman" w:hAnsi="Times New Roman"/>
                <w:sz w:val="24"/>
                <w:szCs w:val="24"/>
                <w:lang w:val="en-GB"/>
              </w:rPr>
              <w:t>correspondent banking</w:t>
            </w:r>
            <w:r w:rsidR="006E4295" w:rsidRPr="00236568">
              <w:rPr>
                <w:rFonts w:ascii="Times New Roman" w:hAnsi="Times New Roman"/>
                <w:sz w:val="24"/>
                <w:szCs w:val="24"/>
                <w:lang w:val="en-GB"/>
              </w:rPr>
              <w:t xml:space="preserve"> relations</w:t>
            </w:r>
            <w:r w:rsidR="00BB1F3D" w:rsidRPr="00236568">
              <w:rPr>
                <w:rFonts w:ascii="Times New Roman" w:hAnsi="Times New Roman"/>
                <w:sz w:val="24"/>
                <w:szCs w:val="24"/>
                <w:lang w:val="en-GB"/>
              </w:rPr>
              <w:t xml:space="preserve"> with the leading international financial institution</w:t>
            </w:r>
            <w:r w:rsidR="0062013E" w:rsidRPr="00236568">
              <w:rPr>
                <w:rFonts w:ascii="Times New Roman" w:hAnsi="Times New Roman"/>
                <w:sz w:val="24"/>
                <w:szCs w:val="24"/>
                <w:lang w:val="en-GB"/>
              </w:rPr>
              <w:t>s</w:t>
            </w:r>
            <w:r w:rsidR="00BB1F3D" w:rsidRPr="00236568">
              <w:rPr>
                <w:rFonts w:ascii="Times New Roman" w:hAnsi="Times New Roman"/>
                <w:sz w:val="24"/>
                <w:szCs w:val="24"/>
                <w:lang w:val="en-GB"/>
              </w:rPr>
              <w:t xml:space="preserve"> in US dollar payment services.</w:t>
            </w:r>
          </w:p>
        </w:tc>
      </w:tr>
      <w:tr w:rsidR="00B60D4C" w:rsidRPr="00236568" w14:paraId="699F95D5" w14:textId="77777777" w:rsidTr="00236568">
        <w:tc>
          <w:tcPr>
            <w:tcW w:w="4643" w:type="dxa"/>
            <w:shd w:val="clear" w:color="auto" w:fill="F2F2F2"/>
          </w:tcPr>
          <w:p w14:paraId="7F7E665A" w14:textId="77777777" w:rsidR="00B60D4C" w:rsidRPr="00236568" w:rsidRDefault="00B60D4C" w:rsidP="00595DDE">
            <w:pPr>
              <w:spacing w:after="120" w:line="240" w:lineRule="auto"/>
              <w:jc w:val="center"/>
              <w:rPr>
                <w:rFonts w:ascii="Times New Roman" w:hAnsi="Times New Roman"/>
                <w:b/>
                <w:sz w:val="24"/>
                <w:szCs w:val="24"/>
              </w:rPr>
            </w:pPr>
            <w:r w:rsidRPr="00236568">
              <w:rPr>
                <w:rFonts w:ascii="Times New Roman" w:hAnsi="Times New Roman"/>
                <w:b/>
                <w:sz w:val="24"/>
                <w:szCs w:val="24"/>
              </w:rPr>
              <w:t>Opportunities</w:t>
            </w:r>
          </w:p>
        </w:tc>
        <w:tc>
          <w:tcPr>
            <w:tcW w:w="4644" w:type="dxa"/>
            <w:shd w:val="clear" w:color="auto" w:fill="F2F2F2"/>
          </w:tcPr>
          <w:p w14:paraId="2F299756" w14:textId="77777777" w:rsidR="00B60D4C" w:rsidRPr="00236568" w:rsidRDefault="00B60D4C" w:rsidP="00BF7917">
            <w:pPr>
              <w:spacing w:after="120" w:line="240" w:lineRule="auto"/>
              <w:jc w:val="center"/>
              <w:rPr>
                <w:rFonts w:ascii="Times New Roman" w:hAnsi="Times New Roman"/>
                <w:b/>
                <w:sz w:val="24"/>
                <w:szCs w:val="24"/>
              </w:rPr>
            </w:pPr>
            <w:r w:rsidRPr="00236568">
              <w:rPr>
                <w:rFonts w:ascii="Times New Roman" w:hAnsi="Times New Roman"/>
                <w:b/>
                <w:sz w:val="24"/>
                <w:szCs w:val="24"/>
              </w:rPr>
              <w:t>Threats</w:t>
            </w:r>
          </w:p>
        </w:tc>
      </w:tr>
      <w:tr w:rsidR="00B60D4C" w:rsidRPr="00236568" w14:paraId="4075000C" w14:textId="77777777" w:rsidTr="00236568">
        <w:tc>
          <w:tcPr>
            <w:tcW w:w="4643" w:type="dxa"/>
          </w:tcPr>
          <w:p w14:paraId="2A43F32F" w14:textId="462991D2" w:rsidR="00B60D4C" w:rsidRPr="00236568" w:rsidRDefault="00B60D4C" w:rsidP="00595DDE">
            <w:pPr>
              <w:pStyle w:val="ListParagraph"/>
              <w:numPr>
                <w:ilvl w:val="0"/>
                <w:numId w:val="7"/>
              </w:numPr>
              <w:spacing w:after="120" w:line="240" w:lineRule="auto"/>
              <w:ind w:left="357" w:hanging="357"/>
              <w:contextualSpacing w:val="0"/>
              <w:jc w:val="both"/>
              <w:rPr>
                <w:rFonts w:ascii="Times New Roman" w:hAnsi="Times New Roman"/>
                <w:sz w:val="24"/>
                <w:szCs w:val="24"/>
                <w:lang w:val="en-GB"/>
              </w:rPr>
            </w:pPr>
            <w:r w:rsidRPr="00236568">
              <w:rPr>
                <w:rFonts w:ascii="Times New Roman" w:hAnsi="Times New Roman"/>
                <w:sz w:val="24"/>
                <w:szCs w:val="24"/>
                <w:lang w:val="en-GB"/>
              </w:rPr>
              <w:lastRenderedPageBreak/>
              <w:t>Developed transport infrastructure, including the wide availability of direct flights</w:t>
            </w:r>
            <w:r w:rsidR="0062013E" w:rsidRPr="00236568">
              <w:rPr>
                <w:rFonts w:ascii="Times New Roman" w:hAnsi="Times New Roman"/>
                <w:sz w:val="24"/>
                <w:szCs w:val="24"/>
                <w:lang w:val="en-GB"/>
              </w:rPr>
              <w:t>;</w:t>
            </w:r>
          </w:p>
          <w:p w14:paraId="0BD50DA5" w14:textId="40A8780C" w:rsidR="00B60D4C" w:rsidRPr="00236568" w:rsidRDefault="00B60D4C" w:rsidP="00595DDE">
            <w:pPr>
              <w:pStyle w:val="ListParagraph"/>
              <w:numPr>
                <w:ilvl w:val="0"/>
                <w:numId w:val="7"/>
              </w:numPr>
              <w:spacing w:after="120" w:line="240" w:lineRule="auto"/>
              <w:ind w:left="357"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 xml:space="preserve">Deep integration into the international arena with </w:t>
            </w:r>
            <w:r w:rsidR="0062013E" w:rsidRPr="00236568">
              <w:rPr>
                <w:rFonts w:ascii="Times New Roman" w:hAnsi="Times New Roman"/>
                <w:sz w:val="24"/>
                <w:szCs w:val="24"/>
                <w:lang w:val="en-GB"/>
              </w:rPr>
              <w:t xml:space="preserve">membership of </w:t>
            </w:r>
            <w:r w:rsidRPr="00236568">
              <w:rPr>
                <w:rFonts w:ascii="Times New Roman" w:hAnsi="Times New Roman"/>
                <w:sz w:val="24"/>
                <w:szCs w:val="24"/>
                <w:lang w:val="en-GB"/>
              </w:rPr>
              <w:t xml:space="preserve">the </w:t>
            </w:r>
            <w:r w:rsidR="0062013E" w:rsidRPr="00236568">
              <w:rPr>
                <w:rFonts w:ascii="Times New Roman" w:hAnsi="Times New Roman"/>
                <w:sz w:val="24"/>
                <w:szCs w:val="24"/>
                <w:lang w:val="en-GB"/>
              </w:rPr>
              <w:t xml:space="preserve">EU </w:t>
            </w:r>
            <w:r w:rsidRPr="00236568">
              <w:rPr>
                <w:rFonts w:ascii="Times New Roman" w:hAnsi="Times New Roman"/>
                <w:sz w:val="24"/>
                <w:szCs w:val="24"/>
                <w:lang w:val="en-GB"/>
              </w:rPr>
              <w:t xml:space="preserve">and the European banking union, the </w:t>
            </w:r>
            <w:r w:rsidR="0062013E" w:rsidRPr="00236568">
              <w:rPr>
                <w:rFonts w:ascii="Times New Roman" w:hAnsi="Times New Roman"/>
                <w:sz w:val="24"/>
                <w:szCs w:val="24"/>
                <w:lang w:val="en-GB"/>
              </w:rPr>
              <w:t>euro area</w:t>
            </w:r>
            <w:r w:rsidRPr="00236568">
              <w:rPr>
                <w:rFonts w:ascii="Times New Roman" w:hAnsi="Times New Roman"/>
                <w:sz w:val="24"/>
                <w:szCs w:val="24"/>
                <w:lang w:val="en-GB"/>
              </w:rPr>
              <w:t>, the OECD, NATO</w:t>
            </w:r>
            <w:r w:rsidR="0062013E" w:rsidRPr="00236568">
              <w:rPr>
                <w:rFonts w:ascii="Times New Roman" w:hAnsi="Times New Roman"/>
                <w:sz w:val="24"/>
                <w:szCs w:val="24"/>
                <w:lang w:val="en-GB"/>
              </w:rPr>
              <w:t>;</w:t>
            </w:r>
          </w:p>
          <w:p w14:paraId="077935EE" w14:textId="28137019" w:rsidR="00B60D4C" w:rsidRPr="00236568" w:rsidRDefault="00B60D4C" w:rsidP="00BF7917">
            <w:pPr>
              <w:pStyle w:val="ListParagraph"/>
              <w:numPr>
                <w:ilvl w:val="0"/>
                <w:numId w:val="7"/>
              </w:numPr>
              <w:spacing w:after="120" w:line="240" w:lineRule="auto"/>
              <w:ind w:left="357"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 xml:space="preserve">Digitization and innovation, giving the ability to provide quality service, as well as easier to </w:t>
            </w:r>
            <w:r w:rsidR="0062013E" w:rsidRPr="00236568">
              <w:rPr>
                <w:rFonts w:ascii="Times New Roman" w:hAnsi="Times New Roman"/>
                <w:sz w:val="24"/>
                <w:szCs w:val="24"/>
                <w:lang w:val="en-GB"/>
              </w:rPr>
              <w:t>access</w:t>
            </w:r>
            <w:r w:rsidRPr="00236568">
              <w:rPr>
                <w:rFonts w:ascii="Times New Roman" w:hAnsi="Times New Roman"/>
                <w:sz w:val="24"/>
                <w:szCs w:val="24"/>
                <w:lang w:val="en-GB"/>
              </w:rPr>
              <w:t xml:space="preserve"> other countries' markets;</w:t>
            </w:r>
          </w:p>
          <w:p w14:paraId="6973FBAF" w14:textId="77777777" w:rsidR="00236568" w:rsidRPr="00236568" w:rsidRDefault="00B60D4C">
            <w:pPr>
              <w:pStyle w:val="ListParagraph"/>
              <w:numPr>
                <w:ilvl w:val="0"/>
                <w:numId w:val="7"/>
              </w:numPr>
              <w:spacing w:after="120" w:line="240" w:lineRule="auto"/>
              <w:ind w:left="357"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Geographical location</w:t>
            </w:r>
            <w:r w:rsidR="00CB1231" w:rsidRPr="00236568">
              <w:rPr>
                <w:rFonts w:ascii="Times New Roman" w:hAnsi="Times New Roman"/>
                <w:sz w:val="24"/>
                <w:szCs w:val="24"/>
                <w:lang w:val="en-GB"/>
              </w:rPr>
              <w:t>;</w:t>
            </w:r>
          </w:p>
          <w:p w14:paraId="11155542" w14:textId="218B609D" w:rsidR="00CB1231" w:rsidRPr="00236568" w:rsidRDefault="00CB1231">
            <w:pPr>
              <w:pStyle w:val="ListParagraph"/>
              <w:numPr>
                <w:ilvl w:val="0"/>
                <w:numId w:val="7"/>
              </w:numPr>
              <w:spacing w:after="120" w:line="240" w:lineRule="auto"/>
              <w:ind w:left="357" w:hanging="357"/>
              <w:contextualSpacing w:val="0"/>
              <w:jc w:val="both"/>
              <w:rPr>
                <w:rFonts w:ascii="Times New Roman" w:hAnsi="Times New Roman"/>
                <w:sz w:val="24"/>
                <w:szCs w:val="24"/>
              </w:rPr>
            </w:pPr>
            <w:r w:rsidRPr="00236568">
              <w:rPr>
                <w:rFonts w:ascii="Times New Roman" w:hAnsi="Times New Roman"/>
                <w:sz w:val="24"/>
                <w:szCs w:val="24"/>
                <w:lang w:val="en-GB"/>
              </w:rPr>
              <w:t xml:space="preserve">Due to </w:t>
            </w:r>
            <w:proofErr w:type="spellStart"/>
            <w:r w:rsidRPr="00236568">
              <w:rPr>
                <w:rFonts w:ascii="Times New Roman" w:hAnsi="Times New Roman"/>
                <w:sz w:val="24"/>
                <w:szCs w:val="24"/>
                <w:lang w:val="en-GB"/>
              </w:rPr>
              <w:t>Brexit</w:t>
            </w:r>
            <w:proofErr w:type="spellEnd"/>
            <w:r w:rsidRPr="00236568">
              <w:rPr>
                <w:rFonts w:ascii="Times New Roman" w:hAnsi="Times New Roman"/>
                <w:sz w:val="24"/>
                <w:szCs w:val="24"/>
                <w:lang w:val="en-GB"/>
              </w:rPr>
              <w:t xml:space="preserve">, </w:t>
            </w:r>
            <w:r w:rsidR="00D83939" w:rsidRPr="00236568">
              <w:rPr>
                <w:rFonts w:ascii="Times New Roman" w:hAnsi="Times New Roman"/>
                <w:sz w:val="24"/>
                <w:szCs w:val="24"/>
                <w:lang w:val="en-GB"/>
              </w:rPr>
              <w:t xml:space="preserve">and due </w:t>
            </w:r>
            <w:r w:rsidRPr="00236568">
              <w:rPr>
                <w:rFonts w:ascii="Times New Roman" w:hAnsi="Times New Roman"/>
                <w:sz w:val="24"/>
                <w:szCs w:val="24"/>
                <w:lang w:val="en-GB"/>
              </w:rPr>
              <w:t xml:space="preserve">to planned increase in labour taxes in financial sector in </w:t>
            </w:r>
            <w:r w:rsidR="0062013E" w:rsidRPr="00236568">
              <w:rPr>
                <w:rFonts w:ascii="Times New Roman" w:hAnsi="Times New Roman"/>
                <w:sz w:val="24"/>
                <w:szCs w:val="24"/>
                <w:lang w:val="en-GB"/>
              </w:rPr>
              <w:t xml:space="preserve">the Nordic region, </w:t>
            </w:r>
            <w:r w:rsidR="00D83939" w:rsidRPr="00236568">
              <w:rPr>
                <w:rFonts w:ascii="Times New Roman" w:hAnsi="Times New Roman"/>
                <w:sz w:val="24"/>
                <w:szCs w:val="24"/>
                <w:lang w:val="en-GB"/>
              </w:rPr>
              <w:t>companies may be interested to increase business operations abroad, including in Latvia.</w:t>
            </w:r>
            <w:r w:rsidR="00D83939" w:rsidRPr="00236568">
              <w:rPr>
                <w:rFonts w:ascii="Times New Roman" w:hAnsi="Times New Roman"/>
                <w:sz w:val="24"/>
                <w:szCs w:val="24"/>
              </w:rPr>
              <w:t xml:space="preserve"> </w:t>
            </w:r>
          </w:p>
        </w:tc>
        <w:tc>
          <w:tcPr>
            <w:tcW w:w="4644" w:type="dxa"/>
          </w:tcPr>
          <w:p w14:paraId="7A746DA9" w14:textId="4917B448" w:rsidR="00B60D4C" w:rsidRPr="00236568" w:rsidRDefault="00B60D4C">
            <w:pPr>
              <w:pStyle w:val="ListParagraph"/>
              <w:numPr>
                <w:ilvl w:val="0"/>
                <w:numId w:val="7"/>
              </w:numPr>
              <w:spacing w:after="120" w:line="240" w:lineRule="auto"/>
              <w:ind w:left="357"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 xml:space="preserve">External macroeconomic environment risks (including: the uncertainty of </w:t>
            </w:r>
            <w:proofErr w:type="spellStart"/>
            <w:r w:rsidRPr="00236568">
              <w:rPr>
                <w:rFonts w:ascii="Times New Roman" w:hAnsi="Times New Roman"/>
                <w:sz w:val="24"/>
                <w:szCs w:val="24"/>
                <w:lang w:val="en-GB"/>
              </w:rPr>
              <w:t>Brexit</w:t>
            </w:r>
            <w:proofErr w:type="spellEnd"/>
            <w:r w:rsidRPr="00236568">
              <w:rPr>
                <w:rFonts w:ascii="Times New Roman" w:hAnsi="Times New Roman"/>
                <w:sz w:val="24"/>
                <w:szCs w:val="24"/>
                <w:lang w:val="en-GB"/>
              </w:rPr>
              <w:t xml:space="preserve">; European concerns on  potential changes in the US foreign policy </w:t>
            </w:r>
            <w:r w:rsidR="0062013E" w:rsidRPr="00236568">
              <w:rPr>
                <w:rFonts w:ascii="Times New Roman" w:hAnsi="Times New Roman"/>
                <w:sz w:val="24"/>
                <w:szCs w:val="24"/>
                <w:lang w:val="en-GB"/>
              </w:rPr>
              <w:t>with the new administration</w:t>
            </w:r>
            <w:r w:rsidRPr="00236568">
              <w:rPr>
                <w:rFonts w:ascii="Times New Roman" w:hAnsi="Times New Roman"/>
                <w:sz w:val="24"/>
                <w:szCs w:val="24"/>
                <w:lang w:val="en-GB"/>
              </w:rPr>
              <w:t>;  the low interest rate environment; decreasing profitability of the EU banking sector);</w:t>
            </w:r>
          </w:p>
          <w:p w14:paraId="5F9FDE6F" w14:textId="44336041" w:rsidR="00B60D4C" w:rsidRPr="00236568" w:rsidRDefault="00B60D4C">
            <w:pPr>
              <w:pStyle w:val="ListParagraph"/>
              <w:numPr>
                <w:ilvl w:val="0"/>
                <w:numId w:val="7"/>
              </w:numPr>
              <w:spacing w:after="120" w:line="240" w:lineRule="auto"/>
              <w:ind w:left="357"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Increased competitive pressures of the single market in the EEA countries in the field of financial services, reinforced by technological developments;</w:t>
            </w:r>
          </w:p>
          <w:p w14:paraId="2476B810" w14:textId="77777777" w:rsidR="00236568" w:rsidRDefault="00B60D4C">
            <w:pPr>
              <w:pStyle w:val="ListParagraph"/>
              <w:numPr>
                <w:ilvl w:val="0"/>
                <w:numId w:val="7"/>
              </w:numPr>
              <w:spacing w:after="120" w:line="240" w:lineRule="auto"/>
              <w:ind w:left="357"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 xml:space="preserve">Increased risks of </w:t>
            </w:r>
            <w:r w:rsidR="00D83939" w:rsidRPr="00236568">
              <w:rPr>
                <w:rFonts w:ascii="Times New Roman" w:hAnsi="Times New Roman"/>
                <w:sz w:val="24"/>
                <w:szCs w:val="24"/>
                <w:lang w:val="en-GB"/>
              </w:rPr>
              <w:t xml:space="preserve">being involved </w:t>
            </w:r>
            <w:r w:rsidRPr="00236568">
              <w:rPr>
                <w:rFonts w:ascii="Times New Roman" w:hAnsi="Times New Roman"/>
                <w:sz w:val="24"/>
                <w:szCs w:val="24"/>
                <w:lang w:val="en-GB"/>
              </w:rPr>
              <w:t>in money laundering</w:t>
            </w:r>
            <w:r w:rsidR="00D83939" w:rsidRPr="00236568">
              <w:rPr>
                <w:rFonts w:ascii="Times New Roman" w:hAnsi="Times New Roman"/>
                <w:sz w:val="24"/>
                <w:szCs w:val="24"/>
                <w:lang w:val="en-GB"/>
              </w:rPr>
              <w:t>, resulting in lost opportunities to service U</w:t>
            </w:r>
            <w:r w:rsidR="00353EFC" w:rsidRPr="00236568">
              <w:rPr>
                <w:rFonts w:ascii="Times New Roman" w:hAnsi="Times New Roman"/>
                <w:sz w:val="24"/>
                <w:szCs w:val="24"/>
                <w:lang w:val="en-GB"/>
              </w:rPr>
              <w:t>S dollar payments directly and in partnership;</w:t>
            </w:r>
          </w:p>
          <w:p w14:paraId="1542D869" w14:textId="5DE4558E" w:rsidR="00B60D4C" w:rsidRPr="00236568" w:rsidRDefault="00105976" w:rsidP="00DE5FE5">
            <w:pPr>
              <w:pStyle w:val="ListParagraph"/>
              <w:numPr>
                <w:ilvl w:val="0"/>
                <w:numId w:val="7"/>
              </w:numPr>
              <w:spacing w:after="120" w:line="240" w:lineRule="auto"/>
              <w:ind w:left="357" w:hanging="357"/>
              <w:contextualSpacing w:val="0"/>
              <w:jc w:val="both"/>
              <w:rPr>
                <w:rFonts w:ascii="Times New Roman" w:hAnsi="Times New Roman"/>
                <w:sz w:val="24"/>
                <w:szCs w:val="24"/>
                <w:lang w:val="en-GB"/>
              </w:rPr>
            </w:pPr>
            <w:r w:rsidRPr="00236568">
              <w:rPr>
                <w:rFonts w:ascii="Times New Roman" w:hAnsi="Times New Roman"/>
                <w:sz w:val="24"/>
                <w:szCs w:val="24"/>
                <w:lang w:val="en-GB"/>
              </w:rPr>
              <w:t>Arbitrage</w:t>
            </w:r>
            <w:r w:rsidR="00353EFC" w:rsidRPr="00236568">
              <w:rPr>
                <w:rFonts w:ascii="Times New Roman" w:hAnsi="Times New Roman"/>
                <w:sz w:val="24"/>
                <w:szCs w:val="24"/>
                <w:lang w:val="en-GB"/>
              </w:rPr>
              <w:t xml:space="preserve"> of regulative requirements in Baltic and Nordic region </w:t>
            </w:r>
            <w:r w:rsidR="00236568">
              <w:rPr>
                <w:rFonts w:ascii="Times New Roman" w:hAnsi="Times New Roman"/>
                <w:sz w:val="24"/>
                <w:szCs w:val="24"/>
                <w:lang w:val="en-GB"/>
              </w:rPr>
              <w:t xml:space="preserve">and </w:t>
            </w:r>
            <w:r w:rsidR="00353EFC" w:rsidRPr="00236568">
              <w:rPr>
                <w:rFonts w:ascii="Times New Roman" w:hAnsi="Times New Roman"/>
                <w:sz w:val="24"/>
                <w:szCs w:val="24"/>
                <w:lang w:val="en-GB"/>
              </w:rPr>
              <w:t>decreasing competitiveness of Latvia</w:t>
            </w:r>
            <w:r w:rsidR="00353EFC" w:rsidRPr="00236568">
              <w:rPr>
                <w:rFonts w:ascii="Times New Roman" w:hAnsi="Times New Roman"/>
                <w:sz w:val="24"/>
                <w:szCs w:val="24"/>
              </w:rPr>
              <w:t>.</w:t>
            </w:r>
          </w:p>
        </w:tc>
      </w:tr>
    </w:tbl>
    <w:p w14:paraId="638FA645" w14:textId="77777777" w:rsidR="00B60D4C" w:rsidRPr="00236568" w:rsidRDefault="00B60D4C" w:rsidP="00DE5FE5">
      <w:pPr>
        <w:spacing w:line="240" w:lineRule="auto"/>
      </w:pPr>
    </w:p>
    <w:p w14:paraId="18EAA413" w14:textId="1BB31888" w:rsidR="00B60D4C" w:rsidRPr="00236568" w:rsidRDefault="00B60D4C" w:rsidP="00595DDE">
      <w:pPr>
        <w:spacing w:after="120" w:line="240" w:lineRule="auto"/>
        <w:jc w:val="both"/>
        <w:rPr>
          <w:rFonts w:ascii="Times New Roman" w:hAnsi="Times New Roman"/>
          <w:color w:val="000000"/>
          <w:sz w:val="24"/>
          <w:szCs w:val="24"/>
          <w:lang w:eastAsia="lv-LV"/>
        </w:rPr>
      </w:pPr>
      <w:proofErr w:type="gramStart"/>
      <w:r w:rsidRPr="00236568">
        <w:rPr>
          <w:rFonts w:ascii="Times New Roman" w:hAnsi="Times New Roman"/>
          <w:color w:val="000000"/>
          <w:sz w:val="24"/>
          <w:szCs w:val="24"/>
          <w:lang w:eastAsia="lv-LV"/>
        </w:rPr>
        <w:t xml:space="preserve">The Plan defines specific courses of action and </w:t>
      </w:r>
      <w:r w:rsidR="005C3833">
        <w:rPr>
          <w:rFonts w:ascii="Times New Roman" w:hAnsi="Times New Roman"/>
          <w:color w:val="000000"/>
          <w:sz w:val="24"/>
          <w:szCs w:val="24"/>
          <w:lang w:eastAsia="lv-LV"/>
        </w:rPr>
        <w:t>measures</w:t>
      </w:r>
      <w:r w:rsidR="005C3833"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in </w:t>
      </w:r>
      <w:r w:rsidRPr="00236568">
        <w:rPr>
          <w:rFonts w:ascii="Times New Roman" w:hAnsi="Times New Roman"/>
          <w:b/>
          <w:color w:val="000000"/>
          <w:sz w:val="24"/>
          <w:szCs w:val="24"/>
          <w:lang w:eastAsia="lv-LV"/>
        </w:rPr>
        <w:t>four segments of the financial sector industries: the banking sector, the capital market sector, the alternative financial service providers industry and the insurance and reinsurance industry</w:t>
      </w:r>
      <w:r w:rsidRPr="00236568">
        <w:rPr>
          <w:rFonts w:ascii="Times New Roman" w:hAnsi="Times New Roman"/>
          <w:color w:val="000000"/>
          <w:sz w:val="24"/>
          <w:szCs w:val="24"/>
          <w:lang w:eastAsia="lv-LV"/>
        </w:rPr>
        <w:t xml:space="preserve">, but the central theme of the future course is set by </w:t>
      </w:r>
      <w:r w:rsidRPr="00236568">
        <w:rPr>
          <w:rFonts w:ascii="Times New Roman" w:hAnsi="Times New Roman"/>
          <w:b/>
          <w:color w:val="000000"/>
          <w:sz w:val="24"/>
          <w:szCs w:val="24"/>
          <w:lang w:eastAsia="lv-LV"/>
        </w:rPr>
        <w:t>three horizontal priorities</w:t>
      </w:r>
      <w:r w:rsidRPr="00236568">
        <w:rPr>
          <w:rFonts w:ascii="Times New Roman" w:hAnsi="Times New Roman"/>
          <w:color w:val="000000"/>
          <w:sz w:val="24"/>
          <w:szCs w:val="24"/>
          <w:lang w:eastAsia="lv-LV"/>
        </w:rPr>
        <w:t>, reflecting financial market developments, the most important aspects of the next programming period:</w:t>
      </w:r>
      <w:proofErr w:type="gramEnd"/>
    </w:p>
    <w:p w14:paraId="7C41214B" w14:textId="718BBA31" w:rsidR="00BB4C7A" w:rsidRDefault="00BB4C7A" w:rsidP="00BB4C7A">
      <w:pPr>
        <w:pStyle w:val="ListParagraph"/>
        <w:numPr>
          <w:ilvl w:val="0"/>
          <w:numId w:val="7"/>
        </w:numPr>
        <w:spacing w:before="100" w:beforeAutospacing="1" w:after="100" w:afterAutospacing="1" w:line="240" w:lineRule="auto"/>
        <w:jc w:val="both"/>
        <w:rPr>
          <w:rFonts w:ascii="Times New Roman" w:hAnsi="Times New Roman"/>
          <w:color w:val="000000"/>
          <w:sz w:val="24"/>
          <w:szCs w:val="24"/>
          <w:lang w:val="en-GB"/>
        </w:rPr>
      </w:pPr>
      <w:r w:rsidRPr="00BB4C7A">
        <w:rPr>
          <w:rFonts w:ascii="Times New Roman" w:hAnsi="Times New Roman"/>
          <w:color w:val="000000"/>
          <w:sz w:val="24"/>
          <w:szCs w:val="24"/>
          <w:lang w:val="en-GB"/>
        </w:rPr>
        <w:t xml:space="preserve">Digitalization and </w:t>
      </w:r>
      <w:r w:rsidR="00EA225E">
        <w:rPr>
          <w:rFonts w:ascii="Times New Roman" w:hAnsi="Times New Roman"/>
          <w:color w:val="000000"/>
          <w:sz w:val="24"/>
          <w:szCs w:val="24"/>
          <w:lang w:val="en-GB"/>
        </w:rPr>
        <w:t>i</w:t>
      </w:r>
      <w:r w:rsidRPr="00BB4C7A">
        <w:rPr>
          <w:rFonts w:ascii="Times New Roman" w:hAnsi="Times New Roman"/>
          <w:color w:val="000000"/>
          <w:sz w:val="24"/>
          <w:szCs w:val="24"/>
          <w:lang w:val="en-GB"/>
        </w:rPr>
        <w:t>nnovation</w:t>
      </w:r>
      <w:r>
        <w:rPr>
          <w:rFonts w:ascii="Times New Roman" w:hAnsi="Times New Roman"/>
          <w:color w:val="000000"/>
          <w:sz w:val="24"/>
          <w:szCs w:val="24"/>
          <w:lang w:val="en-GB"/>
        </w:rPr>
        <w:t>;</w:t>
      </w:r>
      <w:r w:rsidRPr="00BB4C7A">
        <w:rPr>
          <w:rFonts w:ascii="Times New Roman" w:hAnsi="Times New Roman"/>
          <w:color w:val="000000"/>
          <w:sz w:val="24"/>
          <w:szCs w:val="24"/>
          <w:lang w:val="en-GB"/>
        </w:rPr>
        <w:t xml:space="preserve"> </w:t>
      </w:r>
    </w:p>
    <w:p w14:paraId="7221E30C" w14:textId="1D285DA7" w:rsidR="00BB4C7A" w:rsidRDefault="00BB4C7A" w:rsidP="00BB4C7A">
      <w:pPr>
        <w:pStyle w:val="ListParagraph"/>
        <w:numPr>
          <w:ilvl w:val="0"/>
          <w:numId w:val="7"/>
        </w:numPr>
        <w:spacing w:before="100" w:beforeAutospacing="1" w:after="100" w:afterAutospacing="1" w:line="240" w:lineRule="auto"/>
        <w:jc w:val="both"/>
        <w:rPr>
          <w:rFonts w:ascii="Times New Roman" w:hAnsi="Times New Roman"/>
          <w:color w:val="000000"/>
          <w:sz w:val="24"/>
          <w:szCs w:val="24"/>
          <w:lang w:val="en-GB"/>
        </w:rPr>
      </w:pPr>
      <w:r w:rsidRPr="00BB4C7A">
        <w:rPr>
          <w:rFonts w:ascii="Times New Roman" w:hAnsi="Times New Roman"/>
          <w:color w:val="000000"/>
          <w:sz w:val="24"/>
          <w:szCs w:val="24"/>
          <w:lang w:val="en-GB"/>
        </w:rPr>
        <w:t>The financial sector's safety and reputation</w:t>
      </w:r>
      <w:r>
        <w:rPr>
          <w:rFonts w:ascii="Times New Roman" w:hAnsi="Times New Roman"/>
          <w:color w:val="000000"/>
          <w:sz w:val="24"/>
          <w:szCs w:val="24"/>
          <w:lang w:val="en-GB"/>
        </w:rPr>
        <w:t>;</w:t>
      </w:r>
    </w:p>
    <w:p w14:paraId="62FA5AC7" w14:textId="191030AF" w:rsidR="00B60D4C" w:rsidRPr="005C3833" w:rsidRDefault="00B60D4C" w:rsidP="00BB4C7A">
      <w:pPr>
        <w:pStyle w:val="ListParagraph"/>
        <w:numPr>
          <w:ilvl w:val="0"/>
          <w:numId w:val="7"/>
        </w:numPr>
        <w:spacing w:before="100" w:beforeAutospacing="1" w:after="100" w:afterAutospacing="1" w:line="240" w:lineRule="auto"/>
        <w:jc w:val="both"/>
        <w:rPr>
          <w:rFonts w:ascii="Times New Roman" w:hAnsi="Times New Roman"/>
          <w:color w:val="000000"/>
          <w:sz w:val="24"/>
          <w:szCs w:val="24"/>
          <w:lang w:val="en-GB"/>
        </w:rPr>
      </w:pPr>
      <w:r w:rsidRPr="005C3833">
        <w:rPr>
          <w:rFonts w:ascii="Times New Roman" w:hAnsi="Times New Roman"/>
          <w:color w:val="000000"/>
          <w:sz w:val="24"/>
          <w:szCs w:val="24"/>
          <w:lang w:val="en-GB"/>
        </w:rPr>
        <w:t>International competitiveness.</w:t>
      </w:r>
    </w:p>
    <w:p w14:paraId="397968FF" w14:textId="77777777" w:rsidR="00B60D4C" w:rsidRPr="00236568" w:rsidRDefault="00B60D4C" w:rsidP="00DE5FE5">
      <w:pPr>
        <w:spacing w:line="240" w:lineRule="auto"/>
      </w:pPr>
    </w:p>
    <w:p w14:paraId="01BDDD46" w14:textId="28A8AEAB" w:rsidR="00B60D4C" w:rsidRPr="00236568" w:rsidRDefault="003A45D2" w:rsidP="00DE5FE5">
      <w:pPr>
        <w:pStyle w:val="Heading3"/>
        <w:spacing w:line="240" w:lineRule="auto"/>
      </w:pPr>
      <w:bookmarkStart w:id="5" w:name="_Toc479773678"/>
      <w:bookmarkStart w:id="6" w:name="_Toc479839712"/>
      <w:r w:rsidRPr="00236568">
        <w:t>1.</w:t>
      </w:r>
      <w:r w:rsidR="00B60D4C" w:rsidRPr="00236568">
        <w:t xml:space="preserve">1.1. Digitalization and </w:t>
      </w:r>
      <w:r w:rsidR="00EA225E">
        <w:t>i</w:t>
      </w:r>
      <w:r w:rsidR="00B60D4C" w:rsidRPr="00236568">
        <w:t>nnovation</w:t>
      </w:r>
      <w:bookmarkEnd w:id="5"/>
      <w:bookmarkEnd w:id="6"/>
    </w:p>
    <w:p w14:paraId="6BDE89B7" w14:textId="346A8457" w:rsidR="00B60D4C" w:rsidRPr="00236568" w:rsidRDefault="00B60D4C" w:rsidP="00595DDE">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In line with a rapid development in financial technology (</w:t>
      </w:r>
      <w:proofErr w:type="spellStart"/>
      <w:r w:rsidRPr="00236568">
        <w:rPr>
          <w:rFonts w:ascii="Times New Roman" w:hAnsi="Times New Roman"/>
          <w:sz w:val="24"/>
          <w:szCs w:val="24"/>
        </w:rPr>
        <w:t>FinTech</w:t>
      </w:r>
      <w:proofErr w:type="spellEnd"/>
      <w:r w:rsidRPr="00236568">
        <w:rPr>
          <w:rFonts w:ascii="Times New Roman" w:hAnsi="Times New Roman"/>
          <w:sz w:val="24"/>
          <w:szCs w:val="24"/>
        </w:rPr>
        <w:t xml:space="preserve">) and created opportunities, there is a rapid rise of alternative financial services. Financial technology companies, analysing market trends, </w:t>
      </w:r>
      <w:r w:rsidR="00105976" w:rsidRPr="00236568">
        <w:rPr>
          <w:rFonts w:ascii="Times New Roman" w:hAnsi="Times New Roman"/>
          <w:sz w:val="24"/>
          <w:szCs w:val="24"/>
        </w:rPr>
        <w:t>planning</w:t>
      </w:r>
      <w:r w:rsidRPr="00236568">
        <w:rPr>
          <w:rFonts w:ascii="Times New Roman" w:hAnsi="Times New Roman"/>
          <w:sz w:val="24"/>
          <w:szCs w:val="24"/>
        </w:rPr>
        <w:t xml:space="preserve"> further financial technology application for the following characteristics such as speed, cost optimization and analytical and data management. </w:t>
      </w:r>
      <w:r w:rsidR="008D50EB" w:rsidRPr="00236568">
        <w:rPr>
          <w:rFonts w:ascii="Times New Roman" w:hAnsi="Times New Roman"/>
          <w:sz w:val="24"/>
          <w:szCs w:val="24"/>
        </w:rPr>
        <w:t>Innovative financial services are offered</w:t>
      </w:r>
      <w:r w:rsidRPr="00236568">
        <w:rPr>
          <w:rFonts w:ascii="Times New Roman" w:hAnsi="Times New Roman"/>
          <w:sz w:val="24"/>
          <w:szCs w:val="24"/>
        </w:rPr>
        <w:t xml:space="preserve"> not only </w:t>
      </w:r>
      <w:r w:rsidR="008D50EB" w:rsidRPr="00236568">
        <w:rPr>
          <w:rFonts w:ascii="Times New Roman" w:hAnsi="Times New Roman"/>
          <w:sz w:val="24"/>
          <w:szCs w:val="24"/>
        </w:rPr>
        <w:t xml:space="preserve">by </w:t>
      </w:r>
      <w:r w:rsidRPr="00236568">
        <w:rPr>
          <w:rFonts w:ascii="Times New Roman" w:hAnsi="Times New Roman"/>
          <w:sz w:val="24"/>
          <w:szCs w:val="24"/>
        </w:rPr>
        <w:t>new entrants in the financial market, creating effective competition (more choice for the consumer), but also</w:t>
      </w:r>
      <w:r w:rsidR="008D50EB" w:rsidRPr="00236568">
        <w:rPr>
          <w:rFonts w:ascii="Times New Roman" w:hAnsi="Times New Roman"/>
          <w:sz w:val="24"/>
          <w:szCs w:val="24"/>
        </w:rPr>
        <w:t xml:space="preserve"> by </w:t>
      </w:r>
      <w:r w:rsidRPr="00236568">
        <w:rPr>
          <w:rFonts w:ascii="Times New Roman" w:hAnsi="Times New Roman"/>
          <w:sz w:val="24"/>
          <w:szCs w:val="24"/>
        </w:rPr>
        <w:t>existing traditional financial market participants. Large digital market participants (platforms) are beginning to offer payment and other financial services, being outside the traditional financial sector, even though increasing competition in the financial market by increasing pricing transparency and reducing the price of services.</w:t>
      </w:r>
    </w:p>
    <w:p w14:paraId="75BB115B" w14:textId="27FC81E3" w:rsidR="003A45D2" w:rsidRPr="00236568" w:rsidRDefault="003A45D2" w:rsidP="00BF7917">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The financial sector is the basis for sustainable economic </w:t>
      </w:r>
      <w:r w:rsidR="005C3833" w:rsidRPr="00236568">
        <w:rPr>
          <w:rFonts w:ascii="Times New Roman" w:hAnsi="Times New Roman"/>
          <w:sz w:val="24"/>
          <w:szCs w:val="24"/>
        </w:rPr>
        <w:t>development</w:t>
      </w:r>
      <w:r w:rsidR="005C3833">
        <w:rPr>
          <w:rFonts w:ascii="Times New Roman" w:hAnsi="Times New Roman"/>
          <w:sz w:val="24"/>
          <w:szCs w:val="24"/>
        </w:rPr>
        <w:t>. A</w:t>
      </w:r>
      <w:r w:rsidRPr="00236568">
        <w:rPr>
          <w:rFonts w:ascii="Times New Roman" w:hAnsi="Times New Roman"/>
          <w:sz w:val="24"/>
          <w:szCs w:val="24"/>
        </w:rPr>
        <w:t xml:space="preserve"> stable long-term development requires both advanced technology </w:t>
      </w:r>
      <w:proofErr w:type="gramStart"/>
      <w:r w:rsidRPr="00236568">
        <w:rPr>
          <w:rFonts w:ascii="Times New Roman" w:hAnsi="Times New Roman"/>
          <w:sz w:val="24"/>
          <w:szCs w:val="24"/>
        </w:rPr>
        <w:t xml:space="preserve">development and timely developed </w:t>
      </w:r>
      <w:r w:rsidR="005C3833">
        <w:rPr>
          <w:rFonts w:ascii="Times New Roman" w:hAnsi="Times New Roman"/>
          <w:sz w:val="24"/>
          <w:szCs w:val="24"/>
        </w:rPr>
        <w:t xml:space="preserve">of effective </w:t>
      </w:r>
      <w:r w:rsidR="00D42E6D" w:rsidRPr="00236568">
        <w:rPr>
          <w:rFonts w:ascii="Times New Roman" w:hAnsi="Times New Roman"/>
          <w:sz w:val="24"/>
          <w:szCs w:val="24"/>
        </w:rPr>
        <w:t xml:space="preserve">regulation </w:t>
      </w:r>
      <w:r w:rsidR="005C3833">
        <w:rPr>
          <w:rFonts w:ascii="Times New Roman" w:hAnsi="Times New Roman"/>
          <w:sz w:val="24"/>
          <w:szCs w:val="24"/>
        </w:rPr>
        <w:t xml:space="preserve">addressing </w:t>
      </w:r>
      <w:r w:rsidRPr="00236568">
        <w:rPr>
          <w:rFonts w:ascii="Times New Roman" w:hAnsi="Times New Roman"/>
          <w:sz w:val="24"/>
          <w:szCs w:val="24"/>
        </w:rPr>
        <w:t xml:space="preserve">expected level of risk </w:t>
      </w:r>
      <w:r w:rsidR="005C3833">
        <w:rPr>
          <w:rFonts w:ascii="Times New Roman" w:hAnsi="Times New Roman"/>
          <w:sz w:val="24"/>
          <w:szCs w:val="24"/>
        </w:rPr>
        <w:t xml:space="preserve">by </w:t>
      </w:r>
      <w:r w:rsidR="00D42E6D" w:rsidRPr="00236568">
        <w:rPr>
          <w:rFonts w:ascii="Times New Roman" w:hAnsi="Times New Roman"/>
          <w:sz w:val="24"/>
          <w:szCs w:val="24"/>
        </w:rPr>
        <w:t>innovation</w:t>
      </w:r>
      <w:proofErr w:type="gramEnd"/>
      <w:r w:rsidR="005C3833">
        <w:rPr>
          <w:rFonts w:ascii="Times New Roman" w:hAnsi="Times New Roman"/>
          <w:sz w:val="24"/>
          <w:szCs w:val="24"/>
        </w:rPr>
        <w:t xml:space="preserve"> and</w:t>
      </w:r>
      <w:r w:rsidR="00D42E6D" w:rsidRPr="00236568">
        <w:rPr>
          <w:rFonts w:ascii="Times New Roman" w:hAnsi="Times New Roman"/>
          <w:sz w:val="24"/>
          <w:szCs w:val="24"/>
        </w:rPr>
        <w:t xml:space="preserve"> </w:t>
      </w:r>
      <w:r w:rsidRPr="00236568">
        <w:rPr>
          <w:rFonts w:ascii="Times New Roman" w:hAnsi="Times New Roman"/>
          <w:sz w:val="24"/>
          <w:szCs w:val="24"/>
        </w:rPr>
        <w:t xml:space="preserve">based on </w:t>
      </w:r>
      <w:r w:rsidR="005C3833">
        <w:rPr>
          <w:rFonts w:ascii="Times New Roman" w:hAnsi="Times New Roman"/>
          <w:sz w:val="24"/>
          <w:szCs w:val="24"/>
        </w:rPr>
        <w:t xml:space="preserve">assessment of potential risks by </w:t>
      </w:r>
      <w:r w:rsidRPr="00236568">
        <w:rPr>
          <w:rFonts w:ascii="Times New Roman" w:hAnsi="Times New Roman"/>
          <w:sz w:val="24"/>
          <w:szCs w:val="24"/>
        </w:rPr>
        <w:t>new business models. As a good practice elsewhere in Europe (Project Innovate</w:t>
      </w:r>
      <w:r w:rsidR="00C248A5" w:rsidRPr="00236568">
        <w:rPr>
          <w:rFonts w:ascii="Times New Roman" w:hAnsi="Times New Roman"/>
          <w:sz w:val="24"/>
          <w:szCs w:val="24"/>
        </w:rPr>
        <w:t xml:space="preserve"> in</w:t>
      </w:r>
      <w:r w:rsidRPr="00236568">
        <w:rPr>
          <w:rFonts w:ascii="Times New Roman" w:hAnsi="Times New Roman"/>
          <w:sz w:val="24"/>
          <w:szCs w:val="24"/>
        </w:rPr>
        <w:t xml:space="preserve"> the UK), the financial sector regulator promotes </w:t>
      </w:r>
      <w:proofErr w:type="spellStart"/>
      <w:r w:rsidR="00C248A5" w:rsidRPr="00236568">
        <w:rPr>
          <w:rFonts w:ascii="Times New Roman" w:hAnsi="Times New Roman"/>
          <w:sz w:val="24"/>
          <w:szCs w:val="24"/>
        </w:rPr>
        <w:t>FinTech</w:t>
      </w:r>
      <w:proofErr w:type="spellEnd"/>
      <w:r w:rsidR="00C248A5" w:rsidRPr="00236568">
        <w:rPr>
          <w:rFonts w:ascii="Times New Roman" w:hAnsi="Times New Roman"/>
          <w:sz w:val="24"/>
          <w:szCs w:val="24"/>
        </w:rPr>
        <w:t xml:space="preserve"> </w:t>
      </w:r>
      <w:r w:rsidRPr="00236568">
        <w:rPr>
          <w:rFonts w:ascii="Times New Roman" w:hAnsi="Times New Roman"/>
          <w:sz w:val="24"/>
          <w:szCs w:val="24"/>
        </w:rPr>
        <w:t xml:space="preserve">new business activities, </w:t>
      </w:r>
      <w:r w:rsidRPr="00236568">
        <w:rPr>
          <w:rFonts w:ascii="Times New Roman" w:hAnsi="Times New Roman"/>
          <w:sz w:val="24"/>
          <w:szCs w:val="24"/>
        </w:rPr>
        <w:lastRenderedPageBreak/>
        <w:t>as well as encourage</w:t>
      </w:r>
      <w:r w:rsidR="005C3833">
        <w:rPr>
          <w:rFonts w:ascii="Times New Roman" w:hAnsi="Times New Roman"/>
          <w:sz w:val="24"/>
          <w:szCs w:val="24"/>
        </w:rPr>
        <w:t>s</w:t>
      </w:r>
      <w:r w:rsidRPr="00236568">
        <w:rPr>
          <w:rFonts w:ascii="Times New Roman" w:hAnsi="Times New Roman"/>
          <w:sz w:val="24"/>
          <w:szCs w:val="24"/>
        </w:rPr>
        <w:t xml:space="preserve"> these companies</w:t>
      </w:r>
      <w:r w:rsidR="00C248A5" w:rsidRPr="00236568">
        <w:rPr>
          <w:rFonts w:ascii="Times New Roman" w:hAnsi="Times New Roman"/>
          <w:sz w:val="24"/>
          <w:szCs w:val="24"/>
        </w:rPr>
        <w:t xml:space="preserve"> in</w:t>
      </w:r>
      <w:r w:rsidRPr="00236568">
        <w:rPr>
          <w:rFonts w:ascii="Times New Roman" w:hAnsi="Times New Roman"/>
          <w:sz w:val="24"/>
          <w:szCs w:val="24"/>
        </w:rPr>
        <w:t xml:space="preserve"> new business models in the implementation of the </w:t>
      </w:r>
      <w:r w:rsidR="005C3833">
        <w:rPr>
          <w:rFonts w:ascii="Times New Roman" w:hAnsi="Times New Roman"/>
          <w:sz w:val="24"/>
          <w:szCs w:val="24"/>
        </w:rPr>
        <w:t>R</w:t>
      </w:r>
      <w:r w:rsidRPr="00236568">
        <w:rPr>
          <w:rFonts w:ascii="Times New Roman" w:hAnsi="Times New Roman"/>
          <w:sz w:val="24"/>
          <w:szCs w:val="24"/>
        </w:rPr>
        <w:t xml:space="preserve">egulatory </w:t>
      </w:r>
      <w:r w:rsidR="005C3833">
        <w:rPr>
          <w:rFonts w:ascii="Times New Roman" w:hAnsi="Times New Roman"/>
          <w:sz w:val="24"/>
          <w:szCs w:val="24"/>
        </w:rPr>
        <w:t>S</w:t>
      </w:r>
      <w:r w:rsidR="005C3833" w:rsidRPr="00236568">
        <w:rPr>
          <w:rFonts w:ascii="Times New Roman" w:hAnsi="Times New Roman"/>
          <w:sz w:val="24"/>
          <w:szCs w:val="24"/>
        </w:rPr>
        <w:t>andbox</w:t>
      </w:r>
      <w:r w:rsidR="005C3833">
        <w:rPr>
          <w:rFonts w:ascii="Times New Roman" w:hAnsi="Times New Roman"/>
          <w:sz w:val="24"/>
          <w:szCs w:val="24"/>
        </w:rPr>
        <w:t xml:space="preserve"> </w:t>
      </w:r>
      <w:r w:rsidRPr="00236568">
        <w:rPr>
          <w:rFonts w:ascii="Times New Roman" w:hAnsi="Times New Roman"/>
          <w:sz w:val="24"/>
          <w:szCs w:val="24"/>
        </w:rPr>
        <w:t xml:space="preserve">approach where </w:t>
      </w:r>
      <w:r w:rsidR="00C248A5" w:rsidRPr="00236568">
        <w:rPr>
          <w:rFonts w:ascii="Times New Roman" w:hAnsi="Times New Roman"/>
          <w:sz w:val="24"/>
          <w:szCs w:val="24"/>
        </w:rPr>
        <w:t xml:space="preserve">the </w:t>
      </w:r>
      <w:r w:rsidRPr="00236568">
        <w:rPr>
          <w:rFonts w:ascii="Times New Roman" w:hAnsi="Times New Roman"/>
          <w:sz w:val="24"/>
          <w:szCs w:val="24"/>
        </w:rPr>
        <w:t xml:space="preserve">new business models are being implemented </w:t>
      </w:r>
      <w:r w:rsidR="00C248A5" w:rsidRPr="00236568">
        <w:rPr>
          <w:rFonts w:ascii="Times New Roman" w:hAnsi="Times New Roman"/>
          <w:sz w:val="24"/>
          <w:szCs w:val="24"/>
        </w:rPr>
        <w:t>in</w:t>
      </w:r>
      <w:r w:rsidR="005C3833">
        <w:rPr>
          <w:rFonts w:ascii="Times New Roman" w:hAnsi="Times New Roman"/>
          <w:sz w:val="24"/>
          <w:szCs w:val="24"/>
        </w:rPr>
        <w:t xml:space="preserve"> a</w:t>
      </w:r>
      <w:r w:rsidRPr="00236568">
        <w:rPr>
          <w:rFonts w:ascii="Times New Roman" w:hAnsi="Times New Roman"/>
          <w:sz w:val="24"/>
          <w:szCs w:val="24"/>
        </w:rPr>
        <w:t xml:space="preserve"> pilot mode until the regulator is satisfied </w:t>
      </w:r>
      <w:r w:rsidR="00C248A5" w:rsidRPr="00236568">
        <w:rPr>
          <w:rFonts w:ascii="Times New Roman" w:hAnsi="Times New Roman"/>
          <w:sz w:val="24"/>
          <w:szCs w:val="24"/>
        </w:rPr>
        <w:t>with its safety.</w:t>
      </w:r>
    </w:p>
    <w:p w14:paraId="1BF46699" w14:textId="787B5D84" w:rsidR="002650C5" w:rsidRPr="00236568" w:rsidRDefault="002650C5" w:rsidP="00BF7917">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There are also wide opportunities to use </w:t>
      </w:r>
      <w:proofErr w:type="spellStart"/>
      <w:r w:rsidRPr="00236568">
        <w:rPr>
          <w:rFonts w:ascii="Times New Roman" w:hAnsi="Times New Roman"/>
          <w:sz w:val="24"/>
          <w:szCs w:val="24"/>
        </w:rPr>
        <w:t>LegTech</w:t>
      </w:r>
      <w:proofErr w:type="spellEnd"/>
      <w:r w:rsidRPr="00236568">
        <w:rPr>
          <w:rFonts w:ascii="Times New Roman" w:hAnsi="Times New Roman"/>
          <w:sz w:val="24"/>
          <w:szCs w:val="24"/>
        </w:rPr>
        <w:t xml:space="preserve"> and </w:t>
      </w:r>
      <w:proofErr w:type="spellStart"/>
      <w:r w:rsidRPr="00236568">
        <w:rPr>
          <w:rFonts w:ascii="Times New Roman" w:hAnsi="Times New Roman"/>
          <w:sz w:val="24"/>
          <w:szCs w:val="24"/>
        </w:rPr>
        <w:t>RegTech</w:t>
      </w:r>
      <w:proofErr w:type="spellEnd"/>
      <w:r w:rsidRPr="00236568">
        <w:rPr>
          <w:rFonts w:ascii="Times New Roman" w:hAnsi="Times New Roman"/>
          <w:sz w:val="24"/>
          <w:szCs w:val="24"/>
        </w:rPr>
        <w:t xml:space="preserve"> solutions in alternative financial services</w:t>
      </w:r>
      <w:r w:rsidR="00581F2D" w:rsidRPr="00236568">
        <w:rPr>
          <w:rFonts w:ascii="Times New Roman" w:hAnsi="Times New Roman"/>
          <w:sz w:val="24"/>
          <w:szCs w:val="24"/>
        </w:rPr>
        <w:t xml:space="preserve"> in traditional financial services</w:t>
      </w:r>
      <w:r w:rsidRPr="00236568">
        <w:rPr>
          <w:rFonts w:ascii="Times New Roman" w:hAnsi="Times New Roman"/>
          <w:sz w:val="24"/>
          <w:szCs w:val="24"/>
        </w:rPr>
        <w:t xml:space="preserve">. Since </w:t>
      </w:r>
      <w:proofErr w:type="gramStart"/>
      <w:r w:rsidRPr="00236568">
        <w:rPr>
          <w:rFonts w:ascii="Times New Roman" w:hAnsi="Times New Roman"/>
          <w:sz w:val="24"/>
          <w:szCs w:val="24"/>
        </w:rPr>
        <w:t>2011</w:t>
      </w:r>
      <w:proofErr w:type="gramEnd"/>
      <w:r w:rsidRPr="00236568">
        <w:rPr>
          <w:rFonts w:ascii="Times New Roman" w:hAnsi="Times New Roman"/>
          <w:sz w:val="24"/>
          <w:szCs w:val="24"/>
        </w:rPr>
        <w:t xml:space="preserve"> </w:t>
      </w:r>
      <w:proofErr w:type="spellStart"/>
      <w:r w:rsidRPr="00236568">
        <w:rPr>
          <w:rFonts w:ascii="Times New Roman" w:hAnsi="Times New Roman"/>
          <w:sz w:val="24"/>
          <w:szCs w:val="24"/>
        </w:rPr>
        <w:t>LegTech</w:t>
      </w:r>
      <w:proofErr w:type="spellEnd"/>
      <w:r w:rsidRPr="00236568">
        <w:rPr>
          <w:rFonts w:ascii="Times New Roman" w:hAnsi="Times New Roman"/>
          <w:sz w:val="24"/>
          <w:szCs w:val="24"/>
        </w:rPr>
        <w:t xml:space="preserve"> service providers have developed considerably, as these companies provide legal services, wit</w:t>
      </w:r>
      <w:r w:rsidR="00581F2D" w:rsidRPr="00236568">
        <w:rPr>
          <w:rFonts w:ascii="Times New Roman" w:hAnsi="Times New Roman"/>
          <w:sz w:val="24"/>
          <w:szCs w:val="24"/>
        </w:rPr>
        <w:t>h legal advice available online</w:t>
      </w:r>
      <w:r w:rsidRPr="00236568">
        <w:rPr>
          <w:rFonts w:ascii="Times New Roman" w:hAnsi="Times New Roman"/>
          <w:sz w:val="24"/>
          <w:szCs w:val="24"/>
        </w:rPr>
        <w:t xml:space="preserve">. </w:t>
      </w:r>
      <w:proofErr w:type="gramStart"/>
      <w:r w:rsidRPr="00236568">
        <w:rPr>
          <w:rFonts w:ascii="Times New Roman" w:hAnsi="Times New Roman"/>
          <w:sz w:val="24"/>
          <w:szCs w:val="24"/>
        </w:rPr>
        <w:t>And also,</w:t>
      </w:r>
      <w:proofErr w:type="gramEnd"/>
      <w:r w:rsidRPr="00236568">
        <w:rPr>
          <w:rFonts w:ascii="Times New Roman" w:hAnsi="Times New Roman"/>
          <w:sz w:val="24"/>
          <w:szCs w:val="24"/>
        </w:rPr>
        <w:t xml:space="preserve"> the companies can provide </w:t>
      </w:r>
      <w:proofErr w:type="spellStart"/>
      <w:r w:rsidRPr="00236568">
        <w:rPr>
          <w:rFonts w:ascii="Times New Roman" w:hAnsi="Times New Roman"/>
          <w:sz w:val="24"/>
          <w:szCs w:val="24"/>
        </w:rPr>
        <w:t>RegTech</w:t>
      </w:r>
      <w:proofErr w:type="spellEnd"/>
      <w:r w:rsidRPr="00236568">
        <w:rPr>
          <w:rFonts w:ascii="Times New Roman" w:hAnsi="Times New Roman"/>
          <w:sz w:val="24"/>
          <w:szCs w:val="24"/>
        </w:rPr>
        <w:t xml:space="preserve"> for regulatory requirements management.</w:t>
      </w:r>
    </w:p>
    <w:p w14:paraId="2495BE81" w14:textId="071213E9" w:rsidR="003A45D2" w:rsidRPr="00236568" w:rsidRDefault="002650C5">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Due to </w:t>
      </w:r>
      <w:proofErr w:type="spellStart"/>
      <w:r w:rsidRPr="00236568">
        <w:rPr>
          <w:rFonts w:ascii="Times New Roman" w:hAnsi="Times New Roman"/>
          <w:sz w:val="24"/>
          <w:szCs w:val="24"/>
        </w:rPr>
        <w:t>FinTech</w:t>
      </w:r>
      <w:proofErr w:type="spellEnd"/>
      <w:r w:rsidRPr="00236568">
        <w:rPr>
          <w:rFonts w:ascii="Times New Roman" w:hAnsi="Times New Roman"/>
          <w:sz w:val="24"/>
          <w:szCs w:val="24"/>
        </w:rPr>
        <w:t xml:space="preserve"> advancements virtual currency </w:t>
      </w:r>
      <w:proofErr w:type="gramStart"/>
      <w:r w:rsidRPr="00236568">
        <w:rPr>
          <w:rFonts w:ascii="Times New Roman" w:hAnsi="Times New Roman"/>
          <w:sz w:val="24"/>
          <w:szCs w:val="24"/>
        </w:rPr>
        <w:t>ha</w:t>
      </w:r>
      <w:r w:rsidR="005C3833">
        <w:rPr>
          <w:rFonts w:ascii="Times New Roman" w:hAnsi="Times New Roman"/>
          <w:sz w:val="24"/>
          <w:szCs w:val="24"/>
        </w:rPr>
        <w:t>s</w:t>
      </w:r>
      <w:r w:rsidRPr="00236568">
        <w:rPr>
          <w:rFonts w:ascii="Times New Roman" w:hAnsi="Times New Roman"/>
          <w:sz w:val="24"/>
          <w:szCs w:val="24"/>
        </w:rPr>
        <w:t xml:space="preserve"> been developed</w:t>
      </w:r>
      <w:proofErr w:type="gramEnd"/>
      <w:r w:rsidRPr="00236568">
        <w:rPr>
          <w:rFonts w:ascii="Times New Roman" w:hAnsi="Times New Roman"/>
          <w:sz w:val="24"/>
          <w:szCs w:val="24"/>
        </w:rPr>
        <w:t xml:space="preserve">. </w:t>
      </w:r>
      <w:proofErr w:type="gramStart"/>
      <w:r w:rsidRPr="00236568">
        <w:rPr>
          <w:rFonts w:ascii="Times New Roman" w:hAnsi="Times New Roman"/>
          <w:sz w:val="24"/>
          <w:szCs w:val="24"/>
        </w:rPr>
        <w:t>Although use of virtual currency payments is still low because most of the transactions are related to virtual currency purchase and sale (the amount transferred daily is less than EUR 100 million, and the number of transactions is less than 200,000 transactions, compared with 70 billion euro payment and 250 million transactions daily in the European Union), the development of virtual currency is inevitable.</w:t>
      </w:r>
      <w:proofErr w:type="gramEnd"/>
      <w:r w:rsidRPr="00236568">
        <w:rPr>
          <w:rFonts w:ascii="Times New Roman" w:hAnsi="Times New Roman"/>
          <w:sz w:val="24"/>
          <w:szCs w:val="24"/>
        </w:rPr>
        <w:t xml:space="preserve"> </w:t>
      </w:r>
      <w:r w:rsidR="005C3833">
        <w:rPr>
          <w:rFonts w:ascii="Times New Roman" w:hAnsi="Times New Roman"/>
          <w:sz w:val="24"/>
          <w:szCs w:val="24"/>
        </w:rPr>
        <w:t xml:space="preserve">The </w:t>
      </w:r>
      <w:r w:rsidRPr="00236568">
        <w:rPr>
          <w:rFonts w:ascii="Times New Roman" w:hAnsi="Times New Roman"/>
          <w:sz w:val="24"/>
          <w:szCs w:val="24"/>
        </w:rPr>
        <w:t xml:space="preserve">European Parliament has </w:t>
      </w:r>
      <w:r w:rsidR="005C3833">
        <w:rPr>
          <w:rFonts w:ascii="Times New Roman" w:hAnsi="Times New Roman"/>
          <w:sz w:val="24"/>
          <w:szCs w:val="24"/>
        </w:rPr>
        <w:t xml:space="preserve">tasked </w:t>
      </w:r>
      <w:r w:rsidRPr="00236568">
        <w:rPr>
          <w:rFonts w:ascii="Times New Roman" w:hAnsi="Times New Roman"/>
          <w:sz w:val="24"/>
          <w:szCs w:val="24"/>
        </w:rPr>
        <w:t xml:space="preserve">the European Commission to </w:t>
      </w:r>
      <w:r w:rsidR="005C3833">
        <w:rPr>
          <w:rFonts w:ascii="Times New Roman" w:hAnsi="Times New Roman"/>
          <w:sz w:val="24"/>
          <w:szCs w:val="24"/>
        </w:rPr>
        <w:t xml:space="preserve">develop regulatory framework for </w:t>
      </w:r>
      <w:r w:rsidRPr="00236568">
        <w:rPr>
          <w:rFonts w:ascii="Times New Roman" w:hAnsi="Times New Roman"/>
          <w:sz w:val="24"/>
          <w:szCs w:val="24"/>
        </w:rPr>
        <w:t xml:space="preserve">Bitcoin currency (and other virtual </w:t>
      </w:r>
      <w:r w:rsidR="005C3833" w:rsidRPr="00236568">
        <w:rPr>
          <w:rFonts w:ascii="Times New Roman" w:hAnsi="Times New Roman"/>
          <w:sz w:val="24"/>
          <w:szCs w:val="24"/>
        </w:rPr>
        <w:t>currenc</w:t>
      </w:r>
      <w:r w:rsidR="005C3833">
        <w:rPr>
          <w:rFonts w:ascii="Times New Roman" w:hAnsi="Times New Roman"/>
          <w:sz w:val="24"/>
          <w:szCs w:val="24"/>
        </w:rPr>
        <w:t>ies</w:t>
      </w:r>
      <w:r w:rsidRPr="00236568">
        <w:rPr>
          <w:rFonts w:ascii="Times New Roman" w:hAnsi="Times New Roman"/>
          <w:sz w:val="24"/>
          <w:szCs w:val="24"/>
        </w:rPr>
        <w:t>), set</w:t>
      </w:r>
      <w:r w:rsidR="005C3833">
        <w:rPr>
          <w:rFonts w:ascii="Times New Roman" w:hAnsi="Times New Roman"/>
          <w:sz w:val="24"/>
          <w:szCs w:val="24"/>
        </w:rPr>
        <w:t>ting</w:t>
      </w:r>
      <w:r w:rsidRPr="00236568">
        <w:rPr>
          <w:rFonts w:ascii="Times New Roman" w:hAnsi="Times New Roman"/>
          <w:sz w:val="24"/>
          <w:szCs w:val="24"/>
        </w:rPr>
        <w:t xml:space="preserve"> a special </w:t>
      </w:r>
      <w:r w:rsidR="005C3833">
        <w:rPr>
          <w:rFonts w:ascii="Times New Roman" w:hAnsi="Times New Roman"/>
          <w:sz w:val="24"/>
          <w:szCs w:val="24"/>
        </w:rPr>
        <w:t>C</w:t>
      </w:r>
      <w:r w:rsidR="005C3833" w:rsidRPr="00236568">
        <w:rPr>
          <w:rFonts w:ascii="Times New Roman" w:hAnsi="Times New Roman"/>
          <w:sz w:val="24"/>
          <w:szCs w:val="24"/>
        </w:rPr>
        <w:t xml:space="preserve">ommission </w:t>
      </w:r>
      <w:r w:rsidRPr="00236568">
        <w:rPr>
          <w:rFonts w:ascii="Times New Roman" w:hAnsi="Times New Roman"/>
          <w:sz w:val="24"/>
          <w:szCs w:val="24"/>
        </w:rPr>
        <w:t xml:space="preserve">to carry out monitoring of the use of </w:t>
      </w:r>
      <w:proofErr w:type="spellStart"/>
      <w:r w:rsidRPr="00236568">
        <w:rPr>
          <w:rFonts w:ascii="Times New Roman" w:hAnsi="Times New Roman"/>
          <w:sz w:val="24"/>
          <w:szCs w:val="24"/>
        </w:rPr>
        <w:t>Blockchain</w:t>
      </w:r>
      <w:proofErr w:type="spellEnd"/>
      <w:r w:rsidR="00D23096" w:rsidRPr="00236568">
        <w:rPr>
          <w:rFonts w:ascii="Times New Roman" w:hAnsi="Times New Roman"/>
          <w:sz w:val="24"/>
          <w:szCs w:val="24"/>
        </w:rPr>
        <w:t xml:space="preserve"> technology</w:t>
      </w:r>
      <w:r w:rsidRPr="00236568">
        <w:rPr>
          <w:rFonts w:ascii="Times New Roman" w:hAnsi="Times New Roman"/>
          <w:sz w:val="24"/>
          <w:szCs w:val="24"/>
        </w:rPr>
        <w:t xml:space="preserve">. Given the rapid pace of financial innovation, it is necessary to find solutions appropriate to the financial innovations related to </w:t>
      </w:r>
      <w:r w:rsidR="005C3833">
        <w:rPr>
          <w:rFonts w:ascii="Times New Roman" w:hAnsi="Times New Roman"/>
          <w:sz w:val="24"/>
          <w:szCs w:val="24"/>
        </w:rPr>
        <w:t xml:space="preserve">the </w:t>
      </w:r>
      <w:r w:rsidRPr="00236568">
        <w:rPr>
          <w:rFonts w:ascii="Times New Roman" w:hAnsi="Times New Roman"/>
          <w:sz w:val="24"/>
          <w:szCs w:val="24"/>
        </w:rPr>
        <w:t xml:space="preserve">risk management. At the same time, given the business mobility of </w:t>
      </w:r>
      <w:proofErr w:type="spellStart"/>
      <w:r w:rsidRPr="00236568">
        <w:rPr>
          <w:rFonts w:ascii="Times New Roman" w:hAnsi="Times New Roman"/>
          <w:sz w:val="24"/>
          <w:szCs w:val="24"/>
        </w:rPr>
        <w:t>FinTech</w:t>
      </w:r>
      <w:proofErr w:type="spellEnd"/>
      <w:r w:rsidRPr="00236568">
        <w:rPr>
          <w:rFonts w:ascii="Times New Roman" w:hAnsi="Times New Roman"/>
          <w:sz w:val="24"/>
          <w:szCs w:val="24"/>
        </w:rPr>
        <w:t xml:space="preserve"> industry, for the sake of favourable environment for development it is necessary to maintain an internationally competitive sector regulation, as well as to introduce the regulatory sandbox solutions.</w:t>
      </w:r>
      <w:r w:rsidR="00581F2D" w:rsidRPr="00236568">
        <w:rPr>
          <w:rFonts w:ascii="Times New Roman" w:hAnsi="Times New Roman"/>
          <w:sz w:val="24"/>
          <w:szCs w:val="24"/>
        </w:rPr>
        <w:t xml:space="preserve"> </w:t>
      </w:r>
    </w:p>
    <w:p w14:paraId="53560FAB" w14:textId="3BD78C68" w:rsidR="00B60D4C" w:rsidRPr="00236568" w:rsidRDefault="00B60D4C">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Banks operating in universal banking segment </w:t>
      </w:r>
      <w:proofErr w:type="gramStart"/>
      <w:r w:rsidRPr="00236568">
        <w:rPr>
          <w:rFonts w:ascii="Times New Roman" w:hAnsi="Times New Roman"/>
          <w:sz w:val="24"/>
          <w:szCs w:val="24"/>
        </w:rPr>
        <w:t>are characterized</w:t>
      </w:r>
      <w:proofErr w:type="gramEnd"/>
      <w:r w:rsidRPr="00236568">
        <w:rPr>
          <w:rFonts w:ascii="Times New Roman" w:hAnsi="Times New Roman"/>
          <w:sz w:val="24"/>
          <w:szCs w:val="24"/>
        </w:rPr>
        <w:t xml:space="preserve"> by highly standardized procedures and significant fixed costs. Increased number of transactions in the payment service industry has created conditions for the payment of services in the field of low-cost payment solutions with online marketing. Although these new digital companies rely heavily on existing payment instruments developed and managed by banks (credit cards and transfers), they are able to maintain market share at the expense of the bank through the banking infrastructure and customer information.</w:t>
      </w:r>
      <w:r w:rsidR="000F5FEF" w:rsidRPr="00236568">
        <w:rPr>
          <w:rFonts w:ascii="Times New Roman" w:hAnsi="Times New Roman"/>
          <w:sz w:val="24"/>
          <w:szCs w:val="24"/>
        </w:rPr>
        <w:t xml:space="preserve"> Taking into account the amendment of the Payment Services </w:t>
      </w:r>
      <w:r w:rsidR="009E651F">
        <w:rPr>
          <w:rFonts w:ascii="Times New Roman" w:hAnsi="Times New Roman"/>
          <w:sz w:val="24"/>
          <w:szCs w:val="24"/>
        </w:rPr>
        <w:t>D</w:t>
      </w:r>
      <w:r w:rsidR="000F5FEF" w:rsidRPr="00236568">
        <w:rPr>
          <w:rFonts w:ascii="Times New Roman" w:hAnsi="Times New Roman"/>
          <w:sz w:val="24"/>
          <w:szCs w:val="24"/>
        </w:rPr>
        <w:t>irective open</w:t>
      </w:r>
      <w:r w:rsidR="009E651F">
        <w:rPr>
          <w:rFonts w:ascii="Times New Roman" w:hAnsi="Times New Roman"/>
          <w:sz w:val="24"/>
          <w:szCs w:val="24"/>
        </w:rPr>
        <w:t>ing</w:t>
      </w:r>
      <w:r w:rsidR="000F5FEF" w:rsidRPr="00236568">
        <w:rPr>
          <w:rFonts w:ascii="Times New Roman" w:hAnsi="Times New Roman"/>
          <w:sz w:val="24"/>
          <w:szCs w:val="24"/>
        </w:rPr>
        <w:t xml:space="preserve"> payment services market to new customers</w:t>
      </w:r>
      <w:r w:rsidR="009E651F">
        <w:rPr>
          <w:rFonts w:ascii="Times New Roman" w:hAnsi="Times New Roman"/>
          <w:sz w:val="24"/>
          <w:szCs w:val="24"/>
        </w:rPr>
        <w:t>,</w:t>
      </w:r>
      <w:r w:rsidRPr="00236568">
        <w:rPr>
          <w:rFonts w:ascii="Times New Roman" w:hAnsi="Times New Roman"/>
          <w:sz w:val="24"/>
          <w:szCs w:val="24"/>
        </w:rPr>
        <w:t xml:space="preserve"> </w:t>
      </w:r>
      <w:r w:rsidR="008D50EB" w:rsidRPr="00236568">
        <w:rPr>
          <w:rFonts w:ascii="Times New Roman" w:hAnsi="Times New Roman"/>
          <w:sz w:val="24"/>
          <w:szCs w:val="24"/>
        </w:rPr>
        <w:t>an</w:t>
      </w:r>
      <w:r w:rsidRPr="00236568">
        <w:rPr>
          <w:rFonts w:ascii="Times New Roman" w:hAnsi="Times New Roman"/>
          <w:sz w:val="24"/>
          <w:szCs w:val="24"/>
        </w:rPr>
        <w:t xml:space="preserve"> increase in use of remote financial services</w:t>
      </w:r>
      <w:r w:rsidR="009E651F" w:rsidRPr="009E651F">
        <w:rPr>
          <w:rFonts w:ascii="Times New Roman" w:hAnsi="Times New Roman"/>
          <w:sz w:val="24"/>
          <w:szCs w:val="24"/>
        </w:rPr>
        <w:t xml:space="preserve"> </w:t>
      </w:r>
      <w:proofErr w:type="gramStart"/>
      <w:r w:rsidR="009E651F" w:rsidRPr="00236568">
        <w:rPr>
          <w:rFonts w:ascii="Times New Roman" w:hAnsi="Times New Roman"/>
          <w:sz w:val="24"/>
          <w:szCs w:val="24"/>
        </w:rPr>
        <w:t>is expected</w:t>
      </w:r>
      <w:proofErr w:type="gramEnd"/>
      <w:r w:rsidR="009E651F">
        <w:rPr>
          <w:rFonts w:ascii="Times New Roman" w:hAnsi="Times New Roman"/>
          <w:sz w:val="24"/>
          <w:szCs w:val="24"/>
        </w:rPr>
        <w:t>. It</w:t>
      </w:r>
      <w:r w:rsidRPr="00236568">
        <w:rPr>
          <w:rFonts w:ascii="Times New Roman" w:hAnsi="Times New Roman"/>
          <w:sz w:val="24"/>
          <w:szCs w:val="24"/>
        </w:rPr>
        <w:t xml:space="preserve"> </w:t>
      </w:r>
      <w:r w:rsidR="009E651F" w:rsidRPr="00236568">
        <w:rPr>
          <w:rFonts w:ascii="Times New Roman" w:hAnsi="Times New Roman"/>
          <w:sz w:val="24"/>
          <w:szCs w:val="24"/>
        </w:rPr>
        <w:t>creat</w:t>
      </w:r>
      <w:r w:rsidR="009E651F">
        <w:rPr>
          <w:rFonts w:ascii="Times New Roman" w:hAnsi="Times New Roman"/>
          <w:sz w:val="24"/>
          <w:szCs w:val="24"/>
        </w:rPr>
        <w:t>es</w:t>
      </w:r>
      <w:r w:rsidR="009E651F" w:rsidRPr="00236568">
        <w:rPr>
          <w:rFonts w:ascii="Times New Roman" w:hAnsi="Times New Roman"/>
          <w:sz w:val="24"/>
          <w:szCs w:val="24"/>
        </w:rPr>
        <w:t xml:space="preserve"> </w:t>
      </w:r>
      <w:r w:rsidRPr="00236568">
        <w:rPr>
          <w:rFonts w:ascii="Times New Roman" w:hAnsi="Times New Roman"/>
          <w:sz w:val="24"/>
          <w:szCs w:val="24"/>
        </w:rPr>
        <w:t xml:space="preserve">new business model for cooperation with the infrastructure owners and clients, </w:t>
      </w:r>
      <w:r w:rsidR="00490BBD">
        <w:rPr>
          <w:rFonts w:ascii="Times New Roman" w:hAnsi="Times New Roman"/>
          <w:sz w:val="24"/>
          <w:szCs w:val="24"/>
        </w:rPr>
        <w:t xml:space="preserve">and </w:t>
      </w:r>
      <w:r w:rsidRPr="00236568">
        <w:rPr>
          <w:rFonts w:ascii="Times New Roman" w:hAnsi="Times New Roman"/>
          <w:sz w:val="24"/>
          <w:szCs w:val="24"/>
        </w:rPr>
        <w:t>as a result</w:t>
      </w:r>
      <w:r w:rsidR="00490BBD">
        <w:rPr>
          <w:rFonts w:ascii="Times New Roman" w:hAnsi="Times New Roman"/>
          <w:sz w:val="24"/>
          <w:szCs w:val="24"/>
        </w:rPr>
        <w:t>,</w:t>
      </w:r>
      <w:r w:rsidRPr="00236568">
        <w:rPr>
          <w:rFonts w:ascii="Times New Roman" w:hAnsi="Times New Roman"/>
          <w:sz w:val="24"/>
          <w:szCs w:val="24"/>
        </w:rPr>
        <w:t xml:space="preserve"> traditional service providers may reduce volume of transactions in the payment services sector.</w:t>
      </w:r>
    </w:p>
    <w:p w14:paraId="2E1F9C96" w14:textId="0C80569F" w:rsidR="008E1A22" w:rsidRPr="00236568" w:rsidRDefault="008E1A22">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Technological development on the one hand is a challenge to the traditional providers of financial services that have to balance between management of risks and implementation of innovative services</w:t>
      </w:r>
      <w:r w:rsidR="007A02DE">
        <w:rPr>
          <w:rFonts w:ascii="Times New Roman" w:hAnsi="Times New Roman"/>
          <w:sz w:val="24"/>
          <w:szCs w:val="24"/>
        </w:rPr>
        <w:t>. However,</w:t>
      </w:r>
      <w:r w:rsidRPr="00236568">
        <w:rPr>
          <w:rFonts w:ascii="Times New Roman" w:hAnsi="Times New Roman"/>
          <w:sz w:val="24"/>
          <w:szCs w:val="24"/>
        </w:rPr>
        <w:t xml:space="preserve"> in order to increase the competitiveness, it is important to create business and regulatory environment that </w:t>
      </w:r>
      <w:r w:rsidR="007A02DE">
        <w:rPr>
          <w:rFonts w:ascii="Times New Roman" w:hAnsi="Times New Roman"/>
          <w:sz w:val="24"/>
          <w:szCs w:val="24"/>
        </w:rPr>
        <w:t xml:space="preserve">allows </w:t>
      </w:r>
      <w:r w:rsidRPr="00236568">
        <w:rPr>
          <w:rFonts w:ascii="Times New Roman" w:hAnsi="Times New Roman"/>
          <w:sz w:val="24"/>
          <w:szCs w:val="24"/>
        </w:rPr>
        <w:t>development of new financial technologies (</w:t>
      </w:r>
      <w:proofErr w:type="spellStart"/>
      <w:r w:rsidRPr="00236568">
        <w:rPr>
          <w:rFonts w:ascii="Times New Roman" w:hAnsi="Times New Roman"/>
          <w:sz w:val="24"/>
          <w:szCs w:val="24"/>
        </w:rPr>
        <w:t>FinTech</w:t>
      </w:r>
      <w:proofErr w:type="spellEnd"/>
      <w:r w:rsidRPr="00236568">
        <w:rPr>
          <w:rFonts w:ascii="Times New Roman" w:hAnsi="Times New Roman"/>
          <w:sz w:val="24"/>
          <w:szCs w:val="24"/>
        </w:rPr>
        <w:t xml:space="preserve">), not just the ability to introduce innovative products </w:t>
      </w:r>
      <w:r w:rsidR="007A02DE">
        <w:rPr>
          <w:rFonts w:ascii="Times New Roman" w:hAnsi="Times New Roman"/>
          <w:sz w:val="24"/>
          <w:szCs w:val="24"/>
        </w:rPr>
        <w:t xml:space="preserve">that </w:t>
      </w:r>
      <w:proofErr w:type="gramStart"/>
      <w:r w:rsidRPr="00236568">
        <w:rPr>
          <w:rFonts w:ascii="Times New Roman" w:hAnsi="Times New Roman"/>
          <w:sz w:val="24"/>
          <w:szCs w:val="24"/>
        </w:rPr>
        <w:t>are already generated</w:t>
      </w:r>
      <w:proofErr w:type="gramEnd"/>
      <w:r w:rsidRPr="00236568">
        <w:rPr>
          <w:rFonts w:ascii="Times New Roman" w:hAnsi="Times New Roman"/>
          <w:sz w:val="24"/>
          <w:szCs w:val="24"/>
        </w:rPr>
        <w:t xml:space="preserve">. In order to support the development of innovative payment products </w:t>
      </w:r>
      <w:r w:rsidR="007A02DE">
        <w:rPr>
          <w:rFonts w:ascii="Times New Roman" w:hAnsi="Times New Roman"/>
          <w:sz w:val="24"/>
          <w:szCs w:val="24"/>
        </w:rPr>
        <w:t xml:space="preserve">in </w:t>
      </w:r>
      <w:proofErr w:type="spellStart"/>
      <w:r w:rsidRPr="00236568">
        <w:rPr>
          <w:rFonts w:ascii="Times New Roman" w:hAnsi="Times New Roman"/>
          <w:sz w:val="24"/>
          <w:szCs w:val="24"/>
        </w:rPr>
        <w:t>FinTech</w:t>
      </w:r>
      <w:proofErr w:type="spellEnd"/>
      <w:r w:rsidR="007A02DE">
        <w:rPr>
          <w:rFonts w:ascii="Times New Roman" w:hAnsi="Times New Roman"/>
          <w:sz w:val="24"/>
          <w:szCs w:val="24"/>
        </w:rPr>
        <w:t>,</w:t>
      </w:r>
      <w:r w:rsidRPr="00236568">
        <w:rPr>
          <w:rFonts w:ascii="Times New Roman" w:hAnsi="Times New Roman"/>
          <w:sz w:val="24"/>
          <w:szCs w:val="24"/>
        </w:rPr>
        <w:t xml:space="preserve"> and to ensure </w:t>
      </w:r>
      <w:r w:rsidR="007A02DE" w:rsidRPr="00236568">
        <w:rPr>
          <w:rFonts w:ascii="Times New Roman" w:hAnsi="Times New Roman"/>
          <w:sz w:val="24"/>
          <w:szCs w:val="24"/>
        </w:rPr>
        <w:t>possibilit</w:t>
      </w:r>
      <w:r w:rsidR="007A02DE">
        <w:rPr>
          <w:rFonts w:ascii="Times New Roman" w:hAnsi="Times New Roman"/>
          <w:sz w:val="24"/>
          <w:szCs w:val="24"/>
        </w:rPr>
        <w:t>ies</w:t>
      </w:r>
      <w:r w:rsidR="007A02DE" w:rsidRPr="00236568">
        <w:rPr>
          <w:rFonts w:ascii="Times New Roman" w:hAnsi="Times New Roman"/>
          <w:sz w:val="24"/>
          <w:szCs w:val="24"/>
        </w:rPr>
        <w:t xml:space="preserve"> </w:t>
      </w:r>
      <w:r w:rsidR="007A02DE">
        <w:rPr>
          <w:rFonts w:ascii="Times New Roman" w:hAnsi="Times New Roman"/>
          <w:sz w:val="24"/>
          <w:szCs w:val="24"/>
        </w:rPr>
        <w:t xml:space="preserve">for </w:t>
      </w:r>
      <w:r w:rsidRPr="00236568">
        <w:rPr>
          <w:rFonts w:ascii="Times New Roman" w:hAnsi="Times New Roman"/>
          <w:sz w:val="24"/>
          <w:szCs w:val="24"/>
        </w:rPr>
        <w:t xml:space="preserve">retail customers and companies to carry out payments </w:t>
      </w:r>
      <w:r w:rsidR="007A02DE">
        <w:rPr>
          <w:rFonts w:ascii="Times New Roman" w:hAnsi="Times New Roman"/>
          <w:sz w:val="24"/>
          <w:szCs w:val="24"/>
        </w:rPr>
        <w:t>with</w:t>
      </w:r>
      <w:r w:rsidRPr="00236568">
        <w:rPr>
          <w:rFonts w:ascii="Times New Roman" w:hAnsi="Times New Roman"/>
          <w:sz w:val="24"/>
          <w:szCs w:val="24"/>
        </w:rPr>
        <w:t xml:space="preserve">in twenty-four hours, reaching the recipient </w:t>
      </w:r>
      <w:r w:rsidR="00105976" w:rsidRPr="00236568">
        <w:rPr>
          <w:rFonts w:ascii="Times New Roman" w:hAnsi="Times New Roman"/>
          <w:sz w:val="24"/>
          <w:szCs w:val="24"/>
        </w:rPr>
        <w:t>instantly</w:t>
      </w:r>
      <w:r w:rsidRPr="00236568">
        <w:rPr>
          <w:rFonts w:ascii="Times New Roman" w:hAnsi="Times New Roman"/>
          <w:sz w:val="24"/>
          <w:szCs w:val="24"/>
        </w:rPr>
        <w:t xml:space="preserve">, the Bank of Latvia </w:t>
      </w:r>
      <w:r w:rsidR="007A02DE">
        <w:rPr>
          <w:rFonts w:ascii="Times New Roman" w:hAnsi="Times New Roman"/>
          <w:sz w:val="24"/>
          <w:szCs w:val="24"/>
        </w:rPr>
        <w:t xml:space="preserve">plans to introduce the </w:t>
      </w:r>
      <w:r w:rsidRPr="00236568">
        <w:rPr>
          <w:rFonts w:ascii="Times New Roman" w:hAnsi="Times New Roman"/>
          <w:sz w:val="24"/>
          <w:szCs w:val="24"/>
        </w:rPr>
        <w:t>Electronic Clearing System for Flash</w:t>
      </w:r>
      <w:r w:rsidR="00105976" w:rsidRPr="00236568">
        <w:rPr>
          <w:rFonts w:ascii="Times New Roman" w:hAnsi="Times New Roman"/>
          <w:sz w:val="24"/>
          <w:szCs w:val="24"/>
        </w:rPr>
        <w:t xml:space="preserve"> </w:t>
      </w:r>
      <w:r w:rsidRPr="00236568">
        <w:rPr>
          <w:rFonts w:ascii="Times New Roman" w:hAnsi="Times New Roman"/>
          <w:sz w:val="24"/>
          <w:szCs w:val="24"/>
        </w:rPr>
        <w:t>payments 24/7/365 real-time mode</w:t>
      </w:r>
      <w:r w:rsidR="00456201" w:rsidRPr="00456201">
        <w:rPr>
          <w:rFonts w:ascii="Times New Roman" w:hAnsi="Times New Roman"/>
          <w:sz w:val="24"/>
          <w:szCs w:val="24"/>
        </w:rPr>
        <w:t xml:space="preserve"> </w:t>
      </w:r>
      <w:r w:rsidR="00456201">
        <w:rPr>
          <w:rFonts w:ascii="Times New Roman" w:hAnsi="Times New Roman"/>
          <w:sz w:val="24"/>
          <w:szCs w:val="24"/>
        </w:rPr>
        <w:t>in 2017</w:t>
      </w:r>
      <w:r w:rsidRPr="00236568">
        <w:rPr>
          <w:rFonts w:ascii="Times New Roman" w:hAnsi="Times New Roman"/>
          <w:sz w:val="24"/>
          <w:szCs w:val="24"/>
        </w:rPr>
        <w:t>.</w:t>
      </w:r>
    </w:p>
    <w:p w14:paraId="5E7C4BA2" w14:textId="560B8A5C" w:rsidR="00EA4DE4" w:rsidRPr="00236568" w:rsidRDefault="00701FE4">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The increasing use of d</w:t>
      </w:r>
      <w:r w:rsidR="00EA4DE4" w:rsidRPr="00236568">
        <w:rPr>
          <w:rFonts w:ascii="Times New Roman" w:hAnsi="Times New Roman"/>
          <w:sz w:val="24"/>
          <w:szCs w:val="24"/>
        </w:rPr>
        <w:t>igital solution</w:t>
      </w:r>
      <w:r w:rsidRPr="00236568">
        <w:rPr>
          <w:rFonts w:ascii="Times New Roman" w:hAnsi="Times New Roman"/>
          <w:sz w:val="24"/>
          <w:szCs w:val="24"/>
        </w:rPr>
        <w:t>s</w:t>
      </w:r>
      <w:r w:rsidR="00EA4DE4" w:rsidRPr="00236568">
        <w:rPr>
          <w:rFonts w:ascii="Times New Roman" w:hAnsi="Times New Roman"/>
          <w:sz w:val="24"/>
          <w:szCs w:val="24"/>
        </w:rPr>
        <w:t xml:space="preserve"> </w:t>
      </w:r>
      <w:r w:rsidRPr="00236568">
        <w:rPr>
          <w:rFonts w:ascii="Times New Roman" w:hAnsi="Times New Roman"/>
          <w:sz w:val="24"/>
          <w:szCs w:val="24"/>
        </w:rPr>
        <w:t>in</w:t>
      </w:r>
      <w:r w:rsidR="00EA4DE4" w:rsidRPr="00236568">
        <w:rPr>
          <w:rFonts w:ascii="Times New Roman" w:hAnsi="Times New Roman"/>
          <w:sz w:val="24"/>
          <w:szCs w:val="24"/>
        </w:rPr>
        <w:t xml:space="preserve"> banks, other financial institutions and public institutions improve</w:t>
      </w:r>
      <w:r w:rsidRPr="00236568">
        <w:rPr>
          <w:rFonts w:ascii="Times New Roman" w:hAnsi="Times New Roman"/>
          <w:sz w:val="24"/>
          <w:szCs w:val="24"/>
        </w:rPr>
        <w:t>s</w:t>
      </w:r>
      <w:r w:rsidR="00EA4DE4" w:rsidRPr="00236568">
        <w:rPr>
          <w:rFonts w:ascii="Times New Roman" w:hAnsi="Times New Roman"/>
          <w:sz w:val="24"/>
          <w:szCs w:val="24"/>
        </w:rPr>
        <w:t xml:space="preserve"> both the financial sector performance (</w:t>
      </w:r>
      <w:r w:rsidRPr="00236568">
        <w:rPr>
          <w:rFonts w:ascii="Times New Roman" w:hAnsi="Times New Roman"/>
          <w:sz w:val="24"/>
          <w:szCs w:val="24"/>
        </w:rPr>
        <w:t xml:space="preserve">by </w:t>
      </w:r>
      <w:r w:rsidR="00EA4DE4" w:rsidRPr="00236568">
        <w:rPr>
          <w:rFonts w:ascii="Times New Roman" w:hAnsi="Times New Roman"/>
          <w:sz w:val="24"/>
          <w:szCs w:val="24"/>
        </w:rPr>
        <w:t>reducing costs)</w:t>
      </w:r>
      <w:r w:rsidRPr="00236568">
        <w:rPr>
          <w:rFonts w:ascii="Times New Roman" w:hAnsi="Times New Roman"/>
          <w:sz w:val="24"/>
          <w:szCs w:val="24"/>
        </w:rPr>
        <w:t>,</w:t>
      </w:r>
      <w:r w:rsidR="00EA4DE4" w:rsidRPr="00236568">
        <w:rPr>
          <w:rFonts w:ascii="Times New Roman" w:hAnsi="Times New Roman"/>
          <w:sz w:val="24"/>
          <w:szCs w:val="24"/>
        </w:rPr>
        <w:t xml:space="preserve"> increase</w:t>
      </w:r>
      <w:r w:rsidRPr="00236568">
        <w:rPr>
          <w:rFonts w:ascii="Times New Roman" w:hAnsi="Times New Roman"/>
          <w:sz w:val="24"/>
          <w:szCs w:val="24"/>
        </w:rPr>
        <w:t>s</w:t>
      </w:r>
      <w:r w:rsidR="00EA4DE4" w:rsidRPr="00236568">
        <w:rPr>
          <w:rFonts w:ascii="Times New Roman" w:hAnsi="Times New Roman"/>
          <w:sz w:val="24"/>
          <w:szCs w:val="24"/>
        </w:rPr>
        <w:t xml:space="preserve"> the country's institutional capacity and improve</w:t>
      </w:r>
      <w:r w:rsidRPr="00236568">
        <w:rPr>
          <w:rFonts w:ascii="Times New Roman" w:hAnsi="Times New Roman"/>
          <w:sz w:val="24"/>
          <w:szCs w:val="24"/>
        </w:rPr>
        <w:t>s</w:t>
      </w:r>
      <w:r w:rsidR="00EA4DE4" w:rsidRPr="00236568">
        <w:rPr>
          <w:rFonts w:ascii="Times New Roman" w:hAnsi="Times New Roman"/>
          <w:sz w:val="24"/>
          <w:szCs w:val="24"/>
        </w:rPr>
        <w:t xml:space="preserve"> </w:t>
      </w:r>
      <w:r w:rsidR="00FA4356">
        <w:rPr>
          <w:rFonts w:ascii="Times New Roman" w:hAnsi="Times New Roman"/>
          <w:sz w:val="24"/>
          <w:szCs w:val="24"/>
        </w:rPr>
        <w:t xml:space="preserve">the </w:t>
      </w:r>
      <w:r w:rsidR="00EA4DE4" w:rsidRPr="00236568">
        <w:rPr>
          <w:rFonts w:ascii="Times New Roman" w:hAnsi="Times New Roman"/>
          <w:sz w:val="24"/>
          <w:szCs w:val="24"/>
        </w:rPr>
        <w:t xml:space="preserve">service quality and availability </w:t>
      </w:r>
      <w:r w:rsidR="00FA4356">
        <w:rPr>
          <w:rFonts w:ascii="Times New Roman" w:hAnsi="Times New Roman"/>
          <w:sz w:val="24"/>
          <w:szCs w:val="24"/>
        </w:rPr>
        <w:t>for</w:t>
      </w:r>
      <w:r w:rsidR="00FA4356" w:rsidRPr="00236568">
        <w:rPr>
          <w:rFonts w:ascii="Times New Roman" w:hAnsi="Times New Roman"/>
          <w:sz w:val="24"/>
          <w:szCs w:val="24"/>
        </w:rPr>
        <w:t xml:space="preserve"> </w:t>
      </w:r>
      <w:r w:rsidR="00EA4DE4" w:rsidRPr="00236568">
        <w:rPr>
          <w:rFonts w:ascii="Times New Roman" w:hAnsi="Times New Roman"/>
          <w:sz w:val="24"/>
          <w:szCs w:val="24"/>
        </w:rPr>
        <w:t xml:space="preserve">customers. </w:t>
      </w:r>
      <w:proofErr w:type="gramStart"/>
      <w:r w:rsidR="00EA4DE4" w:rsidRPr="00236568">
        <w:rPr>
          <w:rFonts w:ascii="Times New Roman" w:hAnsi="Times New Roman"/>
          <w:sz w:val="24"/>
          <w:szCs w:val="24"/>
        </w:rPr>
        <w:t xml:space="preserve">The financial sector </w:t>
      </w:r>
      <w:r w:rsidR="005B28BD">
        <w:rPr>
          <w:rFonts w:ascii="Times New Roman" w:hAnsi="Times New Roman"/>
          <w:sz w:val="24"/>
          <w:szCs w:val="24"/>
        </w:rPr>
        <w:t xml:space="preserve">together </w:t>
      </w:r>
      <w:r w:rsidR="00EA4DE4" w:rsidRPr="00236568">
        <w:rPr>
          <w:rFonts w:ascii="Times New Roman" w:hAnsi="Times New Roman"/>
          <w:sz w:val="24"/>
          <w:szCs w:val="24"/>
        </w:rPr>
        <w:t xml:space="preserve">with the </w:t>
      </w:r>
      <w:r w:rsidR="00FA4356">
        <w:rPr>
          <w:rFonts w:ascii="Times New Roman" w:hAnsi="Times New Roman"/>
          <w:sz w:val="24"/>
          <w:szCs w:val="24"/>
        </w:rPr>
        <w:t xml:space="preserve">competent </w:t>
      </w:r>
      <w:r w:rsidR="00EA4DE4" w:rsidRPr="00236568">
        <w:rPr>
          <w:rFonts w:ascii="Times New Roman" w:hAnsi="Times New Roman"/>
          <w:sz w:val="24"/>
          <w:szCs w:val="24"/>
        </w:rPr>
        <w:t xml:space="preserve">authorities </w:t>
      </w:r>
      <w:r w:rsidRPr="00236568">
        <w:rPr>
          <w:rFonts w:ascii="Times New Roman" w:hAnsi="Times New Roman"/>
          <w:sz w:val="24"/>
          <w:szCs w:val="24"/>
        </w:rPr>
        <w:t>should further improve</w:t>
      </w:r>
      <w:r w:rsidR="00EA4DE4" w:rsidRPr="00236568">
        <w:rPr>
          <w:rFonts w:ascii="Times New Roman" w:hAnsi="Times New Roman"/>
          <w:sz w:val="24"/>
          <w:szCs w:val="24"/>
        </w:rPr>
        <w:t xml:space="preserve"> e</w:t>
      </w:r>
      <w:r w:rsidR="00FA4356">
        <w:rPr>
          <w:rFonts w:ascii="Times New Roman" w:hAnsi="Times New Roman"/>
          <w:sz w:val="24"/>
          <w:szCs w:val="24"/>
        </w:rPr>
        <w:t xml:space="preserve">lectronic </w:t>
      </w:r>
      <w:r w:rsidR="00EA4DE4" w:rsidRPr="00236568">
        <w:rPr>
          <w:rFonts w:ascii="Times New Roman" w:hAnsi="Times New Roman"/>
          <w:sz w:val="24"/>
          <w:szCs w:val="24"/>
        </w:rPr>
        <w:t>identification tools</w:t>
      </w:r>
      <w:r w:rsidRPr="00236568">
        <w:rPr>
          <w:rFonts w:ascii="Times New Roman" w:hAnsi="Times New Roman"/>
          <w:sz w:val="24"/>
          <w:szCs w:val="24"/>
        </w:rPr>
        <w:t xml:space="preserve">, </w:t>
      </w:r>
      <w:r w:rsidR="00EA4DE4" w:rsidRPr="00236568">
        <w:rPr>
          <w:rFonts w:ascii="Times New Roman" w:hAnsi="Times New Roman"/>
          <w:sz w:val="24"/>
          <w:szCs w:val="24"/>
        </w:rPr>
        <w:t>develop common</w:t>
      </w:r>
      <w:r w:rsidRPr="00236568">
        <w:rPr>
          <w:rFonts w:ascii="Times New Roman" w:hAnsi="Times New Roman"/>
          <w:sz w:val="24"/>
          <w:szCs w:val="24"/>
        </w:rPr>
        <w:t xml:space="preserve"> information</w:t>
      </w:r>
      <w:r w:rsidR="00EA4DE4" w:rsidRPr="00236568">
        <w:rPr>
          <w:rFonts w:ascii="Times New Roman" w:hAnsi="Times New Roman"/>
          <w:sz w:val="24"/>
          <w:szCs w:val="24"/>
        </w:rPr>
        <w:t xml:space="preserve"> portals that provide public and financial institutions </w:t>
      </w:r>
      <w:r w:rsidR="00631DE3" w:rsidRPr="00236568">
        <w:rPr>
          <w:rFonts w:ascii="Times New Roman" w:hAnsi="Times New Roman"/>
          <w:sz w:val="24"/>
          <w:szCs w:val="24"/>
        </w:rPr>
        <w:t>with</w:t>
      </w:r>
      <w:r w:rsidR="00EA4DE4" w:rsidRPr="00236568">
        <w:rPr>
          <w:rFonts w:ascii="Times New Roman" w:hAnsi="Times New Roman"/>
          <w:sz w:val="24"/>
          <w:szCs w:val="24"/>
        </w:rPr>
        <w:t xml:space="preserve"> safe and secure </w:t>
      </w:r>
      <w:r w:rsidR="00631DE3" w:rsidRPr="00236568">
        <w:rPr>
          <w:rFonts w:ascii="Times New Roman" w:hAnsi="Times New Roman"/>
          <w:sz w:val="24"/>
          <w:szCs w:val="24"/>
        </w:rPr>
        <w:t xml:space="preserve">data </w:t>
      </w:r>
      <w:r w:rsidR="00EA4DE4" w:rsidRPr="00236568">
        <w:rPr>
          <w:rFonts w:ascii="Times New Roman" w:hAnsi="Times New Roman"/>
          <w:sz w:val="24"/>
          <w:szCs w:val="24"/>
        </w:rPr>
        <w:t xml:space="preserve">interchange, for </w:t>
      </w:r>
      <w:r w:rsidR="005B28BD">
        <w:rPr>
          <w:rFonts w:ascii="Times New Roman" w:hAnsi="Times New Roman"/>
          <w:sz w:val="24"/>
          <w:szCs w:val="24"/>
        </w:rPr>
        <w:t>instance</w:t>
      </w:r>
      <w:r w:rsidR="00EA4DE4" w:rsidRPr="00236568">
        <w:rPr>
          <w:rFonts w:ascii="Times New Roman" w:hAnsi="Times New Roman"/>
          <w:sz w:val="24"/>
          <w:szCs w:val="24"/>
        </w:rPr>
        <w:t>,</w:t>
      </w:r>
      <w:r w:rsidR="00631DE3" w:rsidRPr="00236568">
        <w:rPr>
          <w:rFonts w:ascii="Times New Roman" w:hAnsi="Times New Roman"/>
          <w:sz w:val="24"/>
          <w:szCs w:val="24"/>
        </w:rPr>
        <w:t xml:space="preserve"> </w:t>
      </w:r>
      <w:r w:rsidR="005B28BD">
        <w:rPr>
          <w:rFonts w:ascii="Times New Roman" w:hAnsi="Times New Roman"/>
          <w:sz w:val="24"/>
          <w:szCs w:val="24"/>
        </w:rPr>
        <w:t xml:space="preserve">functionally </w:t>
      </w:r>
      <w:r w:rsidR="005B28BD" w:rsidRPr="00236568">
        <w:rPr>
          <w:rFonts w:ascii="Times New Roman" w:hAnsi="Times New Roman"/>
          <w:sz w:val="24"/>
          <w:szCs w:val="24"/>
        </w:rPr>
        <w:t>improve</w:t>
      </w:r>
      <w:r w:rsidR="005B28BD">
        <w:rPr>
          <w:rFonts w:ascii="Times New Roman" w:hAnsi="Times New Roman"/>
          <w:sz w:val="24"/>
          <w:szCs w:val="24"/>
        </w:rPr>
        <w:t>d</w:t>
      </w:r>
      <w:r w:rsidR="005B28BD" w:rsidRPr="00236568">
        <w:rPr>
          <w:rFonts w:ascii="Times New Roman" w:hAnsi="Times New Roman"/>
          <w:sz w:val="24"/>
          <w:szCs w:val="24"/>
        </w:rPr>
        <w:t xml:space="preserve"> </w:t>
      </w:r>
      <w:r w:rsidR="00EA4DE4" w:rsidRPr="00236568">
        <w:rPr>
          <w:rFonts w:ascii="Times New Roman" w:hAnsi="Times New Roman"/>
          <w:sz w:val="24"/>
          <w:szCs w:val="24"/>
        </w:rPr>
        <w:t xml:space="preserve">accounts </w:t>
      </w:r>
      <w:r w:rsidR="00EA4DE4" w:rsidRPr="00236568">
        <w:rPr>
          <w:rFonts w:ascii="Times New Roman" w:hAnsi="Times New Roman"/>
          <w:sz w:val="24"/>
          <w:szCs w:val="24"/>
        </w:rPr>
        <w:lastRenderedPageBreak/>
        <w:t>regist</w:t>
      </w:r>
      <w:r w:rsidR="005B28BD">
        <w:rPr>
          <w:rFonts w:ascii="Times New Roman" w:hAnsi="Times New Roman"/>
          <w:sz w:val="24"/>
          <w:szCs w:val="24"/>
        </w:rPr>
        <w:t>er</w:t>
      </w:r>
      <w:r w:rsidR="00631DE3" w:rsidRPr="00236568">
        <w:rPr>
          <w:rFonts w:ascii="Times New Roman" w:hAnsi="Times New Roman"/>
          <w:sz w:val="24"/>
          <w:szCs w:val="24"/>
        </w:rPr>
        <w:t>,</w:t>
      </w:r>
      <w:r w:rsidR="00EA4DE4" w:rsidRPr="00236568">
        <w:rPr>
          <w:rFonts w:ascii="Times New Roman" w:hAnsi="Times New Roman"/>
          <w:sz w:val="24"/>
          <w:szCs w:val="24"/>
        </w:rPr>
        <w:t xml:space="preserve"> </w:t>
      </w:r>
      <w:r w:rsidR="005B28BD" w:rsidRPr="00236568">
        <w:rPr>
          <w:rFonts w:ascii="Times New Roman" w:hAnsi="Times New Roman"/>
          <w:sz w:val="24"/>
          <w:szCs w:val="24"/>
        </w:rPr>
        <w:t>improve</w:t>
      </w:r>
      <w:r w:rsidR="005B28BD">
        <w:rPr>
          <w:rFonts w:ascii="Times New Roman" w:hAnsi="Times New Roman"/>
          <w:sz w:val="24"/>
          <w:szCs w:val="24"/>
        </w:rPr>
        <w:t>d</w:t>
      </w:r>
      <w:r w:rsidR="005B28BD" w:rsidRPr="00236568">
        <w:rPr>
          <w:rFonts w:ascii="Times New Roman" w:hAnsi="Times New Roman"/>
          <w:sz w:val="24"/>
          <w:szCs w:val="24"/>
        </w:rPr>
        <w:t xml:space="preserve"> </w:t>
      </w:r>
      <w:r w:rsidR="00EA4DE4" w:rsidRPr="00236568">
        <w:rPr>
          <w:rFonts w:ascii="Times New Roman" w:hAnsi="Times New Roman"/>
          <w:sz w:val="24"/>
          <w:szCs w:val="24"/>
        </w:rPr>
        <w:t>exc</w:t>
      </w:r>
      <w:r w:rsidR="00631DE3" w:rsidRPr="00236568">
        <w:rPr>
          <w:rFonts w:ascii="Times New Roman" w:hAnsi="Times New Roman"/>
          <w:sz w:val="24"/>
          <w:szCs w:val="24"/>
        </w:rPr>
        <w:t>hange of information on bailiff</w:t>
      </w:r>
      <w:r w:rsidR="00EA4DE4" w:rsidRPr="00236568">
        <w:rPr>
          <w:rFonts w:ascii="Times New Roman" w:hAnsi="Times New Roman"/>
          <w:sz w:val="24"/>
          <w:szCs w:val="24"/>
        </w:rPr>
        <w:t xml:space="preserve"> orders</w:t>
      </w:r>
      <w:r w:rsidR="00631DE3" w:rsidRPr="00236568">
        <w:rPr>
          <w:rFonts w:ascii="Times New Roman" w:hAnsi="Times New Roman"/>
          <w:sz w:val="24"/>
          <w:szCs w:val="24"/>
        </w:rPr>
        <w:t xml:space="preserve">, as well as </w:t>
      </w:r>
      <w:r w:rsidR="00EA4DE4" w:rsidRPr="00236568">
        <w:rPr>
          <w:rFonts w:ascii="Times New Roman" w:hAnsi="Times New Roman"/>
          <w:sz w:val="24"/>
          <w:szCs w:val="24"/>
        </w:rPr>
        <w:t xml:space="preserve"> </w:t>
      </w:r>
      <w:r w:rsidR="005B28BD" w:rsidRPr="00236568">
        <w:rPr>
          <w:rFonts w:ascii="Times New Roman" w:hAnsi="Times New Roman"/>
          <w:sz w:val="24"/>
          <w:szCs w:val="24"/>
        </w:rPr>
        <w:t>introduc</w:t>
      </w:r>
      <w:r w:rsidR="005B28BD">
        <w:rPr>
          <w:rFonts w:ascii="Times New Roman" w:hAnsi="Times New Roman"/>
          <w:sz w:val="24"/>
          <w:szCs w:val="24"/>
        </w:rPr>
        <w:t>ing</w:t>
      </w:r>
      <w:r w:rsidR="005B28BD" w:rsidRPr="00236568">
        <w:rPr>
          <w:rFonts w:ascii="Times New Roman" w:hAnsi="Times New Roman"/>
          <w:sz w:val="24"/>
          <w:szCs w:val="24"/>
        </w:rPr>
        <w:t xml:space="preserve"> </w:t>
      </w:r>
      <w:r w:rsidR="00EA4DE4" w:rsidRPr="00236568">
        <w:rPr>
          <w:rFonts w:ascii="Times New Roman" w:hAnsi="Times New Roman"/>
          <w:sz w:val="24"/>
          <w:szCs w:val="24"/>
        </w:rPr>
        <w:t>different e</w:t>
      </w:r>
      <w:r w:rsidR="005B28BD">
        <w:rPr>
          <w:rFonts w:ascii="Times New Roman" w:hAnsi="Times New Roman"/>
          <w:sz w:val="24"/>
          <w:szCs w:val="24"/>
        </w:rPr>
        <w:t xml:space="preserve">lectronic </w:t>
      </w:r>
      <w:r w:rsidR="00EA4DE4" w:rsidRPr="00236568">
        <w:rPr>
          <w:rFonts w:ascii="Times New Roman" w:hAnsi="Times New Roman"/>
          <w:sz w:val="24"/>
          <w:szCs w:val="24"/>
        </w:rPr>
        <w:t xml:space="preserve">solutions </w:t>
      </w:r>
      <w:r w:rsidR="00631DE3" w:rsidRPr="00236568">
        <w:rPr>
          <w:rFonts w:ascii="Times New Roman" w:hAnsi="Times New Roman"/>
          <w:sz w:val="24"/>
          <w:szCs w:val="24"/>
        </w:rPr>
        <w:t>for</w:t>
      </w:r>
      <w:r w:rsidR="00EA4DE4" w:rsidRPr="00236568">
        <w:rPr>
          <w:rFonts w:ascii="Times New Roman" w:hAnsi="Times New Roman"/>
          <w:sz w:val="24"/>
          <w:szCs w:val="24"/>
        </w:rPr>
        <w:t xml:space="preserve"> tax collection without changing the responsibility for the correct tax calculation,</w:t>
      </w:r>
      <w:r w:rsidR="00631DE3" w:rsidRPr="00236568">
        <w:rPr>
          <w:rFonts w:ascii="Times New Roman" w:hAnsi="Times New Roman"/>
          <w:sz w:val="24"/>
          <w:szCs w:val="24"/>
        </w:rPr>
        <w:t xml:space="preserve"> and</w:t>
      </w:r>
      <w:r w:rsidR="00EA4DE4" w:rsidRPr="00236568">
        <w:rPr>
          <w:rFonts w:ascii="Times New Roman" w:hAnsi="Times New Roman"/>
          <w:sz w:val="24"/>
          <w:szCs w:val="24"/>
        </w:rPr>
        <w:t xml:space="preserve"> </w:t>
      </w:r>
      <w:r w:rsidR="00631DE3" w:rsidRPr="00236568">
        <w:rPr>
          <w:rFonts w:ascii="Times New Roman" w:hAnsi="Times New Roman"/>
          <w:sz w:val="24"/>
          <w:szCs w:val="24"/>
        </w:rPr>
        <w:t xml:space="preserve">transfer of </w:t>
      </w:r>
      <w:r w:rsidR="00EA4DE4" w:rsidRPr="00236568">
        <w:rPr>
          <w:rFonts w:ascii="Times New Roman" w:hAnsi="Times New Roman"/>
          <w:sz w:val="24"/>
          <w:szCs w:val="24"/>
        </w:rPr>
        <w:t>information (data) on tax debtors to credit bureau.</w:t>
      </w:r>
      <w:proofErr w:type="gramEnd"/>
    </w:p>
    <w:p w14:paraId="27A3E9F7" w14:textId="18A03C09" w:rsidR="00B60D4C" w:rsidRPr="00236568" w:rsidRDefault="00716471">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The d</w:t>
      </w:r>
      <w:r w:rsidR="00B60D4C" w:rsidRPr="00236568">
        <w:rPr>
          <w:rFonts w:ascii="Times New Roman" w:hAnsi="Times New Roman"/>
          <w:sz w:val="24"/>
          <w:szCs w:val="24"/>
        </w:rPr>
        <w:t xml:space="preserve">evelopment of digital tools and services in the financial services sector meets the needs of consumers and investors, as well as supports </w:t>
      </w:r>
      <w:proofErr w:type="gramStart"/>
      <w:r w:rsidR="00B60D4C" w:rsidRPr="00236568">
        <w:rPr>
          <w:rFonts w:ascii="Times New Roman" w:hAnsi="Times New Roman"/>
          <w:sz w:val="24"/>
          <w:szCs w:val="24"/>
        </w:rPr>
        <w:t>productivity</w:t>
      </w:r>
      <w:r w:rsidR="00A03FC1" w:rsidRPr="00236568">
        <w:rPr>
          <w:rFonts w:ascii="Times New Roman" w:hAnsi="Times New Roman"/>
          <w:sz w:val="24"/>
          <w:szCs w:val="24"/>
        </w:rPr>
        <w:t>,</w:t>
      </w:r>
      <w:proofErr w:type="gramEnd"/>
      <w:r w:rsidR="00A03FC1" w:rsidRPr="00236568">
        <w:rPr>
          <w:rFonts w:ascii="Times New Roman" w:hAnsi="Times New Roman"/>
          <w:sz w:val="24"/>
          <w:szCs w:val="24"/>
        </w:rPr>
        <w:t xml:space="preserve"> </w:t>
      </w:r>
      <w:r w:rsidRPr="00236568">
        <w:rPr>
          <w:rFonts w:ascii="Times New Roman" w:hAnsi="Times New Roman"/>
          <w:sz w:val="24"/>
          <w:szCs w:val="24"/>
        </w:rPr>
        <w:t>however</w:t>
      </w:r>
      <w:r w:rsidR="00A03FC1" w:rsidRPr="00236568">
        <w:rPr>
          <w:rFonts w:ascii="Times New Roman" w:hAnsi="Times New Roman"/>
          <w:sz w:val="24"/>
          <w:szCs w:val="24"/>
        </w:rPr>
        <w:t xml:space="preserve"> it is necessary to ensure that it does not harm t</w:t>
      </w:r>
      <w:r w:rsidR="002F01D2">
        <w:rPr>
          <w:rFonts w:ascii="Times New Roman" w:hAnsi="Times New Roman"/>
          <w:sz w:val="24"/>
          <w:szCs w:val="24"/>
        </w:rPr>
        <w:t>he</w:t>
      </w:r>
      <w:r w:rsidR="00A03FC1" w:rsidRPr="00236568">
        <w:rPr>
          <w:rFonts w:ascii="Times New Roman" w:hAnsi="Times New Roman"/>
          <w:sz w:val="24"/>
          <w:szCs w:val="24"/>
        </w:rPr>
        <w:t xml:space="preserve"> reputation of state, as a growing financial centre</w:t>
      </w:r>
      <w:r w:rsidR="002F01D2">
        <w:rPr>
          <w:rFonts w:ascii="Times New Roman" w:hAnsi="Times New Roman"/>
          <w:sz w:val="24"/>
          <w:szCs w:val="24"/>
        </w:rPr>
        <w:t>.</w:t>
      </w:r>
      <w:r w:rsidR="00A03FC1" w:rsidRPr="00236568">
        <w:rPr>
          <w:rFonts w:ascii="Times New Roman" w:hAnsi="Times New Roman"/>
          <w:sz w:val="24"/>
          <w:szCs w:val="24"/>
        </w:rPr>
        <w:t xml:space="preserve"> </w:t>
      </w:r>
      <w:r w:rsidR="002F01D2">
        <w:rPr>
          <w:rFonts w:ascii="Times New Roman" w:hAnsi="Times New Roman"/>
          <w:sz w:val="24"/>
          <w:szCs w:val="24"/>
        </w:rPr>
        <w:t>I</w:t>
      </w:r>
      <w:r w:rsidR="00A03FC1" w:rsidRPr="00236568">
        <w:rPr>
          <w:rFonts w:ascii="Times New Roman" w:hAnsi="Times New Roman"/>
          <w:sz w:val="24"/>
          <w:szCs w:val="24"/>
        </w:rPr>
        <w:t xml:space="preserve">n </w:t>
      </w:r>
      <w:r w:rsidR="002F01D2">
        <w:rPr>
          <w:rFonts w:ascii="Times New Roman" w:hAnsi="Times New Roman"/>
          <w:sz w:val="24"/>
          <w:szCs w:val="24"/>
        </w:rPr>
        <w:t xml:space="preserve">a </w:t>
      </w:r>
      <w:r w:rsidR="00A03FC1" w:rsidRPr="00236568">
        <w:rPr>
          <w:rFonts w:ascii="Times New Roman" w:hAnsi="Times New Roman"/>
          <w:sz w:val="24"/>
          <w:szCs w:val="24"/>
        </w:rPr>
        <w:t xml:space="preserve">situation of </w:t>
      </w:r>
      <w:r w:rsidR="00B60D4C" w:rsidRPr="00236568">
        <w:rPr>
          <w:rFonts w:ascii="Times New Roman" w:hAnsi="Times New Roman"/>
          <w:sz w:val="24"/>
          <w:szCs w:val="24"/>
        </w:rPr>
        <w:t xml:space="preserve">insufficient </w:t>
      </w:r>
      <w:r w:rsidR="00A03FC1" w:rsidRPr="00236568">
        <w:rPr>
          <w:rFonts w:ascii="Times New Roman" w:hAnsi="Times New Roman"/>
          <w:sz w:val="24"/>
          <w:szCs w:val="24"/>
        </w:rPr>
        <w:t>regulation</w:t>
      </w:r>
      <w:r w:rsidR="00B60D4C" w:rsidRPr="00236568">
        <w:rPr>
          <w:rFonts w:ascii="Times New Roman" w:hAnsi="Times New Roman"/>
          <w:sz w:val="24"/>
          <w:szCs w:val="24"/>
        </w:rPr>
        <w:t xml:space="preserve"> </w:t>
      </w:r>
      <w:r w:rsidR="00EA225E">
        <w:rPr>
          <w:rFonts w:ascii="Times New Roman" w:hAnsi="Times New Roman"/>
          <w:sz w:val="24"/>
          <w:szCs w:val="24"/>
        </w:rPr>
        <w:t>payment</w:t>
      </w:r>
      <w:r w:rsidR="00B60D4C" w:rsidRPr="00236568">
        <w:rPr>
          <w:rFonts w:ascii="Times New Roman" w:hAnsi="Times New Roman"/>
          <w:sz w:val="24"/>
          <w:szCs w:val="24"/>
        </w:rPr>
        <w:t xml:space="preserve"> </w:t>
      </w:r>
      <w:r w:rsidR="00A03FC1" w:rsidRPr="00236568">
        <w:rPr>
          <w:rFonts w:ascii="Times New Roman" w:hAnsi="Times New Roman"/>
          <w:sz w:val="24"/>
          <w:szCs w:val="24"/>
        </w:rPr>
        <w:t>safety</w:t>
      </w:r>
      <w:r w:rsidRPr="00236568">
        <w:rPr>
          <w:rFonts w:ascii="Times New Roman" w:hAnsi="Times New Roman"/>
          <w:sz w:val="24"/>
          <w:szCs w:val="24"/>
        </w:rPr>
        <w:t xml:space="preserve"> can decrease</w:t>
      </w:r>
      <w:r w:rsidR="00A03FC1" w:rsidRPr="00236568">
        <w:rPr>
          <w:rFonts w:ascii="Times New Roman" w:hAnsi="Times New Roman"/>
          <w:sz w:val="24"/>
          <w:szCs w:val="24"/>
        </w:rPr>
        <w:t xml:space="preserve"> </w:t>
      </w:r>
      <w:r w:rsidR="00B60D4C" w:rsidRPr="00236568">
        <w:rPr>
          <w:rFonts w:ascii="Times New Roman" w:hAnsi="Times New Roman"/>
          <w:sz w:val="24"/>
          <w:szCs w:val="24"/>
        </w:rPr>
        <w:t xml:space="preserve">and </w:t>
      </w:r>
      <w:r w:rsidR="002F01D2">
        <w:rPr>
          <w:rFonts w:ascii="Times New Roman" w:hAnsi="Times New Roman"/>
          <w:sz w:val="24"/>
          <w:szCs w:val="24"/>
        </w:rPr>
        <w:t xml:space="preserve">therefore </w:t>
      </w:r>
      <w:r w:rsidR="00B60D4C" w:rsidRPr="00236568">
        <w:rPr>
          <w:rFonts w:ascii="Times New Roman" w:hAnsi="Times New Roman"/>
          <w:sz w:val="24"/>
          <w:szCs w:val="24"/>
        </w:rPr>
        <w:t xml:space="preserve">facilitate </w:t>
      </w:r>
      <w:r w:rsidRPr="00236568">
        <w:rPr>
          <w:rFonts w:ascii="Times New Roman" w:hAnsi="Times New Roman"/>
          <w:sz w:val="24"/>
          <w:szCs w:val="24"/>
        </w:rPr>
        <w:t>money laundering and terrorist financing</w:t>
      </w:r>
      <w:r w:rsidR="00B60D4C" w:rsidRPr="00236568">
        <w:rPr>
          <w:rFonts w:ascii="Times New Roman" w:hAnsi="Times New Roman"/>
          <w:sz w:val="24"/>
          <w:szCs w:val="24"/>
        </w:rPr>
        <w:t xml:space="preserve">, </w:t>
      </w:r>
      <w:r w:rsidR="002F01D2">
        <w:rPr>
          <w:rFonts w:ascii="Times New Roman" w:hAnsi="Times New Roman"/>
          <w:sz w:val="24"/>
          <w:szCs w:val="24"/>
        </w:rPr>
        <w:t xml:space="preserve">as well as </w:t>
      </w:r>
      <w:r w:rsidR="00B60D4C" w:rsidRPr="00236568">
        <w:rPr>
          <w:rFonts w:ascii="Times New Roman" w:hAnsi="Times New Roman"/>
          <w:sz w:val="24"/>
          <w:szCs w:val="24"/>
        </w:rPr>
        <w:t>increase two traditional system</w:t>
      </w:r>
      <w:r w:rsidRPr="00236568">
        <w:rPr>
          <w:rFonts w:ascii="Times New Roman" w:hAnsi="Times New Roman"/>
          <w:sz w:val="24"/>
          <w:szCs w:val="24"/>
        </w:rPr>
        <w:t>ic</w:t>
      </w:r>
      <w:r w:rsidR="00B60D4C" w:rsidRPr="00236568">
        <w:rPr>
          <w:rFonts w:ascii="Times New Roman" w:hAnsi="Times New Roman"/>
          <w:sz w:val="24"/>
          <w:szCs w:val="24"/>
        </w:rPr>
        <w:t xml:space="preserve"> risks</w:t>
      </w:r>
      <w:r w:rsidRPr="00236568">
        <w:rPr>
          <w:rFonts w:ascii="Times New Roman" w:hAnsi="Times New Roman"/>
          <w:sz w:val="24"/>
          <w:szCs w:val="24"/>
        </w:rPr>
        <w:t xml:space="preserve"> in finance</w:t>
      </w:r>
      <w:r w:rsidR="00B60D4C" w:rsidRPr="00236568">
        <w:rPr>
          <w:rFonts w:ascii="Times New Roman" w:hAnsi="Times New Roman"/>
          <w:sz w:val="24"/>
          <w:szCs w:val="24"/>
        </w:rPr>
        <w:t xml:space="preserve"> - credit risk and liquidity risk. </w:t>
      </w:r>
    </w:p>
    <w:p w14:paraId="0D98B175" w14:textId="32D8A1BF" w:rsidR="00A03FC1" w:rsidRPr="00236568" w:rsidRDefault="00A03FC1">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Therefore</w:t>
      </w:r>
      <w:r w:rsidR="00436E8D">
        <w:rPr>
          <w:rFonts w:ascii="Times New Roman" w:hAnsi="Times New Roman"/>
          <w:sz w:val="24"/>
          <w:szCs w:val="24"/>
        </w:rPr>
        <w:t>,</w:t>
      </w:r>
      <w:r w:rsidRPr="00236568">
        <w:rPr>
          <w:rFonts w:ascii="Times New Roman" w:hAnsi="Times New Roman"/>
          <w:sz w:val="24"/>
          <w:szCs w:val="24"/>
        </w:rPr>
        <w:t xml:space="preserve"> contributing to the digitization and innovation are critical to ensure proper regulatory</w:t>
      </w:r>
      <w:r w:rsidR="009D211A" w:rsidRPr="00236568">
        <w:rPr>
          <w:rFonts w:ascii="Times New Roman" w:hAnsi="Times New Roman"/>
          <w:sz w:val="24"/>
          <w:szCs w:val="24"/>
        </w:rPr>
        <w:t xml:space="preserve"> </w:t>
      </w:r>
      <w:r w:rsidR="00BA72FA" w:rsidRPr="00236568">
        <w:rPr>
          <w:rFonts w:ascii="Times New Roman" w:hAnsi="Times New Roman"/>
          <w:sz w:val="24"/>
          <w:szCs w:val="24"/>
        </w:rPr>
        <w:t>framework</w:t>
      </w:r>
      <w:r w:rsidRPr="00236568">
        <w:rPr>
          <w:rFonts w:ascii="Times New Roman" w:hAnsi="Times New Roman"/>
          <w:sz w:val="24"/>
          <w:szCs w:val="24"/>
        </w:rPr>
        <w:t xml:space="preserve">, including </w:t>
      </w:r>
      <w:r w:rsidR="009D211A" w:rsidRPr="00236568">
        <w:rPr>
          <w:rFonts w:ascii="Times New Roman" w:hAnsi="Times New Roman"/>
          <w:sz w:val="24"/>
          <w:szCs w:val="24"/>
        </w:rPr>
        <w:t>AML/</w:t>
      </w:r>
      <w:r w:rsidR="00436E8D">
        <w:rPr>
          <w:rFonts w:ascii="Times New Roman" w:hAnsi="Times New Roman"/>
          <w:sz w:val="24"/>
          <w:szCs w:val="24"/>
        </w:rPr>
        <w:t>C</w:t>
      </w:r>
      <w:r w:rsidR="009D211A" w:rsidRPr="00236568">
        <w:rPr>
          <w:rFonts w:ascii="Times New Roman" w:hAnsi="Times New Roman"/>
          <w:sz w:val="24"/>
          <w:szCs w:val="24"/>
        </w:rPr>
        <w:t>TF</w:t>
      </w:r>
      <w:r w:rsidRPr="00236568">
        <w:rPr>
          <w:rFonts w:ascii="Times New Roman" w:hAnsi="Times New Roman"/>
          <w:sz w:val="24"/>
          <w:szCs w:val="24"/>
        </w:rPr>
        <w:t xml:space="preserve"> and reputational </w:t>
      </w:r>
      <w:r w:rsidR="00BA72FA" w:rsidRPr="00236568">
        <w:rPr>
          <w:rFonts w:ascii="Times New Roman" w:hAnsi="Times New Roman"/>
          <w:sz w:val="24"/>
          <w:szCs w:val="24"/>
        </w:rPr>
        <w:t>requirements</w:t>
      </w:r>
      <w:r w:rsidRPr="00236568">
        <w:rPr>
          <w:rFonts w:ascii="Times New Roman" w:hAnsi="Times New Roman"/>
          <w:sz w:val="24"/>
          <w:szCs w:val="24"/>
        </w:rPr>
        <w:t xml:space="preserve">, as well as </w:t>
      </w:r>
      <w:r w:rsidR="00BA72FA" w:rsidRPr="00236568">
        <w:rPr>
          <w:rFonts w:ascii="Times New Roman" w:hAnsi="Times New Roman"/>
          <w:sz w:val="24"/>
          <w:szCs w:val="24"/>
        </w:rPr>
        <w:t xml:space="preserve">regular compliance assessment of </w:t>
      </w:r>
      <w:r w:rsidRPr="00236568">
        <w:rPr>
          <w:rFonts w:ascii="Times New Roman" w:hAnsi="Times New Roman"/>
          <w:sz w:val="24"/>
          <w:szCs w:val="24"/>
        </w:rPr>
        <w:t>financial sec</w:t>
      </w:r>
      <w:r w:rsidR="00BA72FA" w:rsidRPr="00236568">
        <w:rPr>
          <w:rFonts w:ascii="Times New Roman" w:hAnsi="Times New Roman"/>
          <w:sz w:val="24"/>
          <w:szCs w:val="24"/>
        </w:rPr>
        <w:t xml:space="preserve">tor and its individual elements. </w:t>
      </w:r>
      <w:r w:rsidRPr="00236568">
        <w:rPr>
          <w:rFonts w:ascii="Times New Roman" w:hAnsi="Times New Roman"/>
          <w:sz w:val="24"/>
          <w:szCs w:val="24"/>
        </w:rPr>
        <w:t xml:space="preserve">These conditions </w:t>
      </w:r>
      <w:r w:rsidR="00716471" w:rsidRPr="00236568">
        <w:rPr>
          <w:rFonts w:ascii="Times New Roman" w:hAnsi="Times New Roman"/>
          <w:sz w:val="24"/>
          <w:szCs w:val="24"/>
        </w:rPr>
        <w:t xml:space="preserve">should </w:t>
      </w:r>
      <w:r w:rsidRPr="00236568">
        <w:rPr>
          <w:rFonts w:ascii="Times New Roman" w:hAnsi="Times New Roman"/>
          <w:sz w:val="24"/>
          <w:szCs w:val="24"/>
        </w:rPr>
        <w:t xml:space="preserve">also apply to innovative financial services, preventing </w:t>
      </w:r>
      <w:r w:rsidR="00716471" w:rsidRPr="00236568">
        <w:rPr>
          <w:rFonts w:ascii="Times New Roman" w:hAnsi="Times New Roman"/>
          <w:sz w:val="24"/>
          <w:szCs w:val="24"/>
        </w:rPr>
        <w:t xml:space="preserve">increased </w:t>
      </w:r>
      <w:r w:rsidR="00BA72FA" w:rsidRPr="00236568">
        <w:rPr>
          <w:rFonts w:ascii="Times New Roman" w:hAnsi="Times New Roman"/>
          <w:sz w:val="24"/>
          <w:szCs w:val="24"/>
        </w:rPr>
        <w:t>ML/TF</w:t>
      </w:r>
      <w:r w:rsidRPr="00236568">
        <w:rPr>
          <w:rFonts w:ascii="Times New Roman" w:hAnsi="Times New Roman"/>
          <w:sz w:val="24"/>
          <w:szCs w:val="24"/>
        </w:rPr>
        <w:t xml:space="preserve"> risk exposure </w:t>
      </w:r>
      <w:r w:rsidR="00716471" w:rsidRPr="00236568">
        <w:rPr>
          <w:rFonts w:ascii="Times New Roman" w:hAnsi="Times New Roman"/>
          <w:sz w:val="24"/>
          <w:szCs w:val="24"/>
        </w:rPr>
        <w:t>to</w:t>
      </w:r>
      <w:r w:rsidRPr="00236568">
        <w:rPr>
          <w:rFonts w:ascii="Times New Roman" w:hAnsi="Times New Roman"/>
          <w:sz w:val="24"/>
          <w:szCs w:val="24"/>
        </w:rPr>
        <w:t xml:space="preserve"> the provision of financial services to foreign </w:t>
      </w:r>
      <w:r w:rsidR="00271A4E" w:rsidRPr="00236568">
        <w:rPr>
          <w:rFonts w:ascii="Times New Roman" w:hAnsi="Times New Roman"/>
          <w:sz w:val="24"/>
          <w:szCs w:val="24"/>
        </w:rPr>
        <w:t>client</w:t>
      </w:r>
      <w:r w:rsidRPr="00236568">
        <w:rPr>
          <w:rFonts w:ascii="Times New Roman" w:hAnsi="Times New Roman"/>
          <w:sz w:val="24"/>
          <w:szCs w:val="24"/>
        </w:rPr>
        <w:t xml:space="preserve">s. </w:t>
      </w:r>
      <w:r w:rsidR="00436E8D">
        <w:rPr>
          <w:rFonts w:ascii="Times New Roman" w:hAnsi="Times New Roman"/>
          <w:sz w:val="24"/>
          <w:szCs w:val="24"/>
        </w:rPr>
        <w:t xml:space="preserve">Insufficient </w:t>
      </w:r>
      <w:r w:rsidR="004326C4" w:rsidRPr="00236568">
        <w:rPr>
          <w:rFonts w:ascii="Times New Roman" w:hAnsi="Times New Roman"/>
          <w:sz w:val="24"/>
          <w:szCs w:val="24"/>
        </w:rPr>
        <w:t xml:space="preserve">management of this risk </w:t>
      </w:r>
      <w:r w:rsidRPr="00236568">
        <w:rPr>
          <w:rFonts w:ascii="Times New Roman" w:hAnsi="Times New Roman"/>
          <w:sz w:val="24"/>
          <w:szCs w:val="24"/>
        </w:rPr>
        <w:t xml:space="preserve">exposure </w:t>
      </w:r>
      <w:r w:rsidR="004326C4" w:rsidRPr="00236568">
        <w:rPr>
          <w:rFonts w:ascii="Times New Roman" w:hAnsi="Times New Roman"/>
          <w:sz w:val="24"/>
          <w:szCs w:val="24"/>
        </w:rPr>
        <w:t>can be</w:t>
      </w:r>
      <w:r w:rsidRPr="00236568">
        <w:rPr>
          <w:rFonts w:ascii="Times New Roman" w:hAnsi="Times New Roman"/>
          <w:sz w:val="24"/>
          <w:szCs w:val="24"/>
        </w:rPr>
        <w:t xml:space="preserve"> the most </w:t>
      </w:r>
      <w:r w:rsidR="004326C4" w:rsidRPr="00236568">
        <w:rPr>
          <w:rFonts w:ascii="Times New Roman" w:hAnsi="Times New Roman"/>
          <w:sz w:val="24"/>
          <w:szCs w:val="24"/>
        </w:rPr>
        <w:t>significant</w:t>
      </w:r>
      <w:r w:rsidRPr="00236568">
        <w:rPr>
          <w:rFonts w:ascii="Times New Roman" w:hAnsi="Times New Roman"/>
          <w:sz w:val="24"/>
          <w:szCs w:val="24"/>
        </w:rPr>
        <w:t xml:space="preserve"> </w:t>
      </w:r>
      <w:r w:rsidR="004326C4" w:rsidRPr="00236568">
        <w:rPr>
          <w:rFonts w:ascii="Times New Roman" w:hAnsi="Times New Roman"/>
          <w:sz w:val="24"/>
          <w:szCs w:val="24"/>
        </w:rPr>
        <w:t>source of elevated</w:t>
      </w:r>
      <w:r w:rsidRPr="00236568">
        <w:rPr>
          <w:rFonts w:ascii="Times New Roman" w:hAnsi="Times New Roman"/>
          <w:sz w:val="24"/>
          <w:szCs w:val="24"/>
        </w:rPr>
        <w:t xml:space="preserve"> </w:t>
      </w:r>
      <w:r w:rsidR="007D3812" w:rsidRPr="00236568">
        <w:rPr>
          <w:rFonts w:ascii="Times New Roman" w:hAnsi="Times New Roman"/>
          <w:sz w:val="24"/>
          <w:szCs w:val="24"/>
        </w:rPr>
        <w:t>ML/TF</w:t>
      </w:r>
      <w:r w:rsidR="004326C4" w:rsidRPr="00236568">
        <w:rPr>
          <w:rFonts w:ascii="Times New Roman" w:hAnsi="Times New Roman"/>
          <w:sz w:val="24"/>
          <w:szCs w:val="24"/>
        </w:rPr>
        <w:t xml:space="preserve"> risk</w:t>
      </w:r>
      <w:r w:rsidRPr="00236568">
        <w:rPr>
          <w:rFonts w:ascii="Times New Roman" w:hAnsi="Times New Roman"/>
          <w:sz w:val="24"/>
          <w:szCs w:val="24"/>
        </w:rPr>
        <w:t xml:space="preserve">. For this </w:t>
      </w:r>
      <w:r w:rsidR="00436E8D">
        <w:rPr>
          <w:rFonts w:ascii="Times New Roman" w:hAnsi="Times New Roman"/>
          <w:sz w:val="24"/>
          <w:szCs w:val="24"/>
        </w:rPr>
        <w:t>reason</w:t>
      </w:r>
      <w:r w:rsidRPr="00236568">
        <w:rPr>
          <w:rFonts w:ascii="Times New Roman" w:hAnsi="Times New Roman"/>
          <w:sz w:val="24"/>
          <w:szCs w:val="24"/>
        </w:rPr>
        <w:t xml:space="preserve">, </w:t>
      </w:r>
      <w:r w:rsidR="007D3812" w:rsidRPr="00236568">
        <w:rPr>
          <w:rFonts w:ascii="Times New Roman" w:hAnsi="Times New Roman"/>
          <w:sz w:val="24"/>
          <w:szCs w:val="24"/>
        </w:rPr>
        <w:t>ML/TF</w:t>
      </w:r>
      <w:r w:rsidRPr="00236568">
        <w:rPr>
          <w:rFonts w:ascii="Times New Roman" w:hAnsi="Times New Roman"/>
          <w:sz w:val="24"/>
          <w:szCs w:val="24"/>
        </w:rPr>
        <w:t xml:space="preserve"> risk control will be provided, both in terms of innovative financial service business models </w:t>
      </w:r>
      <w:r w:rsidR="004326C4" w:rsidRPr="00236568">
        <w:rPr>
          <w:rFonts w:ascii="Times New Roman" w:hAnsi="Times New Roman"/>
          <w:sz w:val="24"/>
          <w:szCs w:val="24"/>
        </w:rPr>
        <w:t>and</w:t>
      </w:r>
      <w:r w:rsidRPr="00236568">
        <w:rPr>
          <w:rFonts w:ascii="Times New Roman" w:hAnsi="Times New Roman"/>
          <w:sz w:val="24"/>
          <w:szCs w:val="24"/>
        </w:rPr>
        <w:t xml:space="preserve"> plans, which should be transparent and economically sound, and </w:t>
      </w:r>
      <w:r w:rsidR="004326C4" w:rsidRPr="00236568">
        <w:rPr>
          <w:rFonts w:ascii="Times New Roman" w:hAnsi="Times New Roman"/>
          <w:sz w:val="24"/>
          <w:szCs w:val="24"/>
        </w:rPr>
        <w:t xml:space="preserve">with </w:t>
      </w:r>
      <w:r w:rsidRPr="00236568">
        <w:rPr>
          <w:rFonts w:ascii="Times New Roman" w:hAnsi="Times New Roman"/>
          <w:sz w:val="24"/>
          <w:szCs w:val="24"/>
        </w:rPr>
        <w:t xml:space="preserve">a real contribution to the national economy, as well as </w:t>
      </w:r>
      <w:r w:rsidR="004326C4" w:rsidRPr="00236568">
        <w:rPr>
          <w:rFonts w:ascii="Times New Roman" w:hAnsi="Times New Roman"/>
          <w:sz w:val="24"/>
          <w:szCs w:val="24"/>
        </w:rPr>
        <w:t>with appropriate</w:t>
      </w:r>
      <w:r w:rsidRPr="00236568">
        <w:rPr>
          <w:rFonts w:ascii="Times New Roman" w:hAnsi="Times New Roman"/>
          <w:sz w:val="24"/>
          <w:szCs w:val="24"/>
        </w:rPr>
        <w:t xml:space="preserve"> </w:t>
      </w:r>
      <w:r w:rsidR="007D3812" w:rsidRPr="00236568">
        <w:rPr>
          <w:rFonts w:ascii="Times New Roman" w:hAnsi="Times New Roman"/>
          <w:sz w:val="24"/>
          <w:szCs w:val="24"/>
        </w:rPr>
        <w:t>ML/TF</w:t>
      </w:r>
      <w:r w:rsidRPr="00236568">
        <w:rPr>
          <w:rFonts w:ascii="Times New Roman" w:hAnsi="Times New Roman"/>
          <w:sz w:val="24"/>
          <w:szCs w:val="24"/>
        </w:rPr>
        <w:t xml:space="preserve"> risk mitigation measures, including restrictions on business volume and customer base.</w:t>
      </w:r>
    </w:p>
    <w:p w14:paraId="04500F69" w14:textId="77777777" w:rsidR="00105976" w:rsidRPr="00236568" w:rsidRDefault="00105976">
      <w:pPr>
        <w:spacing w:before="100" w:beforeAutospacing="1" w:after="100" w:afterAutospacing="1" w:line="240" w:lineRule="auto"/>
        <w:jc w:val="both"/>
        <w:rPr>
          <w:rFonts w:ascii="Times New Roman" w:hAnsi="Times New Roman"/>
          <w:sz w:val="24"/>
          <w:szCs w:val="24"/>
        </w:rPr>
      </w:pPr>
    </w:p>
    <w:p w14:paraId="5A04AC65" w14:textId="05FC0E40" w:rsidR="00B60D4C" w:rsidRPr="00236568" w:rsidRDefault="000C5D23" w:rsidP="00DE5FE5">
      <w:pPr>
        <w:pStyle w:val="Heading3"/>
        <w:spacing w:line="240" w:lineRule="auto"/>
      </w:pPr>
      <w:bookmarkStart w:id="7" w:name="_Toc479773679"/>
      <w:bookmarkStart w:id="8" w:name="_Toc479839713"/>
      <w:r w:rsidRPr="00236568">
        <w:t>1.</w:t>
      </w:r>
      <w:r w:rsidR="00B60D4C" w:rsidRPr="00236568">
        <w:t>1.2. The financial sector's safety and reputation</w:t>
      </w:r>
      <w:bookmarkEnd w:id="7"/>
      <w:bookmarkEnd w:id="8"/>
    </w:p>
    <w:p w14:paraId="1303520D" w14:textId="07E2135D" w:rsidR="000C5D23" w:rsidRPr="00236568" w:rsidRDefault="000C5D23" w:rsidP="00595DDE">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Reputation of financial sector is important factor that influences its development and international competitiveness in the Baltic region. Therefore, as a horizontal priority it is important to identify actions and measurable outcomes to improve and sustain reputation of the financial sector. Effective compliance with international standards and regulations by all market participants is as important. Therefore, it is necessary to strengthen the regulatory and requirements and prudential standards for bank and non-bank market participants providing exports of financial services. For Latvia, as a growing financial centre, the point of reference is the development of the correspondent banking relationship, in particular to maintain the direct correspondent banking relationship for U</w:t>
      </w:r>
      <w:r w:rsidR="00436E8D">
        <w:rPr>
          <w:rFonts w:ascii="Times New Roman" w:hAnsi="Times New Roman"/>
          <w:sz w:val="24"/>
          <w:szCs w:val="24"/>
        </w:rPr>
        <w:t>.</w:t>
      </w:r>
      <w:r w:rsidRPr="00236568">
        <w:rPr>
          <w:rFonts w:ascii="Times New Roman" w:hAnsi="Times New Roman"/>
          <w:sz w:val="24"/>
          <w:szCs w:val="24"/>
        </w:rPr>
        <w:t>S</w:t>
      </w:r>
      <w:r w:rsidR="00436E8D">
        <w:rPr>
          <w:rFonts w:ascii="Times New Roman" w:hAnsi="Times New Roman"/>
          <w:sz w:val="24"/>
          <w:szCs w:val="24"/>
        </w:rPr>
        <w:t>.</w:t>
      </w:r>
      <w:r w:rsidRPr="00236568">
        <w:rPr>
          <w:rFonts w:ascii="Times New Roman" w:hAnsi="Times New Roman"/>
          <w:sz w:val="24"/>
          <w:szCs w:val="24"/>
        </w:rPr>
        <w:t xml:space="preserve"> dollar transactions. </w:t>
      </w:r>
    </w:p>
    <w:p w14:paraId="016F7021" w14:textId="13BD6389" w:rsidR="000C5D23" w:rsidRPr="00236568" w:rsidRDefault="000C5D23" w:rsidP="00BF7917">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Elevated exposure of the Latvian financial sector towards ML/TF risks threatens the national reputation and long-term sustainable development of the Latvian financial sector. Therefore, the measures included in the </w:t>
      </w:r>
      <w:r w:rsidR="00F22730" w:rsidRPr="00236568">
        <w:rPr>
          <w:rFonts w:ascii="Times New Roman" w:hAnsi="Times New Roman"/>
          <w:sz w:val="24"/>
          <w:szCs w:val="24"/>
        </w:rPr>
        <w:t>Plan</w:t>
      </w:r>
      <w:r w:rsidRPr="00236568">
        <w:rPr>
          <w:rFonts w:ascii="Times New Roman" w:hAnsi="Times New Roman"/>
          <w:sz w:val="24"/>
          <w:szCs w:val="24"/>
        </w:rPr>
        <w:t xml:space="preserve"> </w:t>
      </w:r>
      <w:proofErr w:type="gramStart"/>
      <w:r w:rsidRPr="00236568">
        <w:rPr>
          <w:rFonts w:ascii="Times New Roman" w:hAnsi="Times New Roman"/>
          <w:sz w:val="24"/>
          <w:szCs w:val="24"/>
        </w:rPr>
        <w:t>are aimed</w:t>
      </w:r>
      <w:proofErr w:type="gramEnd"/>
      <w:r w:rsidRPr="00236568">
        <w:rPr>
          <w:rFonts w:ascii="Times New Roman" w:hAnsi="Times New Roman"/>
          <w:sz w:val="24"/>
          <w:szCs w:val="24"/>
        </w:rPr>
        <w:t xml:space="preserve"> at decrease of the ML/TF risks in a controlled and planned way. In order to ensure effective compliance function, </w:t>
      </w:r>
      <w:r w:rsidR="00F22730" w:rsidRPr="00236568">
        <w:rPr>
          <w:rFonts w:ascii="Times New Roman" w:hAnsi="Times New Roman"/>
          <w:sz w:val="24"/>
          <w:szCs w:val="24"/>
        </w:rPr>
        <w:t>measures of the Plan</w:t>
      </w:r>
      <w:r w:rsidRPr="00236568">
        <w:rPr>
          <w:rFonts w:ascii="Times New Roman" w:hAnsi="Times New Roman"/>
          <w:sz w:val="24"/>
          <w:szCs w:val="24"/>
        </w:rPr>
        <w:t xml:space="preserve"> must cover activities by both the financial sector and state institutions preventing the Latvian financial system from being used for corruptive activities, </w:t>
      </w:r>
      <w:r w:rsidR="00961BE3" w:rsidRPr="00236568">
        <w:rPr>
          <w:rFonts w:ascii="Times New Roman" w:hAnsi="Times New Roman"/>
          <w:sz w:val="24"/>
          <w:szCs w:val="24"/>
        </w:rPr>
        <w:t>ML/TF</w:t>
      </w:r>
      <w:r w:rsidRPr="00236568">
        <w:rPr>
          <w:rFonts w:ascii="Times New Roman" w:hAnsi="Times New Roman"/>
          <w:sz w:val="24"/>
          <w:szCs w:val="24"/>
        </w:rPr>
        <w:t xml:space="preserve">, and production, stockpiling, transfer, use and proliferation of weapons of mass destruction, as well as tax avoidance. To achieve this, decisive implementation of risk management compliant with best international practices and standards, and intolerance against any violations and illegal activities </w:t>
      </w:r>
      <w:proofErr w:type="gramStart"/>
      <w:r w:rsidRPr="00236568">
        <w:rPr>
          <w:rFonts w:ascii="Times New Roman" w:hAnsi="Times New Roman"/>
          <w:sz w:val="24"/>
          <w:szCs w:val="24"/>
        </w:rPr>
        <w:t>must be achieved</w:t>
      </w:r>
      <w:proofErr w:type="gramEnd"/>
      <w:r w:rsidRPr="00236568">
        <w:rPr>
          <w:rFonts w:ascii="Times New Roman" w:hAnsi="Times New Roman"/>
          <w:sz w:val="24"/>
          <w:szCs w:val="24"/>
        </w:rPr>
        <w:t xml:space="preserve">. For this reason, it is necessary to implement and maintain compliance system that </w:t>
      </w:r>
      <w:proofErr w:type="gramStart"/>
      <w:r w:rsidRPr="00236568">
        <w:rPr>
          <w:rFonts w:ascii="Times New Roman" w:hAnsi="Times New Roman"/>
          <w:sz w:val="24"/>
          <w:szCs w:val="24"/>
        </w:rPr>
        <w:t>is based</w:t>
      </w:r>
      <w:proofErr w:type="gramEnd"/>
      <w:r w:rsidRPr="00236568">
        <w:rPr>
          <w:rFonts w:ascii="Times New Roman" w:hAnsi="Times New Roman"/>
          <w:sz w:val="24"/>
          <w:szCs w:val="24"/>
        </w:rPr>
        <w:t xml:space="preserve"> on policies and procedures, personnel resources and training, and adequate technical support and quality control for the AML/CFT risk control functions, as well as external evaluation of effectiveness of the compliance measures. As a priority, the supervisory institutions and the relevant law enforcement institutions </w:t>
      </w:r>
      <w:proofErr w:type="gramStart"/>
      <w:r w:rsidRPr="00236568">
        <w:rPr>
          <w:rFonts w:ascii="Times New Roman" w:hAnsi="Times New Roman"/>
          <w:sz w:val="24"/>
          <w:szCs w:val="24"/>
        </w:rPr>
        <w:t>should be provided</w:t>
      </w:r>
      <w:proofErr w:type="gramEnd"/>
      <w:r w:rsidRPr="00236568">
        <w:rPr>
          <w:rFonts w:ascii="Times New Roman" w:hAnsi="Times New Roman"/>
          <w:sz w:val="24"/>
          <w:szCs w:val="24"/>
        </w:rPr>
        <w:t xml:space="preserve"> with adequate capacity, including modern technical and technological support, sufficient resources of personnel and regular </w:t>
      </w:r>
      <w:r w:rsidRPr="00236568">
        <w:rPr>
          <w:rFonts w:ascii="Times New Roman" w:hAnsi="Times New Roman"/>
          <w:sz w:val="24"/>
          <w:szCs w:val="24"/>
        </w:rPr>
        <w:lastRenderedPageBreak/>
        <w:t xml:space="preserve">professional training. In order to improve the efficiency of the supervisory institutions, their access to data registers </w:t>
      </w:r>
      <w:proofErr w:type="gramStart"/>
      <w:r w:rsidRPr="00236568">
        <w:rPr>
          <w:rFonts w:ascii="Times New Roman" w:hAnsi="Times New Roman"/>
          <w:sz w:val="24"/>
          <w:szCs w:val="24"/>
        </w:rPr>
        <w:t>must be ensured</w:t>
      </w:r>
      <w:proofErr w:type="gramEnd"/>
      <w:r w:rsidRPr="00236568">
        <w:rPr>
          <w:rFonts w:ascii="Times New Roman" w:hAnsi="Times New Roman"/>
          <w:sz w:val="24"/>
          <w:szCs w:val="24"/>
        </w:rPr>
        <w:t xml:space="preserve">, providing effective information exchange among them, at the same time complying with requirements of information security and protection of private data. Measures to improve the level of AML/CTF compliance go beyond amending legislation or improving quality of supervisory standards. It also requires improvements in effectiveness of control measures, including raising individual responsibility of the management of financial institutions for compliance with the AML/CTF requirements, as well as for timely and sufficient implementation of measures to reduce the ML/TF risks. It is also vital to strengthen control over expansion of the financial services sector by increasing requirements for those potential service providers that are likely to pose elevated AML/CFT risks by their client base, financial services they provide, or channels they use. Particular focus </w:t>
      </w:r>
      <w:proofErr w:type="gramStart"/>
      <w:r w:rsidRPr="00236568">
        <w:rPr>
          <w:rFonts w:ascii="Times New Roman" w:hAnsi="Times New Roman"/>
          <w:sz w:val="24"/>
          <w:szCs w:val="24"/>
        </w:rPr>
        <w:t>must be had</w:t>
      </w:r>
      <w:proofErr w:type="gramEnd"/>
      <w:r w:rsidRPr="00236568">
        <w:rPr>
          <w:rFonts w:ascii="Times New Roman" w:hAnsi="Times New Roman"/>
          <w:sz w:val="24"/>
          <w:szCs w:val="24"/>
        </w:rPr>
        <w:t xml:space="preserve"> to the geographical aspect of client base and cooperation partners of the financial service providers. It is also important to communicate with international partners on regular basis on the progress achieved.</w:t>
      </w:r>
    </w:p>
    <w:p w14:paraId="056BD21F" w14:textId="3277F972" w:rsidR="000C5D23" w:rsidRPr="00236568" w:rsidRDefault="000C5D23" w:rsidP="00BF7917">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During Latvia’s accession to the OECD, competent authorities started to prepare a comprehensive national risk assessment. For Latvia, as a new and growing regional financial centre, serving significant amounts of foreign </w:t>
      </w:r>
      <w:r w:rsidR="009E3C5B" w:rsidRPr="00236568">
        <w:rPr>
          <w:rFonts w:ascii="Times New Roman" w:hAnsi="Times New Roman"/>
          <w:sz w:val="24"/>
          <w:szCs w:val="24"/>
        </w:rPr>
        <w:t>client</w:t>
      </w:r>
      <w:r w:rsidRPr="00236568">
        <w:rPr>
          <w:rFonts w:ascii="Times New Roman" w:hAnsi="Times New Roman"/>
          <w:sz w:val="24"/>
          <w:szCs w:val="24"/>
        </w:rPr>
        <w:t xml:space="preserve">’s funds, including those from countries with high risks of corruption and </w:t>
      </w:r>
      <w:r w:rsidR="00961BE3" w:rsidRPr="00236568">
        <w:rPr>
          <w:rFonts w:ascii="Times New Roman" w:hAnsi="Times New Roman"/>
          <w:sz w:val="24"/>
          <w:szCs w:val="24"/>
        </w:rPr>
        <w:t>ML/TF</w:t>
      </w:r>
      <w:r w:rsidRPr="00236568">
        <w:rPr>
          <w:rFonts w:ascii="Times New Roman" w:hAnsi="Times New Roman"/>
          <w:sz w:val="24"/>
          <w:szCs w:val="24"/>
        </w:rPr>
        <w:t xml:space="preserve">, one of the main sections of the national risk assessment is adequacy of the risk management. </w:t>
      </w:r>
    </w:p>
    <w:p w14:paraId="14689A80" w14:textId="2D3261F6" w:rsidR="000C5D23" w:rsidRPr="00236568" w:rsidRDefault="000C5D23">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During the period of end-2015 through 2016, significant changes were introduced to improve the Latvian AML/CFT system </w:t>
      </w:r>
      <w:proofErr w:type="gramStart"/>
      <w:r w:rsidRPr="00236568">
        <w:rPr>
          <w:rFonts w:ascii="Times New Roman" w:hAnsi="Times New Roman"/>
          <w:sz w:val="24"/>
          <w:szCs w:val="24"/>
        </w:rPr>
        <w:t>both in legislation and supervisory</w:t>
      </w:r>
      <w:proofErr w:type="gramEnd"/>
      <w:r w:rsidRPr="00236568">
        <w:rPr>
          <w:rFonts w:ascii="Times New Roman" w:hAnsi="Times New Roman"/>
          <w:sz w:val="24"/>
          <w:szCs w:val="24"/>
        </w:rPr>
        <w:t xml:space="preserve"> approaches, which to a large extent contributed to successful accession to the OECD. In terms of legislation, the amendments strengthening the efficiency of the AML/CFT were fully enforced, and market participants and the competent authorities, effectively started to apply them. Improvements </w:t>
      </w:r>
      <w:proofErr w:type="gramStart"/>
      <w:r w:rsidRPr="00236568">
        <w:rPr>
          <w:rFonts w:ascii="Times New Roman" w:hAnsi="Times New Roman"/>
          <w:sz w:val="24"/>
          <w:szCs w:val="24"/>
        </w:rPr>
        <w:t>are evidenced</w:t>
      </w:r>
      <w:proofErr w:type="gramEnd"/>
      <w:r w:rsidRPr="00236568">
        <w:rPr>
          <w:rFonts w:ascii="Times New Roman" w:hAnsi="Times New Roman"/>
          <w:sz w:val="24"/>
          <w:szCs w:val="24"/>
        </w:rPr>
        <w:t xml:space="preserve"> also in practical terms. For instance, the banking sector applies the new enhanced due diligence requirements, monetary fines placed on banks for poor internal controls in AML have been raised substantially, and the compliance of the banks has been audited by external audits by USA auditors. </w:t>
      </w:r>
      <w:proofErr w:type="gramStart"/>
      <w:r w:rsidRPr="00236568">
        <w:rPr>
          <w:rFonts w:ascii="Times New Roman" w:hAnsi="Times New Roman"/>
          <w:sz w:val="24"/>
          <w:szCs w:val="24"/>
        </w:rPr>
        <w:t>As a result</w:t>
      </w:r>
      <w:proofErr w:type="gramEnd"/>
      <w:r w:rsidRPr="00236568">
        <w:rPr>
          <w:rFonts w:ascii="Times New Roman" w:hAnsi="Times New Roman"/>
          <w:sz w:val="24"/>
          <w:szCs w:val="24"/>
        </w:rPr>
        <w:t xml:space="preserve"> of the shift towards strengthening the AML/CFT system the first time in the decade amounts of the </w:t>
      </w:r>
      <w:r w:rsidR="009E3C5B" w:rsidRPr="00236568">
        <w:rPr>
          <w:rFonts w:ascii="Times New Roman" w:hAnsi="Times New Roman"/>
          <w:sz w:val="24"/>
          <w:szCs w:val="24"/>
        </w:rPr>
        <w:t>foreigner</w:t>
      </w:r>
      <w:r w:rsidRPr="00236568">
        <w:rPr>
          <w:rFonts w:ascii="Times New Roman" w:hAnsi="Times New Roman"/>
          <w:sz w:val="24"/>
          <w:szCs w:val="24"/>
        </w:rPr>
        <w:t xml:space="preserve"> deposits in the banks of Latvia decreased by 30% from the beginning of 2016. </w:t>
      </w:r>
    </w:p>
    <w:p w14:paraId="0BFBCC90" w14:textId="37FF219E" w:rsidR="000C5D23" w:rsidRPr="00236568" w:rsidRDefault="000C5D23">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It is detrimental that the Latvian financial sector complies with the OECD standards and recommendations to facilitate promotion of foreign direct investments and positive credit rating. Latvian authorities will report to the OECD Working Group on Bribery in International Business Transactions by October 2017 on the status of implementation of recommendations of the Phase 2</w:t>
      </w:r>
      <w:r w:rsidR="00E046ED" w:rsidRPr="00236568">
        <w:rPr>
          <w:rFonts w:ascii="Times New Roman" w:hAnsi="Times New Roman"/>
          <w:sz w:val="24"/>
          <w:szCs w:val="24"/>
        </w:rPr>
        <w:t xml:space="preserve"> </w:t>
      </w:r>
      <w:r w:rsidRPr="00236568">
        <w:rPr>
          <w:rFonts w:ascii="Times New Roman" w:hAnsi="Times New Roman"/>
          <w:sz w:val="24"/>
          <w:szCs w:val="24"/>
        </w:rPr>
        <w:t xml:space="preserve">Report. </w:t>
      </w:r>
    </w:p>
    <w:p w14:paraId="55E35C4B" w14:textId="0067345F" w:rsidR="000C5D23" w:rsidRPr="00236568" w:rsidRDefault="000C5D23">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b/>
          <w:bCs/>
          <w:sz w:val="24"/>
          <w:szCs w:val="24"/>
        </w:rPr>
        <w:t>National Risk Assessment</w:t>
      </w:r>
      <w:r w:rsidRPr="00236568">
        <w:rPr>
          <w:rFonts w:ascii="Times New Roman" w:hAnsi="Times New Roman"/>
          <w:sz w:val="24"/>
          <w:szCs w:val="24"/>
        </w:rPr>
        <w:t xml:space="preserve"> to identify money laundering and terrorism financing risks (NRA) was prepared based on the World Bank’s methodology. In order to progress work on the different risks to be evaluated in the NRA  subgroups</w:t>
      </w:r>
      <w:r w:rsidR="00621A22" w:rsidRPr="00236568">
        <w:rPr>
          <w:rFonts w:ascii="Times New Roman" w:hAnsi="Times New Roman"/>
          <w:sz w:val="24"/>
          <w:szCs w:val="24"/>
        </w:rPr>
        <w:t xml:space="preserve"> </w:t>
      </w:r>
      <w:r w:rsidRPr="00236568">
        <w:rPr>
          <w:rFonts w:ascii="Times New Roman" w:hAnsi="Times New Roman"/>
          <w:sz w:val="24"/>
          <w:szCs w:val="24"/>
        </w:rPr>
        <w:t xml:space="preserve">were formed, namely, (1) threat assessment, (2) national vulnerability, (3) banking sector, (4) securities sector, (5) insurance sector, (6) other financial institutions, (7) designated non-financial businesses and professions (DNFBP), (8) financial inclusion product risk assessment and (9) terrorism financing. In the initial phase of the risk assessment </w:t>
      </w:r>
      <w:proofErr w:type="gramStart"/>
      <w:r w:rsidRPr="00236568">
        <w:rPr>
          <w:rFonts w:ascii="Times New Roman" w:hAnsi="Times New Roman"/>
          <w:sz w:val="24"/>
          <w:szCs w:val="24"/>
        </w:rPr>
        <w:t>process</w:t>
      </w:r>
      <w:proofErr w:type="gramEnd"/>
      <w:r w:rsidRPr="00236568">
        <w:rPr>
          <w:rFonts w:ascii="Times New Roman" w:hAnsi="Times New Roman"/>
          <w:sz w:val="24"/>
          <w:szCs w:val="24"/>
        </w:rPr>
        <w:t xml:space="preserve"> it was decided to evaluate the period from 2013 until end-2015. </w:t>
      </w:r>
    </w:p>
    <w:p w14:paraId="0E589AFE" w14:textId="77777777" w:rsidR="000C5D23" w:rsidRPr="00236568" w:rsidRDefault="000C5D23">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During the seminar in Riga on 31 January – 2 February, the Word Bank experts gave feedback and recommendations on how to improve the drafted National Risk Assessment as well as recommendations in the form of Memorandum on National Risk Assessment (NRA) of Latvia 2016/2017 provided shortly after the seminar. Taking into consideration the improvements of </w:t>
      </w:r>
      <w:r w:rsidRPr="00236568">
        <w:rPr>
          <w:rFonts w:ascii="Times New Roman" w:hAnsi="Times New Roman"/>
          <w:sz w:val="24"/>
          <w:szCs w:val="24"/>
        </w:rPr>
        <w:lastRenderedPageBreak/>
        <w:t>the Latvian AML/CFT system during the process of accession to OECD and their impact, as well as World Bank recommendations, the Latvian authorities involved in the self-assessment concluded that inclusion of the period from end-2015 to 2016 in the NRA is of vital importance.</w:t>
      </w:r>
    </w:p>
    <w:p w14:paraId="1742AA46" w14:textId="2704BD8C" w:rsidR="000C5D23" w:rsidRPr="00236568" w:rsidRDefault="000C5D23">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On 28 February 2017, the Government took a decision on reassessment of </w:t>
      </w:r>
      <w:r w:rsidR="00961BE3" w:rsidRPr="00236568">
        <w:rPr>
          <w:rFonts w:ascii="Times New Roman" w:hAnsi="Times New Roman"/>
          <w:sz w:val="24"/>
          <w:szCs w:val="24"/>
        </w:rPr>
        <w:t>ML/TF</w:t>
      </w:r>
      <w:r w:rsidRPr="00236568">
        <w:rPr>
          <w:rFonts w:ascii="Times New Roman" w:hAnsi="Times New Roman"/>
          <w:sz w:val="24"/>
          <w:szCs w:val="24"/>
        </w:rPr>
        <w:t xml:space="preserve"> risks by including and </w:t>
      </w:r>
      <w:r w:rsidR="00CB40C9" w:rsidRPr="00236568">
        <w:rPr>
          <w:rFonts w:ascii="Times New Roman" w:hAnsi="Times New Roman"/>
          <w:sz w:val="24"/>
          <w:szCs w:val="24"/>
        </w:rPr>
        <w:t>analysing</w:t>
      </w:r>
      <w:r w:rsidRPr="00236568">
        <w:rPr>
          <w:rFonts w:ascii="Times New Roman" w:hAnsi="Times New Roman"/>
          <w:sz w:val="24"/>
          <w:szCs w:val="24"/>
        </w:rPr>
        <w:t xml:space="preserve"> additional data for 2016. In order to advance the process in short time constraints it was also decided to outsource the task of information compilation, processing, and analysis to an external consultant and to form a high-level working group of high-level officials from the institutions that are involved in the self-assessment process.  </w:t>
      </w:r>
    </w:p>
    <w:p w14:paraId="738AEBB6" w14:textId="77777777" w:rsidR="000C5D23" w:rsidRPr="00236568" w:rsidRDefault="000C5D23">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This working group meets on regular basis to monitor the process of data collection, compilation, analysis and reassessment, as well as closely monitors the process for preparation of the NRA and assignment of ratings for each sector. With this course, it </w:t>
      </w:r>
      <w:proofErr w:type="gramStart"/>
      <w:r w:rsidRPr="00236568">
        <w:rPr>
          <w:rFonts w:ascii="Times New Roman" w:hAnsi="Times New Roman"/>
          <w:sz w:val="24"/>
          <w:szCs w:val="24"/>
        </w:rPr>
        <w:t>is planned</w:t>
      </w:r>
      <w:proofErr w:type="gramEnd"/>
      <w:r w:rsidRPr="00236568">
        <w:rPr>
          <w:rFonts w:ascii="Times New Roman" w:hAnsi="Times New Roman"/>
          <w:sz w:val="24"/>
          <w:szCs w:val="24"/>
        </w:rPr>
        <w:t xml:space="preserve"> to finalize the NRA and an Action Plan to address risks identified by the NRA, by 20 April 2017 and submit to the Government for approval by 28 April 2017. It </w:t>
      </w:r>
      <w:proofErr w:type="gramStart"/>
      <w:r w:rsidRPr="00236568">
        <w:rPr>
          <w:rFonts w:ascii="Times New Roman" w:hAnsi="Times New Roman"/>
          <w:sz w:val="24"/>
          <w:szCs w:val="24"/>
        </w:rPr>
        <w:t>is also being negotiated</w:t>
      </w:r>
      <w:proofErr w:type="gramEnd"/>
      <w:r w:rsidRPr="00236568">
        <w:rPr>
          <w:rFonts w:ascii="Times New Roman" w:hAnsi="Times New Roman"/>
          <w:sz w:val="24"/>
          <w:szCs w:val="24"/>
        </w:rPr>
        <w:t xml:space="preserve"> with the World Bank on the assessment of the final NRA to validate its compliance with the World Bank methodology.</w:t>
      </w:r>
    </w:p>
    <w:p w14:paraId="468999A5" w14:textId="77777777" w:rsidR="00621A22" w:rsidRPr="00236568" w:rsidRDefault="00621A22">
      <w:pPr>
        <w:spacing w:before="100" w:beforeAutospacing="1" w:after="100" w:afterAutospacing="1" w:line="240" w:lineRule="auto"/>
        <w:jc w:val="both"/>
        <w:rPr>
          <w:rFonts w:ascii="Times New Roman" w:hAnsi="Times New Roman"/>
          <w:sz w:val="24"/>
          <w:szCs w:val="24"/>
        </w:rPr>
      </w:pPr>
    </w:p>
    <w:p w14:paraId="26A1135E" w14:textId="67554680" w:rsidR="00B60D4C" w:rsidRPr="00236568" w:rsidRDefault="00C7766A" w:rsidP="00DE5FE5">
      <w:pPr>
        <w:pStyle w:val="Heading3"/>
        <w:spacing w:line="240" w:lineRule="auto"/>
      </w:pPr>
      <w:bookmarkStart w:id="9" w:name="_Toc479773680"/>
      <w:bookmarkStart w:id="10" w:name="_Toc479839714"/>
      <w:r w:rsidRPr="00236568">
        <w:t>1.</w:t>
      </w:r>
      <w:r w:rsidR="00B60D4C" w:rsidRPr="00236568">
        <w:t>1.3. International competitiveness</w:t>
      </w:r>
      <w:bookmarkEnd w:id="9"/>
      <w:bookmarkEnd w:id="10"/>
    </w:p>
    <w:p w14:paraId="0C70D425" w14:textId="198EB213" w:rsidR="00B60D4C" w:rsidRPr="00236568" w:rsidRDefault="00B60D4C" w:rsidP="00595DDE">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Having free movement of capital in the </w:t>
      </w:r>
      <w:r w:rsidR="00C7766A" w:rsidRPr="00236568">
        <w:rPr>
          <w:rFonts w:ascii="Times New Roman" w:hAnsi="Times New Roman"/>
          <w:sz w:val="24"/>
          <w:szCs w:val="24"/>
        </w:rPr>
        <w:t>EU</w:t>
      </w:r>
      <w:r w:rsidRPr="00236568">
        <w:rPr>
          <w:rFonts w:ascii="Times New Roman" w:hAnsi="Times New Roman"/>
          <w:sz w:val="24"/>
          <w:szCs w:val="24"/>
        </w:rPr>
        <w:t xml:space="preserve">, as well as the </w:t>
      </w:r>
      <w:proofErr w:type="gramStart"/>
      <w:r w:rsidRPr="00236568">
        <w:rPr>
          <w:rFonts w:ascii="Times New Roman" w:hAnsi="Times New Roman"/>
          <w:sz w:val="24"/>
          <w:szCs w:val="24"/>
        </w:rPr>
        <w:t>ever closer</w:t>
      </w:r>
      <w:proofErr w:type="gramEnd"/>
      <w:r w:rsidRPr="00236568">
        <w:rPr>
          <w:rFonts w:ascii="Times New Roman" w:hAnsi="Times New Roman"/>
          <w:sz w:val="24"/>
          <w:szCs w:val="24"/>
        </w:rPr>
        <w:t xml:space="preserve"> integration of the single market, and taking into account the development of technologies that physical distance makes increasingly less of an obstacle, the aspect of international competitiveness becomes especially topical. In international competitiveness </w:t>
      </w:r>
      <w:proofErr w:type="gramStart"/>
      <w:r w:rsidRPr="00236568">
        <w:rPr>
          <w:rFonts w:ascii="Times New Roman" w:hAnsi="Times New Roman"/>
          <w:sz w:val="24"/>
          <w:szCs w:val="24"/>
        </w:rPr>
        <w:t>context</w:t>
      </w:r>
      <w:proofErr w:type="gramEnd"/>
      <w:r w:rsidRPr="00236568">
        <w:rPr>
          <w:rFonts w:ascii="Times New Roman" w:hAnsi="Times New Roman"/>
          <w:sz w:val="24"/>
          <w:szCs w:val="24"/>
        </w:rPr>
        <w:t xml:space="preserve"> it is essential, what kind of service the Latvian financial sector is able to provide as exports, and also the quality of the service provided internally and how </w:t>
      </w:r>
      <w:r w:rsidR="00436E8D">
        <w:rPr>
          <w:rFonts w:ascii="Times New Roman" w:hAnsi="Times New Roman"/>
          <w:sz w:val="24"/>
          <w:szCs w:val="24"/>
        </w:rPr>
        <w:t>it is</w:t>
      </w:r>
      <w:r w:rsidR="00436E8D" w:rsidRPr="00236568">
        <w:rPr>
          <w:rFonts w:ascii="Times New Roman" w:hAnsi="Times New Roman"/>
          <w:sz w:val="24"/>
          <w:szCs w:val="24"/>
        </w:rPr>
        <w:t xml:space="preserve"> </w:t>
      </w:r>
      <w:r w:rsidRPr="00236568">
        <w:rPr>
          <w:rFonts w:ascii="Times New Roman" w:hAnsi="Times New Roman"/>
          <w:sz w:val="24"/>
          <w:szCs w:val="24"/>
        </w:rPr>
        <w:t xml:space="preserve">able to compete with other countries, in the provision of financial services. </w:t>
      </w:r>
      <w:r w:rsidR="00C7766A" w:rsidRPr="00236568">
        <w:rPr>
          <w:rFonts w:ascii="Times New Roman" w:hAnsi="Times New Roman"/>
          <w:sz w:val="24"/>
          <w:szCs w:val="24"/>
        </w:rPr>
        <w:t xml:space="preserve"> </w:t>
      </w:r>
      <w:r w:rsidR="00B12A5B" w:rsidRPr="00236568">
        <w:rPr>
          <w:rFonts w:ascii="Times New Roman" w:hAnsi="Times New Roman"/>
          <w:sz w:val="24"/>
          <w:szCs w:val="24"/>
        </w:rPr>
        <w:t>Regulatory framework that supports sustainable development and is internationally competitive plays an important role for providing financial services.</w:t>
      </w:r>
    </w:p>
    <w:p w14:paraId="5F873E7F" w14:textId="12524511" w:rsidR="00B60D4C" w:rsidRPr="00236568" w:rsidRDefault="00B60D4C" w:rsidP="00BF7917">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The Global Financial Centres Index (GFCI) data </w:t>
      </w:r>
      <w:proofErr w:type="gramStart"/>
      <w:r w:rsidRPr="00236568">
        <w:rPr>
          <w:rFonts w:ascii="Times New Roman" w:hAnsi="Times New Roman"/>
          <w:sz w:val="24"/>
          <w:szCs w:val="24"/>
        </w:rPr>
        <w:t>are published</w:t>
      </w:r>
      <w:proofErr w:type="gramEnd"/>
      <w:r w:rsidRPr="00236568">
        <w:rPr>
          <w:rFonts w:ascii="Times New Roman" w:hAnsi="Times New Roman"/>
          <w:sz w:val="24"/>
          <w:szCs w:val="24"/>
        </w:rPr>
        <w:t xml:space="preserve"> since March 2007. The index </w:t>
      </w:r>
      <w:proofErr w:type="gramStart"/>
      <w:r w:rsidRPr="00236568">
        <w:rPr>
          <w:rFonts w:ascii="Times New Roman" w:hAnsi="Times New Roman"/>
          <w:sz w:val="24"/>
          <w:szCs w:val="24"/>
        </w:rPr>
        <w:t>is designed</w:t>
      </w:r>
      <w:proofErr w:type="gramEnd"/>
      <w:r w:rsidRPr="00236568">
        <w:rPr>
          <w:rFonts w:ascii="Times New Roman" w:hAnsi="Times New Roman"/>
          <w:sz w:val="24"/>
          <w:szCs w:val="24"/>
        </w:rPr>
        <w:t xml:space="preserve"> to assess the competitiveness of the financial centres of the world. </w:t>
      </w:r>
      <w:proofErr w:type="gramStart"/>
      <w:r w:rsidRPr="00236568">
        <w:rPr>
          <w:rFonts w:ascii="Times New Roman" w:hAnsi="Times New Roman"/>
          <w:sz w:val="24"/>
          <w:szCs w:val="24"/>
        </w:rPr>
        <w:t xml:space="preserve">The index uses factor assessment model, which is based on two different sources of data (1) an online survey, where the answers provided by some 2,000 financial services professionals in the fields of financial centre competitiveness and (2) instrumental factors or external competitiveness indicators - </w:t>
      </w:r>
      <w:r w:rsidRPr="00236568">
        <w:rPr>
          <w:rFonts w:ascii="Times New Roman" w:hAnsi="Times New Roman"/>
          <w:b/>
          <w:sz w:val="24"/>
          <w:szCs w:val="24"/>
        </w:rPr>
        <w:t>business environment</w:t>
      </w:r>
      <w:r w:rsidRPr="00236568">
        <w:rPr>
          <w:rFonts w:ascii="Times New Roman" w:hAnsi="Times New Roman"/>
          <w:sz w:val="24"/>
          <w:szCs w:val="24"/>
        </w:rPr>
        <w:t xml:space="preserve"> (political and legislative stability, tax and cost competitiveness, the regulatory environment in the macroeconomic environment), financial sector development (access to capital, trade volume and speed, employment and economic output), </w:t>
      </w:r>
      <w:r w:rsidRPr="00236568">
        <w:rPr>
          <w:rFonts w:ascii="Times New Roman" w:hAnsi="Times New Roman"/>
          <w:b/>
          <w:sz w:val="24"/>
          <w:szCs w:val="24"/>
        </w:rPr>
        <w:t>infrastructure</w:t>
      </w:r>
      <w:r w:rsidRPr="00236568">
        <w:rPr>
          <w:rFonts w:ascii="Times New Roman" w:hAnsi="Times New Roman"/>
          <w:sz w:val="24"/>
          <w:szCs w:val="24"/>
        </w:rPr>
        <w:t xml:space="preserve"> (transport, offices, IT, environmental management and sustainability), </w:t>
      </w:r>
      <w:r w:rsidRPr="00236568">
        <w:rPr>
          <w:rFonts w:ascii="Times New Roman" w:hAnsi="Times New Roman"/>
          <w:b/>
          <w:sz w:val="24"/>
          <w:szCs w:val="24"/>
        </w:rPr>
        <w:t>human capital</w:t>
      </w:r>
      <w:r w:rsidRPr="00236568">
        <w:rPr>
          <w:rFonts w:ascii="Times New Roman" w:hAnsi="Times New Roman"/>
          <w:sz w:val="24"/>
          <w:szCs w:val="24"/>
        </w:rPr>
        <w:t xml:space="preserve"> (quality of life, educated staff availability, labour market flexibility) and </w:t>
      </w:r>
      <w:r w:rsidRPr="00236568">
        <w:rPr>
          <w:rFonts w:ascii="Times New Roman" w:hAnsi="Times New Roman"/>
          <w:b/>
          <w:sz w:val="24"/>
          <w:szCs w:val="24"/>
        </w:rPr>
        <w:t>reputation</w:t>
      </w:r>
      <w:r w:rsidRPr="00236568">
        <w:rPr>
          <w:rFonts w:ascii="Times New Roman" w:hAnsi="Times New Roman"/>
          <w:sz w:val="24"/>
          <w:szCs w:val="24"/>
        </w:rPr>
        <w:t xml:space="preserve"> (financial centre for inter-positioning, cultural diversity, level of innovation, the city's brand and attractiveness).</w:t>
      </w:r>
      <w:proofErr w:type="gramEnd"/>
    </w:p>
    <w:p w14:paraId="62756AAC" w14:textId="511B7F15" w:rsidR="00B60D4C" w:rsidRPr="00236568" w:rsidRDefault="00B60D4C" w:rsidP="00BF7917">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Riga is included in GFCI since 2014, obtaining the status of an associated centre. GFCI ranks Riga since June 2016 (GFCI19), receiving ranking 71 of </w:t>
      </w:r>
      <w:proofErr w:type="gramStart"/>
      <w:r w:rsidRPr="00236568">
        <w:rPr>
          <w:rFonts w:ascii="Times New Roman" w:hAnsi="Times New Roman"/>
          <w:sz w:val="24"/>
          <w:szCs w:val="24"/>
        </w:rPr>
        <w:t>a total of 86</w:t>
      </w:r>
      <w:proofErr w:type="gramEnd"/>
      <w:r w:rsidRPr="00236568">
        <w:rPr>
          <w:rFonts w:ascii="Times New Roman" w:hAnsi="Times New Roman"/>
          <w:sz w:val="24"/>
          <w:szCs w:val="24"/>
        </w:rPr>
        <w:t xml:space="preserve"> global financial centres. Due to policies adopted, Riga has </w:t>
      </w:r>
      <w:r w:rsidR="00436E8D">
        <w:rPr>
          <w:rFonts w:ascii="Times New Roman" w:hAnsi="Times New Roman"/>
          <w:sz w:val="24"/>
          <w:szCs w:val="24"/>
        </w:rPr>
        <w:t xml:space="preserve">ranked as </w:t>
      </w:r>
      <w:r w:rsidRPr="00236568">
        <w:rPr>
          <w:rFonts w:ascii="Times New Roman" w:hAnsi="Times New Roman"/>
          <w:sz w:val="24"/>
          <w:szCs w:val="24"/>
        </w:rPr>
        <w:t xml:space="preserve">52 out of 87 global financial centres in September 2016 (GFCI20) assessment. At the same time, </w:t>
      </w:r>
      <w:r w:rsidR="00436E8D">
        <w:rPr>
          <w:rFonts w:ascii="Times New Roman" w:hAnsi="Times New Roman"/>
          <w:sz w:val="24"/>
          <w:szCs w:val="24"/>
        </w:rPr>
        <w:t xml:space="preserve">the </w:t>
      </w:r>
      <w:r w:rsidRPr="00236568">
        <w:rPr>
          <w:rFonts w:ascii="Times New Roman" w:hAnsi="Times New Roman"/>
          <w:sz w:val="24"/>
          <w:szCs w:val="24"/>
        </w:rPr>
        <w:t xml:space="preserve">Eastern European and Central Asian regional financial centre in the list among the 11 cities of Riga occupies fifth place behind Istanbul, Warsaw, Prague and Moscow (GFCI19), while in September 2016 (GFCI20) assessment Riga </w:t>
      </w:r>
      <w:r w:rsidR="00436E8D">
        <w:rPr>
          <w:rFonts w:ascii="Times New Roman" w:hAnsi="Times New Roman"/>
          <w:sz w:val="24"/>
          <w:szCs w:val="24"/>
        </w:rPr>
        <w:lastRenderedPageBreak/>
        <w:t xml:space="preserve">ranked as the </w:t>
      </w:r>
      <w:r w:rsidRPr="00236568">
        <w:rPr>
          <w:rFonts w:ascii="Times New Roman" w:hAnsi="Times New Roman"/>
          <w:sz w:val="24"/>
          <w:szCs w:val="24"/>
        </w:rPr>
        <w:t>third behind Warsaw and Tallinn with a relatively small rating point difference (Fig. 1.3).</w:t>
      </w:r>
    </w:p>
    <w:p w14:paraId="4D8A2ED6" w14:textId="77777777" w:rsidR="00B60D4C" w:rsidRPr="00236568" w:rsidRDefault="00B60D4C" w:rsidP="00DE5FE5">
      <w:pPr>
        <w:spacing w:line="240" w:lineRule="auto"/>
      </w:pPr>
    </w:p>
    <w:p w14:paraId="4933A63A" w14:textId="6E87DE91" w:rsidR="00B60D4C" w:rsidRPr="00236568" w:rsidRDefault="003D5CD6" w:rsidP="00DE5FE5">
      <w:pPr>
        <w:spacing w:line="240" w:lineRule="auto"/>
        <w:jc w:val="center"/>
        <w:rPr>
          <w:rFonts w:ascii="Times New Roman" w:hAnsi="Times New Roman"/>
          <w:sz w:val="24"/>
          <w:szCs w:val="24"/>
          <w:lang w:eastAsia="lv-LV"/>
        </w:rPr>
      </w:pPr>
      <w:r w:rsidRPr="00236568">
        <w:rPr>
          <w:noProof/>
          <w:lang w:val="lv-LV" w:eastAsia="lv-LV"/>
        </w:rPr>
        <w:drawing>
          <wp:inline distT="0" distB="0" distL="0" distR="0" wp14:anchorId="45A442A6" wp14:editId="01B742BC">
            <wp:extent cx="5767070" cy="3380740"/>
            <wp:effectExtent l="0" t="0" r="24130" b="1016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7CDAC8" w14:textId="77777777" w:rsidR="00B60D4C" w:rsidRPr="00236568" w:rsidRDefault="00B60D4C" w:rsidP="00DE5FE5">
      <w:pPr>
        <w:spacing w:line="240" w:lineRule="auto"/>
        <w:rPr>
          <w:rFonts w:ascii="Times New Roman" w:hAnsi="Times New Roman"/>
          <w:bCs/>
          <w:i/>
          <w:sz w:val="20"/>
          <w:szCs w:val="20"/>
          <w:lang w:eastAsia="lv-LV"/>
        </w:rPr>
      </w:pPr>
      <w:r w:rsidRPr="00236568">
        <w:rPr>
          <w:rFonts w:ascii="Times New Roman" w:hAnsi="Times New Roman"/>
          <w:bCs/>
          <w:i/>
          <w:sz w:val="20"/>
          <w:szCs w:val="20"/>
          <w:lang w:eastAsia="lv-LV"/>
        </w:rPr>
        <w:t xml:space="preserve">1.3. Fig. Eastern European and Central Asian regional financial centres in the top </w:t>
      </w:r>
      <w:proofErr w:type="gramStart"/>
      <w:r w:rsidRPr="00236568">
        <w:rPr>
          <w:rFonts w:ascii="Times New Roman" w:hAnsi="Times New Roman"/>
          <w:bCs/>
          <w:i/>
          <w:sz w:val="20"/>
          <w:szCs w:val="20"/>
          <w:lang w:eastAsia="lv-LV"/>
        </w:rPr>
        <w:t>5</w:t>
      </w:r>
      <w:proofErr w:type="gramEnd"/>
    </w:p>
    <w:p w14:paraId="19E21116" w14:textId="77777777" w:rsidR="00B60D4C" w:rsidRPr="00236568" w:rsidRDefault="00B60D4C" w:rsidP="00DE5FE5">
      <w:pPr>
        <w:spacing w:line="240" w:lineRule="auto"/>
      </w:pPr>
    </w:p>
    <w:p w14:paraId="10B63816" w14:textId="58F17DBF" w:rsidR="00B60D4C" w:rsidRPr="00236568" w:rsidRDefault="00436E8D" w:rsidP="00595DD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I</w:t>
      </w:r>
      <w:r w:rsidR="00B60D4C" w:rsidRPr="00236568">
        <w:rPr>
          <w:rFonts w:ascii="Times New Roman" w:hAnsi="Times New Roman"/>
          <w:sz w:val="24"/>
          <w:szCs w:val="24"/>
        </w:rPr>
        <w:t xml:space="preserve">nternational competitiveness </w:t>
      </w:r>
      <w:proofErr w:type="gramStart"/>
      <w:r w:rsidR="00B60D4C" w:rsidRPr="00236568">
        <w:rPr>
          <w:rFonts w:ascii="Times New Roman" w:hAnsi="Times New Roman"/>
          <w:sz w:val="24"/>
          <w:szCs w:val="24"/>
        </w:rPr>
        <w:t>is influenced</w:t>
      </w:r>
      <w:proofErr w:type="gramEnd"/>
      <w:r w:rsidR="00B60D4C" w:rsidRPr="00236568">
        <w:rPr>
          <w:rFonts w:ascii="Times New Roman" w:hAnsi="Times New Roman"/>
          <w:sz w:val="24"/>
          <w:szCs w:val="24"/>
        </w:rPr>
        <w:t xml:space="preserve"> by business environment, competitiveness, tax policy, regulatory environment, which ensures protection of foreign investment in accordance with international standards and appropriate insolvency regime. </w:t>
      </w:r>
      <w:r>
        <w:rPr>
          <w:rFonts w:ascii="Times New Roman" w:hAnsi="Times New Roman"/>
          <w:sz w:val="24"/>
          <w:szCs w:val="24"/>
        </w:rPr>
        <w:t>A</w:t>
      </w:r>
      <w:r w:rsidR="00D91CB0" w:rsidRPr="00236568">
        <w:rPr>
          <w:rFonts w:ascii="Times New Roman" w:hAnsi="Times New Roman"/>
          <w:sz w:val="24"/>
          <w:szCs w:val="24"/>
        </w:rPr>
        <w:t xml:space="preserve">dditional factor </w:t>
      </w:r>
      <w:r>
        <w:rPr>
          <w:rFonts w:ascii="Times New Roman" w:hAnsi="Times New Roman"/>
          <w:sz w:val="24"/>
          <w:szCs w:val="24"/>
        </w:rPr>
        <w:t>to</w:t>
      </w:r>
      <w:r w:rsidRPr="00236568">
        <w:rPr>
          <w:rFonts w:ascii="Times New Roman" w:hAnsi="Times New Roman"/>
          <w:sz w:val="24"/>
          <w:szCs w:val="24"/>
        </w:rPr>
        <w:t xml:space="preserve"> </w:t>
      </w:r>
      <w:r w:rsidR="00D91CB0" w:rsidRPr="00236568">
        <w:rPr>
          <w:rFonts w:ascii="Times New Roman" w:hAnsi="Times New Roman"/>
          <w:sz w:val="24"/>
          <w:szCs w:val="24"/>
        </w:rPr>
        <w:t xml:space="preserve">maintain the international competitiveness of Latvia is </w:t>
      </w:r>
      <w:r w:rsidR="00EC09D7" w:rsidRPr="00236568">
        <w:rPr>
          <w:rFonts w:ascii="Times New Roman" w:hAnsi="Times New Roman"/>
          <w:sz w:val="24"/>
          <w:szCs w:val="24"/>
        </w:rPr>
        <w:t xml:space="preserve">fast and safe data transmission, in particular in the financial sector. </w:t>
      </w:r>
      <w:proofErr w:type="gramStart"/>
      <w:r w:rsidR="00B60D4C" w:rsidRPr="00236568">
        <w:rPr>
          <w:rFonts w:ascii="Times New Roman" w:hAnsi="Times New Roman"/>
          <w:sz w:val="24"/>
          <w:szCs w:val="24"/>
        </w:rPr>
        <w:t>Also</w:t>
      </w:r>
      <w:proofErr w:type="gramEnd"/>
      <w:r w:rsidR="00B60D4C" w:rsidRPr="00236568">
        <w:rPr>
          <w:rFonts w:ascii="Times New Roman" w:hAnsi="Times New Roman"/>
          <w:sz w:val="24"/>
          <w:szCs w:val="24"/>
        </w:rPr>
        <w:t xml:space="preserve">, the business environment assessment is essential to </w:t>
      </w:r>
      <w:r w:rsidR="005A4A4F">
        <w:rPr>
          <w:rFonts w:ascii="Times New Roman" w:hAnsi="Times New Roman"/>
          <w:sz w:val="24"/>
          <w:szCs w:val="24"/>
        </w:rPr>
        <w:t xml:space="preserve">consider </w:t>
      </w:r>
      <w:r w:rsidR="00B60D4C" w:rsidRPr="00236568">
        <w:rPr>
          <w:rFonts w:ascii="Times New Roman" w:hAnsi="Times New Roman"/>
          <w:sz w:val="24"/>
          <w:szCs w:val="24"/>
        </w:rPr>
        <w:t>the negative impact of the shadow economy - the distortion of business competitiveness, reduced revenues to the state budget of tax fraud and money laundering of cash transactions and other transactions. Thus</w:t>
      </w:r>
      <w:r w:rsidR="00254B20" w:rsidRPr="00236568">
        <w:rPr>
          <w:rFonts w:ascii="Times New Roman" w:hAnsi="Times New Roman"/>
          <w:sz w:val="24"/>
          <w:szCs w:val="24"/>
        </w:rPr>
        <w:t>, in</w:t>
      </w:r>
      <w:r w:rsidR="00EC09D7" w:rsidRPr="00236568">
        <w:rPr>
          <w:rFonts w:ascii="Times New Roman" w:hAnsi="Times New Roman"/>
          <w:sz w:val="24"/>
          <w:szCs w:val="24"/>
        </w:rPr>
        <w:t xml:space="preserve"> order to attain the objectives of the plan the</w:t>
      </w:r>
      <w:r w:rsidR="00B60D4C" w:rsidRPr="00236568">
        <w:rPr>
          <w:rFonts w:ascii="Times New Roman" w:hAnsi="Times New Roman"/>
          <w:sz w:val="24"/>
          <w:szCs w:val="24"/>
        </w:rPr>
        <w:t xml:space="preserve"> measures that will significantly reduce the possibility of involvement of the financial sector to the informal economy activities, including evasion of value added tax, defrauding schemes and non-transparent source cash transactions</w:t>
      </w:r>
      <w:r w:rsidR="00114179" w:rsidRPr="00236568">
        <w:rPr>
          <w:rFonts w:ascii="Times New Roman" w:hAnsi="Times New Roman"/>
          <w:sz w:val="24"/>
          <w:szCs w:val="24"/>
        </w:rPr>
        <w:t xml:space="preserve"> are important</w:t>
      </w:r>
      <w:r w:rsidR="00B60D4C" w:rsidRPr="00236568">
        <w:rPr>
          <w:rFonts w:ascii="Times New Roman" w:hAnsi="Times New Roman"/>
          <w:sz w:val="24"/>
          <w:szCs w:val="24"/>
        </w:rPr>
        <w:t>.</w:t>
      </w:r>
    </w:p>
    <w:p w14:paraId="2A688635" w14:textId="069E331A" w:rsidR="00114179" w:rsidRPr="00236568" w:rsidRDefault="00E36636" w:rsidP="00595DDE">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Better i</w:t>
      </w:r>
      <w:r w:rsidR="00114179" w:rsidRPr="00236568">
        <w:rPr>
          <w:rFonts w:ascii="Times New Roman" w:hAnsi="Times New Roman"/>
          <w:sz w:val="24"/>
          <w:szCs w:val="24"/>
        </w:rPr>
        <w:t xml:space="preserve">nternational competitiveness </w:t>
      </w:r>
      <w:r w:rsidR="005A4A4F" w:rsidRPr="00236568">
        <w:rPr>
          <w:rFonts w:ascii="Times New Roman" w:hAnsi="Times New Roman"/>
          <w:sz w:val="24"/>
          <w:szCs w:val="24"/>
        </w:rPr>
        <w:t>facilitates</w:t>
      </w:r>
      <w:r w:rsidRPr="00236568">
        <w:rPr>
          <w:rFonts w:ascii="Times New Roman" w:hAnsi="Times New Roman"/>
          <w:sz w:val="24"/>
          <w:szCs w:val="24"/>
        </w:rPr>
        <w:t xml:space="preserve"> investment in</w:t>
      </w:r>
      <w:r w:rsidR="00114179" w:rsidRPr="00236568">
        <w:rPr>
          <w:rFonts w:ascii="Times New Roman" w:hAnsi="Times New Roman"/>
          <w:sz w:val="24"/>
          <w:szCs w:val="24"/>
        </w:rPr>
        <w:t xml:space="preserve"> Latvia. Investment attraction in sectors of financial and related IT services (SSC/BPO) and </w:t>
      </w:r>
      <w:proofErr w:type="spellStart"/>
      <w:r w:rsidR="00114179" w:rsidRPr="00236568">
        <w:rPr>
          <w:rFonts w:ascii="Times New Roman" w:hAnsi="Times New Roman"/>
          <w:sz w:val="24"/>
          <w:szCs w:val="24"/>
        </w:rPr>
        <w:t>FinTech</w:t>
      </w:r>
      <w:proofErr w:type="spellEnd"/>
      <w:r w:rsidR="00114179" w:rsidRPr="00236568">
        <w:rPr>
          <w:rFonts w:ascii="Times New Roman" w:hAnsi="Times New Roman"/>
          <w:sz w:val="24"/>
          <w:szCs w:val="24"/>
        </w:rPr>
        <w:t xml:space="preserve"> field are set as a priority area, including appropriate action plan. Measures </w:t>
      </w:r>
      <w:proofErr w:type="gramStart"/>
      <w:r w:rsidR="00114179" w:rsidRPr="00236568">
        <w:rPr>
          <w:rFonts w:ascii="Times New Roman" w:hAnsi="Times New Roman"/>
          <w:sz w:val="24"/>
          <w:szCs w:val="24"/>
        </w:rPr>
        <w:t>should be directed</w:t>
      </w:r>
      <w:proofErr w:type="gramEnd"/>
      <w:r w:rsidR="00114179" w:rsidRPr="00236568">
        <w:rPr>
          <w:rFonts w:ascii="Times New Roman" w:hAnsi="Times New Roman"/>
          <w:sz w:val="24"/>
          <w:szCs w:val="24"/>
        </w:rPr>
        <w:t xml:space="preserve"> </w:t>
      </w:r>
      <w:r w:rsidRPr="00236568">
        <w:rPr>
          <w:rFonts w:ascii="Times New Roman" w:hAnsi="Times New Roman"/>
          <w:sz w:val="24"/>
          <w:szCs w:val="24"/>
        </w:rPr>
        <w:t>in a way that</w:t>
      </w:r>
      <w:r w:rsidR="00114179" w:rsidRPr="00236568">
        <w:rPr>
          <w:rFonts w:ascii="Times New Roman" w:hAnsi="Times New Roman"/>
          <w:sz w:val="24"/>
          <w:szCs w:val="24"/>
        </w:rPr>
        <w:t xml:space="preserve"> Latvian competitiveness in this segment </w:t>
      </w:r>
      <w:r w:rsidRPr="00236568">
        <w:rPr>
          <w:rFonts w:ascii="Times New Roman" w:hAnsi="Times New Roman"/>
          <w:sz w:val="24"/>
          <w:szCs w:val="24"/>
        </w:rPr>
        <w:t xml:space="preserve">can </w:t>
      </w:r>
      <w:r w:rsidR="00114179" w:rsidRPr="00236568">
        <w:rPr>
          <w:rFonts w:ascii="Times New Roman" w:hAnsi="Times New Roman"/>
          <w:sz w:val="24"/>
          <w:szCs w:val="24"/>
        </w:rPr>
        <w:t xml:space="preserve">grow steadily, </w:t>
      </w:r>
      <w:r w:rsidRPr="00236568">
        <w:rPr>
          <w:rFonts w:ascii="Times New Roman" w:hAnsi="Times New Roman"/>
          <w:sz w:val="24"/>
          <w:szCs w:val="24"/>
        </w:rPr>
        <w:t>in particular</w:t>
      </w:r>
      <w:r w:rsidR="00114179" w:rsidRPr="00236568">
        <w:rPr>
          <w:rFonts w:ascii="Times New Roman" w:hAnsi="Times New Roman"/>
          <w:sz w:val="24"/>
          <w:szCs w:val="24"/>
        </w:rPr>
        <w:t xml:space="preserve"> in comparison with Lithuania. </w:t>
      </w:r>
      <w:r w:rsidRPr="00236568">
        <w:rPr>
          <w:rFonts w:ascii="Times New Roman" w:hAnsi="Times New Roman"/>
          <w:sz w:val="24"/>
          <w:szCs w:val="24"/>
        </w:rPr>
        <w:t>Banks in Latvia</w:t>
      </w:r>
      <w:r w:rsidR="00114179" w:rsidRPr="00236568">
        <w:rPr>
          <w:rFonts w:ascii="Times New Roman" w:hAnsi="Times New Roman"/>
          <w:sz w:val="24"/>
          <w:szCs w:val="24"/>
        </w:rPr>
        <w:t xml:space="preserve"> have accumulated expertise </w:t>
      </w:r>
      <w:r w:rsidRPr="00236568">
        <w:rPr>
          <w:rFonts w:ascii="Times New Roman" w:hAnsi="Times New Roman"/>
          <w:sz w:val="24"/>
          <w:szCs w:val="24"/>
        </w:rPr>
        <w:t xml:space="preserve">locating </w:t>
      </w:r>
      <w:r w:rsidR="00114179" w:rsidRPr="00236568">
        <w:rPr>
          <w:rFonts w:ascii="Times New Roman" w:hAnsi="Times New Roman"/>
          <w:sz w:val="24"/>
          <w:szCs w:val="24"/>
        </w:rPr>
        <w:t xml:space="preserve">SSC/BPO centres in the Baltic countries, which, combined with targeted government action and concentration of potential </w:t>
      </w:r>
      <w:r w:rsidR="009E3C5B" w:rsidRPr="00236568">
        <w:rPr>
          <w:rFonts w:ascii="Times New Roman" w:hAnsi="Times New Roman"/>
          <w:sz w:val="24"/>
          <w:szCs w:val="24"/>
        </w:rPr>
        <w:t>client</w:t>
      </w:r>
      <w:r w:rsidR="00114179" w:rsidRPr="00236568">
        <w:rPr>
          <w:rFonts w:ascii="Times New Roman" w:hAnsi="Times New Roman"/>
          <w:sz w:val="24"/>
          <w:szCs w:val="24"/>
        </w:rPr>
        <w:t>s, especially in the Baltic and Nordic region, can provide a significant increase in activity in this business segment.</w:t>
      </w:r>
    </w:p>
    <w:p w14:paraId="39925539" w14:textId="77777777" w:rsidR="00B60D4C" w:rsidRPr="00236568" w:rsidRDefault="00B60D4C" w:rsidP="00DE5FE5">
      <w:pPr>
        <w:spacing w:line="240" w:lineRule="auto"/>
      </w:pPr>
    </w:p>
    <w:p w14:paraId="3DDC2C25" w14:textId="4B4F1A4C" w:rsidR="00B60D4C" w:rsidRPr="00236568" w:rsidRDefault="000732F0" w:rsidP="00DE5FE5">
      <w:pPr>
        <w:pStyle w:val="Heading3"/>
        <w:spacing w:line="240" w:lineRule="auto"/>
      </w:pPr>
      <w:bookmarkStart w:id="11" w:name="_Toc479773681"/>
      <w:bookmarkStart w:id="12" w:name="_Toc479839715"/>
      <w:r w:rsidRPr="00236568">
        <w:lastRenderedPageBreak/>
        <w:t>1.</w:t>
      </w:r>
      <w:r w:rsidR="00B60D4C" w:rsidRPr="00236568">
        <w:t>1.4. Coordination with other planning documents</w:t>
      </w:r>
      <w:bookmarkEnd w:id="11"/>
      <w:bookmarkEnd w:id="12"/>
    </w:p>
    <w:p w14:paraId="4296695F" w14:textId="52AABC07" w:rsidR="00B60D4C" w:rsidRPr="00236568" w:rsidRDefault="00B60D4C" w:rsidP="00595DDE">
      <w:pPr>
        <w:spacing w:before="100" w:beforeAutospacing="1" w:after="100" w:afterAutospacing="1" w:line="240" w:lineRule="auto"/>
        <w:jc w:val="both"/>
        <w:rPr>
          <w:rFonts w:ascii="Times New Roman" w:hAnsi="Times New Roman"/>
          <w:sz w:val="24"/>
          <w:szCs w:val="24"/>
        </w:rPr>
      </w:pPr>
      <w:r w:rsidRPr="00236568">
        <w:rPr>
          <w:rFonts w:ascii="Times New Roman" w:hAnsi="Times New Roman"/>
          <w:sz w:val="24"/>
          <w:szCs w:val="24"/>
        </w:rPr>
        <w:t xml:space="preserve">During elaboration of the </w:t>
      </w:r>
      <w:proofErr w:type="gramStart"/>
      <w:r w:rsidRPr="00236568">
        <w:rPr>
          <w:rFonts w:ascii="Times New Roman" w:hAnsi="Times New Roman"/>
          <w:sz w:val="24"/>
          <w:szCs w:val="24"/>
        </w:rPr>
        <w:t>Plan</w:t>
      </w:r>
      <w:proofErr w:type="gramEnd"/>
      <w:r w:rsidRPr="00236568">
        <w:rPr>
          <w:rFonts w:ascii="Times New Roman" w:hAnsi="Times New Roman"/>
          <w:sz w:val="24"/>
          <w:szCs w:val="24"/>
        </w:rPr>
        <w:t xml:space="preserve"> a number of proposals have been </w:t>
      </w:r>
      <w:r w:rsidR="00211CEE" w:rsidRPr="00236568">
        <w:rPr>
          <w:rFonts w:ascii="Times New Roman" w:hAnsi="Times New Roman"/>
          <w:sz w:val="24"/>
          <w:szCs w:val="24"/>
        </w:rPr>
        <w:t>assessed to</w:t>
      </w:r>
      <w:r w:rsidRPr="00236568">
        <w:rPr>
          <w:rFonts w:ascii="Times New Roman" w:hAnsi="Times New Roman"/>
          <w:sz w:val="24"/>
          <w:szCs w:val="24"/>
        </w:rPr>
        <w:t xml:space="preserve"> be better addressed within other policy planning documents. </w:t>
      </w:r>
      <w:r w:rsidR="00211CEE" w:rsidRPr="00236568">
        <w:rPr>
          <w:rFonts w:ascii="Times New Roman" w:hAnsi="Times New Roman"/>
          <w:sz w:val="24"/>
          <w:szCs w:val="24"/>
        </w:rPr>
        <w:t xml:space="preserve">The </w:t>
      </w:r>
      <w:r w:rsidRPr="00236568">
        <w:rPr>
          <w:rFonts w:ascii="Times New Roman" w:hAnsi="Times New Roman"/>
          <w:sz w:val="24"/>
          <w:szCs w:val="24"/>
        </w:rPr>
        <w:t xml:space="preserve">measures </w:t>
      </w:r>
      <w:proofErr w:type="gramStart"/>
      <w:r w:rsidRPr="00236568">
        <w:rPr>
          <w:rFonts w:ascii="Times New Roman" w:hAnsi="Times New Roman"/>
          <w:sz w:val="24"/>
          <w:szCs w:val="24"/>
        </w:rPr>
        <w:t>are not repeated</w:t>
      </w:r>
      <w:proofErr w:type="gramEnd"/>
      <w:r w:rsidR="00114179" w:rsidRPr="00236568">
        <w:rPr>
          <w:rFonts w:ascii="Times New Roman" w:hAnsi="Times New Roman"/>
          <w:sz w:val="24"/>
          <w:szCs w:val="24"/>
        </w:rPr>
        <w:t xml:space="preserve"> in the Plan, though </w:t>
      </w:r>
      <w:r w:rsidR="00211CEE" w:rsidRPr="00236568">
        <w:rPr>
          <w:rFonts w:ascii="Times New Roman" w:hAnsi="Times New Roman"/>
          <w:sz w:val="24"/>
          <w:szCs w:val="24"/>
        </w:rPr>
        <w:t>a</w:t>
      </w:r>
      <w:r w:rsidR="00114179" w:rsidRPr="00236568">
        <w:rPr>
          <w:rFonts w:ascii="Times New Roman" w:hAnsi="Times New Roman"/>
          <w:sz w:val="24"/>
          <w:szCs w:val="24"/>
        </w:rPr>
        <w:t xml:space="preserve"> timely implementation of measures </w:t>
      </w:r>
      <w:r w:rsidR="00251D1F" w:rsidRPr="00236568">
        <w:rPr>
          <w:rFonts w:ascii="Times New Roman" w:hAnsi="Times New Roman"/>
          <w:sz w:val="24"/>
          <w:szCs w:val="24"/>
        </w:rPr>
        <w:t xml:space="preserve">is emphasised for </w:t>
      </w:r>
      <w:r w:rsidR="00211CEE" w:rsidRPr="00236568">
        <w:rPr>
          <w:rFonts w:ascii="Times New Roman" w:hAnsi="Times New Roman"/>
          <w:sz w:val="24"/>
          <w:szCs w:val="24"/>
        </w:rPr>
        <w:t>a</w:t>
      </w:r>
      <w:r w:rsidR="00251D1F" w:rsidRPr="00236568">
        <w:rPr>
          <w:rFonts w:ascii="Times New Roman" w:hAnsi="Times New Roman"/>
          <w:sz w:val="24"/>
          <w:szCs w:val="24"/>
        </w:rPr>
        <w:t xml:space="preserve"> sustainable development of the financial sector.</w:t>
      </w:r>
    </w:p>
    <w:p w14:paraId="1F554ADD" w14:textId="2AC0FE66" w:rsidR="00B60D4C" w:rsidRPr="00236568" w:rsidRDefault="005A4A4F" w:rsidP="00BF791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The </w:t>
      </w:r>
      <w:r w:rsidR="00B60D4C" w:rsidRPr="00236568">
        <w:rPr>
          <w:rFonts w:ascii="Times New Roman" w:hAnsi="Times New Roman"/>
          <w:sz w:val="24"/>
          <w:szCs w:val="24"/>
        </w:rPr>
        <w:t xml:space="preserve">National Tax Policy Strategy for 2017 – 2021 to </w:t>
      </w:r>
      <w:proofErr w:type="gramStart"/>
      <w:r w:rsidR="00B60D4C" w:rsidRPr="00236568">
        <w:rPr>
          <w:rFonts w:ascii="Times New Roman" w:hAnsi="Times New Roman"/>
          <w:sz w:val="24"/>
          <w:szCs w:val="24"/>
        </w:rPr>
        <w:t>be elaborated</w:t>
      </w:r>
      <w:proofErr w:type="gramEnd"/>
      <w:r w:rsidR="00B60D4C" w:rsidRPr="00236568">
        <w:rPr>
          <w:rFonts w:ascii="Times New Roman" w:hAnsi="Times New Roman"/>
          <w:sz w:val="24"/>
          <w:szCs w:val="24"/>
        </w:rPr>
        <w:t xml:space="preserve"> </w:t>
      </w:r>
      <w:r w:rsidR="00251D1F" w:rsidRPr="00236568">
        <w:rPr>
          <w:rFonts w:ascii="Times New Roman" w:hAnsi="Times New Roman"/>
          <w:sz w:val="24"/>
          <w:szCs w:val="24"/>
        </w:rPr>
        <w:t>in</w:t>
      </w:r>
      <w:r w:rsidR="00B60D4C" w:rsidRPr="00236568">
        <w:rPr>
          <w:rFonts w:ascii="Times New Roman" w:hAnsi="Times New Roman"/>
          <w:sz w:val="24"/>
          <w:szCs w:val="24"/>
        </w:rPr>
        <w:t xml:space="preserve"> 2017 will set out future tax policies. </w:t>
      </w:r>
      <w:r w:rsidR="00645E8E" w:rsidRPr="00236568">
        <w:rPr>
          <w:rFonts w:ascii="Times New Roman" w:hAnsi="Times New Roman"/>
          <w:sz w:val="24"/>
          <w:szCs w:val="24"/>
        </w:rPr>
        <w:t xml:space="preserve">Within this </w:t>
      </w:r>
      <w:proofErr w:type="gramStart"/>
      <w:r w:rsidR="00645E8E" w:rsidRPr="00236568">
        <w:rPr>
          <w:rFonts w:ascii="Times New Roman" w:hAnsi="Times New Roman"/>
          <w:sz w:val="24"/>
          <w:szCs w:val="24"/>
        </w:rPr>
        <w:t>process</w:t>
      </w:r>
      <w:proofErr w:type="gramEnd"/>
      <w:r w:rsidR="00645E8E" w:rsidRPr="00236568">
        <w:rPr>
          <w:rFonts w:ascii="Times New Roman" w:hAnsi="Times New Roman"/>
          <w:sz w:val="24"/>
          <w:szCs w:val="24"/>
        </w:rPr>
        <w:t xml:space="preserve"> number of issues should be discussed, including those </w:t>
      </w:r>
      <w:r w:rsidR="00251D1F" w:rsidRPr="00236568">
        <w:rPr>
          <w:rFonts w:ascii="Times New Roman" w:hAnsi="Times New Roman"/>
          <w:sz w:val="24"/>
          <w:szCs w:val="24"/>
        </w:rPr>
        <w:t>that are</w:t>
      </w:r>
      <w:r w:rsidR="00645E8E" w:rsidRPr="00236568">
        <w:rPr>
          <w:rFonts w:ascii="Times New Roman" w:hAnsi="Times New Roman"/>
          <w:sz w:val="24"/>
          <w:szCs w:val="24"/>
        </w:rPr>
        <w:t xml:space="preserve"> identified as</w:t>
      </w:r>
      <w:r w:rsidR="00251D1F" w:rsidRPr="00236568">
        <w:rPr>
          <w:rFonts w:ascii="Times New Roman" w:hAnsi="Times New Roman"/>
          <w:sz w:val="24"/>
          <w:szCs w:val="24"/>
        </w:rPr>
        <w:t xml:space="preserve"> important </w:t>
      </w:r>
      <w:r w:rsidR="00645E8E" w:rsidRPr="00236568">
        <w:rPr>
          <w:rFonts w:ascii="Times New Roman" w:hAnsi="Times New Roman"/>
          <w:sz w:val="24"/>
          <w:szCs w:val="24"/>
        </w:rPr>
        <w:t>to the operation, development and competitiveness of</w:t>
      </w:r>
      <w:r w:rsidR="00251D1F" w:rsidRPr="00236568">
        <w:rPr>
          <w:rFonts w:ascii="Times New Roman" w:hAnsi="Times New Roman"/>
          <w:sz w:val="24"/>
          <w:szCs w:val="24"/>
        </w:rPr>
        <w:t xml:space="preserve"> </w:t>
      </w:r>
      <w:r w:rsidR="00B60D4C" w:rsidRPr="00236568">
        <w:rPr>
          <w:rFonts w:ascii="Times New Roman" w:hAnsi="Times New Roman"/>
          <w:sz w:val="24"/>
          <w:szCs w:val="24"/>
        </w:rPr>
        <w:t>financial sector activity</w:t>
      </w:r>
      <w:r w:rsidR="00645E8E" w:rsidRPr="00236568">
        <w:rPr>
          <w:rFonts w:ascii="Times New Roman" w:hAnsi="Times New Roman"/>
          <w:sz w:val="24"/>
          <w:szCs w:val="24"/>
        </w:rPr>
        <w:t xml:space="preserve">: </w:t>
      </w:r>
    </w:p>
    <w:p w14:paraId="11A737E9"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employee stock options for tax purposes;</w:t>
      </w:r>
    </w:p>
    <w:p w14:paraId="57188E54" w14:textId="1CCB3F0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 xml:space="preserve">potential income tax </w:t>
      </w:r>
      <w:r w:rsidR="00C050DA" w:rsidRPr="00236568">
        <w:rPr>
          <w:rFonts w:ascii="Times New Roman" w:hAnsi="Times New Roman"/>
          <w:sz w:val="24"/>
          <w:szCs w:val="24"/>
          <w:lang w:val="en-GB"/>
        </w:rPr>
        <w:t>exemptions</w:t>
      </w:r>
      <w:r w:rsidRPr="00236568">
        <w:rPr>
          <w:rFonts w:ascii="Times New Roman" w:hAnsi="Times New Roman"/>
          <w:sz w:val="24"/>
          <w:szCs w:val="24"/>
          <w:lang w:val="en-GB"/>
        </w:rPr>
        <w:t xml:space="preserve"> on dividends of listed companies shares, similar to currently not taxed income from government debt securities, to encourage private investors' interest to invest in the capital market;</w:t>
      </w:r>
    </w:p>
    <w:p w14:paraId="64191E8E" w14:textId="77777777"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maintain the existing tax regime, which allows the bond issuers to reduce the corporate income tax on taxable income for the bond issue interest payments in full, provided that the bonds are listed on the regulated market;</w:t>
      </w:r>
    </w:p>
    <w:p w14:paraId="32B618F6" w14:textId="23C08732" w:rsidR="00B60D4C" w:rsidRPr="00236568" w:rsidRDefault="00B60D4C">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to introduce the possibility of reducing the corporate income tax on taxable income for expenses related to the stock and bond issue and quotation on the regulated market, in order to promote business interest in the issue of bonds and quoted on the regulated market</w:t>
      </w:r>
      <w:r w:rsidR="00C050DA" w:rsidRPr="00236568">
        <w:rPr>
          <w:rFonts w:ascii="Times New Roman" w:hAnsi="Times New Roman"/>
          <w:sz w:val="24"/>
          <w:szCs w:val="24"/>
          <w:lang w:val="en-GB"/>
        </w:rPr>
        <w:t>;</w:t>
      </w:r>
    </w:p>
    <w:p w14:paraId="42B28A08" w14:textId="173F760B" w:rsidR="00645E8E" w:rsidRPr="00236568" w:rsidRDefault="00645E8E">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 xml:space="preserve">examine the possibility </w:t>
      </w:r>
      <w:r w:rsidR="00C050DA" w:rsidRPr="00236568">
        <w:rPr>
          <w:rFonts w:ascii="Times New Roman" w:hAnsi="Times New Roman"/>
          <w:sz w:val="24"/>
          <w:szCs w:val="24"/>
          <w:lang w:val="en-GB"/>
        </w:rPr>
        <w:t xml:space="preserve">to spend revenue of </w:t>
      </w:r>
      <w:r w:rsidRPr="00236568">
        <w:rPr>
          <w:rFonts w:ascii="Times New Roman" w:hAnsi="Times New Roman"/>
          <w:sz w:val="24"/>
          <w:szCs w:val="24"/>
          <w:lang w:val="en-GB"/>
        </w:rPr>
        <w:t xml:space="preserve">financial stability fee </w:t>
      </w:r>
      <w:r w:rsidR="00C050DA" w:rsidRPr="00236568">
        <w:rPr>
          <w:rFonts w:ascii="Times New Roman" w:hAnsi="Times New Roman"/>
          <w:sz w:val="24"/>
          <w:szCs w:val="24"/>
          <w:lang w:val="en-GB"/>
        </w:rPr>
        <w:t>in</w:t>
      </w:r>
      <w:r w:rsidRPr="00236568">
        <w:rPr>
          <w:rFonts w:ascii="Times New Roman" w:hAnsi="Times New Roman"/>
          <w:sz w:val="24"/>
          <w:szCs w:val="24"/>
          <w:lang w:val="en-GB"/>
        </w:rPr>
        <w:t xml:space="preserve"> priority areas</w:t>
      </w:r>
      <w:r w:rsidR="00C050DA" w:rsidRPr="00236568">
        <w:rPr>
          <w:rFonts w:ascii="Times New Roman" w:hAnsi="Times New Roman"/>
          <w:sz w:val="24"/>
          <w:szCs w:val="24"/>
          <w:lang w:val="en-GB"/>
        </w:rPr>
        <w:t>;</w:t>
      </w:r>
    </w:p>
    <w:p w14:paraId="05018CBD" w14:textId="5574753C" w:rsidR="00645E8E" w:rsidRPr="00236568" w:rsidRDefault="00645E8E">
      <w:pPr>
        <w:pStyle w:val="ListParagraph"/>
        <w:numPr>
          <w:ilvl w:val="0"/>
          <w:numId w:val="7"/>
        </w:numPr>
        <w:spacing w:after="0" w:line="240" w:lineRule="auto"/>
        <w:jc w:val="both"/>
        <w:rPr>
          <w:rFonts w:ascii="Times New Roman" w:hAnsi="Times New Roman"/>
          <w:sz w:val="24"/>
          <w:szCs w:val="24"/>
          <w:lang w:val="en-GB"/>
        </w:rPr>
      </w:pPr>
      <w:r w:rsidRPr="00236568">
        <w:rPr>
          <w:rFonts w:ascii="Times New Roman" w:hAnsi="Times New Roman"/>
          <w:sz w:val="24"/>
          <w:szCs w:val="24"/>
          <w:lang w:val="en-GB"/>
        </w:rPr>
        <w:t xml:space="preserve">based on the positive and negative aspects of the analysis, to evaluate the possibility to develop amendments to the law "On Corporate Income Tax", including the provisions on reinvested earnings are not liable for corporate income tax, thus </w:t>
      </w:r>
      <w:r w:rsidR="00C050DA" w:rsidRPr="00236568">
        <w:rPr>
          <w:rFonts w:ascii="Times New Roman" w:hAnsi="Times New Roman"/>
          <w:sz w:val="24"/>
          <w:szCs w:val="24"/>
          <w:lang w:val="en-GB"/>
        </w:rPr>
        <w:t xml:space="preserve">strengthening </w:t>
      </w:r>
      <w:r w:rsidRPr="00236568">
        <w:rPr>
          <w:rFonts w:ascii="Times New Roman" w:hAnsi="Times New Roman"/>
          <w:sz w:val="24"/>
          <w:szCs w:val="24"/>
          <w:lang w:val="en-GB"/>
        </w:rPr>
        <w:t>company capital base, promoti</w:t>
      </w:r>
      <w:r w:rsidR="00C050DA" w:rsidRPr="00236568">
        <w:rPr>
          <w:rFonts w:ascii="Times New Roman" w:hAnsi="Times New Roman"/>
          <w:sz w:val="24"/>
          <w:szCs w:val="24"/>
          <w:lang w:val="en-GB"/>
        </w:rPr>
        <w:t xml:space="preserve">ng </w:t>
      </w:r>
      <w:r w:rsidR="0006062E" w:rsidRPr="00236568">
        <w:rPr>
          <w:rFonts w:ascii="Times New Roman" w:hAnsi="Times New Roman"/>
          <w:sz w:val="24"/>
          <w:szCs w:val="24"/>
          <w:lang w:val="en-GB"/>
        </w:rPr>
        <w:t>lending</w:t>
      </w:r>
      <w:r w:rsidRPr="00236568">
        <w:rPr>
          <w:rFonts w:ascii="Times New Roman" w:hAnsi="Times New Roman"/>
          <w:sz w:val="24"/>
          <w:szCs w:val="24"/>
          <w:lang w:val="en-GB"/>
        </w:rPr>
        <w:t xml:space="preserve"> and reduc</w:t>
      </w:r>
      <w:r w:rsidR="00C050DA" w:rsidRPr="00236568">
        <w:rPr>
          <w:rFonts w:ascii="Times New Roman" w:hAnsi="Times New Roman"/>
          <w:sz w:val="24"/>
          <w:szCs w:val="24"/>
          <w:lang w:val="en-GB"/>
        </w:rPr>
        <w:t>ing</w:t>
      </w:r>
      <w:r w:rsidRPr="00236568">
        <w:rPr>
          <w:rFonts w:ascii="Times New Roman" w:hAnsi="Times New Roman"/>
          <w:sz w:val="24"/>
          <w:szCs w:val="24"/>
          <w:lang w:val="en-GB"/>
        </w:rPr>
        <w:t xml:space="preserve"> of shadow economy;</w:t>
      </w:r>
    </w:p>
    <w:p w14:paraId="7BBFE7F8" w14:textId="4573B8A8" w:rsidR="0006062E" w:rsidRPr="00236568" w:rsidRDefault="00C050DA">
      <w:pPr>
        <w:pStyle w:val="ListParagraph"/>
        <w:numPr>
          <w:ilvl w:val="0"/>
          <w:numId w:val="7"/>
        </w:numPr>
        <w:spacing w:after="0" w:line="240" w:lineRule="auto"/>
        <w:jc w:val="both"/>
        <w:rPr>
          <w:rFonts w:ascii="Times New Roman" w:hAnsi="Times New Roman"/>
          <w:sz w:val="24"/>
          <w:szCs w:val="24"/>
          <w:lang w:val="en-GB"/>
        </w:rPr>
      </w:pPr>
      <w:proofErr w:type="gramStart"/>
      <w:r w:rsidRPr="00236568">
        <w:rPr>
          <w:rFonts w:ascii="Times New Roman" w:hAnsi="Times New Roman"/>
          <w:sz w:val="24"/>
          <w:szCs w:val="24"/>
          <w:lang w:val="en-GB"/>
        </w:rPr>
        <w:t>maintain</w:t>
      </w:r>
      <w:proofErr w:type="gramEnd"/>
      <w:r w:rsidR="0006062E" w:rsidRPr="00236568">
        <w:rPr>
          <w:rFonts w:ascii="Times New Roman" w:hAnsi="Times New Roman"/>
          <w:sz w:val="24"/>
          <w:szCs w:val="24"/>
          <w:lang w:val="en-GB"/>
        </w:rPr>
        <w:t xml:space="preserve"> personal income tax </w:t>
      </w:r>
      <w:r w:rsidRPr="00236568">
        <w:rPr>
          <w:rFonts w:ascii="Times New Roman" w:hAnsi="Times New Roman"/>
          <w:sz w:val="24"/>
          <w:szCs w:val="24"/>
          <w:lang w:val="en-GB"/>
        </w:rPr>
        <w:t xml:space="preserve">exemptions </w:t>
      </w:r>
      <w:r w:rsidR="0006062E" w:rsidRPr="00236568">
        <w:rPr>
          <w:rFonts w:ascii="Times New Roman" w:hAnsi="Times New Roman"/>
          <w:sz w:val="24"/>
          <w:szCs w:val="24"/>
          <w:lang w:val="en-GB"/>
        </w:rPr>
        <w:t xml:space="preserve">for contributions to </w:t>
      </w:r>
      <w:r w:rsidR="003A3173" w:rsidRPr="00236568">
        <w:rPr>
          <w:rFonts w:ascii="Times New Roman" w:hAnsi="Times New Roman"/>
          <w:sz w:val="24"/>
          <w:szCs w:val="24"/>
          <w:lang w:val="en-GB"/>
        </w:rPr>
        <w:t>savings</w:t>
      </w:r>
      <w:r w:rsidR="0006062E" w:rsidRPr="00236568">
        <w:rPr>
          <w:rFonts w:ascii="Times New Roman" w:hAnsi="Times New Roman"/>
          <w:sz w:val="24"/>
          <w:szCs w:val="24"/>
          <w:lang w:val="en-GB"/>
        </w:rPr>
        <w:t xml:space="preserve"> life insurance and private pension savings (pension Level 3).</w:t>
      </w:r>
    </w:p>
    <w:p w14:paraId="0EE85403" w14:textId="77777777" w:rsidR="00B60D4C" w:rsidRPr="00236568" w:rsidRDefault="00B60D4C" w:rsidP="00DE5FE5">
      <w:pPr>
        <w:spacing w:line="240" w:lineRule="auto"/>
      </w:pPr>
    </w:p>
    <w:p w14:paraId="0E56DC34" w14:textId="76737570" w:rsidR="00D736DF" w:rsidRPr="00236568" w:rsidRDefault="007C087F" w:rsidP="00595DDE">
      <w:pPr>
        <w:pStyle w:val="ListParagraph"/>
        <w:spacing w:before="120" w:after="0" w:line="240" w:lineRule="auto"/>
        <w:ind w:left="35"/>
        <w:jc w:val="both"/>
        <w:rPr>
          <w:rFonts w:ascii="Times New Roman" w:hAnsi="Times New Roman"/>
          <w:sz w:val="24"/>
          <w:szCs w:val="24"/>
          <w:lang w:val="en-GB"/>
        </w:rPr>
      </w:pPr>
      <w:r w:rsidRPr="00236568">
        <w:rPr>
          <w:rFonts w:ascii="Times New Roman" w:hAnsi="Times New Roman"/>
          <w:sz w:val="24"/>
          <w:szCs w:val="24"/>
          <w:lang w:val="en-GB"/>
        </w:rPr>
        <w:t>Besides</w:t>
      </w:r>
      <w:r w:rsidR="00D736DF" w:rsidRPr="00236568">
        <w:rPr>
          <w:rFonts w:ascii="Times New Roman" w:hAnsi="Times New Roman"/>
          <w:sz w:val="24"/>
          <w:szCs w:val="24"/>
          <w:lang w:val="en-GB"/>
        </w:rPr>
        <w:t xml:space="preserve">, </w:t>
      </w:r>
      <w:r w:rsidR="006602C5" w:rsidRPr="00236568">
        <w:rPr>
          <w:rFonts w:ascii="Times New Roman" w:hAnsi="Times New Roman"/>
          <w:sz w:val="24"/>
          <w:szCs w:val="24"/>
          <w:lang w:val="en-GB"/>
        </w:rPr>
        <w:t>other</w:t>
      </w:r>
      <w:r w:rsidR="00D736DF" w:rsidRPr="00236568">
        <w:rPr>
          <w:rFonts w:ascii="Times New Roman" w:hAnsi="Times New Roman"/>
          <w:sz w:val="24"/>
          <w:szCs w:val="24"/>
          <w:lang w:val="en-GB"/>
        </w:rPr>
        <w:t xml:space="preserve"> possibilities </w:t>
      </w:r>
      <w:proofErr w:type="gramStart"/>
      <w:r w:rsidR="006602C5" w:rsidRPr="00236568">
        <w:rPr>
          <w:rFonts w:ascii="Times New Roman" w:hAnsi="Times New Roman"/>
          <w:sz w:val="24"/>
          <w:szCs w:val="24"/>
          <w:lang w:val="en-GB"/>
        </w:rPr>
        <w:t>are also reviewed</w:t>
      </w:r>
      <w:proofErr w:type="gramEnd"/>
      <w:r w:rsidR="006602C5" w:rsidRPr="00236568">
        <w:rPr>
          <w:rFonts w:ascii="Times New Roman" w:hAnsi="Times New Roman"/>
          <w:sz w:val="24"/>
          <w:szCs w:val="24"/>
          <w:lang w:val="en-GB"/>
        </w:rPr>
        <w:t xml:space="preserve"> to </w:t>
      </w:r>
      <w:r w:rsidR="00D736DF" w:rsidRPr="00236568">
        <w:rPr>
          <w:rFonts w:ascii="Times New Roman" w:hAnsi="Times New Roman"/>
          <w:sz w:val="24"/>
          <w:szCs w:val="24"/>
          <w:lang w:val="en-GB"/>
        </w:rPr>
        <w:t>introduc</w:t>
      </w:r>
      <w:r w:rsidR="006602C5" w:rsidRPr="00236568">
        <w:rPr>
          <w:rFonts w:ascii="Times New Roman" w:hAnsi="Times New Roman"/>
          <w:sz w:val="24"/>
          <w:szCs w:val="24"/>
          <w:lang w:val="en-GB"/>
        </w:rPr>
        <w:t>e</w:t>
      </w:r>
      <w:r w:rsidR="00D736DF" w:rsidRPr="00236568">
        <w:rPr>
          <w:rFonts w:ascii="Times New Roman" w:hAnsi="Times New Roman"/>
          <w:sz w:val="24"/>
          <w:szCs w:val="24"/>
          <w:lang w:val="en-GB"/>
        </w:rPr>
        <w:t xml:space="preserve"> risk mitigation measures</w:t>
      </w:r>
      <w:r w:rsidRPr="00236568">
        <w:rPr>
          <w:rFonts w:ascii="Times New Roman" w:hAnsi="Times New Roman"/>
          <w:sz w:val="24"/>
          <w:szCs w:val="24"/>
          <w:lang w:val="en-GB"/>
        </w:rPr>
        <w:t xml:space="preserve"> in financial sector</w:t>
      </w:r>
      <w:r w:rsidR="006602C5" w:rsidRPr="00236568">
        <w:rPr>
          <w:rFonts w:ascii="Times New Roman" w:hAnsi="Times New Roman"/>
          <w:sz w:val="24"/>
          <w:szCs w:val="24"/>
          <w:lang w:val="en-GB"/>
        </w:rPr>
        <w:t>.</w:t>
      </w:r>
    </w:p>
    <w:p w14:paraId="2ED3B2A4" w14:textId="374046DD" w:rsidR="00D736DF" w:rsidRPr="00236568" w:rsidRDefault="006602C5" w:rsidP="00BF7917">
      <w:pPr>
        <w:pStyle w:val="ListParagraph"/>
        <w:spacing w:before="120" w:after="0" w:line="240" w:lineRule="auto"/>
        <w:ind w:left="35"/>
        <w:contextualSpacing w:val="0"/>
        <w:jc w:val="both"/>
        <w:rPr>
          <w:rFonts w:ascii="Times New Roman" w:hAnsi="Times New Roman"/>
          <w:sz w:val="24"/>
          <w:szCs w:val="24"/>
          <w:lang w:val="en-GB"/>
        </w:rPr>
      </w:pPr>
      <w:r w:rsidRPr="00236568">
        <w:rPr>
          <w:rFonts w:ascii="Times New Roman" w:hAnsi="Times New Roman"/>
          <w:sz w:val="24"/>
          <w:szCs w:val="24"/>
          <w:lang w:val="en-GB"/>
        </w:rPr>
        <w:t>For the</w:t>
      </w:r>
      <w:r w:rsidR="00D736DF" w:rsidRPr="00236568">
        <w:rPr>
          <w:rFonts w:ascii="Times New Roman" w:hAnsi="Times New Roman"/>
          <w:sz w:val="24"/>
          <w:szCs w:val="24"/>
          <w:lang w:val="en-GB"/>
        </w:rPr>
        <w:t xml:space="preserve"> international competitiveness </w:t>
      </w:r>
      <w:r w:rsidRPr="00236568">
        <w:rPr>
          <w:rFonts w:ascii="Times New Roman" w:hAnsi="Times New Roman"/>
          <w:sz w:val="24"/>
          <w:szCs w:val="24"/>
          <w:lang w:val="en-GB"/>
        </w:rPr>
        <w:t xml:space="preserve">of the Latvian financial sector and </w:t>
      </w:r>
      <w:r w:rsidR="007C087F" w:rsidRPr="00236568">
        <w:rPr>
          <w:rFonts w:ascii="Times New Roman" w:hAnsi="Times New Roman"/>
          <w:sz w:val="24"/>
          <w:szCs w:val="24"/>
          <w:lang w:val="en-GB"/>
        </w:rPr>
        <w:t xml:space="preserve">favourable </w:t>
      </w:r>
      <w:r w:rsidRPr="00236568">
        <w:rPr>
          <w:rFonts w:ascii="Times New Roman" w:hAnsi="Times New Roman"/>
          <w:sz w:val="24"/>
          <w:szCs w:val="24"/>
          <w:lang w:val="en-GB"/>
        </w:rPr>
        <w:t>economic environment, a</w:t>
      </w:r>
      <w:r w:rsidR="00D736DF" w:rsidRPr="00236568">
        <w:rPr>
          <w:rFonts w:ascii="Times New Roman" w:hAnsi="Times New Roman"/>
          <w:sz w:val="24"/>
          <w:szCs w:val="24"/>
          <w:lang w:val="en-GB"/>
        </w:rPr>
        <w:t xml:space="preserve"> comprehensive </w:t>
      </w:r>
      <w:r w:rsidRPr="00236568">
        <w:rPr>
          <w:rFonts w:ascii="Times New Roman" w:hAnsi="Times New Roman"/>
          <w:sz w:val="24"/>
          <w:szCs w:val="24"/>
          <w:lang w:val="en-GB"/>
        </w:rPr>
        <w:t>reduction</w:t>
      </w:r>
      <w:r w:rsidR="00D736DF" w:rsidRPr="00236568">
        <w:rPr>
          <w:rFonts w:ascii="Times New Roman" w:hAnsi="Times New Roman"/>
          <w:sz w:val="24"/>
          <w:szCs w:val="24"/>
          <w:lang w:val="en-GB"/>
        </w:rPr>
        <w:t xml:space="preserve"> of the shadow economy </w:t>
      </w:r>
      <w:r w:rsidRPr="00236568">
        <w:rPr>
          <w:rFonts w:ascii="Times New Roman" w:hAnsi="Times New Roman"/>
          <w:sz w:val="24"/>
          <w:szCs w:val="24"/>
          <w:lang w:val="en-GB"/>
        </w:rPr>
        <w:t>is significant. The proposals for improvements in this area are included in the</w:t>
      </w:r>
      <w:r w:rsidR="00D736DF" w:rsidRPr="00236568">
        <w:rPr>
          <w:rFonts w:ascii="Times New Roman" w:hAnsi="Times New Roman"/>
          <w:sz w:val="24"/>
          <w:szCs w:val="24"/>
          <w:lang w:val="en-GB"/>
        </w:rPr>
        <w:t xml:space="preserve"> </w:t>
      </w:r>
      <w:r w:rsidRPr="00236568">
        <w:rPr>
          <w:rFonts w:ascii="Times New Roman" w:hAnsi="Times New Roman"/>
          <w:sz w:val="24"/>
          <w:szCs w:val="24"/>
          <w:lang w:val="en-GB"/>
        </w:rPr>
        <w:t>P</w:t>
      </w:r>
      <w:r w:rsidR="00D736DF" w:rsidRPr="00236568">
        <w:rPr>
          <w:rFonts w:ascii="Times New Roman" w:hAnsi="Times New Roman"/>
          <w:sz w:val="24"/>
          <w:szCs w:val="24"/>
          <w:lang w:val="en-GB"/>
        </w:rPr>
        <w:t>ublic authorities work plan to limit the shadow economy</w:t>
      </w:r>
      <w:r w:rsidR="007C087F" w:rsidRPr="00236568">
        <w:rPr>
          <w:rFonts w:ascii="Times New Roman" w:hAnsi="Times New Roman"/>
          <w:sz w:val="24"/>
          <w:szCs w:val="24"/>
          <w:lang w:val="en-GB"/>
        </w:rPr>
        <w:t xml:space="preserve"> in</w:t>
      </w:r>
      <w:r w:rsidR="00D736DF" w:rsidRPr="00236568">
        <w:rPr>
          <w:rFonts w:ascii="Times New Roman" w:hAnsi="Times New Roman"/>
          <w:sz w:val="24"/>
          <w:szCs w:val="24"/>
          <w:lang w:val="en-GB"/>
        </w:rPr>
        <w:t xml:space="preserve"> 2016 </w:t>
      </w:r>
      <w:r w:rsidRPr="00236568">
        <w:rPr>
          <w:rFonts w:ascii="Times New Roman" w:hAnsi="Times New Roman"/>
          <w:sz w:val="24"/>
          <w:szCs w:val="24"/>
          <w:lang w:val="en-GB"/>
        </w:rPr>
        <w:t>–</w:t>
      </w:r>
      <w:r w:rsidR="00D736DF" w:rsidRPr="00236568">
        <w:rPr>
          <w:rFonts w:ascii="Times New Roman" w:hAnsi="Times New Roman"/>
          <w:sz w:val="24"/>
          <w:szCs w:val="24"/>
          <w:lang w:val="en-GB"/>
        </w:rPr>
        <w:t xml:space="preserve"> 2020</w:t>
      </w:r>
      <w:r w:rsidRPr="00236568">
        <w:rPr>
          <w:rFonts w:ascii="Times New Roman" w:hAnsi="Times New Roman"/>
          <w:sz w:val="24"/>
          <w:szCs w:val="24"/>
          <w:lang w:val="en-GB"/>
        </w:rPr>
        <w:t>.</w:t>
      </w:r>
    </w:p>
    <w:p w14:paraId="5A729BB6" w14:textId="0F4AF237" w:rsidR="006557B1" w:rsidRPr="00236568" w:rsidRDefault="006557B1" w:rsidP="00BF7917">
      <w:pPr>
        <w:pStyle w:val="ListParagraph"/>
        <w:spacing w:before="120" w:after="0" w:line="240" w:lineRule="auto"/>
        <w:ind w:left="35"/>
        <w:contextualSpacing w:val="0"/>
        <w:jc w:val="both"/>
        <w:rPr>
          <w:rFonts w:ascii="Times New Roman" w:hAnsi="Times New Roman"/>
          <w:sz w:val="24"/>
          <w:szCs w:val="24"/>
          <w:lang w:val="en-GB"/>
        </w:rPr>
      </w:pPr>
      <w:proofErr w:type="gramStart"/>
      <w:r w:rsidRPr="00236568">
        <w:rPr>
          <w:rFonts w:ascii="Times New Roman" w:hAnsi="Times New Roman"/>
          <w:sz w:val="24"/>
          <w:szCs w:val="24"/>
          <w:lang w:val="en-GB"/>
        </w:rPr>
        <w:t xml:space="preserve">In order to support the improvement of the Latvian business environment, </w:t>
      </w:r>
      <w:r w:rsidR="007C087F" w:rsidRPr="00236568">
        <w:rPr>
          <w:rFonts w:ascii="Times New Roman" w:hAnsi="Times New Roman"/>
          <w:sz w:val="24"/>
          <w:szCs w:val="24"/>
          <w:lang w:val="en-GB"/>
        </w:rPr>
        <w:t>and</w:t>
      </w:r>
      <w:r w:rsidRPr="00236568">
        <w:rPr>
          <w:rFonts w:ascii="Times New Roman" w:hAnsi="Times New Roman"/>
          <w:sz w:val="24"/>
          <w:szCs w:val="24"/>
          <w:lang w:val="en-GB"/>
        </w:rPr>
        <w:t xml:space="preserve"> to support new economic operators (tax residents (taxpayers)) as well as attraction of individuals </w:t>
      </w:r>
      <w:r w:rsidR="000C28DF" w:rsidRPr="00236568">
        <w:rPr>
          <w:rFonts w:ascii="Times New Roman" w:hAnsi="Times New Roman"/>
          <w:sz w:val="24"/>
          <w:szCs w:val="24"/>
          <w:lang w:val="en-GB"/>
        </w:rPr>
        <w:t xml:space="preserve">for </w:t>
      </w:r>
      <w:r w:rsidRPr="00236568">
        <w:rPr>
          <w:rFonts w:ascii="Times New Roman" w:hAnsi="Times New Roman"/>
          <w:sz w:val="24"/>
          <w:szCs w:val="24"/>
          <w:lang w:val="en-GB"/>
        </w:rPr>
        <w:t xml:space="preserve">economic activity and residency </w:t>
      </w:r>
      <w:r w:rsidR="000C28DF" w:rsidRPr="00236568">
        <w:rPr>
          <w:rFonts w:ascii="Times New Roman" w:hAnsi="Times New Roman"/>
          <w:sz w:val="24"/>
          <w:szCs w:val="24"/>
          <w:lang w:val="en-GB"/>
        </w:rPr>
        <w:t>in Latvia</w:t>
      </w:r>
      <w:r w:rsidRPr="00236568">
        <w:rPr>
          <w:rFonts w:ascii="Times New Roman" w:hAnsi="Times New Roman"/>
          <w:sz w:val="24"/>
          <w:szCs w:val="24"/>
          <w:lang w:val="en-GB"/>
        </w:rPr>
        <w:t xml:space="preserve">, </w:t>
      </w:r>
      <w:r w:rsidR="007C087F" w:rsidRPr="00236568">
        <w:rPr>
          <w:rFonts w:ascii="Times New Roman" w:hAnsi="Times New Roman"/>
          <w:sz w:val="24"/>
          <w:szCs w:val="24"/>
          <w:lang w:val="en-GB"/>
        </w:rPr>
        <w:t>a need has been</w:t>
      </w:r>
      <w:r w:rsidRPr="00236568">
        <w:rPr>
          <w:rFonts w:ascii="Times New Roman" w:hAnsi="Times New Roman"/>
          <w:sz w:val="24"/>
          <w:szCs w:val="24"/>
          <w:lang w:val="en-GB"/>
        </w:rPr>
        <w:t xml:space="preserve"> identified to ensure a professional</w:t>
      </w:r>
      <w:r w:rsidR="000C28DF" w:rsidRPr="00236568">
        <w:rPr>
          <w:rFonts w:ascii="Times New Roman" w:hAnsi="Times New Roman"/>
          <w:sz w:val="24"/>
          <w:szCs w:val="24"/>
          <w:lang w:val="en-GB"/>
        </w:rPr>
        <w:t xml:space="preserve"> service and communication </w:t>
      </w:r>
      <w:r w:rsidR="007C087F" w:rsidRPr="00236568">
        <w:rPr>
          <w:rFonts w:ascii="Times New Roman" w:hAnsi="Times New Roman"/>
          <w:sz w:val="24"/>
          <w:szCs w:val="24"/>
          <w:lang w:val="en-GB"/>
        </w:rPr>
        <w:t xml:space="preserve">in English in State Revenue Service, </w:t>
      </w:r>
      <w:r w:rsidRPr="00236568">
        <w:rPr>
          <w:rFonts w:ascii="Times New Roman" w:hAnsi="Times New Roman"/>
          <w:sz w:val="24"/>
          <w:szCs w:val="24"/>
          <w:lang w:val="en-GB"/>
        </w:rPr>
        <w:t xml:space="preserve">not only </w:t>
      </w:r>
      <w:r w:rsidR="007C087F" w:rsidRPr="00236568">
        <w:rPr>
          <w:rFonts w:ascii="Times New Roman" w:hAnsi="Times New Roman"/>
          <w:sz w:val="24"/>
          <w:szCs w:val="24"/>
          <w:lang w:val="en-GB"/>
        </w:rPr>
        <w:t>with domestic</w:t>
      </w:r>
      <w:r w:rsidRPr="00236568">
        <w:rPr>
          <w:rFonts w:ascii="Times New Roman" w:hAnsi="Times New Roman"/>
          <w:sz w:val="24"/>
          <w:szCs w:val="24"/>
          <w:lang w:val="en-GB"/>
        </w:rPr>
        <w:t>, but also</w:t>
      </w:r>
      <w:r w:rsidR="007C087F" w:rsidRPr="00236568">
        <w:rPr>
          <w:rFonts w:ascii="Times New Roman" w:hAnsi="Times New Roman"/>
          <w:sz w:val="24"/>
          <w:szCs w:val="24"/>
          <w:lang w:val="en-GB"/>
        </w:rPr>
        <w:t xml:space="preserve"> with</w:t>
      </w:r>
      <w:r w:rsidRPr="00236568">
        <w:rPr>
          <w:rFonts w:ascii="Times New Roman" w:hAnsi="Times New Roman"/>
          <w:sz w:val="24"/>
          <w:szCs w:val="24"/>
          <w:lang w:val="en-GB"/>
        </w:rPr>
        <w:t xml:space="preserve"> foreign </w:t>
      </w:r>
      <w:r w:rsidR="000C28DF" w:rsidRPr="00236568">
        <w:rPr>
          <w:rFonts w:ascii="Times New Roman" w:hAnsi="Times New Roman"/>
          <w:sz w:val="24"/>
          <w:szCs w:val="24"/>
          <w:lang w:val="en-GB"/>
        </w:rPr>
        <w:t>companies</w:t>
      </w:r>
      <w:r w:rsidRPr="00236568">
        <w:rPr>
          <w:rFonts w:ascii="Times New Roman" w:hAnsi="Times New Roman"/>
          <w:sz w:val="24"/>
          <w:szCs w:val="24"/>
          <w:lang w:val="en-GB"/>
        </w:rPr>
        <w:t xml:space="preserve">, as well as the possibility </w:t>
      </w:r>
      <w:r w:rsidR="000C28DF" w:rsidRPr="00236568">
        <w:rPr>
          <w:rFonts w:ascii="Times New Roman" w:hAnsi="Times New Roman"/>
          <w:sz w:val="24"/>
          <w:szCs w:val="24"/>
          <w:lang w:val="en-GB"/>
        </w:rPr>
        <w:t>to do</w:t>
      </w:r>
      <w:r w:rsidRPr="00236568">
        <w:rPr>
          <w:rFonts w:ascii="Times New Roman" w:hAnsi="Times New Roman"/>
          <w:sz w:val="24"/>
          <w:szCs w:val="24"/>
          <w:lang w:val="en-GB"/>
        </w:rPr>
        <w:t xml:space="preserve"> accounting in English and use accounts </w:t>
      </w:r>
      <w:r w:rsidR="000C28DF" w:rsidRPr="00236568">
        <w:rPr>
          <w:rFonts w:ascii="Times New Roman" w:hAnsi="Times New Roman"/>
          <w:sz w:val="24"/>
          <w:szCs w:val="24"/>
          <w:lang w:val="en-GB"/>
        </w:rPr>
        <w:t xml:space="preserve">in </w:t>
      </w:r>
      <w:r w:rsidRPr="00236568">
        <w:rPr>
          <w:rFonts w:ascii="Times New Roman" w:hAnsi="Times New Roman"/>
          <w:sz w:val="24"/>
          <w:szCs w:val="24"/>
          <w:lang w:val="en-GB"/>
        </w:rPr>
        <w:t>other currencies.</w:t>
      </w:r>
      <w:proofErr w:type="gramEnd"/>
      <w:r w:rsidRPr="00236568">
        <w:rPr>
          <w:rFonts w:ascii="Times New Roman" w:hAnsi="Times New Roman"/>
          <w:sz w:val="24"/>
          <w:szCs w:val="24"/>
          <w:lang w:val="en-GB"/>
        </w:rPr>
        <w:t xml:space="preserve"> These proposals </w:t>
      </w:r>
      <w:proofErr w:type="gramStart"/>
      <w:r w:rsidRPr="00236568">
        <w:rPr>
          <w:rFonts w:ascii="Times New Roman" w:hAnsi="Times New Roman"/>
          <w:sz w:val="24"/>
          <w:szCs w:val="24"/>
          <w:lang w:val="en-GB"/>
        </w:rPr>
        <w:t xml:space="preserve">are </w:t>
      </w:r>
      <w:r w:rsidR="00A04AD5" w:rsidRPr="00236568">
        <w:rPr>
          <w:rFonts w:ascii="Times New Roman" w:hAnsi="Times New Roman"/>
          <w:sz w:val="24"/>
          <w:szCs w:val="24"/>
          <w:lang w:val="en-GB"/>
        </w:rPr>
        <w:t>examined</w:t>
      </w:r>
      <w:proofErr w:type="gramEnd"/>
      <w:r w:rsidRPr="00236568">
        <w:rPr>
          <w:rFonts w:ascii="Times New Roman" w:hAnsi="Times New Roman"/>
          <w:sz w:val="24"/>
          <w:szCs w:val="24"/>
          <w:lang w:val="en-GB"/>
        </w:rPr>
        <w:t xml:space="preserve"> </w:t>
      </w:r>
      <w:r w:rsidR="000C28DF" w:rsidRPr="00236568">
        <w:rPr>
          <w:rFonts w:ascii="Times New Roman" w:hAnsi="Times New Roman"/>
          <w:sz w:val="24"/>
          <w:szCs w:val="24"/>
          <w:lang w:val="en-GB"/>
        </w:rPr>
        <w:t xml:space="preserve">during </w:t>
      </w:r>
      <w:r w:rsidRPr="00236568">
        <w:rPr>
          <w:rFonts w:ascii="Times New Roman" w:hAnsi="Times New Roman"/>
          <w:sz w:val="24"/>
          <w:szCs w:val="24"/>
          <w:lang w:val="en-GB"/>
        </w:rPr>
        <w:t>the</w:t>
      </w:r>
      <w:r w:rsidR="000C28DF" w:rsidRPr="00236568">
        <w:rPr>
          <w:rFonts w:ascii="Times New Roman" w:hAnsi="Times New Roman"/>
          <w:sz w:val="24"/>
          <w:szCs w:val="24"/>
          <w:lang w:val="en-GB"/>
        </w:rPr>
        <w:t xml:space="preserve"> drafting of</w:t>
      </w:r>
      <w:r w:rsidRPr="00236568">
        <w:rPr>
          <w:rFonts w:ascii="Times New Roman" w:hAnsi="Times New Roman"/>
          <w:sz w:val="24"/>
          <w:szCs w:val="24"/>
          <w:lang w:val="en-GB"/>
        </w:rPr>
        <w:t xml:space="preserve"> Business Environment Improvement Action Plan</w:t>
      </w:r>
      <w:r w:rsidR="000C28DF" w:rsidRPr="00236568">
        <w:rPr>
          <w:rFonts w:ascii="Times New Roman" w:hAnsi="Times New Roman"/>
          <w:sz w:val="24"/>
          <w:szCs w:val="24"/>
          <w:lang w:val="en-GB"/>
        </w:rPr>
        <w:t>.</w:t>
      </w:r>
    </w:p>
    <w:p w14:paraId="749C87C8" w14:textId="03AC4129" w:rsidR="00FB077C" w:rsidRPr="00236568" w:rsidRDefault="00FB077C">
      <w:pPr>
        <w:pStyle w:val="ListParagraph"/>
        <w:spacing w:before="120" w:after="0" w:line="240" w:lineRule="auto"/>
        <w:ind w:left="35"/>
        <w:contextualSpacing w:val="0"/>
        <w:jc w:val="both"/>
        <w:rPr>
          <w:rFonts w:ascii="Times New Roman" w:hAnsi="Times New Roman"/>
          <w:sz w:val="24"/>
          <w:szCs w:val="24"/>
          <w:lang w:val="en-GB"/>
        </w:rPr>
      </w:pPr>
      <w:r w:rsidRPr="00236568">
        <w:rPr>
          <w:rFonts w:ascii="Times New Roman" w:hAnsi="Times New Roman"/>
          <w:sz w:val="24"/>
          <w:szCs w:val="24"/>
          <w:lang w:val="en-GB"/>
        </w:rPr>
        <w:t xml:space="preserve">A key </w:t>
      </w:r>
      <w:proofErr w:type="gramStart"/>
      <w:r w:rsidRPr="00236568">
        <w:rPr>
          <w:rFonts w:ascii="Times New Roman" w:hAnsi="Times New Roman"/>
          <w:sz w:val="24"/>
          <w:szCs w:val="24"/>
          <w:lang w:val="en-GB"/>
        </w:rPr>
        <w:t>priority  in</w:t>
      </w:r>
      <w:proofErr w:type="gramEnd"/>
      <w:r w:rsidRPr="00236568">
        <w:rPr>
          <w:rFonts w:ascii="Times New Roman" w:hAnsi="Times New Roman"/>
          <w:sz w:val="24"/>
          <w:szCs w:val="24"/>
          <w:lang w:val="en-GB"/>
        </w:rPr>
        <w:t xml:space="preserve"> the financial sector is to develop </w:t>
      </w:r>
      <w:r w:rsidR="00491223">
        <w:rPr>
          <w:rFonts w:ascii="Times New Roman" w:hAnsi="Times New Roman"/>
          <w:sz w:val="24"/>
          <w:szCs w:val="24"/>
          <w:lang w:val="en-GB"/>
        </w:rPr>
        <w:t xml:space="preserve">a </w:t>
      </w:r>
      <w:r w:rsidR="00491223" w:rsidRPr="00236568">
        <w:rPr>
          <w:rFonts w:ascii="Times New Roman" w:hAnsi="Times New Roman"/>
          <w:sz w:val="24"/>
          <w:szCs w:val="24"/>
          <w:lang w:val="en-GB"/>
        </w:rPr>
        <w:t xml:space="preserve">comprehensive policy planning document </w:t>
      </w:r>
      <w:r w:rsidR="00491223">
        <w:rPr>
          <w:rFonts w:ascii="Times New Roman" w:hAnsi="Times New Roman"/>
          <w:sz w:val="24"/>
          <w:szCs w:val="24"/>
          <w:lang w:val="en-GB"/>
        </w:rPr>
        <w:t>to address</w:t>
      </w:r>
      <w:r w:rsidR="00491223" w:rsidRPr="00236568">
        <w:rPr>
          <w:rFonts w:ascii="Times New Roman" w:hAnsi="Times New Roman"/>
          <w:sz w:val="24"/>
          <w:szCs w:val="24"/>
          <w:lang w:val="en-GB"/>
        </w:rPr>
        <w:t xml:space="preserve"> ML/TF </w:t>
      </w:r>
      <w:r w:rsidR="00491223">
        <w:rPr>
          <w:rFonts w:ascii="Times New Roman" w:hAnsi="Times New Roman"/>
          <w:sz w:val="24"/>
          <w:szCs w:val="24"/>
          <w:lang w:val="en-GB"/>
        </w:rPr>
        <w:t xml:space="preserve">risks </w:t>
      </w:r>
      <w:r w:rsidRPr="00236568">
        <w:rPr>
          <w:rFonts w:ascii="Times New Roman" w:hAnsi="Times New Roman"/>
          <w:sz w:val="24"/>
          <w:szCs w:val="24"/>
          <w:lang w:val="en-GB"/>
        </w:rPr>
        <w:t xml:space="preserve">in accordance with the National </w:t>
      </w:r>
      <w:r w:rsidR="00491223">
        <w:rPr>
          <w:rFonts w:ascii="Times New Roman" w:hAnsi="Times New Roman"/>
          <w:sz w:val="24"/>
          <w:szCs w:val="24"/>
          <w:lang w:val="en-GB"/>
        </w:rPr>
        <w:t>R</w:t>
      </w:r>
      <w:r w:rsidRPr="00236568">
        <w:rPr>
          <w:rFonts w:ascii="Times New Roman" w:hAnsi="Times New Roman"/>
          <w:sz w:val="24"/>
          <w:szCs w:val="24"/>
          <w:lang w:val="en-GB"/>
        </w:rPr>
        <w:t xml:space="preserve">isk </w:t>
      </w:r>
      <w:r w:rsidR="00491223">
        <w:rPr>
          <w:rFonts w:ascii="Times New Roman" w:hAnsi="Times New Roman"/>
          <w:sz w:val="24"/>
          <w:szCs w:val="24"/>
          <w:lang w:val="en-GB"/>
        </w:rPr>
        <w:t>A</w:t>
      </w:r>
      <w:r w:rsidR="00491223" w:rsidRPr="00236568">
        <w:rPr>
          <w:rFonts w:ascii="Times New Roman" w:hAnsi="Times New Roman"/>
          <w:sz w:val="24"/>
          <w:szCs w:val="24"/>
          <w:lang w:val="en-GB"/>
        </w:rPr>
        <w:t>ssessment and submit to the Cabinet</w:t>
      </w:r>
      <w:r w:rsidR="00491223">
        <w:rPr>
          <w:rFonts w:ascii="Times New Roman" w:hAnsi="Times New Roman"/>
          <w:sz w:val="24"/>
          <w:szCs w:val="24"/>
          <w:lang w:val="en-GB"/>
        </w:rPr>
        <w:t xml:space="preserve"> of Ministers</w:t>
      </w:r>
      <w:r w:rsidR="00491223" w:rsidRPr="00236568">
        <w:rPr>
          <w:rFonts w:ascii="Times New Roman" w:hAnsi="Times New Roman"/>
          <w:sz w:val="24"/>
          <w:szCs w:val="24"/>
          <w:lang w:val="en-GB"/>
        </w:rPr>
        <w:t xml:space="preserve"> for approval</w:t>
      </w:r>
      <w:r w:rsidR="00491223">
        <w:rPr>
          <w:rFonts w:ascii="Times New Roman" w:hAnsi="Times New Roman"/>
          <w:sz w:val="24"/>
          <w:szCs w:val="24"/>
          <w:lang w:val="en-GB"/>
        </w:rPr>
        <w:t>.</w:t>
      </w:r>
      <w:r w:rsidR="00491223" w:rsidRPr="00236568">
        <w:rPr>
          <w:rFonts w:ascii="Times New Roman" w:hAnsi="Times New Roman"/>
          <w:sz w:val="24"/>
          <w:szCs w:val="24"/>
          <w:lang w:val="en-GB"/>
        </w:rPr>
        <w:t xml:space="preserve"> </w:t>
      </w:r>
      <w:r w:rsidRPr="00236568">
        <w:rPr>
          <w:rFonts w:ascii="Times New Roman" w:hAnsi="Times New Roman"/>
          <w:sz w:val="24"/>
          <w:szCs w:val="24"/>
          <w:lang w:val="en-GB"/>
        </w:rPr>
        <w:t xml:space="preserve"> </w:t>
      </w:r>
      <w:r w:rsidR="00491223">
        <w:rPr>
          <w:rFonts w:ascii="Times New Roman" w:hAnsi="Times New Roman"/>
          <w:sz w:val="24"/>
          <w:szCs w:val="24"/>
          <w:lang w:val="en-GB"/>
        </w:rPr>
        <w:t>T</w:t>
      </w:r>
      <w:r w:rsidR="00491223" w:rsidRPr="00236568">
        <w:rPr>
          <w:rFonts w:ascii="Times New Roman" w:hAnsi="Times New Roman"/>
          <w:sz w:val="24"/>
          <w:szCs w:val="24"/>
          <w:lang w:val="en-GB"/>
        </w:rPr>
        <w:t>hereby</w:t>
      </w:r>
      <w:r w:rsidR="00491223">
        <w:rPr>
          <w:rFonts w:ascii="Times New Roman" w:hAnsi="Times New Roman"/>
          <w:sz w:val="24"/>
          <w:szCs w:val="24"/>
          <w:lang w:val="en-GB"/>
        </w:rPr>
        <w:t>,</w:t>
      </w:r>
      <w:r w:rsidR="00491223" w:rsidRPr="00236568">
        <w:rPr>
          <w:rFonts w:ascii="Times New Roman" w:hAnsi="Times New Roman"/>
          <w:sz w:val="24"/>
          <w:szCs w:val="24"/>
          <w:lang w:val="en-GB"/>
        </w:rPr>
        <w:t xml:space="preserve"> </w:t>
      </w:r>
      <w:r w:rsidRPr="00236568">
        <w:rPr>
          <w:rFonts w:ascii="Times New Roman" w:hAnsi="Times New Roman"/>
          <w:sz w:val="24"/>
          <w:szCs w:val="24"/>
          <w:lang w:val="en-GB"/>
        </w:rPr>
        <w:t xml:space="preserve">a system for risk management on </w:t>
      </w:r>
      <w:r w:rsidR="00961BE3" w:rsidRPr="00236568">
        <w:rPr>
          <w:rFonts w:ascii="Times New Roman" w:hAnsi="Times New Roman"/>
          <w:sz w:val="24"/>
          <w:szCs w:val="24"/>
          <w:lang w:val="en-GB"/>
        </w:rPr>
        <w:t>ML/TF</w:t>
      </w:r>
      <w:r w:rsidRPr="00236568">
        <w:rPr>
          <w:rFonts w:ascii="Times New Roman" w:hAnsi="Times New Roman"/>
          <w:sz w:val="24"/>
          <w:szCs w:val="24"/>
          <w:lang w:val="en-GB"/>
        </w:rPr>
        <w:t xml:space="preserve"> prevention in public and private bodies</w:t>
      </w:r>
      <w:r w:rsidR="00491223">
        <w:rPr>
          <w:rFonts w:ascii="Times New Roman" w:hAnsi="Times New Roman"/>
          <w:sz w:val="24"/>
          <w:szCs w:val="24"/>
          <w:lang w:val="en-GB"/>
        </w:rPr>
        <w:t xml:space="preserve"> </w:t>
      </w:r>
      <w:proofErr w:type="gramStart"/>
      <w:r w:rsidR="00491223">
        <w:rPr>
          <w:rFonts w:ascii="Times New Roman" w:hAnsi="Times New Roman"/>
          <w:sz w:val="24"/>
          <w:szCs w:val="24"/>
          <w:lang w:val="en-GB"/>
        </w:rPr>
        <w:t>will be introduced</w:t>
      </w:r>
      <w:proofErr w:type="gramEnd"/>
      <w:r w:rsidRPr="00236568">
        <w:rPr>
          <w:rFonts w:ascii="Times New Roman" w:hAnsi="Times New Roman"/>
          <w:sz w:val="24"/>
          <w:szCs w:val="24"/>
          <w:lang w:val="en-GB"/>
        </w:rPr>
        <w:t xml:space="preserve">, covering international standards </w:t>
      </w:r>
      <w:r w:rsidR="00FE4015">
        <w:rPr>
          <w:rFonts w:ascii="Times New Roman" w:hAnsi="Times New Roman"/>
          <w:sz w:val="24"/>
          <w:szCs w:val="24"/>
          <w:lang w:val="en-GB"/>
        </w:rPr>
        <w:t>of</w:t>
      </w:r>
      <w:r w:rsidRPr="00236568">
        <w:rPr>
          <w:rFonts w:ascii="Times New Roman" w:hAnsi="Times New Roman"/>
          <w:sz w:val="24"/>
          <w:szCs w:val="24"/>
          <w:lang w:val="en-GB"/>
        </w:rPr>
        <w:t xml:space="preserve"> the Financial Action Task Force recommendations.</w:t>
      </w:r>
    </w:p>
    <w:p w14:paraId="4820D82D" w14:textId="069F0C50" w:rsidR="00B60D4C" w:rsidRPr="00236568" w:rsidRDefault="00B60D4C">
      <w:pPr>
        <w:pStyle w:val="ListParagraph"/>
        <w:spacing w:before="120" w:after="0" w:line="240" w:lineRule="auto"/>
        <w:ind w:left="35"/>
        <w:contextualSpacing w:val="0"/>
        <w:jc w:val="both"/>
        <w:rPr>
          <w:rFonts w:ascii="Times New Roman" w:hAnsi="Times New Roman"/>
          <w:sz w:val="24"/>
          <w:szCs w:val="24"/>
          <w:lang w:val="en-GB"/>
        </w:rPr>
      </w:pPr>
      <w:r w:rsidRPr="00236568">
        <w:rPr>
          <w:rFonts w:ascii="Times New Roman" w:hAnsi="Times New Roman"/>
          <w:sz w:val="24"/>
          <w:szCs w:val="24"/>
          <w:lang w:val="en-GB"/>
        </w:rPr>
        <w:lastRenderedPageBreak/>
        <w:t xml:space="preserve">In addition, in order to promote lending, efficient insolvency proceedings should be </w:t>
      </w:r>
      <w:proofErr w:type="gramStart"/>
      <w:r w:rsidRPr="00236568">
        <w:rPr>
          <w:rFonts w:ascii="Times New Roman" w:hAnsi="Times New Roman"/>
          <w:sz w:val="24"/>
          <w:szCs w:val="24"/>
          <w:lang w:val="en-GB"/>
        </w:rPr>
        <w:t xml:space="preserve">provided  </w:t>
      </w:r>
      <w:r w:rsidR="00A04AD5" w:rsidRPr="00236568">
        <w:rPr>
          <w:rFonts w:ascii="Times New Roman" w:hAnsi="Times New Roman"/>
          <w:sz w:val="24"/>
          <w:szCs w:val="24"/>
          <w:lang w:val="en-GB"/>
        </w:rPr>
        <w:t>ensur</w:t>
      </w:r>
      <w:r w:rsidR="00FE4015">
        <w:rPr>
          <w:rFonts w:ascii="Times New Roman" w:hAnsi="Times New Roman"/>
          <w:sz w:val="24"/>
          <w:szCs w:val="24"/>
          <w:lang w:val="en-GB"/>
        </w:rPr>
        <w:t>ing</w:t>
      </w:r>
      <w:proofErr w:type="gramEnd"/>
      <w:r w:rsidR="00A04AD5" w:rsidRPr="00236568">
        <w:rPr>
          <w:rFonts w:ascii="Times New Roman" w:hAnsi="Times New Roman"/>
          <w:sz w:val="24"/>
          <w:szCs w:val="24"/>
          <w:lang w:val="en-GB"/>
        </w:rPr>
        <w:t xml:space="preserve"> compliance </w:t>
      </w:r>
      <w:r w:rsidR="00FE4015">
        <w:rPr>
          <w:rFonts w:ascii="Times New Roman" w:hAnsi="Times New Roman"/>
          <w:sz w:val="24"/>
          <w:szCs w:val="24"/>
          <w:lang w:val="en-GB"/>
        </w:rPr>
        <w:t>with</w:t>
      </w:r>
      <w:r w:rsidR="00A04AD5" w:rsidRPr="00236568">
        <w:rPr>
          <w:rFonts w:ascii="Times New Roman" w:hAnsi="Times New Roman"/>
          <w:sz w:val="24"/>
          <w:szCs w:val="24"/>
          <w:lang w:val="en-GB"/>
        </w:rPr>
        <w:t xml:space="preserve"> financial obligations, and </w:t>
      </w:r>
      <w:r w:rsidR="00FE4015">
        <w:rPr>
          <w:rFonts w:ascii="Times New Roman" w:hAnsi="Times New Roman"/>
          <w:sz w:val="24"/>
          <w:szCs w:val="24"/>
          <w:lang w:val="en-GB"/>
        </w:rPr>
        <w:t xml:space="preserve">where </w:t>
      </w:r>
      <w:r w:rsidR="00A04AD5" w:rsidRPr="00236568">
        <w:rPr>
          <w:rFonts w:ascii="Times New Roman" w:hAnsi="Times New Roman"/>
          <w:sz w:val="24"/>
          <w:szCs w:val="24"/>
          <w:lang w:val="en-GB"/>
        </w:rPr>
        <w:t>possible</w:t>
      </w:r>
      <w:r w:rsidRPr="00236568">
        <w:rPr>
          <w:rFonts w:ascii="Times New Roman" w:hAnsi="Times New Roman"/>
          <w:sz w:val="24"/>
          <w:szCs w:val="24"/>
          <w:lang w:val="en-GB"/>
        </w:rPr>
        <w:t xml:space="preserve"> return to solvency </w:t>
      </w:r>
      <w:r w:rsidR="00A04AD5" w:rsidRPr="00236568">
        <w:rPr>
          <w:rFonts w:ascii="Times New Roman" w:hAnsi="Times New Roman"/>
          <w:sz w:val="24"/>
          <w:szCs w:val="24"/>
          <w:lang w:val="en-GB"/>
        </w:rPr>
        <w:t xml:space="preserve">in accordance with the Plan </w:t>
      </w:r>
      <w:r w:rsidRPr="00236568">
        <w:rPr>
          <w:rFonts w:ascii="Times New Roman" w:hAnsi="Times New Roman"/>
          <w:sz w:val="24"/>
          <w:szCs w:val="24"/>
          <w:lang w:val="en-GB"/>
        </w:rPr>
        <w:t>"On insolvency policy development guidelines for the 2016</w:t>
      </w:r>
      <w:r w:rsidR="00A04AD5" w:rsidRPr="00236568">
        <w:rPr>
          <w:rFonts w:ascii="Times New Roman" w:hAnsi="Times New Roman"/>
          <w:sz w:val="24"/>
          <w:szCs w:val="24"/>
          <w:lang w:val="en-GB"/>
        </w:rPr>
        <w:t xml:space="preserve"> </w:t>
      </w:r>
      <w:r w:rsidRPr="00236568">
        <w:rPr>
          <w:rFonts w:ascii="Times New Roman" w:hAnsi="Times New Roman"/>
          <w:sz w:val="24"/>
          <w:szCs w:val="24"/>
          <w:lang w:val="en-GB"/>
        </w:rPr>
        <w:t xml:space="preserve">- 2020 and </w:t>
      </w:r>
      <w:r w:rsidR="00A04AD5" w:rsidRPr="00236568">
        <w:rPr>
          <w:rFonts w:ascii="Times New Roman" w:hAnsi="Times New Roman"/>
          <w:sz w:val="24"/>
          <w:szCs w:val="24"/>
          <w:lang w:val="en-GB"/>
        </w:rPr>
        <w:t>its</w:t>
      </w:r>
      <w:r w:rsidRPr="00236568">
        <w:rPr>
          <w:rFonts w:ascii="Times New Roman" w:hAnsi="Times New Roman"/>
          <w:sz w:val="24"/>
          <w:szCs w:val="24"/>
          <w:lang w:val="en-GB"/>
        </w:rPr>
        <w:t xml:space="preserve"> </w:t>
      </w:r>
      <w:r w:rsidR="00A04AD5" w:rsidRPr="00236568">
        <w:rPr>
          <w:rFonts w:ascii="Times New Roman" w:hAnsi="Times New Roman"/>
          <w:sz w:val="24"/>
          <w:szCs w:val="24"/>
          <w:lang w:val="en-GB"/>
        </w:rPr>
        <w:t>i</w:t>
      </w:r>
      <w:r w:rsidRPr="00236568">
        <w:rPr>
          <w:rFonts w:ascii="Times New Roman" w:hAnsi="Times New Roman"/>
          <w:sz w:val="24"/>
          <w:szCs w:val="24"/>
          <w:lang w:val="en-GB"/>
        </w:rPr>
        <w:t>mplementation".</w:t>
      </w:r>
    </w:p>
    <w:p w14:paraId="356E78CA" w14:textId="77777777" w:rsidR="00B60D4C" w:rsidRPr="00236568" w:rsidRDefault="00B60D4C">
      <w:pPr>
        <w:spacing w:before="100" w:beforeAutospacing="1" w:after="100" w:afterAutospacing="1" w:line="240" w:lineRule="auto"/>
        <w:ind w:left="-207"/>
        <w:jc w:val="center"/>
        <w:rPr>
          <w:rFonts w:ascii="Times New Roman" w:hAnsi="Times New Roman"/>
          <w:b/>
          <w:color w:val="000000"/>
          <w:sz w:val="24"/>
          <w:szCs w:val="24"/>
          <w:u w:val="single"/>
          <w:lang w:eastAsia="lv-LV"/>
        </w:rPr>
      </w:pPr>
    </w:p>
    <w:p w14:paraId="6A1CA2EA" w14:textId="0134901D" w:rsidR="00B60D4C" w:rsidRPr="00236568" w:rsidRDefault="008E3E9C" w:rsidP="00DE5FE5">
      <w:pPr>
        <w:pStyle w:val="Heading2"/>
        <w:spacing w:line="240" w:lineRule="auto"/>
      </w:pPr>
      <w:bookmarkStart w:id="13" w:name="_Toc479773682"/>
      <w:bookmarkStart w:id="14" w:name="_Toc479839716"/>
      <w:r w:rsidRPr="00236568">
        <w:t>1.</w:t>
      </w:r>
      <w:r w:rsidR="00B60D4C" w:rsidRPr="00236568">
        <w:t xml:space="preserve">2. The Banking </w:t>
      </w:r>
      <w:r w:rsidR="00005F6C" w:rsidRPr="00236568">
        <w:t>s</w:t>
      </w:r>
      <w:r w:rsidR="00B60D4C" w:rsidRPr="00236568">
        <w:t>ector</w:t>
      </w:r>
      <w:bookmarkEnd w:id="13"/>
      <w:bookmarkEnd w:id="14"/>
    </w:p>
    <w:p w14:paraId="722D49A6" w14:textId="77777777" w:rsidR="00B70588" w:rsidRPr="00236568" w:rsidRDefault="00B70588" w:rsidP="00595DDE">
      <w:pPr>
        <w:pStyle w:val="Virsraksts2"/>
        <w:rPr>
          <w:lang w:val="en-GB"/>
        </w:rPr>
      </w:pPr>
    </w:p>
    <w:p w14:paraId="6DA26541" w14:textId="1A45AC5F" w:rsidR="00B60D4C" w:rsidRPr="00236568" w:rsidRDefault="00175060" w:rsidP="00BF7917">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At the end of the first half 2016</w:t>
      </w:r>
      <w:r w:rsidR="00B60D4C" w:rsidRPr="00236568">
        <w:rPr>
          <w:rFonts w:ascii="Times New Roman" w:hAnsi="Times New Roman"/>
          <w:color w:val="000000"/>
          <w:sz w:val="24"/>
          <w:szCs w:val="24"/>
          <w:lang w:eastAsia="lv-LV"/>
        </w:rPr>
        <w:t xml:space="preserve">, there </w:t>
      </w:r>
      <w:r w:rsidR="008E3E9C" w:rsidRPr="00236568">
        <w:rPr>
          <w:rFonts w:ascii="Times New Roman" w:hAnsi="Times New Roman"/>
          <w:color w:val="000000"/>
          <w:sz w:val="24"/>
          <w:szCs w:val="24"/>
          <w:lang w:eastAsia="lv-LV"/>
        </w:rPr>
        <w:t xml:space="preserve">were </w:t>
      </w:r>
      <w:r w:rsidR="00B60D4C" w:rsidRPr="00236568">
        <w:rPr>
          <w:rFonts w:ascii="Times New Roman" w:hAnsi="Times New Roman"/>
          <w:color w:val="000000"/>
          <w:sz w:val="24"/>
          <w:szCs w:val="24"/>
          <w:lang w:eastAsia="lv-LV"/>
        </w:rPr>
        <w:t xml:space="preserve">23 banks </w:t>
      </w:r>
      <w:r w:rsidR="008E3E9C" w:rsidRPr="00236568">
        <w:rPr>
          <w:rFonts w:ascii="Times New Roman" w:hAnsi="Times New Roman"/>
          <w:color w:val="000000"/>
          <w:sz w:val="24"/>
          <w:szCs w:val="24"/>
          <w:lang w:eastAsia="lv-LV"/>
        </w:rPr>
        <w:t>operating</w:t>
      </w:r>
      <w:r w:rsidR="00B60D4C" w:rsidRPr="00236568">
        <w:rPr>
          <w:rFonts w:ascii="Times New Roman" w:hAnsi="Times New Roman"/>
          <w:color w:val="000000"/>
          <w:sz w:val="24"/>
          <w:szCs w:val="24"/>
          <w:lang w:eastAsia="lv-LV"/>
        </w:rPr>
        <w:t xml:space="preserve"> in Latvia, including seven branches of foreign banks and three foreign bank subsidiaries. </w:t>
      </w:r>
      <w:r w:rsidR="007A2A51" w:rsidRPr="00236568">
        <w:rPr>
          <w:rFonts w:ascii="Times New Roman" w:hAnsi="Times New Roman"/>
          <w:color w:val="000000"/>
          <w:sz w:val="24"/>
          <w:szCs w:val="24"/>
          <w:lang w:eastAsia="lv-LV"/>
        </w:rPr>
        <w:t xml:space="preserve">The banking sector's </w:t>
      </w:r>
      <w:r w:rsidRPr="00236568">
        <w:rPr>
          <w:rFonts w:ascii="Times New Roman" w:hAnsi="Times New Roman"/>
          <w:color w:val="000000"/>
          <w:sz w:val="24"/>
          <w:szCs w:val="24"/>
          <w:lang w:eastAsia="lv-LV"/>
        </w:rPr>
        <w:t xml:space="preserve">total assets </w:t>
      </w:r>
      <w:r w:rsidR="007A2A51" w:rsidRPr="00236568">
        <w:rPr>
          <w:rFonts w:ascii="Times New Roman" w:hAnsi="Times New Roman"/>
          <w:color w:val="000000"/>
          <w:sz w:val="24"/>
          <w:szCs w:val="24"/>
          <w:lang w:eastAsia="lv-LV"/>
        </w:rPr>
        <w:t xml:space="preserve">declined slightly </w:t>
      </w:r>
      <w:r w:rsidRPr="00236568">
        <w:rPr>
          <w:rFonts w:ascii="Times New Roman" w:hAnsi="Times New Roman"/>
          <w:color w:val="000000"/>
          <w:sz w:val="24"/>
          <w:szCs w:val="24"/>
          <w:lang w:eastAsia="lv-LV"/>
        </w:rPr>
        <w:t xml:space="preserve">in 2016 </w:t>
      </w:r>
      <w:r w:rsidR="007A2A51" w:rsidRPr="00236568">
        <w:rPr>
          <w:rFonts w:ascii="Times New Roman" w:hAnsi="Times New Roman"/>
          <w:color w:val="000000"/>
          <w:sz w:val="24"/>
          <w:szCs w:val="24"/>
          <w:lang w:eastAsia="lv-LV"/>
        </w:rPr>
        <w:t xml:space="preserve">and </w:t>
      </w:r>
      <w:r w:rsidRPr="00236568">
        <w:rPr>
          <w:rFonts w:ascii="Times New Roman" w:hAnsi="Times New Roman"/>
          <w:color w:val="000000"/>
          <w:sz w:val="24"/>
          <w:szCs w:val="24"/>
          <w:lang w:eastAsia="lv-LV"/>
        </w:rPr>
        <w:t xml:space="preserve">at </w:t>
      </w:r>
      <w:r w:rsidR="007A2A51" w:rsidRPr="00236568">
        <w:rPr>
          <w:rFonts w:ascii="Times New Roman" w:hAnsi="Times New Roman"/>
          <w:color w:val="000000"/>
          <w:sz w:val="24"/>
          <w:szCs w:val="24"/>
          <w:lang w:eastAsia="lv-LV"/>
        </w:rPr>
        <w:t xml:space="preserve">the end of June amounted to 30.5 billion euro. </w:t>
      </w:r>
      <w:r w:rsidR="00AE07C3" w:rsidRPr="00236568">
        <w:rPr>
          <w:rFonts w:ascii="Times New Roman" w:hAnsi="Times New Roman"/>
          <w:color w:val="000000"/>
          <w:sz w:val="24"/>
          <w:szCs w:val="24"/>
          <w:lang w:eastAsia="lv-LV"/>
        </w:rPr>
        <w:t xml:space="preserve">This </w:t>
      </w:r>
      <w:proofErr w:type="gramStart"/>
      <w:r w:rsidR="00AE07C3" w:rsidRPr="00236568">
        <w:rPr>
          <w:rFonts w:ascii="Times New Roman" w:hAnsi="Times New Roman"/>
          <w:color w:val="000000"/>
          <w:sz w:val="24"/>
          <w:szCs w:val="24"/>
          <w:lang w:eastAsia="lv-LV"/>
        </w:rPr>
        <w:t>was driven</w:t>
      </w:r>
      <w:proofErr w:type="gramEnd"/>
      <w:r w:rsidR="00AE07C3" w:rsidRPr="00236568">
        <w:rPr>
          <w:rFonts w:ascii="Times New Roman" w:hAnsi="Times New Roman"/>
          <w:color w:val="000000"/>
          <w:sz w:val="24"/>
          <w:szCs w:val="24"/>
          <w:lang w:eastAsia="lv-LV"/>
        </w:rPr>
        <w:t xml:space="preserve"> mainly by deposits</w:t>
      </w:r>
      <w:r w:rsidRPr="00236568">
        <w:rPr>
          <w:rFonts w:ascii="Times New Roman" w:hAnsi="Times New Roman"/>
          <w:color w:val="000000"/>
          <w:sz w:val="24"/>
          <w:szCs w:val="24"/>
          <w:lang w:eastAsia="lv-LV"/>
        </w:rPr>
        <w:t>,</w:t>
      </w:r>
      <w:r w:rsidR="00AE07C3" w:rsidRPr="00236568">
        <w:rPr>
          <w:rFonts w:ascii="Times New Roman" w:hAnsi="Times New Roman"/>
          <w:color w:val="000000"/>
          <w:sz w:val="24"/>
          <w:szCs w:val="24"/>
          <w:lang w:eastAsia="lv-LV"/>
        </w:rPr>
        <w:t xml:space="preserve"> with a decrease of 4.3% since the beginning of 2016</w:t>
      </w:r>
      <w:r w:rsidR="00E503AC" w:rsidRPr="00236568">
        <w:rPr>
          <w:rFonts w:ascii="Times New Roman" w:hAnsi="Times New Roman"/>
          <w:color w:val="000000"/>
          <w:sz w:val="24"/>
          <w:szCs w:val="24"/>
          <w:lang w:eastAsia="lv-LV"/>
        </w:rPr>
        <w:t xml:space="preserve">, and </w:t>
      </w:r>
      <w:r w:rsidRPr="00236568">
        <w:rPr>
          <w:rFonts w:ascii="Times New Roman" w:hAnsi="Times New Roman"/>
          <w:color w:val="000000"/>
          <w:sz w:val="24"/>
          <w:szCs w:val="24"/>
          <w:lang w:eastAsia="lv-LV"/>
        </w:rPr>
        <w:t xml:space="preserve">amounting to 22.3 billion euros </w:t>
      </w:r>
      <w:r w:rsidR="00E503AC" w:rsidRPr="00236568">
        <w:rPr>
          <w:rFonts w:ascii="Times New Roman" w:hAnsi="Times New Roman"/>
          <w:color w:val="000000"/>
          <w:sz w:val="24"/>
          <w:szCs w:val="24"/>
          <w:lang w:eastAsia="lv-LV"/>
        </w:rPr>
        <w:t>at</w:t>
      </w:r>
      <w:r w:rsidRPr="00236568">
        <w:rPr>
          <w:rFonts w:ascii="Times New Roman" w:hAnsi="Times New Roman"/>
          <w:color w:val="000000"/>
          <w:sz w:val="24"/>
          <w:szCs w:val="24"/>
          <w:lang w:eastAsia="lv-LV"/>
        </w:rPr>
        <w:t xml:space="preserve"> the end of June 2016</w:t>
      </w:r>
      <w:r w:rsidR="00AE07C3"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A </w:t>
      </w:r>
      <w:r w:rsidR="00AE07C3" w:rsidRPr="00236568">
        <w:rPr>
          <w:rFonts w:ascii="Times New Roman" w:hAnsi="Times New Roman"/>
          <w:color w:val="000000"/>
          <w:sz w:val="24"/>
          <w:szCs w:val="24"/>
          <w:lang w:eastAsia="lv-LV"/>
        </w:rPr>
        <w:t xml:space="preserve">decline </w:t>
      </w:r>
      <w:r w:rsidRPr="00236568">
        <w:rPr>
          <w:rFonts w:ascii="Times New Roman" w:hAnsi="Times New Roman"/>
          <w:color w:val="000000"/>
          <w:sz w:val="24"/>
          <w:szCs w:val="24"/>
          <w:lang w:eastAsia="lv-LV"/>
        </w:rPr>
        <w:t xml:space="preserve">in foreign </w:t>
      </w:r>
      <w:r w:rsidR="00271A4E" w:rsidRPr="00236568">
        <w:rPr>
          <w:rFonts w:ascii="Times New Roman" w:hAnsi="Times New Roman"/>
          <w:color w:val="000000"/>
          <w:sz w:val="24"/>
          <w:szCs w:val="24"/>
          <w:lang w:eastAsia="lv-LV"/>
        </w:rPr>
        <w:t>client</w:t>
      </w:r>
      <w:r w:rsidRPr="00236568">
        <w:rPr>
          <w:rFonts w:ascii="Times New Roman" w:hAnsi="Times New Roman"/>
          <w:color w:val="000000"/>
          <w:sz w:val="24"/>
          <w:szCs w:val="24"/>
          <w:lang w:eastAsia="lv-LV"/>
        </w:rPr>
        <w:t xml:space="preserve"> deposits </w:t>
      </w:r>
      <w:r w:rsidR="00AE07C3" w:rsidRPr="00236568">
        <w:rPr>
          <w:rFonts w:ascii="Times New Roman" w:hAnsi="Times New Roman"/>
          <w:color w:val="000000"/>
          <w:sz w:val="24"/>
          <w:szCs w:val="24"/>
          <w:lang w:eastAsia="lv-LV"/>
        </w:rPr>
        <w:t xml:space="preserve">was due to several factors - both stricter </w:t>
      </w:r>
      <w:r w:rsidR="00961BE3" w:rsidRPr="00236568">
        <w:rPr>
          <w:rFonts w:ascii="Times New Roman" w:hAnsi="Times New Roman"/>
          <w:color w:val="000000"/>
          <w:sz w:val="24"/>
          <w:szCs w:val="24"/>
          <w:lang w:eastAsia="lv-LV"/>
        </w:rPr>
        <w:t>ML</w:t>
      </w:r>
      <w:r w:rsidR="00AE07C3" w:rsidRPr="00236568">
        <w:rPr>
          <w:rFonts w:ascii="Times New Roman" w:hAnsi="Times New Roman"/>
          <w:color w:val="000000"/>
          <w:sz w:val="24"/>
          <w:szCs w:val="24"/>
          <w:lang w:eastAsia="lv-LV"/>
        </w:rPr>
        <w:t xml:space="preserve"> prevention requirements and weak ec</w:t>
      </w:r>
      <w:r w:rsidR="007836DC" w:rsidRPr="00236568">
        <w:rPr>
          <w:rFonts w:ascii="Times New Roman" w:hAnsi="Times New Roman"/>
          <w:color w:val="000000"/>
          <w:sz w:val="24"/>
          <w:szCs w:val="24"/>
          <w:lang w:eastAsia="lv-LV"/>
        </w:rPr>
        <w:t xml:space="preserve">onomic growth in Russia, </w:t>
      </w:r>
      <w:r w:rsidR="00AE07C3" w:rsidRPr="00236568">
        <w:rPr>
          <w:rFonts w:ascii="Times New Roman" w:hAnsi="Times New Roman"/>
          <w:color w:val="000000"/>
          <w:sz w:val="24"/>
          <w:szCs w:val="24"/>
          <w:lang w:eastAsia="lv-LV"/>
        </w:rPr>
        <w:t xml:space="preserve">reducing </w:t>
      </w:r>
      <w:r w:rsidR="00271A4E" w:rsidRPr="00236568">
        <w:rPr>
          <w:rFonts w:ascii="Times New Roman" w:hAnsi="Times New Roman"/>
          <w:color w:val="000000"/>
          <w:sz w:val="24"/>
          <w:szCs w:val="24"/>
          <w:lang w:eastAsia="lv-LV"/>
        </w:rPr>
        <w:t>client</w:t>
      </w:r>
      <w:r w:rsidR="00AE07C3" w:rsidRPr="00236568">
        <w:rPr>
          <w:rFonts w:ascii="Times New Roman" w:hAnsi="Times New Roman"/>
          <w:color w:val="000000"/>
          <w:sz w:val="24"/>
          <w:szCs w:val="24"/>
          <w:lang w:eastAsia="lv-LV"/>
        </w:rPr>
        <w:t>s' business volumes</w:t>
      </w:r>
      <w:r w:rsidRPr="00236568">
        <w:rPr>
          <w:rFonts w:ascii="Times New Roman" w:hAnsi="Times New Roman"/>
          <w:color w:val="000000"/>
          <w:sz w:val="24"/>
          <w:szCs w:val="24"/>
          <w:lang w:eastAsia="lv-LV"/>
        </w:rPr>
        <w:t>,</w:t>
      </w:r>
      <w:r w:rsidR="00AE07C3"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and </w:t>
      </w:r>
      <w:r w:rsidR="00271A4E" w:rsidRPr="00236568">
        <w:rPr>
          <w:rFonts w:ascii="Times New Roman" w:hAnsi="Times New Roman"/>
          <w:color w:val="000000"/>
          <w:sz w:val="24"/>
          <w:szCs w:val="24"/>
          <w:lang w:eastAsia="lv-LV"/>
        </w:rPr>
        <w:t>client</w:t>
      </w:r>
      <w:r w:rsidR="00AE07C3" w:rsidRPr="00236568">
        <w:rPr>
          <w:rFonts w:ascii="Times New Roman" w:hAnsi="Times New Roman"/>
          <w:color w:val="000000"/>
          <w:sz w:val="24"/>
          <w:szCs w:val="24"/>
          <w:lang w:eastAsia="lv-LV"/>
        </w:rPr>
        <w:t xml:space="preserve">s starting to use the funds that </w:t>
      </w:r>
      <w:proofErr w:type="gramStart"/>
      <w:r w:rsidR="00AE07C3" w:rsidRPr="00236568">
        <w:rPr>
          <w:rFonts w:ascii="Times New Roman" w:hAnsi="Times New Roman"/>
          <w:color w:val="000000"/>
          <w:sz w:val="24"/>
          <w:szCs w:val="24"/>
          <w:lang w:eastAsia="lv-LV"/>
        </w:rPr>
        <w:t xml:space="preserve">have </w:t>
      </w:r>
      <w:r w:rsidRPr="00236568">
        <w:rPr>
          <w:rFonts w:ascii="Times New Roman" w:hAnsi="Times New Roman"/>
          <w:color w:val="000000"/>
          <w:sz w:val="24"/>
          <w:szCs w:val="24"/>
          <w:lang w:eastAsia="lv-LV"/>
        </w:rPr>
        <w:t>been</w:t>
      </w:r>
      <w:r w:rsidR="00AE07C3" w:rsidRPr="00236568">
        <w:rPr>
          <w:rFonts w:ascii="Times New Roman" w:hAnsi="Times New Roman"/>
          <w:color w:val="000000"/>
          <w:sz w:val="24"/>
          <w:szCs w:val="24"/>
          <w:lang w:eastAsia="lv-LV"/>
        </w:rPr>
        <w:t xml:space="preserve"> accumulated</w:t>
      </w:r>
      <w:proofErr w:type="gramEnd"/>
      <w:r w:rsidR="00AE07C3" w:rsidRPr="00236568">
        <w:rPr>
          <w:rFonts w:ascii="Times New Roman" w:hAnsi="Times New Roman"/>
          <w:color w:val="000000"/>
          <w:sz w:val="24"/>
          <w:szCs w:val="24"/>
          <w:lang w:eastAsia="lv-LV"/>
        </w:rPr>
        <w:t xml:space="preserve"> in the Latvian banks. It was accompanied by an increase in </w:t>
      </w:r>
      <w:r w:rsidR="002B4317">
        <w:rPr>
          <w:rFonts w:ascii="Times New Roman" w:hAnsi="Times New Roman"/>
          <w:color w:val="000000"/>
          <w:sz w:val="24"/>
          <w:szCs w:val="24"/>
          <w:lang w:eastAsia="lv-LV"/>
        </w:rPr>
        <w:t xml:space="preserve">the </w:t>
      </w:r>
      <w:r w:rsidR="009E3C5B" w:rsidRPr="00236568">
        <w:rPr>
          <w:rFonts w:ascii="Times New Roman" w:hAnsi="Times New Roman"/>
          <w:color w:val="000000"/>
          <w:sz w:val="24"/>
          <w:szCs w:val="24"/>
          <w:lang w:eastAsia="lv-LV"/>
        </w:rPr>
        <w:t>domestic client</w:t>
      </w:r>
      <w:r w:rsidR="00AE07C3" w:rsidRPr="00236568">
        <w:rPr>
          <w:rFonts w:ascii="Times New Roman" w:hAnsi="Times New Roman"/>
          <w:color w:val="000000"/>
          <w:sz w:val="24"/>
          <w:szCs w:val="24"/>
          <w:lang w:eastAsia="lv-LV"/>
        </w:rPr>
        <w:t xml:space="preserve">s' deposits </w:t>
      </w:r>
      <w:r w:rsidR="007836DC" w:rsidRPr="00236568">
        <w:rPr>
          <w:rFonts w:ascii="Times New Roman" w:hAnsi="Times New Roman"/>
          <w:color w:val="000000"/>
          <w:sz w:val="24"/>
          <w:szCs w:val="24"/>
          <w:lang w:eastAsia="lv-LV"/>
        </w:rPr>
        <w:t xml:space="preserve">during the first </w:t>
      </w:r>
      <w:r w:rsidR="00AE07C3" w:rsidRPr="00236568">
        <w:rPr>
          <w:rFonts w:ascii="Times New Roman" w:hAnsi="Times New Roman"/>
          <w:color w:val="000000"/>
          <w:sz w:val="24"/>
          <w:szCs w:val="24"/>
          <w:lang w:eastAsia="lv-LV"/>
        </w:rPr>
        <w:t>half of the year they increased by 7.5% or 816 million</w:t>
      </w:r>
      <w:r w:rsidRPr="00236568">
        <w:rPr>
          <w:rFonts w:ascii="Times New Roman" w:hAnsi="Times New Roman"/>
          <w:color w:val="000000"/>
          <w:sz w:val="24"/>
          <w:szCs w:val="24"/>
          <w:lang w:eastAsia="lv-LV"/>
        </w:rPr>
        <w:t xml:space="preserve"> euro</w:t>
      </w:r>
      <w:r w:rsidR="00AE07C3" w:rsidRPr="00236568">
        <w:rPr>
          <w:rFonts w:ascii="Times New Roman" w:hAnsi="Times New Roman"/>
          <w:color w:val="000000"/>
          <w:sz w:val="24"/>
          <w:szCs w:val="24"/>
          <w:lang w:eastAsia="lv-LV"/>
        </w:rPr>
        <w:t>. Banks</w:t>
      </w:r>
      <w:r w:rsidR="002B4317">
        <w:rPr>
          <w:rFonts w:ascii="Times New Roman" w:hAnsi="Times New Roman"/>
          <w:color w:val="000000"/>
          <w:sz w:val="24"/>
          <w:szCs w:val="24"/>
          <w:lang w:eastAsia="lv-LV"/>
        </w:rPr>
        <w:t>’</w:t>
      </w:r>
      <w:r w:rsidR="00AE07C3" w:rsidRPr="00236568">
        <w:rPr>
          <w:rFonts w:ascii="Times New Roman" w:hAnsi="Times New Roman"/>
          <w:color w:val="000000"/>
          <w:sz w:val="24"/>
          <w:szCs w:val="24"/>
          <w:lang w:eastAsia="lv-LV"/>
        </w:rPr>
        <w:t xml:space="preserve"> loan portfolio continues to grow moderately in </w:t>
      </w:r>
      <w:r w:rsidR="00802611" w:rsidRPr="00236568">
        <w:rPr>
          <w:rFonts w:ascii="Times New Roman" w:hAnsi="Times New Roman"/>
          <w:color w:val="000000"/>
          <w:sz w:val="24"/>
          <w:szCs w:val="24"/>
          <w:lang w:eastAsia="lv-LV"/>
        </w:rPr>
        <w:t xml:space="preserve">the first </w:t>
      </w:r>
      <w:r w:rsidR="00AE07C3" w:rsidRPr="00236568">
        <w:rPr>
          <w:rFonts w:ascii="Times New Roman" w:hAnsi="Times New Roman"/>
          <w:color w:val="000000"/>
          <w:sz w:val="24"/>
          <w:szCs w:val="24"/>
          <w:lang w:eastAsia="lv-LV"/>
        </w:rPr>
        <w:t xml:space="preserve">half </w:t>
      </w:r>
      <w:r w:rsidR="00802611" w:rsidRPr="00236568">
        <w:rPr>
          <w:rFonts w:ascii="Times New Roman" w:hAnsi="Times New Roman"/>
          <w:color w:val="000000"/>
          <w:sz w:val="24"/>
          <w:szCs w:val="24"/>
          <w:lang w:eastAsia="lv-LV"/>
        </w:rPr>
        <w:t>of the</w:t>
      </w:r>
      <w:r w:rsidR="00AE07C3" w:rsidRPr="00236568">
        <w:rPr>
          <w:rFonts w:ascii="Times New Roman" w:hAnsi="Times New Roman"/>
          <w:color w:val="000000"/>
          <w:sz w:val="24"/>
          <w:szCs w:val="24"/>
          <w:lang w:eastAsia="lv-LV"/>
        </w:rPr>
        <w:t xml:space="preserve"> year it increased by 2.4% amounting to EUR 15 billion. </w:t>
      </w:r>
      <w:r w:rsidR="00802611" w:rsidRPr="00236568">
        <w:rPr>
          <w:rFonts w:ascii="Times New Roman" w:hAnsi="Times New Roman"/>
          <w:color w:val="000000"/>
          <w:sz w:val="24"/>
          <w:szCs w:val="24"/>
          <w:lang w:eastAsia="lv-LV"/>
        </w:rPr>
        <w:t>In t</w:t>
      </w:r>
      <w:r w:rsidR="00AE07C3" w:rsidRPr="00236568">
        <w:rPr>
          <w:rFonts w:ascii="Times New Roman" w:hAnsi="Times New Roman"/>
          <w:color w:val="000000"/>
          <w:sz w:val="24"/>
          <w:szCs w:val="24"/>
          <w:lang w:eastAsia="lv-LV"/>
        </w:rPr>
        <w:t xml:space="preserve">he first half of the </w:t>
      </w:r>
      <w:proofErr w:type="gramStart"/>
      <w:r w:rsidR="00AE07C3" w:rsidRPr="00236568">
        <w:rPr>
          <w:rFonts w:ascii="Times New Roman" w:hAnsi="Times New Roman"/>
          <w:color w:val="000000"/>
          <w:sz w:val="24"/>
          <w:szCs w:val="24"/>
          <w:lang w:eastAsia="lv-LV"/>
        </w:rPr>
        <w:t>year</w:t>
      </w:r>
      <w:proofErr w:type="gramEnd"/>
      <w:r w:rsidR="00AE07C3" w:rsidRPr="00236568">
        <w:rPr>
          <w:rFonts w:ascii="Times New Roman" w:hAnsi="Times New Roman"/>
          <w:color w:val="000000"/>
          <w:sz w:val="24"/>
          <w:szCs w:val="24"/>
          <w:lang w:eastAsia="lv-LV"/>
        </w:rPr>
        <w:t xml:space="preserve"> the bank</w:t>
      </w:r>
      <w:r w:rsidR="00802611" w:rsidRPr="00236568">
        <w:rPr>
          <w:rFonts w:ascii="Times New Roman" w:hAnsi="Times New Roman"/>
          <w:color w:val="000000"/>
          <w:sz w:val="24"/>
          <w:szCs w:val="24"/>
          <w:lang w:eastAsia="lv-LV"/>
        </w:rPr>
        <w:t>s</w:t>
      </w:r>
      <w:r w:rsidR="00AE07C3" w:rsidRPr="00236568">
        <w:rPr>
          <w:rFonts w:ascii="Times New Roman" w:hAnsi="Times New Roman"/>
          <w:color w:val="000000"/>
          <w:sz w:val="24"/>
          <w:szCs w:val="24"/>
          <w:lang w:eastAsia="lv-LV"/>
        </w:rPr>
        <w:t xml:space="preserve"> </w:t>
      </w:r>
      <w:r w:rsidR="00802611" w:rsidRPr="00236568">
        <w:rPr>
          <w:rFonts w:ascii="Times New Roman" w:hAnsi="Times New Roman"/>
          <w:color w:val="000000"/>
          <w:sz w:val="24"/>
          <w:szCs w:val="24"/>
          <w:lang w:eastAsia="lv-LV"/>
        </w:rPr>
        <w:t>issued</w:t>
      </w:r>
      <w:r w:rsidR="00AE07C3" w:rsidRPr="00236568">
        <w:rPr>
          <w:rFonts w:ascii="Times New Roman" w:hAnsi="Times New Roman"/>
          <w:color w:val="000000"/>
          <w:sz w:val="24"/>
          <w:szCs w:val="24"/>
          <w:lang w:eastAsia="lv-LV"/>
        </w:rPr>
        <w:t xml:space="preserve"> new loans </w:t>
      </w:r>
      <w:r w:rsidR="00802611" w:rsidRPr="00236568">
        <w:rPr>
          <w:rFonts w:ascii="Times New Roman" w:hAnsi="Times New Roman"/>
          <w:color w:val="000000"/>
          <w:sz w:val="24"/>
          <w:szCs w:val="24"/>
          <w:lang w:eastAsia="lv-LV"/>
        </w:rPr>
        <w:t>at amount of</w:t>
      </w:r>
      <w:r w:rsidR="00AE07C3" w:rsidRPr="00236568">
        <w:rPr>
          <w:rFonts w:ascii="Times New Roman" w:hAnsi="Times New Roman"/>
          <w:color w:val="000000"/>
          <w:sz w:val="24"/>
          <w:szCs w:val="24"/>
          <w:lang w:eastAsia="lv-LV"/>
        </w:rPr>
        <w:t xml:space="preserve"> 2.3 billion euros, which is 26% more than in the corresponding period</w:t>
      </w:r>
      <w:r w:rsidRPr="00236568">
        <w:rPr>
          <w:rFonts w:ascii="Times New Roman" w:hAnsi="Times New Roman"/>
          <w:color w:val="000000"/>
          <w:sz w:val="24"/>
          <w:szCs w:val="24"/>
          <w:lang w:eastAsia="lv-LV"/>
        </w:rPr>
        <w:t xml:space="preserve"> of the previous year</w:t>
      </w:r>
      <w:r w:rsidR="00AE07C3" w:rsidRPr="00236568">
        <w:rPr>
          <w:rFonts w:ascii="Times New Roman" w:hAnsi="Times New Roman"/>
          <w:color w:val="000000"/>
          <w:sz w:val="24"/>
          <w:szCs w:val="24"/>
          <w:lang w:eastAsia="lv-LV"/>
        </w:rPr>
        <w:t xml:space="preserve">. </w:t>
      </w:r>
      <w:r w:rsidR="00802611" w:rsidRPr="00236568">
        <w:rPr>
          <w:rFonts w:ascii="Times New Roman" w:hAnsi="Times New Roman"/>
          <w:color w:val="000000"/>
          <w:sz w:val="24"/>
          <w:szCs w:val="24"/>
          <w:lang w:eastAsia="lv-LV"/>
        </w:rPr>
        <w:t xml:space="preserve">Loans to </w:t>
      </w:r>
      <w:r w:rsidR="002B4317">
        <w:rPr>
          <w:rFonts w:ascii="Times New Roman" w:hAnsi="Times New Roman"/>
          <w:color w:val="000000"/>
          <w:sz w:val="24"/>
          <w:szCs w:val="24"/>
          <w:lang w:eastAsia="lv-LV"/>
        </w:rPr>
        <w:t xml:space="preserve">the </w:t>
      </w:r>
      <w:r w:rsidR="00AE07C3" w:rsidRPr="00236568">
        <w:rPr>
          <w:rFonts w:ascii="Times New Roman" w:hAnsi="Times New Roman"/>
          <w:color w:val="000000"/>
          <w:sz w:val="24"/>
          <w:szCs w:val="24"/>
          <w:lang w:eastAsia="lv-LV"/>
        </w:rPr>
        <w:t>Latvian companies</w:t>
      </w:r>
      <w:r w:rsidR="00802611" w:rsidRPr="00236568">
        <w:rPr>
          <w:rFonts w:ascii="Times New Roman" w:hAnsi="Times New Roman"/>
          <w:color w:val="000000"/>
          <w:sz w:val="24"/>
          <w:szCs w:val="24"/>
          <w:lang w:eastAsia="lv-LV"/>
        </w:rPr>
        <w:t xml:space="preserve"> in the</w:t>
      </w:r>
      <w:r w:rsidR="00AE07C3" w:rsidRPr="00236568">
        <w:rPr>
          <w:rFonts w:ascii="Times New Roman" w:hAnsi="Times New Roman"/>
          <w:color w:val="000000"/>
          <w:sz w:val="24"/>
          <w:szCs w:val="24"/>
          <w:lang w:eastAsia="lv-LV"/>
        </w:rPr>
        <w:t xml:space="preserve"> </w:t>
      </w:r>
      <w:r w:rsidR="002B4317">
        <w:rPr>
          <w:rFonts w:ascii="Times New Roman" w:hAnsi="Times New Roman"/>
          <w:color w:val="000000"/>
          <w:sz w:val="24"/>
          <w:szCs w:val="24"/>
          <w:lang w:eastAsia="lv-LV"/>
        </w:rPr>
        <w:t xml:space="preserve">first </w:t>
      </w:r>
      <w:r w:rsidR="00AE07C3" w:rsidRPr="00236568">
        <w:rPr>
          <w:rFonts w:ascii="Times New Roman" w:hAnsi="Times New Roman"/>
          <w:color w:val="000000"/>
          <w:sz w:val="24"/>
          <w:szCs w:val="24"/>
          <w:lang w:eastAsia="lv-LV"/>
        </w:rPr>
        <w:t xml:space="preserve">six months of 2016 </w:t>
      </w:r>
      <w:r w:rsidR="00802611" w:rsidRPr="00236568">
        <w:rPr>
          <w:rFonts w:ascii="Times New Roman" w:hAnsi="Times New Roman"/>
          <w:color w:val="000000"/>
          <w:sz w:val="24"/>
          <w:szCs w:val="24"/>
          <w:lang w:eastAsia="lv-LV"/>
        </w:rPr>
        <w:t>amounted</w:t>
      </w:r>
      <w:r w:rsidR="00AE07C3" w:rsidRPr="00236568">
        <w:rPr>
          <w:rFonts w:ascii="Times New Roman" w:hAnsi="Times New Roman"/>
          <w:color w:val="000000"/>
          <w:sz w:val="24"/>
          <w:szCs w:val="24"/>
          <w:lang w:eastAsia="lv-LV"/>
        </w:rPr>
        <w:t xml:space="preserve"> to nearly billion</w:t>
      </w:r>
      <w:r w:rsidR="00802611" w:rsidRPr="00236568">
        <w:rPr>
          <w:rFonts w:ascii="Times New Roman" w:hAnsi="Times New Roman"/>
          <w:color w:val="000000"/>
          <w:sz w:val="24"/>
          <w:szCs w:val="24"/>
          <w:lang w:eastAsia="lv-LV"/>
        </w:rPr>
        <w:t xml:space="preserve"> euro</w:t>
      </w:r>
      <w:r w:rsidR="00AE07C3" w:rsidRPr="00236568">
        <w:rPr>
          <w:rFonts w:ascii="Times New Roman" w:hAnsi="Times New Roman"/>
          <w:color w:val="000000"/>
          <w:sz w:val="24"/>
          <w:szCs w:val="24"/>
          <w:lang w:eastAsia="lv-LV"/>
        </w:rPr>
        <w:t xml:space="preserve"> - 942 million</w:t>
      </w:r>
      <w:r w:rsidR="00802611" w:rsidRPr="00236568">
        <w:rPr>
          <w:rFonts w:ascii="Times New Roman" w:hAnsi="Times New Roman"/>
          <w:color w:val="000000"/>
          <w:sz w:val="24"/>
          <w:szCs w:val="24"/>
          <w:lang w:eastAsia="lv-LV"/>
        </w:rPr>
        <w:t xml:space="preserve"> euro</w:t>
      </w:r>
      <w:r w:rsidR="00AE07C3" w:rsidRPr="00236568">
        <w:rPr>
          <w:rFonts w:ascii="Times New Roman" w:hAnsi="Times New Roman"/>
          <w:color w:val="000000"/>
          <w:sz w:val="24"/>
          <w:szCs w:val="24"/>
          <w:lang w:eastAsia="lv-LV"/>
        </w:rPr>
        <w:t xml:space="preserve">, and </w:t>
      </w:r>
      <w:r w:rsidRPr="00236568">
        <w:rPr>
          <w:rFonts w:ascii="Times New Roman" w:hAnsi="Times New Roman"/>
          <w:color w:val="000000"/>
          <w:sz w:val="24"/>
          <w:szCs w:val="24"/>
          <w:lang w:eastAsia="lv-LV"/>
        </w:rPr>
        <w:t xml:space="preserve">it </w:t>
      </w:r>
      <w:r w:rsidR="00AE07C3" w:rsidRPr="00236568">
        <w:rPr>
          <w:rFonts w:ascii="Times New Roman" w:hAnsi="Times New Roman"/>
          <w:color w:val="000000"/>
          <w:sz w:val="24"/>
          <w:szCs w:val="24"/>
          <w:lang w:eastAsia="lv-LV"/>
        </w:rPr>
        <w:t xml:space="preserve">is the largest </w:t>
      </w:r>
      <w:r w:rsidR="00802611" w:rsidRPr="00236568">
        <w:rPr>
          <w:rFonts w:ascii="Times New Roman" w:hAnsi="Times New Roman"/>
          <w:color w:val="000000"/>
          <w:sz w:val="24"/>
          <w:szCs w:val="24"/>
          <w:lang w:eastAsia="lv-LV"/>
        </w:rPr>
        <w:t xml:space="preserve">amount </w:t>
      </w:r>
      <w:r w:rsidR="00AE07C3" w:rsidRPr="00236568">
        <w:rPr>
          <w:rFonts w:ascii="Times New Roman" w:hAnsi="Times New Roman"/>
          <w:color w:val="000000"/>
          <w:sz w:val="24"/>
          <w:szCs w:val="24"/>
          <w:lang w:eastAsia="lv-LV"/>
        </w:rPr>
        <w:t xml:space="preserve">of new loans in </w:t>
      </w:r>
      <w:r w:rsidR="00802611" w:rsidRPr="00236568">
        <w:rPr>
          <w:rFonts w:ascii="Times New Roman" w:hAnsi="Times New Roman"/>
          <w:color w:val="000000"/>
          <w:sz w:val="24"/>
          <w:szCs w:val="24"/>
          <w:lang w:eastAsia="lv-LV"/>
        </w:rPr>
        <w:t>the</w:t>
      </w:r>
      <w:r w:rsidR="00AE07C3" w:rsidRPr="00236568">
        <w:rPr>
          <w:rFonts w:ascii="Times New Roman" w:hAnsi="Times New Roman"/>
          <w:color w:val="000000"/>
          <w:sz w:val="24"/>
          <w:szCs w:val="24"/>
          <w:lang w:eastAsia="lv-LV"/>
        </w:rPr>
        <w:t xml:space="preserve"> </w:t>
      </w:r>
      <w:r w:rsidR="00802611" w:rsidRPr="00236568">
        <w:rPr>
          <w:rFonts w:ascii="Times New Roman" w:hAnsi="Times New Roman"/>
          <w:color w:val="000000"/>
          <w:sz w:val="24"/>
          <w:szCs w:val="24"/>
          <w:lang w:eastAsia="lv-LV"/>
        </w:rPr>
        <w:t xml:space="preserve">first </w:t>
      </w:r>
      <w:r w:rsidR="00AE07C3" w:rsidRPr="00236568">
        <w:rPr>
          <w:rFonts w:ascii="Times New Roman" w:hAnsi="Times New Roman"/>
          <w:color w:val="000000"/>
          <w:sz w:val="24"/>
          <w:szCs w:val="24"/>
          <w:lang w:eastAsia="lv-LV"/>
        </w:rPr>
        <w:t xml:space="preserve">half of the </w:t>
      </w:r>
      <w:r w:rsidR="00802611" w:rsidRPr="00236568">
        <w:rPr>
          <w:rFonts w:ascii="Times New Roman" w:hAnsi="Times New Roman"/>
          <w:color w:val="000000"/>
          <w:sz w:val="24"/>
          <w:szCs w:val="24"/>
          <w:lang w:eastAsia="lv-LV"/>
        </w:rPr>
        <w:t xml:space="preserve">year in the </w:t>
      </w:r>
      <w:r w:rsidR="00AE07C3" w:rsidRPr="00236568">
        <w:rPr>
          <w:rFonts w:ascii="Times New Roman" w:hAnsi="Times New Roman"/>
          <w:color w:val="000000"/>
          <w:sz w:val="24"/>
          <w:szCs w:val="24"/>
          <w:lang w:eastAsia="lv-LV"/>
        </w:rPr>
        <w:t xml:space="preserve">last five years. </w:t>
      </w:r>
      <w:r w:rsidR="002B4317">
        <w:rPr>
          <w:rFonts w:ascii="Times New Roman" w:hAnsi="Times New Roman"/>
          <w:color w:val="000000"/>
          <w:sz w:val="24"/>
          <w:szCs w:val="24"/>
          <w:lang w:eastAsia="lv-LV"/>
        </w:rPr>
        <w:t>N</w:t>
      </w:r>
      <w:r w:rsidR="00AE07C3" w:rsidRPr="00236568">
        <w:rPr>
          <w:rFonts w:ascii="Times New Roman" w:hAnsi="Times New Roman"/>
          <w:color w:val="000000"/>
          <w:sz w:val="24"/>
          <w:szCs w:val="24"/>
          <w:lang w:eastAsia="lv-LV"/>
        </w:rPr>
        <w:t xml:space="preserve">ew mortgage loans </w:t>
      </w:r>
      <w:r w:rsidR="002B4317">
        <w:rPr>
          <w:rFonts w:ascii="Times New Roman" w:hAnsi="Times New Roman"/>
          <w:color w:val="000000"/>
          <w:sz w:val="24"/>
          <w:szCs w:val="24"/>
          <w:lang w:eastAsia="lv-LV"/>
        </w:rPr>
        <w:t xml:space="preserve">to </w:t>
      </w:r>
      <w:r w:rsidR="002B4317" w:rsidRPr="00236568">
        <w:rPr>
          <w:rFonts w:ascii="Times New Roman" w:hAnsi="Times New Roman"/>
          <w:color w:val="000000"/>
          <w:sz w:val="24"/>
          <w:szCs w:val="24"/>
          <w:lang w:eastAsia="lv-LV"/>
        </w:rPr>
        <w:t>Latvian household</w:t>
      </w:r>
      <w:r w:rsidR="002B4317">
        <w:rPr>
          <w:rFonts w:ascii="Times New Roman" w:hAnsi="Times New Roman"/>
          <w:color w:val="000000"/>
          <w:sz w:val="24"/>
          <w:szCs w:val="24"/>
          <w:lang w:eastAsia="lv-LV"/>
        </w:rPr>
        <w:t>s</w:t>
      </w:r>
      <w:r w:rsidR="002B4317" w:rsidRPr="00236568">
        <w:rPr>
          <w:rFonts w:ascii="Times New Roman" w:hAnsi="Times New Roman"/>
          <w:color w:val="000000"/>
          <w:sz w:val="24"/>
          <w:szCs w:val="24"/>
          <w:lang w:eastAsia="lv-LV"/>
        </w:rPr>
        <w:t xml:space="preserve"> </w:t>
      </w:r>
      <w:proofErr w:type="gramStart"/>
      <w:r w:rsidR="002B4317">
        <w:rPr>
          <w:rFonts w:ascii="Times New Roman" w:hAnsi="Times New Roman"/>
          <w:color w:val="000000"/>
          <w:sz w:val="24"/>
          <w:szCs w:val="24"/>
          <w:lang w:eastAsia="lv-LV"/>
        </w:rPr>
        <w:t xml:space="preserve">were </w:t>
      </w:r>
      <w:r w:rsidR="007541D8" w:rsidRPr="00236568">
        <w:rPr>
          <w:rFonts w:ascii="Times New Roman" w:hAnsi="Times New Roman"/>
          <w:color w:val="000000"/>
          <w:sz w:val="24"/>
          <w:szCs w:val="24"/>
          <w:lang w:eastAsia="lv-LV"/>
        </w:rPr>
        <w:t>issued</w:t>
      </w:r>
      <w:proofErr w:type="gramEnd"/>
      <w:r w:rsidR="007541D8" w:rsidRPr="00236568">
        <w:rPr>
          <w:rFonts w:ascii="Times New Roman" w:hAnsi="Times New Roman"/>
          <w:color w:val="000000"/>
          <w:sz w:val="24"/>
          <w:szCs w:val="24"/>
          <w:lang w:eastAsia="lv-LV"/>
        </w:rPr>
        <w:t xml:space="preserve"> in total</w:t>
      </w:r>
      <w:r w:rsidR="00AE07C3" w:rsidRPr="00236568">
        <w:rPr>
          <w:rFonts w:ascii="Times New Roman" w:hAnsi="Times New Roman"/>
          <w:color w:val="000000"/>
          <w:sz w:val="24"/>
          <w:szCs w:val="24"/>
          <w:lang w:eastAsia="lv-LV"/>
        </w:rPr>
        <w:t xml:space="preserve"> </w:t>
      </w:r>
      <w:r w:rsidR="002B4317">
        <w:rPr>
          <w:rFonts w:ascii="Times New Roman" w:hAnsi="Times New Roman"/>
          <w:color w:val="000000"/>
          <w:sz w:val="24"/>
          <w:szCs w:val="24"/>
          <w:lang w:eastAsia="lv-LV"/>
        </w:rPr>
        <w:t xml:space="preserve">of </w:t>
      </w:r>
      <w:r w:rsidR="00AE07C3" w:rsidRPr="00236568">
        <w:rPr>
          <w:rFonts w:ascii="Times New Roman" w:hAnsi="Times New Roman"/>
          <w:color w:val="000000"/>
          <w:sz w:val="24"/>
          <w:szCs w:val="24"/>
          <w:lang w:eastAsia="lv-LV"/>
        </w:rPr>
        <w:t xml:space="preserve">217.1 million euro, an increase of 71% over the </w:t>
      </w:r>
      <w:r w:rsidRPr="00236568">
        <w:rPr>
          <w:rFonts w:ascii="Times New Roman" w:hAnsi="Times New Roman"/>
          <w:color w:val="000000"/>
          <w:sz w:val="24"/>
          <w:szCs w:val="24"/>
          <w:lang w:eastAsia="lv-LV"/>
        </w:rPr>
        <w:t>corresponding period</w:t>
      </w:r>
      <w:r w:rsidR="00802611" w:rsidRPr="00236568">
        <w:rPr>
          <w:rFonts w:ascii="Times New Roman" w:hAnsi="Times New Roman"/>
          <w:color w:val="000000"/>
          <w:sz w:val="24"/>
          <w:szCs w:val="24"/>
          <w:lang w:eastAsia="lv-LV"/>
        </w:rPr>
        <w:t xml:space="preserve"> of the 2015</w:t>
      </w:r>
      <w:r w:rsidR="00AE07C3" w:rsidRPr="00236568">
        <w:rPr>
          <w:rFonts w:ascii="Times New Roman" w:hAnsi="Times New Roman"/>
          <w:color w:val="000000"/>
          <w:sz w:val="24"/>
          <w:szCs w:val="24"/>
          <w:lang w:eastAsia="lv-LV"/>
        </w:rPr>
        <w:t xml:space="preserve">. </w:t>
      </w:r>
      <w:r w:rsidR="002B4317">
        <w:rPr>
          <w:rFonts w:ascii="Times New Roman" w:hAnsi="Times New Roman"/>
          <w:color w:val="000000"/>
          <w:sz w:val="24"/>
          <w:szCs w:val="24"/>
          <w:lang w:eastAsia="lv-LV"/>
        </w:rPr>
        <w:t>B</w:t>
      </w:r>
      <w:r w:rsidR="007541D8" w:rsidRPr="00236568">
        <w:rPr>
          <w:rFonts w:ascii="Times New Roman" w:hAnsi="Times New Roman"/>
          <w:color w:val="000000"/>
          <w:sz w:val="24"/>
          <w:szCs w:val="24"/>
          <w:lang w:eastAsia="lv-LV"/>
        </w:rPr>
        <w:t>ank</w:t>
      </w:r>
      <w:r w:rsidR="002B4317">
        <w:rPr>
          <w:rFonts w:ascii="Times New Roman" w:hAnsi="Times New Roman"/>
          <w:color w:val="000000"/>
          <w:sz w:val="24"/>
          <w:szCs w:val="24"/>
          <w:lang w:eastAsia="lv-LV"/>
        </w:rPr>
        <w:t>s’</w:t>
      </w:r>
      <w:r w:rsidR="007541D8" w:rsidRPr="00236568">
        <w:rPr>
          <w:rFonts w:ascii="Times New Roman" w:hAnsi="Times New Roman"/>
          <w:color w:val="000000"/>
          <w:sz w:val="24"/>
          <w:szCs w:val="24"/>
          <w:lang w:eastAsia="lv-LV"/>
        </w:rPr>
        <w:t xml:space="preserve"> </w:t>
      </w:r>
      <w:r w:rsidR="00AE07C3" w:rsidRPr="00236568">
        <w:rPr>
          <w:rFonts w:ascii="Times New Roman" w:hAnsi="Times New Roman"/>
          <w:color w:val="000000"/>
          <w:sz w:val="24"/>
          <w:szCs w:val="24"/>
          <w:lang w:eastAsia="lv-LV"/>
        </w:rPr>
        <w:t xml:space="preserve">consumer loans in the first half of the year </w:t>
      </w:r>
      <w:r w:rsidR="007541D8" w:rsidRPr="00236568">
        <w:rPr>
          <w:rFonts w:ascii="Times New Roman" w:hAnsi="Times New Roman"/>
          <w:color w:val="000000"/>
          <w:sz w:val="24"/>
          <w:szCs w:val="24"/>
          <w:lang w:eastAsia="lv-LV"/>
        </w:rPr>
        <w:t>amounted to</w:t>
      </w:r>
      <w:r w:rsidR="00AE07C3" w:rsidRPr="00236568">
        <w:rPr>
          <w:rFonts w:ascii="Times New Roman" w:hAnsi="Times New Roman"/>
          <w:color w:val="000000"/>
          <w:sz w:val="24"/>
          <w:szCs w:val="24"/>
          <w:lang w:eastAsia="lv-LV"/>
        </w:rPr>
        <w:t xml:space="preserve"> 94.8 million</w:t>
      </w:r>
      <w:r w:rsidRPr="00236568">
        <w:rPr>
          <w:rFonts w:ascii="Times New Roman" w:hAnsi="Times New Roman"/>
          <w:color w:val="000000"/>
          <w:sz w:val="24"/>
          <w:szCs w:val="24"/>
          <w:lang w:eastAsia="lv-LV"/>
        </w:rPr>
        <w:t xml:space="preserve"> euro</w:t>
      </w:r>
      <w:r w:rsidR="00AE07C3" w:rsidRPr="00236568">
        <w:rPr>
          <w:rFonts w:ascii="Times New Roman" w:hAnsi="Times New Roman"/>
          <w:color w:val="000000"/>
          <w:sz w:val="24"/>
          <w:szCs w:val="24"/>
          <w:lang w:eastAsia="lv-LV"/>
        </w:rPr>
        <w:t xml:space="preserve">, an increase of 34% over </w:t>
      </w:r>
      <w:r w:rsidR="007541D8" w:rsidRPr="00236568">
        <w:rPr>
          <w:rFonts w:ascii="Times New Roman" w:hAnsi="Times New Roman"/>
          <w:color w:val="000000"/>
          <w:sz w:val="24"/>
          <w:szCs w:val="24"/>
          <w:lang w:eastAsia="lv-LV"/>
        </w:rPr>
        <w:t>the corresponding period of the previous year</w:t>
      </w:r>
      <w:r w:rsidR="00AE07C3" w:rsidRPr="00236568">
        <w:rPr>
          <w:rFonts w:ascii="Times New Roman" w:hAnsi="Times New Roman"/>
          <w:color w:val="000000"/>
          <w:sz w:val="24"/>
          <w:szCs w:val="24"/>
          <w:lang w:eastAsia="lv-LV"/>
        </w:rPr>
        <w:t xml:space="preserve">. </w:t>
      </w:r>
      <w:r w:rsidR="007541D8" w:rsidRPr="00236568">
        <w:rPr>
          <w:rFonts w:ascii="Times New Roman" w:hAnsi="Times New Roman"/>
          <w:color w:val="000000"/>
          <w:sz w:val="24"/>
          <w:szCs w:val="24"/>
          <w:lang w:eastAsia="lv-LV"/>
        </w:rPr>
        <w:t>The</w:t>
      </w:r>
      <w:r w:rsidR="00AE07C3" w:rsidRPr="00236568">
        <w:rPr>
          <w:rFonts w:ascii="Times New Roman" w:hAnsi="Times New Roman"/>
          <w:color w:val="000000"/>
          <w:sz w:val="24"/>
          <w:szCs w:val="24"/>
          <w:lang w:eastAsia="lv-LV"/>
        </w:rPr>
        <w:t xml:space="preserve"> </w:t>
      </w:r>
      <w:r w:rsidR="007541D8" w:rsidRPr="00236568">
        <w:rPr>
          <w:rFonts w:ascii="Times New Roman" w:hAnsi="Times New Roman"/>
          <w:color w:val="000000"/>
          <w:sz w:val="24"/>
          <w:szCs w:val="24"/>
          <w:lang w:eastAsia="lv-LV"/>
        </w:rPr>
        <w:t xml:space="preserve">quality of the </w:t>
      </w:r>
      <w:r w:rsidR="00AE07C3" w:rsidRPr="00236568">
        <w:rPr>
          <w:rFonts w:ascii="Times New Roman" w:hAnsi="Times New Roman"/>
          <w:color w:val="000000"/>
          <w:sz w:val="24"/>
          <w:szCs w:val="24"/>
          <w:lang w:eastAsia="lv-LV"/>
        </w:rPr>
        <w:t xml:space="preserve">loan portfolio continues to improve - more than 90 days </w:t>
      </w:r>
      <w:proofErr w:type="gramStart"/>
      <w:r w:rsidR="00AE07C3" w:rsidRPr="00236568">
        <w:rPr>
          <w:rFonts w:ascii="Times New Roman" w:hAnsi="Times New Roman"/>
          <w:color w:val="000000"/>
          <w:sz w:val="24"/>
          <w:szCs w:val="24"/>
          <w:lang w:eastAsia="lv-LV"/>
        </w:rPr>
        <w:t>overdue</w:t>
      </w:r>
      <w:proofErr w:type="gramEnd"/>
      <w:r w:rsidR="00AE07C3" w:rsidRPr="00236568">
        <w:rPr>
          <w:rFonts w:ascii="Times New Roman" w:hAnsi="Times New Roman"/>
          <w:color w:val="000000"/>
          <w:sz w:val="24"/>
          <w:szCs w:val="24"/>
          <w:lang w:eastAsia="lv-LV"/>
        </w:rPr>
        <w:t xml:space="preserve"> loans in the banking sector's total portfolio at the end of June</w:t>
      </w:r>
      <w:r w:rsidR="007541D8" w:rsidRPr="00236568">
        <w:rPr>
          <w:rFonts w:ascii="Times New Roman" w:hAnsi="Times New Roman"/>
          <w:color w:val="000000"/>
          <w:sz w:val="24"/>
          <w:szCs w:val="24"/>
          <w:lang w:eastAsia="lv-LV"/>
        </w:rPr>
        <w:t xml:space="preserve"> 2016</w:t>
      </w:r>
      <w:r w:rsidR="00AE07C3" w:rsidRPr="00236568">
        <w:rPr>
          <w:rFonts w:ascii="Times New Roman" w:hAnsi="Times New Roman"/>
          <w:color w:val="000000"/>
          <w:sz w:val="24"/>
          <w:szCs w:val="24"/>
          <w:lang w:eastAsia="lv-LV"/>
        </w:rPr>
        <w:t xml:space="preserve"> amounted to 5.1%. Bank</w:t>
      </w:r>
      <w:r w:rsidR="002B4317">
        <w:rPr>
          <w:rFonts w:ascii="Times New Roman" w:hAnsi="Times New Roman"/>
          <w:color w:val="000000"/>
          <w:sz w:val="24"/>
          <w:szCs w:val="24"/>
          <w:lang w:eastAsia="lv-LV"/>
        </w:rPr>
        <w:t>s’</w:t>
      </w:r>
      <w:r w:rsidR="00AE07C3" w:rsidRPr="00236568">
        <w:rPr>
          <w:rFonts w:ascii="Times New Roman" w:hAnsi="Times New Roman"/>
          <w:color w:val="000000"/>
          <w:sz w:val="24"/>
          <w:szCs w:val="24"/>
          <w:lang w:eastAsia="lv-LV"/>
        </w:rPr>
        <w:t xml:space="preserve"> capital indicators remain</w:t>
      </w:r>
      <w:r w:rsidR="002B4317">
        <w:rPr>
          <w:rFonts w:ascii="Times New Roman" w:hAnsi="Times New Roman"/>
          <w:color w:val="000000"/>
          <w:sz w:val="24"/>
          <w:szCs w:val="24"/>
          <w:lang w:eastAsia="lv-LV"/>
        </w:rPr>
        <w:t>ed</w:t>
      </w:r>
      <w:r w:rsidR="00AE07C3" w:rsidRPr="00236568">
        <w:rPr>
          <w:rFonts w:ascii="Times New Roman" w:hAnsi="Times New Roman"/>
          <w:color w:val="000000"/>
          <w:sz w:val="24"/>
          <w:szCs w:val="24"/>
          <w:lang w:eastAsia="lv-LV"/>
        </w:rPr>
        <w:t xml:space="preserve"> at high levels (total capital ratio (CAR) 19.45% Tier I capital (CET1) ratio of 16.5%), well above the minimum and the aggregate capital requirements, as well as the </w:t>
      </w:r>
      <w:r w:rsidR="007541D8" w:rsidRPr="00236568">
        <w:rPr>
          <w:rFonts w:ascii="Times New Roman" w:hAnsi="Times New Roman"/>
          <w:color w:val="000000"/>
          <w:sz w:val="24"/>
          <w:szCs w:val="24"/>
          <w:lang w:eastAsia="lv-LV"/>
        </w:rPr>
        <w:t xml:space="preserve">average of </w:t>
      </w:r>
      <w:r w:rsidR="00AE07C3" w:rsidRPr="00236568">
        <w:rPr>
          <w:rFonts w:ascii="Times New Roman" w:hAnsi="Times New Roman"/>
          <w:color w:val="000000"/>
          <w:sz w:val="24"/>
          <w:szCs w:val="24"/>
          <w:lang w:eastAsia="lv-LV"/>
        </w:rPr>
        <w:t xml:space="preserve">EU </w:t>
      </w:r>
      <w:r w:rsidR="007541D8" w:rsidRPr="00236568">
        <w:rPr>
          <w:rFonts w:ascii="Times New Roman" w:hAnsi="Times New Roman"/>
          <w:color w:val="000000"/>
          <w:sz w:val="24"/>
          <w:szCs w:val="24"/>
          <w:lang w:eastAsia="lv-LV"/>
        </w:rPr>
        <w:t>banking capital ratios</w:t>
      </w:r>
      <w:r w:rsidR="00AE07C3" w:rsidRPr="00236568">
        <w:rPr>
          <w:rFonts w:ascii="Times New Roman" w:hAnsi="Times New Roman"/>
          <w:color w:val="000000"/>
          <w:sz w:val="24"/>
          <w:szCs w:val="24"/>
          <w:lang w:eastAsia="lv-LV"/>
        </w:rPr>
        <w:t xml:space="preserve">. Similarly, the total liquidity ratio </w:t>
      </w:r>
      <w:proofErr w:type="gramStart"/>
      <w:r w:rsidR="00AE07C3" w:rsidRPr="00236568">
        <w:rPr>
          <w:rFonts w:ascii="Times New Roman" w:hAnsi="Times New Roman"/>
          <w:color w:val="000000"/>
          <w:sz w:val="24"/>
          <w:szCs w:val="24"/>
          <w:lang w:eastAsia="lv-LV"/>
        </w:rPr>
        <w:t>is maintained</w:t>
      </w:r>
      <w:proofErr w:type="gramEnd"/>
      <w:r w:rsidR="00AE07C3" w:rsidRPr="00236568">
        <w:rPr>
          <w:rFonts w:ascii="Times New Roman" w:hAnsi="Times New Roman"/>
          <w:color w:val="000000"/>
          <w:sz w:val="24"/>
          <w:szCs w:val="24"/>
          <w:lang w:eastAsia="lv-LV"/>
        </w:rPr>
        <w:t xml:space="preserve"> above the minimum requirements of 63%.</w:t>
      </w:r>
    </w:p>
    <w:p w14:paraId="6792D099" w14:textId="77777777" w:rsidR="004F48D2" w:rsidRPr="00236568" w:rsidRDefault="004F48D2">
      <w:pPr>
        <w:spacing w:after="0" w:line="240" w:lineRule="auto"/>
        <w:jc w:val="both"/>
        <w:rPr>
          <w:rFonts w:ascii="Times New Roman" w:hAnsi="Times New Roman"/>
          <w:color w:val="000000"/>
          <w:sz w:val="24"/>
          <w:szCs w:val="24"/>
          <w:lang w:eastAsia="lv-LV"/>
        </w:rPr>
      </w:pPr>
    </w:p>
    <w:p w14:paraId="065962F7" w14:textId="638FF7E0" w:rsidR="004F48D2" w:rsidRPr="00236568" w:rsidRDefault="004F48D2">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banking sector </w:t>
      </w:r>
      <w:r w:rsidR="002B4317" w:rsidRPr="00236568">
        <w:rPr>
          <w:rFonts w:ascii="Times New Roman" w:hAnsi="Times New Roman"/>
          <w:color w:val="000000"/>
          <w:sz w:val="24"/>
          <w:szCs w:val="24"/>
          <w:lang w:eastAsia="lv-LV"/>
        </w:rPr>
        <w:t>present</w:t>
      </w:r>
      <w:r w:rsidR="002B4317">
        <w:rPr>
          <w:rFonts w:ascii="Times New Roman" w:hAnsi="Times New Roman"/>
          <w:color w:val="000000"/>
          <w:sz w:val="24"/>
          <w:szCs w:val="24"/>
          <w:lang w:eastAsia="lv-LV"/>
        </w:rPr>
        <w:t>s</w:t>
      </w:r>
      <w:r w:rsidR="002B4317"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a </w:t>
      </w:r>
      <w:r w:rsidR="002B4317">
        <w:rPr>
          <w:rFonts w:ascii="Times New Roman" w:hAnsi="Times New Roman"/>
          <w:color w:val="000000"/>
          <w:sz w:val="24"/>
          <w:szCs w:val="24"/>
          <w:lang w:eastAsia="lv-LV"/>
        </w:rPr>
        <w:t>stable</w:t>
      </w:r>
      <w:r w:rsidR="002B4317"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development: investments in new products and infrastructure contributed to a wide range of non-cash payments use: 98.9% of the customer-initiated payments </w:t>
      </w:r>
      <w:proofErr w:type="gramStart"/>
      <w:r w:rsidRPr="00236568">
        <w:rPr>
          <w:rFonts w:ascii="Times New Roman" w:hAnsi="Times New Roman"/>
          <w:color w:val="000000"/>
          <w:sz w:val="24"/>
          <w:szCs w:val="24"/>
          <w:lang w:eastAsia="lv-LV"/>
        </w:rPr>
        <w:t>are made</w:t>
      </w:r>
      <w:proofErr w:type="gramEnd"/>
      <w:r w:rsidRPr="00236568">
        <w:rPr>
          <w:rFonts w:ascii="Times New Roman" w:hAnsi="Times New Roman"/>
          <w:color w:val="000000"/>
          <w:sz w:val="24"/>
          <w:szCs w:val="24"/>
          <w:lang w:eastAsia="lv-LV"/>
        </w:rPr>
        <w:t xml:space="preserve"> remotely via online banking or card payments. Banks issued 2.4 million or 1.2 cards per capita, </w:t>
      </w:r>
      <w:r w:rsidR="00175060" w:rsidRPr="00236568">
        <w:rPr>
          <w:rFonts w:ascii="Times New Roman" w:hAnsi="Times New Roman"/>
          <w:color w:val="000000"/>
          <w:sz w:val="24"/>
          <w:szCs w:val="24"/>
          <w:lang w:eastAsia="lv-LV"/>
        </w:rPr>
        <w:t>there are</w:t>
      </w:r>
      <w:r w:rsidRPr="00236568">
        <w:rPr>
          <w:rFonts w:ascii="Times New Roman" w:hAnsi="Times New Roman"/>
          <w:color w:val="000000"/>
          <w:sz w:val="24"/>
          <w:szCs w:val="24"/>
          <w:lang w:eastAsia="lv-LV"/>
        </w:rPr>
        <w:t xml:space="preserve"> 1,033 ATMs and 34 thousand POS terminals, 1.4 million bank customers are online banking users. At the same time bank service</w:t>
      </w:r>
      <w:r w:rsidR="00E44444">
        <w:rPr>
          <w:rFonts w:ascii="Times New Roman" w:hAnsi="Times New Roman"/>
          <w:color w:val="000000"/>
          <w:sz w:val="24"/>
          <w:szCs w:val="24"/>
          <w:lang w:eastAsia="lv-LV"/>
        </w:rPr>
        <w:t>s are available</w:t>
      </w:r>
      <w:r w:rsidRPr="00236568">
        <w:rPr>
          <w:rFonts w:ascii="Times New Roman" w:hAnsi="Times New Roman"/>
          <w:color w:val="000000"/>
          <w:sz w:val="24"/>
          <w:szCs w:val="24"/>
          <w:lang w:eastAsia="lv-LV"/>
        </w:rPr>
        <w:t xml:space="preserve"> in 275 locations (branches, sub-branches) </w:t>
      </w:r>
      <w:r w:rsidR="00E44444" w:rsidRPr="00236568">
        <w:rPr>
          <w:rFonts w:ascii="Times New Roman" w:hAnsi="Times New Roman"/>
          <w:color w:val="000000"/>
          <w:sz w:val="24"/>
          <w:szCs w:val="24"/>
          <w:lang w:eastAsia="lv-LV"/>
        </w:rPr>
        <w:t>ensur</w:t>
      </w:r>
      <w:r w:rsidR="00E44444">
        <w:rPr>
          <w:rFonts w:ascii="Times New Roman" w:hAnsi="Times New Roman"/>
          <w:color w:val="000000"/>
          <w:sz w:val="24"/>
          <w:szCs w:val="24"/>
          <w:lang w:eastAsia="lv-LV"/>
        </w:rPr>
        <w:t>ing</w:t>
      </w:r>
      <w:r w:rsidR="00E44444"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access to banking services in person. In the next few years, banks will have to</w:t>
      </w:r>
      <w:r w:rsidR="00FD7A3C" w:rsidRPr="00236568">
        <w:rPr>
          <w:rFonts w:ascii="Times New Roman" w:hAnsi="Times New Roman"/>
          <w:color w:val="000000"/>
          <w:sz w:val="24"/>
          <w:szCs w:val="24"/>
          <w:lang w:eastAsia="lv-LV"/>
        </w:rPr>
        <w:t xml:space="preserve"> further</w:t>
      </w:r>
      <w:r w:rsidRPr="00236568">
        <w:rPr>
          <w:rFonts w:ascii="Times New Roman" w:hAnsi="Times New Roman"/>
          <w:color w:val="000000"/>
          <w:sz w:val="24"/>
          <w:szCs w:val="24"/>
          <w:lang w:eastAsia="lv-LV"/>
        </w:rPr>
        <w:t xml:space="preserve"> develop and offer </w:t>
      </w:r>
      <w:r w:rsidR="00FD7A3C" w:rsidRPr="00236568">
        <w:rPr>
          <w:rFonts w:ascii="Times New Roman" w:hAnsi="Times New Roman"/>
          <w:color w:val="000000"/>
          <w:sz w:val="24"/>
          <w:szCs w:val="24"/>
          <w:lang w:eastAsia="lv-LV"/>
        </w:rPr>
        <w:t>products that are useful for a modern and digital society</w:t>
      </w:r>
      <w:r w:rsidRPr="00236568">
        <w:rPr>
          <w:rFonts w:ascii="Times New Roman" w:hAnsi="Times New Roman"/>
          <w:color w:val="000000"/>
          <w:sz w:val="24"/>
          <w:szCs w:val="24"/>
          <w:lang w:eastAsia="lv-LV"/>
        </w:rPr>
        <w:t>, safe and innovative financial service</w:t>
      </w:r>
      <w:r w:rsidR="00FD7A3C" w:rsidRPr="00236568">
        <w:rPr>
          <w:rFonts w:ascii="Times New Roman" w:hAnsi="Times New Roman"/>
          <w:color w:val="000000"/>
          <w:sz w:val="24"/>
          <w:szCs w:val="24"/>
          <w:lang w:eastAsia="lv-LV"/>
        </w:rPr>
        <w:t>s</w:t>
      </w:r>
      <w:r w:rsidRPr="00236568">
        <w:rPr>
          <w:rFonts w:ascii="Times New Roman" w:hAnsi="Times New Roman"/>
          <w:color w:val="000000"/>
          <w:sz w:val="24"/>
          <w:szCs w:val="24"/>
          <w:lang w:eastAsia="lv-LV"/>
        </w:rPr>
        <w:t xml:space="preserve"> and to maintain the traditional service channels.</w:t>
      </w:r>
    </w:p>
    <w:p w14:paraId="5F11523C" w14:textId="77777777" w:rsidR="00AE07C3" w:rsidRPr="00236568" w:rsidRDefault="00AE07C3">
      <w:pPr>
        <w:spacing w:after="0" w:line="240" w:lineRule="auto"/>
        <w:jc w:val="both"/>
        <w:rPr>
          <w:rFonts w:ascii="Times New Roman" w:hAnsi="Times New Roman"/>
          <w:color w:val="000000"/>
          <w:sz w:val="24"/>
          <w:szCs w:val="24"/>
          <w:lang w:eastAsia="lv-LV"/>
        </w:rPr>
      </w:pPr>
    </w:p>
    <w:p w14:paraId="72FB5368" w14:textId="7CBCFFD9" w:rsidR="003324B4" w:rsidRPr="00236568" w:rsidRDefault="003324B4">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Plan distinguishes two business models of</w:t>
      </w:r>
      <w:r w:rsidR="00E44444">
        <w:rPr>
          <w:rFonts w:ascii="Times New Roman" w:hAnsi="Times New Roman"/>
          <w:color w:val="000000"/>
          <w:sz w:val="24"/>
          <w:szCs w:val="24"/>
          <w:lang w:eastAsia="lv-LV"/>
        </w:rPr>
        <w:t xml:space="preserve"> the</w:t>
      </w:r>
      <w:r w:rsidRPr="00236568">
        <w:rPr>
          <w:rFonts w:ascii="Times New Roman" w:hAnsi="Times New Roman"/>
          <w:color w:val="000000"/>
          <w:sz w:val="24"/>
          <w:szCs w:val="24"/>
          <w:lang w:eastAsia="lv-LV"/>
        </w:rPr>
        <w:t xml:space="preserve"> Latvian banking business - a business model that focuses on the </w:t>
      </w:r>
      <w:r w:rsidR="009E3C5B" w:rsidRPr="00236568">
        <w:rPr>
          <w:rFonts w:ascii="Times New Roman" w:hAnsi="Times New Roman"/>
          <w:color w:val="000000"/>
          <w:sz w:val="24"/>
          <w:szCs w:val="24"/>
          <w:lang w:eastAsia="lv-LV"/>
        </w:rPr>
        <w:t>domestic client</w:t>
      </w:r>
      <w:r w:rsidRPr="00236568">
        <w:rPr>
          <w:rFonts w:ascii="Times New Roman" w:hAnsi="Times New Roman"/>
          <w:color w:val="000000"/>
          <w:sz w:val="24"/>
          <w:szCs w:val="24"/>
          <w:lang w:eastAsia="lv-LV"/>
        </w:rPr>
        <w:t xml:space="preserve">s' service and business model, which focuses on the foreign </w:t>
      </w:r>
      <w:r w:rsidR="00271A4E" w:rsidRPr="00236568">
        <w:rPr>
          <w:rFonts w:ascii="Times New Roman" w:hAnsi="Times New Roman"/>
          <w:color w:val="000000"/>
          <w:sz w:val="24"/>
          <w:szCs w:val="24"/>
          <w:lang w:eastAsia="lv-LV"/>
        </w:rPr>
        <w:t>client</w:t>
      </w:r>
      <w:r w:rsidRPr="00236568">
        <w:rPr>
          <w:rFonts w:ascii="Times New Roman" w:hAnsi="Times New Roman"/>
          <w:color w:val="000000"/>
          <w:sz w:val="24"/>
          <w:szCs w:val="24"/>
          <w:lang w:eastAsia="lv-LV"/>
        </w:rPr>
        <w:t xml:space="preserve"> service. During the development of the plan</w:t>
      </w:r>
      <w:r w:rsidR="006B1994" w:rsidRPr="00236568">
        <w:rPr>
          <w:rFonts w:ascii="Times New Roman" w:hAnsi="Times New Roman"/>
          <w:color w:val="000000"/>
          <w:sz w:val="24"/>
          <w:szCs w:val="24"/>
          <w:lang w:eastAsia="lv-LV"/>
        </w:rPr>
        <w:t xml:space="preserve"> it</w:t>
      </w:r>
      <w:r w:rsidRPr="00236568">
        <w:rPr>
          <w:rFonts w:ascii="Times New Roman" w:hAnsi="Times New Roman"/>
          <w:color w:val="000000"/>
          <w:sz w:val="24"/>
          <w:szCs w:val="24"/>
          <w:lang w:eastAsia="lv-LV"/>
        </w:rPr>
        <w:t xml:space="preserve"> </w:t>
      </w:r>
      <w:r w:rsidR="00E44444">
        <w:rPr>
          <w:rFonts w:ascii="Times New Roman" w:hAnsi="Times New Roman"/>
          <w:color w:val="000000"/>
          <w:sz w:val="24"/>
          <w:szCs w:val="24"/>
          <w:lang w:eastAsia="lv-LV"/>
        </w:rPr>
        <w:t xml:space="preserve">was </w:t>
      </w:r>
      <w:r w:rsidR="00456201">
        <w:rPr>
          <w:rFonts w:ascii="Times New Roman" w:hAnsi="Times New Roman"/>
          <w:color w:val="000000"/>
          <w:sz w:val="24"/>
          <w:szCs w:val="24"/>
          <w:lang w:eastAsia="lv-LV"/>
        </w:rPr>
        <w:t>recognized that</w:t>
      </w:r>
      <w:r w:rsidRPr="00236568">
        <w:rPr>
          <w:rFonts w:ascii="Times New Roman" w:hAnsi="Times New Roman"/>
          <w:color w:val="000000"/>
          <w:sz w:val="24"/>
          <w:szCs w:val="24"/>
          <w:lang w:eastAsia="lv-LV"/>
        </w:rPr>
        <w:t xml:space="preserve"> </w:t>
      </w:r>
      <w:r w:rsidR="00456201">
        <w:rPr>
          <w:rFonts w:ascii="Times New Roman" w:hAnsi="Times New Roman"/>
          <w:color w:val="000000"/>
          <w:sz w:val="24"/>
          <w:szCs w:val="24"/>
          <w:lang w:eastAsia="lv-LV"/>
        </w:rPr>
        <w:t xml:space="preserve">in order to have a comprehensive </w:t>
      </w:r>
      <w:r w:rsidRPr="00236568">
        <w:rPr>
          <w:rFonts w:ascii="Times New Roman" w:hAnsi="Times New Roman"/>
          <w:color w:val="000000"/>
          <w:sz w:val="24"/>
          <w:szCs w:val="24"/>
          <w:lang w:eastAsia="lv-LV"/>
        </w:rPr>
        <w:t>discussion o</w:t>
      </w:r>
      <w:r w:rsidR="00B6639F" w:rsidRPr="00236568">
        <w:rPr>
          <w:rFonts w:ascii="Times New Roman" w:hAnsi="Times New Roman"/>
          <w:color w:val="000000"/>
          <w:sz w:val="24"/>
          <w:szCs w:val="24"/>
          <w:lang w:eastAsia="lv-LV"/>
        </w:rPr>
        <w:t>n</w:t>
      </w:r>
      <w:r w:rsidRPr="00236568">
        <w:rPr>
          <w:rFonts w:ascii="Times New Roman" w:hAnsi="Times New Roman"/>
          <w:color w:val="000000"/>
          <w:sz w:val="24"/>
          <w:szCs w:val="24"/>
          <w:lang w:eastAsia="lv-LV"/>
        </w:rPr>
        <w:t xml:space="preserve"> the different banking product development scenarios, risk management in different market segments and distribution channels, it is necessary to move on to the discussion </w:t>
      </w:r>
      <w:r w:rsidR="00B6639F" w:rsidRPr="00236568">
        <w:rPr>
          <w:rFonts w:ascii="Times New Roman" w:hAnsi="Times New Roman"/>
          <w:color w:val="000000"/>
          <w:sz w:val="24"/>
          <w:szCs w:val="24"/>
          <w:lang w:eastAsia="lv-LV"/>
        </w:rPr>
        <w:t>on</w:t>
      </w:r>
      <w:r w:rsidRPr="00236568">
        <w:rPr>
          <w:rFonts w:ascii="Times New Roman" w:hAnsi="Times New Roman"/>
          <w:color w:val="000000"/>
          <w:sz w:val="24"/>
          <w:szCs w:val="24"/>
          <w:lang w:eastAsia="lv-LV"/>
        </w:rPr>
        <w:t xml:space="preserve"> </w:t>
      </w:r>
      <w:r w:rsidR="00456201">
        <w:rPr>
          <w:rFonts w:ascii="Times New Roman" w:hAnsi="Times New Roman"/>
          <w:color w:val="000000"/>
          <w:sz w:val="24"/>
          <w:szCs w:val="24"/>
          <w:lang w:eastAsia="lv-LV"/>
        </w:rPr>
        <w:t xml:space="preserve">the level of </w:t>
      </w:r>
      <w:r w:rsidRPr="00236568">
        <w:rPr>
          <w:rFonts w:ascii="Times New Roman" w:hAnsi="Times New Roman"/>
          <w:color w:val="000000"/>
          <w:sz w:val="24"/>
          <w:szCs w:val="24"/>
          <w:lang w:eastAsia="lv-LV"/>
        </w:rPr>
        <w:t xml:space="preserve">banking products or service. This </w:t>
      </w:r>
      <w:r w:rsidR="00B6639F" w:rsidRPr="00236568">
        <w:rPr>
          <w:rFonts w:ascii="Times New Roman" w:hAnsi="Times New Roman"/>
          <w:color w:val="000000"/>
          <w:sz w:val="24"/>
          <w:szCs w:val="24"/>
          <w:lang w:eastAsia="lv-LV"/>
        </w:rPr>
        <w:t>conclusion</w:t>
      </w:r>
      <w:r w:rsidRPr="00236568">
        <w:rPr>
          <w:rFonts w:ascii="Times New Roman" w:hAnsi="Times New Roman"/>
          <w:color w:val="000000"/>
          <w:sz w:val="24"/>
          <w:szCs w:val="24"/>
          <w:lang w:eastAsia="lv-LV"/>
        </w:rPr>
        <w:t xml:space="preserve"> will be taken into account in implementing the </w:t>
      </w:r>
      <w:r w:rsidR="008D3B74" w:rsidRPr="00236568">
        <w:rPr>
          <w:rFonts w:ascii="Times New Roman" w:hAnsi="Times New Roman"/>
          <w:color w:val="000000"/>
          <w:sz w:val="24"/>
          <w:szCs w:val="24"/>
          <w:lang w:eastAsia="lv-LV"/>
        </w:rPr>
        <w:t>measures of the P</w:t>
      </w:r>
      <w:r w:rsidRPr="00236568">
        <w:rPr>
          <w:rFonts w:ascii="Times New Roman" w:hAnsi="Times New Roman"/>
          <w:color w:val="000000"/>
          <w:sz w:val="24"/>
          <w:szCs w:val="24"/>
          <w:lang w:eastAsia="lv-LV"/>
        </w:rPr>
        <w:t xml:space="preserve">lan set out in Annex such as </w:t>
      </w:r>
      <w:r w:rsidR="00E44444">
        <w:rPr>
          <w:rFonts w:ascii="Times New Roman" w:hAnsi="Times New Roman"/>
          <w:color w:val="000000"/>
          <w:sz w:val="24"/>
          <w:szCs w:val="24"/>
          <w:lang w:eastAsia="lv-LV"/>
        </w:rPr>
        <w:t xml:space="preserve">developing </w:t>
      </w:r>
      <w:r w:rsidRPr="00236568">
        <w:rPr>
          <w:rFonts w:ascii="Times New Roman" w:hAnsi="Times New Roman"/>
          <w:color w:val="000000"/>
          <w:sz w:val="24"/>
          <w:szCs w:val="24"/>
          <w:lang w:eastAsia="lv-LV"/>
        </w:rPr>
        <w:lastRenderedPageBreak/>
        <w:t>proposals on the risks and benefits of affordable international financial services future development, based on international best practices</w:t>
      </w:r>
      <w:r w:rsidR="00E44444">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w:t>
      </w:r>
      <w:r w:rsidR="00E44444">
        <w:rPr>
          <w:rFonts w:ascii="Times New Roman" w:hAnsi="Times New Roman"/>
          <w:color w:val="000000"/>
          <w:sz w:val="24"/>
          <w:szCs w:val="24"/>
          <w:lang w:eastAsia="lv-LV"/>
        </w:rPr>
        <w:t xml:space="preserve">efficient </w:t>
      </w:r>
      <w:r w:rsidRPr="00236568">
        <w:rPr>
          <w:rFonts w:ascii="Times New Roman" w:hAnsi="Times New Roman"/>
          <w:color w:val="000000"/>
          <w:sz w:val="24"/>
          <w:szCs w:val="24"/>
          <w:lang w:eastAsia="lv-LV"/>
        </w:rPr>
        <w:t xml:space="preserve">risk management and compliance principles. </w:t>
      </w:r>
      <w:proofErr w:type="gramStart"/>
      <w:r w:rsidRPr="00236568">
        <w:rPr>
          <w:rFonts w:ascii="Times New Roman" w:hAnsi="Times New Roman"/>
          <w:color w:val="000000"/>
          <w:sz w:val="24"/>
          <w:szCs w:val="24"/>
          <w:lang w:eastAsia="lv-LV"/>
        </w:rPr>
        <w:t>Such  distinction</w:t>
      </w:r>
      <w:proofErr w:type="gramEnd"/>
      <w:r w:rsidRPr="00236568">
        <w:rPr>
          <w:rFonts w:ascii="Times New Roman" w:hAnsi="Times New Roman"/>
          <w:color w:val="000000"/>
          <w:sz w:val="24"/>
          <w:szCs w:val="24"/>
          <w:lang w:eastAsia="lv-LV"/>
        </w:rPr>
        <w:t xml:space="preserve"> is also more appropriate in order to better develop proposals and to identif</w:t>
      </w:r>
      <w:r w:rsidR="006B1994" w:rsidRPr="00236568">
        <w:rPr>
          <w:rFonts w:ascii="Times New Roman" w:hAnsi="Times New Roman"/>
          <w:color w:val="000000"/>
          <w:sz w:val="24"/>
          <w:szCs w:val="24"/>
          <w:lang w:eastAsia="lv-LV"/>
        </w:rPr>
        <w:t>y existing obstacles rapid development of the BPO/</w:t>
      </w:r>
      <w:r w:rsidRPr="00236568">
        <w:rPr>
          <w:rFonts w:ascii="Times New Roman" w:hAnsi="Times New Roman"/>
          <w:color w:val="000000"/>
          <w:sz w:val="24"/>
          <w:szCs w:val="24"/>
          <w:lang w:eastAsia="lv-LV"/>
        </w:rPr>
        <w:t xml:space="preserve">SSC sector </w:t>
      </w:r>
      <w:r w:rsidR="006B1994" w:rsidRPr="00236568">
        <w:rPr>
          <w:rFonts w:ascii="Times New Roman" w:hAnsi="Times New Roman"/>
          <w:color w:val="000000"/>
          <w:sz w:val="24"/>
          <w:szCs w:val="24"/>
          <w:lang w:eastAsia="lv-LV"/>
        </w:rPr>
        <w:t>in Latvia</w:t>
      </w:r>
      <w:r w:rsidR="00E44444">
        <w:rPr>
          <w:rFonts w:ascii="Times New Roman" w:hAnsi="Times New Roman"/>
          <w:color w:val="000000"/>
          <w:sz w:val="24"/>
          <w:szCs w:val="24"/>
          <w:lang w:eastAsia="lv-LV"/>
        </w:rPr>
        <w:t>.</w:t>
      </w:r>
      <w:r w:rsidR="00B601E6"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 Plan </w:t>
      </w:r>
      <w:r w:rsidR="00F44329" w:rsidRPr="00236568">
        <w:rPr>
          <w:rFonts w:ascii="Times New Roman" w:hAnsi="Times New Roman"/>
          <w:color w:val="000000"/>
          <w:sz w:val="24"/>
          <w:szCs w:val="24"/>
          <w:lang w:eastAsia="lv-LV"/>
        </w:rPr>
        <w:t xml:space="preserve">defines </w:t>
      </w:r>
      <w:r w:rsidR="00E44444">
        <w:rPr>
          <w:rFonts w:ascii="Times New Roman" w:hAnsi="Times New Roman"/>
          <w:color w:val="000000"/>
          <w:sz w:val="24"/>
          <w:szCs w:val="24"/>
          <w:lang w:eastAsia="lv-LV"/>
        </w:rPr>
        <w:t xml:space="preserve">this </w:t>
      </w:r>
      <w:r w:rsidR="008D3B74" w:rsidRPr="00236568">
        <w:rPr>
          <w:rFonts w:ascii="Times New Roman" w:hAnsi="Times New Roman"/>
          <w:color w:val="000000"/>
          <w:sz w:val="24"/>
          <w:szCs w:val="24"/>
          <w:lang w:eastAsia="lv-LV"/>
        </w:rPr>
        <w:t xml:space="preserve">as </w:t>
      </w:r>
      <w:r w:rsidRPr="00236568">
        <w:rPr>
          <w:rFonts w:ascii="Times New Roman" w:hAnsi="Times New Roman"/>
          <w:color w:val="000000"/>
          <w:sz w:val="24"/>
          <w:szCs w:val="24"/>
          <w:lang w:eastAsia="lv-LV"/>
        </w:rPr>
        <w:t>a priority in attracting investments.</w:t>
      </w:r>
    </w:p>
    <w:p w14:paraId="4F89524A" w14:textId="77777777" w:rsidR="003324B4" w:rsidRPr="00236568" w:rsidRDefault="003324B4">
      <w:pPr>
        <w:spacing w:after="0" w:line="240" w:lineRule="auto"/>
        <w:jc w:val="both"/>
        <w:rPr>
          <w:rFonts w:ascii="Times New Roman" w:hAnsi="Times New Roman"/>
          <w:color w:val="000000"/>
          <w:sz w:val="24"/>
          <w:szCs w:val="24"/>
          <w:lang w:eastAsia="lv-LV"/>
        </w:rPr>
      </w:pPr>
    </w:p>
    <w:p w14:paraId="0A1370C4" w14:textId="7AAA7F17" w:rsidR="00B60D4C" w:rsidRPr="00236568" w:rsidRDefault="00B71942">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A</w:t>
      </w:r>
      <w:r w:rsidR="00B60D4C" w:rsidRPr="00236568">
        <w:rPr>
          <w:rFonts w:ascii="Times New Roman" w:hAnsi="Times New Roman"/>
          <w:color w:val="000000"/>
          <w:sz w:val="24"/>
          <w:szCs w:val="24"/>
          <w:lang w:eastAsia="lv-LV"/>
        </w:rPr>
        <w:t xml:space="preserve"> half of the banking system (as measured by the amount of deposits) attract</w:t>
      </w:r>
      <w:r w:rsidR="006A403D">
        <w:rPr>
          <w:rFonts w:ascii="Times New Roman" w:hAnsi="Times New Roman"/>
          <w:color w:val="000000"/>
          <w:sz w:val="24"/>
          <w:szCs w:val="24"/>
          <w:lang w:eastAsia="lv-LV"/>
        </w:rPr>
        <w:t>s</w:t>
      </w:r>
      <w:r w:rsidR="00B60D4C" w:rsidRPr="00236568">
        <w:rPr>
          <w:rFonts w:ascii="Times New Roman" w:hAnsi="Times New Roman"/>
          <w:color w:val="000000"/>
          <w:sz w:val="24"/>
          <w:szCs w:val="24"/>
          <w:lang w:eastAsia="lv-LV"/>
        </w:rPr>
        <w:t xml:space="preserve"> deposits and issue</w:t>
      </w:r>
      <w:r w:rsidR="0069095A">
        <w:rPr>
          <w:rFonts w:ascii="Times New Roman" w:hAnsi="Times New Roman"/>
          <w:color w:val="000000"/>
          <w:sz w:val="24"/>
          <w:szCs w:val="24"/>
          <w:lang w:eastAsia="lv-LV"/>
        </w:rPr>
        <w:t>s</w:t>
      </w:r>
      <w:r w:rsidR="00B60D4C" w:rsidRPr="00236568">
        <w:rPr>
          <w:rFonts w:ascii="Times New Roman" w:hAnsi="Times New Roman"/>
          <w:color w:val="000000"/>
          <w:sz w:val="24"/>
          <w:szCs w:val="24"/>
          <w:lang w:eastAsia="lv-LV"/>
        </w:rPr>
        <w:t xml:space="preserve"> loans to </w:t>
      </w:r>
      <w:r w:rsidR="009E3C5B" w:rsidRPr="00236568">
        <w:rPr>
          <w:rFonts w:ascii="Times New Roman" w:hAnsi="Times New Roman"/>
          <w:color w:val="000000"/>
          <w:sz w:val="24"/>
          <w:szCs w:val="24"/>
          <w:lang w:eastAsia="lv-LV"/>
        </w:rPr>
        <w:t>domestic client</w:t>
      </w:r>
      <w:r w:rsidR="00B60D4C" w:rsidRPr="00236568">
        <w:rPr>
          <w:rFonts w:ascii="Times New Roman" w:hAnsi="Times New Roman"/>
          <w:color w:val="000000"/>
          <w:sz w:val="24"/>
          <w:szCs w:val="24"/>
          <w:lang w:eastAsia="lv-LV"/>
        </w:rPr>
        <w:t xml:space="preserve"> households and </w:t>
      </w:r>
      <w:r w:rsidR="009E3C5B" w:rsidRPr="00236568">
        <w:rPr>
          <w:rFonts w:ascii="Times New Roman" w:hAnsi="Times New Roman"/>
          <w:color w:val="000000"/>
          <w:sz w:val="24"/>
          <w:szCs w:val="24"/>
          <w:lang w:eastAsia="lv-LV"/>
        </w:rPr>
        <w:t>domestic client</w:t>
      </w:r>
      <w:r w:rsidR="00B60D4C" w:rsidRPr="00236568">
        <w:rPr>
          <w:rFonts w:ascii="Times New Roman" w:hAnsi="Times New Roman"/>
          <w:color w:val="000000"/>
          <w:sz w:val="24"/>
          <w:szCs w:val="24"/>
          <w:lang w:eastAsia="lv-LV"/>
        </w:rPr>
        <w:t xml:space="preserve"> non-financial companies. </w:t>
      </w:r>
      <w:r w:rsidRPr="00236568">
        <w:rPr>
          <w:rFonts w:ascii="Times New Roman" w:hAnsi="Times New Roman"/>
          <w:color w:val="000000"/>
          <w:sz w:val="24"/>
          <w:szCs w:val="24"/>
          <w:lang w:eastAsia="lv-LV"/>
        </w:rPr>
        <w:t>As for</w:t>
      </w:r>
      <w:r w:rsidR="00B601E6" w:rsidRPr="00236568">
        <w:rPr>
          <w:rFonts w:ascii="Times New Roman" w:hAnsi="Times New Roman"/>
          <w:color w:val="000000"/>
          <w:sz w:val="24"/>
          <w:szCs w:val="24"/>
          <w:lang w:eastAsia="lv-LV"/>
        </w:rPr>
        <w:t xml:space="preserve"> </w:t>
      </w:r>
      <w:r w:rsidR="0069095A">
        <w:rPr>
          <w:rFonts w:ascii="Times New Roman" w:hAnsi="Times New Roman"/>
          <w:color w:val="000000"/>
          <w:sz w:val="24"/>
          <w:szCs w:val="24"/>
          <w:lang w:eastAsia="lv-LV"/>
        </w:rPr>
        <w:t xml:space="preserve">the </w:t>
      </w:r>
      <w:r w:rsidR="00B60D4C" w:rsidRPr="00236568">
        <w:rPr>
          <w:rFonts w:ascii="Times New Roman" w:hAnsi="Times New Roman"/>
          <w:color w:val="000000"/>
          <w:sz w:val="24"/>
          <w:szCs w:val="24"/>
          <w:lang w:eastAsia="lv-LV"/>
        </w:rPr>
        <w:t>banks</w:t>
      </w:r>
      <w:r w:rsidRPr="00236568">
        <w:rPr>
          <w:rFonts w:ascii="Times New Roman" w:hAnsi="Times New Roman"/>
          <w:color w:val="000000"/>
          <w:sz w:val="24"/>
          <w:szCs w:val="24"/>
          <w:lang w:eastAsia="lv-LV"/>
        </w:rPr>
        <w:t xml:space="preserve"> that attract foreign </w:t>
      </w:r>
      <w:r w:rsidR="00271A4E" w:rsidRPr="00236568">
        <w:rPr>
          <w:rFonts w:ascii="Times New Roman" w:hAnsi="Times New Roman"/>
          <w:color w:val="000000"/>
          <w:sz w:val="24"/>
          <w:szCs w:val="24"/>
          <w:lang w:eastAsia="lv-LV"/>
        </w:rPr>
        <w:t>client</w:t>
      </w:r>
      <w:r w:rsidRPr="00236568">
        <w:rPr>
          <w:rFonts w:ascii="Times New Roman" w:hAnsi="Times New Roman"/>
          <w:color w:val="000000"/>
          <w:sz w:val="24"/>
          <w:szCs w:val="24"/>
          <w:lang w:eastAsia="lv-LV"/>
        </w:rPr>
        <w:t xml:space="preserve"> deposits</w:t>
      </w:r>
      <w:r w:rsidR="00B60D4C" w:rsidRPr="00236568">
        <w:rPr>
          <w:rFonts w:ascii="Times New Roman" w:hAnsi="Times New Roman"/>
          <w:color w:val="000000"/>
          <w:sz w:val="24"/>
          <w:szCs w:val="24"/>
          <w:lang w:eastAsia="lv-LV"/>
        </w:rPr>
        <w:t xml:space="preserve">, loans account for about one-quarter of the total assets in the structure, and their loan recipients are located outside </w:t>
      </w:r>
      <w:r w:rsidR="0069095A">
        <w:rPr>
          <w:rFonts w:ascii="Times New Roman" w:hAnsi="Times New Roman"/>
          <w:color w:val="000000"/>
          <w:sz w:val="24"/>
          <w:szCs w:val="24"/>
          <w:lang w:eastAsia="lv-LV"/>
        </w:rPr>
        <w:t xml:space="preserve">of </w:t>
      </w:r>
      <w:r w:rsidR="00B60D4C" w:rsidRPr="00236568">
        <w:rPr>
          <w:rFonts w:ascii="Times New Roman" w:hAnsi="Times New Roman"/>
          <w:color w:val="000000"/>
          <w:sz w:val="24"/>
          <w:szCs w:val="24"/>
          <w:lang w:eastAsia="lv-LV"/>
        </w:rPr>
        <w:t xml:space="preserve">Latvia, or represent loans from historical activity in the real estate lending. </w:t>
      </w:r>
      <w:r w:rsidR="00B601E6" w:rsidRPr="00236568">
        <w:rPr>
          <w:rFonts w:ascii="Times New Roman" w:hAnsi="Times New Roman"/>
          <w:color w:val="000000"/>
          <w:sz w:val="24"/>
          <w:szCs w:val="24"/>
          <w:lang w:eastAsia="lv-LV"/>
        </w:rPr>
        <w:t>In the</w:t>
      </w:r>
      <w:r w:rsidR="00B60D4C"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ranking by foreign </w:t>
      </w:r>
      <w:r w:rsidR="00271A4E" w:rsidRPr="00236568">
        <w:rPr>
          <w:rFonts w:ascii="Times New Roman" w:hAnsi="Times New Roman"/>
          <w:color w:val="000000"/>
          <w:sz w:val="24"/>
          <w:szCs w:val="24"/>
          <w:lang w:eastAsia="lv-LV"/>
        </w:rPr>
        <w:t>client</w:t>
      </w:r>
      <w:r w:rsidR="00B60D4C" w:rsidRPr="00236568">
        <w:rPr>
          <w:rFonts w:ascii="Times New Roman" w:hAnsi="Times New Roman"/>
          <w:color w:val="000000"/>
          <w:sz w:val="24"/>
          <w:szCs w:val="24"/>
          <w:lang w:eastAsia="lv-LV"/>
        </w:rPr>
        <w:t xml:space="preserve"> deposit share of total deposits</w:t>
      </w:r>
      <w:r w:rsidR="00B601E6" w:rsidRPr="00236568">
        <w:rPr>
          <w:rFonts w:ascii="Times New Roman" w:hAnsi="Times New Roman"/>
          <w:color w:val="000000"/>
          <w:sz w:val="24"/>
          <w:szCs w:val="24"/>
          <w:lang w:eastAsia="lv-LV"/>
        </w:rPr>
        <w:t>,</w:t>
      </w:r>
      <w:r w:rsidR="00B60D4C" w:rsidRPr="00236568">
        <w:rPr>
          <w:rFonts w:ascii="Times New Roman" w:hAnsi="Times New Roman"/>
          <w:color w:val="000000"/>
          <w:sz w:val="24"/>
          <w:szCs w:val="24"/>
          <w:lang w:eastAsia="lv-LV"/>
        </w:rPr>
        <w:t xml:space="preserve"> </w:t>
      </w:r>
      <w:r w:rsidR="00B601E6" w:rsidRPr="00236568">
        <w:rPr>
          <w:rFonts w:ascii="Times New Roman" w:hAnsi="Times New Roman"/>
          <w:color w:val="000000"/>
          <w:sz w:val="24"/>
          <w:szCs w:val="24"/>
          <w:lang w:eastAsia="lv-LV"/>
        </w:rPr>
        <w:t xml:space="preserve">Latvia </w:t>
      </w:r>
      <w:r w:rsidR="00B60D4C" w:rsidRPr="00236568">
        <w:rPr>
          <w:rFonts w:ascii="Times New Roman" w:hAnsi="Times New Roman"/>
          <w:color w:val="000000"/>
          <w:sz w:val="24"/>
          <w:szCs w:val="24"/>
          <w:lang w:eastAsia="lv-LV"/>
        </w:rPr>
        <w:t xml:space="preserve">has the highest </w:t>
      </w:r>
      <w:r w:rsidRPr="00236568">
        <w:rPr>
          <w:rFonts w:ascii="Times New Roman" w:hAnsi="Times New Roman"/>
          <w:color w:val="000000"/>
          <w:sz w:val="24"/>
          <w:szCs w:val="24"/>
          <w:lang w:eastAsia="lv-LV"/>
        </w:rPr>
        <w:t xml:space="preserve">position </w:t>
      </w:r>
      <w:r w:rsidR="00B60D4C" w:rsidRPr="00236568">
        <w:rPr>
          <w:rFonts w:ascii="Times New Roman" w:hAnsi="Times New Roman"/>
          <w:color w:val="000000"/>
          <w:sz w:val="24"/>
          <w:szCs w:val="24"/>
          <w:lang w:eastAsia="lv-LV"/>
        </w:rPr>
        <w:t xml:space="preserve">among the </w:t>
      </w:r>
      <w:r w:rsidRPr="00236568">
        <w:rPr>
          <w:rFonts w:ascii="Times New Roman" w:hAnsi="Times New Roman"/>
          <w:color w:val="000000"/>
          <w:sz w:val="24"/>
          <w:szCs w:val="24"/>
          <w:lang w:eastAsia="lv-LV"/>
        </w:rPr>
        <w:t>EU</w:t>
      </w:r>
      <w:r w:rsidR="00B601E6" w:rsidRPr="00236568">
        <w:rPr>
          <w:rFonts w:ascii="Times New Roman" w:hAnsi="Times New Roman"/>
          <w:color w:val="000000"/>
          <w:sz w:val="24"/>
          <w:szCs w:val="24"/>
          <w:lang w:eastAsia="lv-LV"/>
        </w:rPr>
        <w:t xml:space="preserve"> Member States (see</w:t>
      </w:r>
      <w:r w:rsidR="00B60D4C" w:rsidRPr="00236568">
        <w:rPr>
          <w:rFonts w:ascii="Times New Roman" w:hAnsi="Times New Roman"/>
          <w:color w:val="000000"/>
          <w:sz w:val="24"/>
          <w:szCs w:val="24"/>
          <w:lang w:eastAsia="lv-LV"/>
        </w:rPr>
        <w:t xml:space="preserve"> Fig</w:t>
      </w:r>
      <w:r w:rsidR="00B601E6" w:rsidRPr="00236568">
        <w:rPr>
          <w:rFonts w:ascii="Times New Roman" w:hAnsi="Times New Roman"/>
          <w:color w:val="000000"/>
          <w:sz w:val="24"/>
          <w:szCs w:val="24"/>
          <w:lang w:eastAsia="lv-LV"/>
        </w:rPr>
        <w:t>.</w:t>
      </w:r>
      <w:r w:rsidR="00B60D4C" w:rsidRPr="00236568">
        <w:rPr>
          <w:rFonts w:ascii="Times New Roman" w:hAnsi="Times New Roman"/>
          <w:color w:val="000000"/>
          <w:sz w:val="24"/>
          <w:szCs w:val="24"/>
          <w:lang w:eastAsia="lv-LV"/>
        </w:rPr>
        <w:t xml:space="preserve"> 2.1.)</w:t>
      </w:r>
      <w:r w:rsidR="00B601E6" w:rsidRPr="00236568">
        <w:rPr>
          <w:rFonts w:ascii="Times New Roman" w:hAnsi="Times New Roman"/>
          <w:color w:val="000000"/>
          <w:sz w:val="24"/>
          <w:szCs w:val="24"/>
          <w:lang w:eastAsia="lv-LV"/>
        </w:rPr>
        <w:t>.</w:t>
      </w:r>
      <w:r w:rsidR="00B60D4C" w:rsidRPr="00236568">
        <w:rPr>
          <w:rFonts w:ascii="Times New Roman" w:hAnsi="Times New Roman"/>
          <w:color w:val="000000"/>
          <w:sz w:val="24"/>
          <w:szCs w:val="24"/>
          <w:lang w:eastAsia="lv-LV"/>
        </w:rPr>
        <w:t xml:space="preserve"> In June 2016, the share of </w:t>
      </w:r>
      <w:r w:rsidR="009E3C5B" w:rsidRPr="00236568">
        <w:rPr>
          <w:rFonts w:ascii="Times New Roman" w:hAnsi="Times New Roman"/>
          <w:color w:val="000000"/>
          <w:sz w:val="24"/>
          <w:szCs w:val="24"/>
          <w:lang w:eastAsia="lv-LV"/>
        </w:rPr>
        <w:t>foreign</w:t>
      </w:r>
      <w:r w:rsidR="00B60D4C" w:rsidRPr="00236568">
        <w:rPr>
          <w:rFonts w:ascii="Times New Roman" w:hAnsi="Times New Roman"/>
          <w:color w:val="000000"/>
          <w:sz w:val="24"/>
          <w:szCs w:val="24"/>
          <w:lang w:eastAsia="lv-LV"/>
        </w:rPr>
        <w:t xml:space="preserve"> deposits reached 47.6% of total deposits, surpassing countries such as Luxembourg, Malta, the Netherlands and Cyprus. By contrast, in Estonia, </w:t>
      </w:r>
      <w:r w:rsidRPr="00236568">
        <w:rPr>
          <w:rFonts w:ascii="Times New Roman" w:hAnsi="Times New Roman"/>
          <w:color w:val="000000"/>
          <w:sz w:val="24"/>
          <w:szCs w:val="24"/>
          <w:lang w:eastAsia="lv-LV"/>
        </w:rPr>
        <w:t xml:space="preserve">foreign </w:t>
      </w:r>
      <w:r w:rsidR="00271A4E" w:rsidRPr="00236568">
        <w:rPr>
          <w:rFonts w:ascii="Times New Roman" w:hAnsi="Times New Roman"/>
          <w:color w:val="000000"/>
          <w:sz w:val="24"/>
          <w:szCs w:val="24"/>
          <w:lang w:eastAsia="lv-LV"/>
        </w:rPr>
        <w:t>client</w:t>
      </w:r>
      <w:r w:rsidR="00B60D4C" w:rsidRPr="00236568">
        <w:rPr>
          <w:rFonts w:ascii="Times New Roman" w:hAnsi="Times New Roman"/>
          <w:color w:val="000000"/>
          <w:sz w:val="24"/>
          <w:szCs w:val="24"/>
          <w:lang w:eastAsia="lv-LV"/>
        </w:rPr>
        <w:t xml:space="preserve"> deposits in the total deposit structure are 15%, in Lithuania - 3%.</w:t>
      </w:r>
    </w:p>
    <w:p w14:paraId="26D9D650" w14:textId="603D5A84" w:rsidR="00B60D4C" w:rsidRPr="00236568" w:rsidRDefault="003D5CD6" w:rsidP="00DE5FE5">
      <w:pPr>
        <w:spacing w:line="240" w:lineRule="auto"/>
      </w:pPr>
      <w:r w:rsidRPr="00236568">
        <w:rPr>
          <w:noProof/>
          <w:sz w:val="28"/>
          <w:szCs w:val="28"/>
          <w:lang w:val="lv-LV" w:eastAsia="lv-LV"/>
        </w:rPr>
        <w:drawing>
          <wp:inline distT="0" distB="0" distL="0" distR="0" wp14:anchorId="1D701452" wp14:editId="7C3D8C54">
            <wp:extent cx="4649470" cy="27520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9470" cy="2752090"/>
                    </a:xfrm>
                    <a:prstGeom prst="rect">
                      <a:avLst/>
                    </a:prstGeom>
                    <a:noFill/>
                    <a:ln>
                      <a:noFill/>
                    </a:ln>
                  </pic:spPr>
                </pic:pic>
              </a:graphicData>
            </a:graphic>
          </wp:inline>
        </w:drawing>
      </w:r>
    </w:p>
    <w:p w14:paraId="0DFF7D01" w14:textId="46321834" w:rsidR="00B60D4C" w:rsidRPr="00236568" w:rsidRDefault="00B60D4C" w:rsidP="00595DDE">
      <w:pPr>
        <w:pStyle w:val="FootnoteText"/>
        <w:rPr>
          <w:i/>
          <w:lang w:val="en-GB"/>
        </w:rPr>
      </w:pPr>
      <w:r w:rsidRPr="00236568">
        <w:rPr>
          <w:i/>
          <w:lang w:val="en-GB"/>
        </w:rPr>
        <w:t>Fig.</w:t>
      </w:r>
      <w:r w:rsidR="00DF25AD" w:rsidRPr="00236568">
        <w:rPr>
          <w:i/>
          <w:lang w:val="en-GB"/>
        </w:rPr>
        <w:t>2.1</w:t>
      </w:r>
      <w:r w:rsidRPr="00236568">
        <w:rPr>
          <w:i/>
          <w:lang w:val="en-GB"/>
        </w:rPr>
        <w:t xml:space="preserve">. </w:t>
      </w:r>
      <w:proofErr w:type="gramStart"/>
      <w:r w:rsidRPr="00236568">
        <w:rPr>
          <w:i/>
          <w:lang w:val="en-GB"/>
        </w:rPr>
        <w:t>The</w:t>
      </w:r>
      <w:proofErr w:type="gramEnd"/>
      <w:r w:rsidRPr="00236568">
        <w:rPr>
          <w:i/>
          <w:lang w:val="en-GB"/>
        </w:rPr>
        <w:t xml:space="preserve"> share of </w:t>
      </w:r>
      <w:r w:rsidR="009E3C5B" w:rsidRPr="00236568">
        <w:rPr>
          <w:i/>
          <w:lang w:val="en-GB"/>
        </w:rPr>
        <w:t>foreigners</w:t>
      </w:r>
      <w:r w:rsidRPr="00236568">
        <w:rPr>
          <w:i/>
          <w:lang w:val="en-GB"/>
        </w:rPr>
        <w:t xml:space="preserve"> deposits in the total deposits in the structure in the European Union Member states (European Central Bank and data of national central banks, 30.06.2016.)</w:t>
      </w:r>
      <w:r w:rsidRPr="00236568">
        <w:rPr>
          <w:rStyle w:val="FootnoteReference"/>
          <w:i/>
          <w:lang w:val="en-GB"/>
        </w:rPr>
        <w:footnoteReference w:id="3"/>
      </w:r>
    </w:p>
    <w:p w14:paraId="1D6B3CD9" w14:textId="77777777" w:rsidR="00B60D4C" w:rsidRPr="00236568" w:rsidRDefault="00B60D4C" w:rsidP="00BF7917">
      <w:pPr>
        <w:pStyle w:val="FootnoteText"/>
        <w:rPr>
          <w:i/>
          <w:lang w:val="en-GB"/>
        </w:rPr>
      </w:pPr>
    </w:p>
    <w:p w14:paraId="3ACCAB6E" w14:textId="77777777" w:rsidR="00B60D4C" w:rsidRPr="00236568" w:rsidRDefault="00B60D4C">
      <w:pPr>
        <w:pStyle w:val="FootnoteText"/>
        <w:rPr>
          <w:sz w:val="24"/>
          <w:szCs w:val="24"/>
          <w:lang w:val="en-GB"/>
        </w:rPr>
      </w:pPr>
    </w:p>
    <w:p w14:paraId="58D97194" w14:textId="52381A3B" w:rsidR="00B60D4C" w:rsidRPr="00236568" w:rsidRDefault="00B60D4C">
      <w:pPr>
        <w:pStyle w:val="FootnoteText"/>
        <w:rPr>
          <w:sz w:val="24"/>
          <w:szCs w:val="24"/>
          <w:lang w:val="en-GB"/>
        </w:rPr>
      </w:pPr>
      <w:r w:rsidRPr="00236568">
        <w:rPr>
          <w:sz w:val="24"/>
          <w:szCs w:val="24"/>
          <w:lang w:val="en-GB"/>
        </w:rPr>
        <w:t xml:space="preserve">According to </w:t>
      </w:r>
      <w:r w:rsidR="0069095A">
        <w:rPr>
          <w:sz w:val="24"/>
          <w:szCs w:val="24"/>
          <w:lang w:val="en-GB"/>
        </w:rPr>
        <w:t xml:space="preserve">the </w:t>
      </w:r>
      <w:r w:rsidRPr="00236568">
        <w:rPr>
          <w:sz w:val="24"/>
          <w:szCs w:val="24"/>
          <w:lang w:val="en-GB"/>
        </w:rPr>
        <w:t>Financial and Capital Market Commission</w:t>
      </w:r>
      <w:r w:rsidR="000D5011">
        <w:rPr>
          <w:sz w:val="24"/>
          <w:szCs w:val="24"/>
          <w:lang w:val="en-GB"/>
        </w:rPr>
        <w:t xml:space="preserve"> (FCMC)</w:t>
      </w:r>
      <w:r w:rsidRPr="00236568">
        <w:rPr>
          <w:sz w:val="24"/>
          <w:szCs w:val="24"/>
          <w:lang w:val="en-GB"/>
        </w:rPr>
        <w:t xml:space="preserve">, </w:t>
      </w:r>
      <w:r w:rsidR="00B71942" w:rsidRPr="00236568">
        <w:rPr>
          <w:sz w:val="24"/>
          <w:szCs w:val="24"/>
          <w:lang w:val="en-GB"/>
        </w:rPr>
        <w:t xml:space="preserve">13 </w:t>
      </w:r>
      <w:r w:rsidRPr="00236568">
        <w:rPr>
          <w:sz w:val="24"/>
          <w:szCs w:val="24"/>
          <w:lang w:val="en-GB"/>
        </w:rPr>
        <w:t xml:space="preserve">out of 16 banks </w:t>
      </w:r>
      <w:proofErr w:type="gramStart"/>
      <w:r w:rsidRPr="00236568">
        <w:rPr>
          <w:sz w:val="24"/>
          <w:szCs w:val="24"/>
          <w:lang w:val="en-GB"/>
        </w:rPr>
        <w:t>are considered</w:t>
      </w:r>
      <w:proofErr w:type="gramEnd"/>
      <w:r w:rsidRPr="00236568">
        <w:rPr>
          <w:sz w:val="24"/>
          <w:szCs w:val="24"/>
          <w:lang w:val="en-GB"/>
        </w:rPr>
        <w:t xml:space="preserve"> banks that focus on </w:t>
      </w:r>
      <w:r w:rsidR="00BB365E" w:rsidRPr="00236568">
        <w:rPr>
          <w:sz w:val="24"/>
          <w:szCs w:val="24"/>
          <w:lang w:val="en-GB"/>
        </w:rPr>
        <w:t xml:space="preserve">foreign </w:t>
      </w:r>
      <w:r w:rsidR="00271A4E" w:rsidRPr="00236568">
        <w:rPr>
          <w:sz w:val="24"/>
          <w:szCs w:val="24"/>
          <w:lang w:val="en-GB"/>
        </w:rPr>
        <w:t>client</w:t>
      </w:r>
      <w:r w:rsidR="0069095A">
        <w:rPr>
          <w:sz w:val="24"/>
          <w:szCs w:val="24"/>
          <w:lang w:val="en-GB"/>
        </w:rPr>
        <w:t>s</w:t>
      </w:r>
      <w:r w:rsidRPr="00236568">
        <w:rPr>
          <w:sz w:val="24"/>
          <w:szCs w:val="24"/>
          <w:lang w:val="en-GB"/>
        </w:rPr>
        <w:t xml:space="preserve"> service</w:t>
      </w:r>
      <w:r w:rsidR="0069095A">
        <w:rPr>
          <w:sz w:val="24"/>
          <w:szCs w:val="24"/>
          <w:lang w:val="en-GB"/>
        </w:rPr>
        <w:t>s</w:t>
      </w:r>
      <w:r w:rsidRPr="00236568">
        <w:rPr>
          <w:sz w:val="24"/>
          <w:szCs w:val="24"/>
          <w:lang w:val="en-GB"/>
        </w:rPr>
        <w:t xml:space="preserve"> </w:t>
      </w:r>
      <w:r w:rsidR="00BB365E" w:rsidRPr="00236568">
        <w:rPr>
          <w:sz w:val="24"/>
          <w:szCs w:val="24"/>
          <w:lang w:val="en-GB"/>
        </w:rPr>
        <w:t>where</w:t>
      </w:r>
      <w:r w:rsidRPr="00236568">
        <w:rPr>
          <w:sz w:val="24"/>
          <w:szCs w:val="24"/>
          <w:lang w:val="en-GB"/>
        </w:rPr>
        <w:t xml:space="preserve"> amount of </w:t>
      </w:r>
      <w:r w:rsidR="00BB365E" w:rsidRPr="00236568">
        <w:rPr>
          <w:sz w:val="24"/>
          <w:szCs w:val="24"/>
          <w:lang w:val="en-GB"/>
        </w:rPr>
        <w:t xml:space="preserve">foreign </w:t>
      </w:r>
      <w:r w:rsidR="00271A4E" w:rsidRPr="00236568">
        <w:rPr>
          <w:sz w:val="24"/>
          <w:szCs w:val="24"/>
          <w:lang w:val="en-GB"/>
        </w:rPr>
        <w:t>client</w:t>
      </w:r>
      <w:r w:rsidR="0069095A">
        <w:rPr>
          <w:sz w:val="24"/>
          <w:szCs w:val="24"/>
          <w:lang w:val="en-GB"/>
        </w:rPr>
        <w:t>s’</w:t>
      </w:r>
      <w:r w:rsidRPr="00236568">
        <w:rPr>
          <w:sz w:val="24"/>
          <w:szCs w:val="24"/>
          <w:lang w:val="en-GB"/>
        </w:rPr>
        <w:t xml:space="preserve"> deposits in total assets </w:t>
      </w:r>
      <w:r w:rsidR="0069095A">
        <w:rPr>
          <w:sz w:val="24"/>
          <w:szCs w:val="24"/>
          <w:lang w:val="en-GB"/>
        </w:rPr>
        <w:t xml:space="preserve">exceeds </w:t>
      </w:r>
      <w:r w:rsidRPr="00236568">
        <w:rPr>
          <w:sz w:val="24"/>
          <w:szCs w:val="24"/>
          <w:lang w:val="en-GB"/>
        </w:rPr>
        <w:t>20%.</w:t>
      </w:r>
    </w:p>
    <w:p w14:paraId="48D232E3" w14:textId="77777777" w:rsidR="00B60D4C" w:rsidRPr="00236568" w:rsidRDefault="00B60D4C">
      <w:pPr>
        <w:pStyle w:val="FootnoteText"/>
        <w:rPr>
          <w:sz w:val="24"/>
          <w:szCs w:val="24"/>
          <w:lang w:val="en-GB"/>
        </w:rPr>
      </w:pPr>
    </w:p>
    <w:p w14:paraId="42F6F832" w14:textId="0857D34C" w:rsidR="00B60D4C" w:rsidRPr="00236568" w:rsidRDefault="00BB365E">
      <w:pPr>
        <w:pStyle w:val="FootnoteText"/>
        <w:rPr>
          <w:sz w:val="24"/>
          <w:szCs w:val="24"/>
          <w:lang w:val="en-GB"/>
        </w:rPr>
      </w:pPr>
      <w:r w:rsidRPr="00236568">
        <w:rPr>
          <w:sz w:val="24"/>
          <w:szCs w:val="24"/>
          <w:lang w:val="en-GB"/>
        </w:rPr>
        <w:t xml:space="preserve">In </w:t>
      </w:r>
      <w:r w:rsidR="000D5011">
        <w:rPr>
          <w:sz w:val="24"/>
          <w:szCs w:val="24"/>
          <w:lang w:val="en-GB"/>
        </w:rPr>
        <w:t xml:space="preserve">foreign clients’ servicing </w:t>
      </w:r>
      <w:r w:rsidRPr="00236568">
        <w:rPr>
          <w:sz w:val="24"/>
          <w:szCs w:val="24"/>
          <w:lang w:val="en-GB"/>
        </w:rPr>
        <w:t>banks t</w:t>
      </w:r>
      <w:r w:rsidR="00B60D4C" w:rsidRPr="00236568">
        <w:rPr>
          <w:sz w:val="24"/>
          <w:szCs w:val="24"/>
          <w:lang w:val="en-GB"/>
        </w:rPr>
        <w:t xml:space="preserve">here is high concentration of deposits, with the average </w:t>
      </w:r>
      <w:r w:rsidR="009E3C5B" w:rsidRPr="00236568">
        <w:rPr>
          <w:sz w:val="24"/>
          <w:szCs w:val="24"/>
          <w:lang w:val="en-GB"/>
        </w:rPr>
        <w:t xml:space="preserve">foreigner </w:t>
      </w:r>
      <w:r w:rsidR="00B60D4C" w:rsidRPr="00236568">
        <w:rPr>
          <w:sz w:val="24"/>
          <w:szCs w:val="24"/>
          <w:lang w:val="en-GB"/>
        </w:rPr>
        <w:t xml:space="preserve">deposit in amount of 108 047 euro (90 662 </w:t>
      </w:r>
      <w:r w:rsidR="00271A4E" w:rsidRPr="00236568">
        <w:rPr>
          <w:sz w:val="24"/>
          <w:szCs w:val="24"/>
          <w:lang w:val="en-GB"/>
        </w:rPr>
        <w:t>client</w:t>
      </w:r>
      <w:r w:rsidR="00B60D4C" w:rsidRPr="00236568">
        <w:rPr>
          <w:sz w:val="24"/>
          <w:szCs w:val="24"/>
          <w:lang w:val="en-GB"/>
        </w:rPr>
        <w:t xml:space="preserve">s) compared with the average amount of </w:t>
      </w:r>
      <w:r w:rsidR="009E3C5B" w:rsidRPr="00236568">
        <w:rPr>
          <w:sz w:val="24"/>
          <w:szCs w:val="24"/>
          <w:lang w:val="en-GB"/>
        </w:rPr>
        <w:t>domestic</w:t>
      </w:r>
      <w:r w:rsidR="00B60D4C" w:rsidRPr="00236568">
        <w:rPr>
          <w:sz w:val="24"/>
          <w:szCs w:val="24"/>
          <w:lang w:val="en-GB"/>
        </w:rPr>
        <w:t xml:space="preserve"> deposits – 5 705 euro (403 016 clients)</w:t>
      </w:r>
      <w:r w:rsidR="00B60D4C" w:rsidRPr="00236568">
        <w:rPr>
          <w:rStyle w:val="FootnoteReference"/>
          <w:sz w:val="24"/>
          <w:szCs w:val="24"/>
          <w:lang w:val="en-GB"/>
        </w:rPr>
        <w:footnoteReference w:id="4"/>
      </w:r>
      <w:r w:rsidR="00B60D4C" w:rsidRPr="00236568">
        <w:rPr>
          <w:sz w:val="24"/>
          <w:szCs w:val="24"/>
          <w:lang w:val="en-GB"/>
        </w:rPr>
        <w:t xml:space="preserve">. </w:t>
      </w:r>
      <w:r w:rsidRPr="00236568">
        <w:rPr>
          <w:sz w:val="24"/>
          <w:szCs w:val="24"/>
          <w:lang w:val="en-GB"/>
        </w:rPr>
        <w:t>Assuming the elevated risk, the FCMC has set higher requirements for capital adequacy and liquidity</w:t>
      </w:r>
      <w:r w:rsidR="006F243B" w:rsidRPr="00236568">
        <w:rPr>
          <w:sz w:val="24"/>
          <w:szCs w:val="24"/>
          <w:lang w:val="en-GB"/>
        </w:rPr>
        <w:t xml:space="preserve">, and at the end-June </w:t>
      </w:r>
      <w:proofErr w:type="gramStart"/>
      <w:r w:rsidR="006F243B" w:rsidRPr="00236568">
        <w:rPr>
          <w:sz w:val="24"/>
          <w:szCs w:val="24"/>
          <w:lang w:val="en-GB"/>
        </w:rPr>
        <w:t>2016</w:t>
      </w:r>
      <w:proofErr w:type="gramEnd"/>
      <w:r w:rsidR="006F243B" w:rsidRPr="00236568">
        <w:rPr>
          <w:sz w:val="24"/>
          <w:szCs w:val="24"/>
          <w:lang w:val="en-GB"/>
        </w:rPr>
        <w:t xml:space="preserve"> the liquidity ratio for these banks remained firmly at a high level (77.5%)</w:t>
      </w:r>
      <w:r w:rsidR="000D5011">
        <w:rPr>
          <w:sz w:val="24"/>
          <w:szCs w:val="24"/>
          <w:lang w:val="en-GB"/>
        </w:rPr>
        <w:t>.</w:t>
      </w:r>
      <w:r w:rsidR="006F243B" w:rsidRPr="00236568">
        <w:rPr>
          <w:rStyle w:val="FootnoteReference"/>
          <w:sz w:val="24"/>
          <w:szCs w:val="24"/>
          <w:lang w:val="en-GB"/>
        </w:rPr>
        <w:footnoteReference w:id="5"/>
      </w:r>
    </w:p>
    <w:p w14:paraId="179C65D1" w14:textId="77777777" w:rsidR="00B60D4C" w:rsidRPr="00236568" w:rsidRDefault="00B60D4C">
      <w:pPr>
        <w:pStyle w:val="FootnoteText"/>
        <w:rPr>
          <w:sz w:val="24"/>
          <w:szCs w:val="24"/>
          <w:lang w:val="en-GB"/>
        </w:rPr>
      </w:pPr>
    </w:p>
    <w:p w14:paraId="65FAB99F" w14:textId="77A393F4" w:rsidR="00B60D4C" w:rsidRPr="00236568" w:rsidRDefault="00476768">
      <w:pPr>
        <w:pStyle w:val="FootnoteText"/>
        <w:rPr>
          <w:sz w:val="24"/>
          <w:szCs w:val="24"/>
          <w:lang w:val="en-GB"/>
        </w:rPr>
      </w:pPr>
      <w:r w:rsidRPr="00236568">
        <w:rPr>
          <w:sz w:val="24"/>
          <w:szCs w:val="24"/>
          <w:lang w:val="en-GB"/>
        </w:rPr>
        <w:t xml:space="preserve">Foreign </w:t>
      </w:r>
      <w:r w:rsidR="00271A4E" w:rsidRPr="00236568">
        <w:rPr>
          <w:sz w:val="24"/>
          <w:szCs w:val="24"/>
          <w:lang w:val="en-GB"/>
        </w:rPr>
        <w:t>client</w:t>
      </w:r>
      <w:r w:rsidRPr="00236568">
        <w:rPr>
          <w:sz w:val="24"/>
          <w:szCs w:val="24"/>
          <w:lang w:val="en-GB"/>
        </w:rPr>
        <w:t xml:space="preserve"> service </w:t>
      </w:r>
      <w:r w:rsidR="00B60D4C" w:rsidRPr="00236568">
        <w:rPr>
          <w:sz w:val="24"/>
          <w:szCs w:val="24"/>
          <w:lang w:val="en-GB"/>
        </w:rPr>
        <w:t xml:space="preserve">banking model is based on transactions with companies, which are often established in </w:t>
      </w:r>
      <w:proofErr w:type="gramStart"/>
      <w:r w:rsidR="00B60D4C" w:rsidRPr="00236568">
        <w:rPr>
          <w:sz w:val="24"/>
          <w:szCs w:val="24"/>
          <w:lang w:val="en-GB"/>
        </w:rPr>
        <w:t>off-shore</w:t>
      </w:r>
      <w:proofErr w:type="gramEnd"/>
      <w:r w:rsidR="00B60D4C" w:rsidRPr="00236568">
        <w:rPr>
          <w:sz w:val="24"/>
          <w:szCs w:val="24"/>
          <w:lang w:val="en-GB"/>
        </w:rPr>
        <w:t xml:space="preserve"> jurisdictions. In the total structure of </w:t>
      </w:r>
      <w:r w:rsidRPr="00236568">
        <w:rPr>
          <w:sz w:val="24"/>
          <w:szCs w:val="24"/>
          <w:lang w:val="en-GB"/>
        </w:rPr>
        <w:t xml:space="preserve">foreign </w:t>
      </w:r>
      <w:r w:rsidR="00271A4E" w:rsidRPr="00236568">
        <w:rPr>
          <w:sz w:val="24"/>
          <w:szCs w:val="24"/>
          <w:lang w:val="en-GB"/>
        </w:rPr>
        <w:t>client</w:t>
      </w:r>
      <w:r w:rsidR="00B60D4C" w:rsidRPr="00236568">
        <w:rPr>
          <w:sz w:val="24"/>
          <w:szCs w:val="24"/>
          <w:lang w:val="en-GB"/>
        </w:rPr>
        <w:t xml:space="preserve"> deposits, demand </w:t>
      </w:r>
      <w:r w:rsidR="00B60D4C" w:rsidRPr="00236568">
        <w:rPr>
          <w:sz w:val="24"/>
          <w:szCs w:val="24"/>
          <w:lang w:val="en-GB"/>
        </w:rPr>
        <w:lastRenderedPageBreak/>
        <w:t xml:space="preserve">deposits account for 90%, which form the basis of a high turnover of payments in particular in </w:t>
      </w:r>
      <w:r w:rsidRPr="00236568">
        <w:rPr>
          <w:sz w:val="24"/>
          <w:szCs w:val="24"/>
          <w:lang w:val="en-GB"/>
        </w:rPr>
        <w:t xml:space="preserve">foreign </w:t>
      </w:r>
      <w:r w:rsidR="00271A4E" w:rsidRPr="00236568">
        <w:rPr>
          <w:sz w:val="24"/>
          <w:szCs w:val="24"/>
          <w:lang w:val="en-GB"/>
        </w:rPr>
        <w:t>client</w:t>
      </w:r>
      <w:r w:rsidR="00B60D4C" w:rsidRPr="00236568">
        <w:rPr>
          <w:sz w:val="24"/>
          <w:szCs w:val="24"/>
          <w:lang w:val="en-GB"/>
        </w:rPr>
        <w:t xml:space="preserve"> segment</w:t>
      </w:r>
      <w:r w:rsidR="00B60D4C" w:rsidRPr="00236568">
        <w:rPr>
          <w:rStyle w:val="FootnoteReference"/>
          <w:sz w:val="24"/>
          <w:szCs w:val="24"/>
          <w:lang w:val="en-GB"/>
        </w:rPr>
        <w:footnoteReference w:id="6"/>
      </w:r>
      <w:r w:rsidR="00B60D4C" w:rsidRPr="00236568">
        <w:rPr>
          <w:sz w:val="24"/>
          <w:szCs w:val="24"/>
          <w:lang w:val="en-GB"/>
        </w:rPr>
        <w:t xml:space="preserve">. The </w:t>
      </w:r>
      <w:r w:rsidR="00B601E6" w:rsidRPr="00236568">
        <w:rPr>
          <w:sz w:val="24"/>
          <w:szCs w:val="24"/>
          <w:lang w:val="en-GB"/>
        </w:rPr>
        <w:t xml:space="preserve">foreign </w:t>
      </w:r>
      <w:r w:rsidR="00271A4E" w:rsidRPr="00236568">
        <w:rPr>
          <w:sz w:val="24"/>
          <w:szCs w:val="24"/>
          <w:lang w:val="en-GB"/>
        </w:rPr>
        <w:t>client</w:t>
      </w:r>
      <w:r w:rsidR="00B60D4C" w:rsidRPr="00236568">
        <w:rPr>
          <w:sz w:val="24"/>
          <w:szCs w:val="24"/>
          <w:lang w:val="en-GB"/>
        </w:rPr>
        <w:t xml:space="preserve"> deposits are mainly in US dollars.</w:t>
      </w:r>
    </w:p>
    <w:p w14:paraId="6B49BC54" w14:textId="77777777" w:rsidR="00B60D4C" w:rsidRPr="00236568" w:rsidRDefault="00B60D4C">
      <w:pPr>
        <w:pStyle w:val="FootnoteText"/>
        <w:rPr>
          <w:sz w:val="24"/>
          <w:szCs w:val="24"/>
          <w:lang w:val="en-GB"/>
        </w:rPr>
      </w:pPr>
    </w:p>
    <w:p w14:paraId="06CAD6A9" w14:textId="3D697412" w:rsidR="00B60D4C" w:rsidRPr="00236568" w:rsidRDefault="00B60D4C">
      <w:pPr>
        <w:pStyle w:val="FootnoteText"/>
        <w:rPr>
          <w:sz w:val="24"/>
          <w:szCs w:val="24"/>
          <w:lang w:val="en-GB"/>
        </w:rPr>
      </w:pPr>
      <w:r w:rsidRPr="00236568">
        <w:rPr>
          <w:sz w:val="24"/>
          <w:szCs w:val="24"/>
          <w:lang w:val="en-GB"/>
        </w:rPr>
        <w:t>An important part of the bank's daily activity is interbank settlement</w:t>
      </w:r>
      <w:r w:rsidR="00476768" w:rsidRPr="00236568">
        <w:rPr>
          <w:sz w:val="24"/>
          <w:szCs w:val="24"/>
          <w:lang w:val="en-GB"/>
        </w:rPr>
        <w:t xml:space="preserve"> transactions</w:t>
      </w:r>
      <w:r w:rsidRPr="00236568">
        <w:rPr>
          <w:sz w:val="24"/>
          <w:szCs w:val="24"/>
          <w:lang w:val="en-GB"/>
        </w:rPr>
        <w:t xml:space="preserve">. The transactions in euro, including cross-border settlements, </w:t>
      </w:r>
      <w:proofErr w:type="gramStart"/>
      <w:r w:rsidRPr="00236568">
        <w:rPr>
          <w:sz w:val="24"/>
          <w:szCs w:val="24"/>
          <w:lang w:val="en-GB"/>
        </w:rPr>
        <w:t>are safely and efficiently provided</w:t>
      </w:r>
      <w:proofErr w:type="gramEnd"/>
      <w:r w:rsidRPr="00236568">
        <w:rPr>
          <w:sz w:val="24"/>
          <w:szCs w:val="24"/>
          <w:lang w:val="en-GB"/>
        </w:rPr>
        <w:t xml:space="preserve"> by the </w:t>
      </w:r>
      <w:r w:rsidR="00F82AFE" w:rsidRPr="00236568">
        <w:rPr>
          <w:sz w:val="24"/>
          <w:szCs w:val="24"/>
          <w:lang w:val="en-GB"/>
        </w:rPr>
        <w:t xml:space="preserve">payment system </w:t>
      </w:r>
      <w:r w:rsidR="00F82AFE">
        <w:rPr>
          <w:sz w:val="24"/>
          <w:szCs w:val="24"/>
          <w:lang w:val="en-GB"/>
        </w:rPr>
        <w:t xml:space="preserve">of the </w:t>
      </w:r>
      <w:r w:rsidRPr="00236568">
        <w:rPr>
          <w:sz w:val="24"/>
          <w:szCs w:val="24"/>
          <w:lang w:val="en-GB"/>
        </w:rPr>
        <w:t xml:space="preserve">Bank of Latvia. The interbank payments in other currencies are important part of correspondent banking relationship. </w:t>
      </w:r>
      <w:r w:rsidR="001C66B3" w:rsidRPr="00236568">
        <w:rPr>
          <w:sz w:val="24"/>
          <w:szCs w:val="24"/>
          <w:lang w:val="en-GB"/>
        </w:rPr>
        <w:t xml:space="preserve">The Consultative report on the Correspondent Banks prepared by </w:t>
      </w:r>
      <w:r w:rsidRPr="00236568">
        <w:rPr>
          <w:sz w:val="24"/>
          <w:szCs w:val="24"/>
          <w:lang w:val="en-GB"/>
        </w:rPr>
        <w:t>the Bank for International Settlements</w:t>
      </w:r>
      <w:r w:rsidR="001C66B3" w:rsidRPr="00236568">
        <w:rPr>
          <w:sz w:val="24"/>
          <w:szCs w:val="24"/>
          <w:lang w:val="en-GB"/>
        </w:rPr>
        <w:t>,</w:t>
      </w:r>
      <w:r w:rsidRPr="00236568">
        <w:rPr>
          <w:sz w:val="24"/>
          <w:szCs w:val="24"/>
          <w:lang w:val="en-GB"/>
        </w:rPr>
        <w:t xml:space="preserve"> Payments and Market Infrastructure Committee </w:t>
      </w:r>
      <w:r w:rsidR="001C66B3" w:rsidRPr="00236568">
        <w:rPr>
          <w:sz w:val="24"/>
          <w:szCs w:val="24"/>
          <w:lang w:val="en-GB"/>
        </w:rPr>
        <w:t xml:space="preserve">has </w:t>
      </w:r>
      <w:r w:rsidRPr="00236568">
        <w:rPr>
          <w:sz w:val="24"/>
          <w:szCs w:val="24"/>
          <w:lang w:val="en-GB"/>
        </w:rPr>
        <w:t xml:space="preserve">recognized that the correspondent banking services is a key element of cross-border transactions and it would seem that correspondent banking services </w:t>
      </w:r>
      <w:r w:rsidR="001C66B3" w:rsidRPr="00236568">
        <w:rPr>
          <w:sz w:val="24"/>
          <w:szCs w:val="24"/>
          <w:lang w:val="en-GB"/>
        </w:rPr>
        <w:t xml:space="preserve">are </w:t>
      </w:r>
      <w:r w:rsidRPr="00236568">
        <w:rPr>
          <w:sz w:val="24"/>
          <w:szCs w:val="24"/>
          <w:lang w:val="en-GB"/>
        </w:rPr>
        <w:t xml:space="preserve">growing in </w:t>
      </w:r>
      <w:r w:rsidR="001C66B3" w:rsidRPr="00236568">
        <w:rPr>
          <w:sz w:val="24"/>
          <w:szCs w:val="24"/>
          <w:lang w:val="en-GB"/>
        </w:rPr>
        <w:t xml:space="preserve">line </w:t>
      </w:r>
      <w:r w:rsidRPr="00236568">
        <w:rPr>
          <w:sz w:val="24"/>
          <w:szCs w:val="24"/>
          <w:lang w:val="en-GB"/>
        </w:rPr>
        <w:t xml:space="preserve">with </w:t>
      </w:r>
      <w:r w:rsidR="001C66B3" w:rsidRPr="00236568">
        <w:rPr>
          <w:sz w:val="24"/>
          <w:szCs w:val="24"/>
          <w:lang w:val="en-GB"/>
        </w:rPr>
        <w:t xml:space="preserve">growth of </w:t>
      </w:r>
      <w:r w:rsidRPr="00236568">
        <w:rPr>
          <w:sz w:val="24"/>
          <w:szCs w:val="24"/>
          <w:lang w:val="en-GB"/>
        </w:rPr>
        <w:t xml:space="preserve">international trade and financial flows across borders. However, the Committee recognizes that there are several indications that correspondent banking relationships </w:t>
      </w:r>
      <w:r w:rsidR="001C66B3" w:rsidRPr="00236568">
        <w:rPr>
          <w:sz w:val="24"/>
          <w:szCs w:val="24"/>
          <w:lang w:val="en-GB"/>
        </w:rPr>
        <w:t xml:space="preserve">are </w:t>
      </w:r>
      <w:r w:rsidRPr="00236568">
        <w:rPr>
          <w:sz w:val="24"/>
          <w:szCs w:val="24"/>
          <w:lang w:val="en-GB"/>
        </w:rPr>
        <w:t xml:space="preserve">decreasing, especially with </w:t>
      </w:r>
      <w:r w:rsidR="00F82AFE">
        <w:rPr>
          <w:sz w:val="24"/>
          <w:szCs w:val="24"/>
          <w:lang w:val="en-GB"/>
        </w:rPr>
        <w:t>the</w:t>
      </w:r>
      <w:r w:rsidR="00F82AFE" w:rsidRPr="00236568">
        <w:rPr>
          <w:sz w:val="24"/>
          <w:szCs w:val="24"/>
          <w:lang w:val="en-GB"/>
        </w:rPr>
        <w:t xml:space="preserve"> </w:t>
      </w:r>
      <w:r w:rsidRPr="00236568">
        <w:rPr>
          <w:sz w:val="24"/>
          <w:szCs w:val="24"/>
          <w:lang w:val="en-GB"/>
        </w:rPr>
        <w:t xml:space="preserve">banks, </w:t>
      </w:r>
      <w:r w:rsidR="001C66B3" w:rsidRPr="00236568">
        <w:rPr>
          <w:sz w:val="24"/>
          <w:szCs w:val="24"/>
          <w:lang w:val="en-GB"/>
        </w:rPr>
        <w:t xml:space="preserve">activity volumes </w:t>
      </w:r>
      <w:r w:rsidR="00F82AFE">
        <w:rPr>
          <w:sz w:val="24"/>
          <w:szCs w:val="24"/>
          <w:lang w:val="en-GB"/>
        </w:rPr>
        <w:t xml:space="preserve">of which </w:t>
      </w:r>
      <w:r w:rsidR="001C66B3" w:rsidRPr="00236568">
        <w:rPr>
          <w:sz w:val="24"/>
          <w:szCs w:val="24"/>
          <w:lang w:val="en-GB"/>
        </w:rPr>
        <w:t>do not cover compliance costs or by banks</w:t>
      </w:r>
      <w:r w:rsidR="001C66B3" w:rsidRPr="00236568" w:rsidDel="001C66B3">
        <w:rPr>
          <w:sz w:val="24"/>
          <w:szCs w:val="24"/>
          <w:lang w:val="en-GB"/>
        </w:rPr>
        <w:t xml:space="preserve"> </w:t>
      </w:r>
      <w:r w:rsidRPr="00236568">
        <w:rPr>
          <w:sz w:val="24"/>
          <w:szCs w:val="24"/>
          <w:lang w:val="en-GB"/>
        </w:rPr>
        <w:t>located in jurisdictions</w:t>
      </w:r>
      <w:r w:rsidR="00F82AFE">
        <w:rPr>
          <w:sz w:val="24"/>
          <w:szCs w:val="24"/>
          <w:lang w:val="en-GB"/>
        </w:rPr>
        <w:t>,</w:t>
      </w:r>
      <w:r w:rsidRPr="00236568">
        <w:rPr>
          <w:sz w:val="24"/>
          <w:szCs w:val="24"/>
          <w:lang w:val="en-GB"/>
        </w:rPr>
        <w:t xml:space="preserve"> which </w:t>
      </w:r>
      <w:proofErr w:type="gramStart"/>
      <w:r w:rsidRPr="00236568">
        <w:rPr>
          <w:sz w:val="24"/>
          <w:szCs w:val="24"/>
          <w:lang w:val="en-GB"/>
        </w:rPr>
        <w:t>are recognized</w:t>
      </w:r>
      <w:proofErr w:type="gramEnd"/>
      <w:r w:rsidRPr="00236568">
        <w:rPr>
          <w:sz w:val="24"/>
          <w:szCs w:val="24"/>
          <w:lang w:val="en-GB"/>
        </w:rPr>
        <w:t xml:space="preserve"> as risky or provide payment services to clients </w:t>
      </w:r>
      <w:r w:rsidR="00F82AFE">
        <w:rPr>
          <w:sz w:val="24"/>
          <w:szCs w:val="24"/>
          <w:lang w:val="en-GB"/>
        </w:rPr>
        <w:t xml:space="preserve">without </w:t>
      </w:r>
      <w:r w:rsidRPr="00236568">
        <w:rPr>
          <w:sz w:val="24"/>
          <w:szCs w:val="24"/>
          <w:lang w:val="en-GB"/>
        </w:rPr>
        <w:t>adequate risk assessment</w:t>
      </w:r>
      <w:r w:rsidRPr="00236568">
        <w:rPr>
          <w:rStyle w:val="FootnoteReference"/>
          <w:sz w:val="24"/>
          <w:szCs w:val="24"/>
          <w:lang w:val="en-GB"/>
        </w:rPr>
        <w:footnoteReference w:id="7"/>
      </w:r>
      <w:r w:rsidRPr="00236568">
        <w:rPr>
          <w:sz w:val="24"/>
          <w:szCs w:val="24"/>
          <w:lang w:val="en-GB"/>
        </w:rPr>
        <w:t>.</w:t>
      </w:r>
      <w:r w:rsidR="001C66B3" w:rsidRPr="00236568">
        <w:rPr>
          <w:sz w:val="24"/>
          <w:szCs w:val="24"/>
          <w:lang w:val="en-GB"/>
        </w:rPr>
        <w:t xml:space="preserve"> </w:t>
      </w:r>
      <w:r w:rsidR="005C69EF" w:rsidRPr="00236568">
        <w:rPr>
          <w:sz w:val="24"/>
          <w:szCs w:val="24"/>
          <w:lang w:val="en-GB"/>
        </w:rPr>
        <w:t xml:space="preserve"> Latvia supports the international community's efforts to balance </w:t>
      </w:r>
      <w:r w:rsidR="00961BE3" w:rsidRPr="00236568">
        <w:rPr>
          <w:sz w:val="24"/>
          <w:szCs w:val="24"/>
          <w:lang w:val="en-GB"/>
        </w:rPr>
        <w:t>ML/TF</w:t>
      </w:r>
      <w:r w:rsidR="005C69EF" w:rsidRPr="00236568">
        <w:rPr>
          <w:sz w:val="24"/>
          <w:szCs w:val="24"/>
          <w:lang w:val="en-GB"/>
        </w:rPr>
        <w:t xml:space="preserve"> prevention requirements with the initiatives for financial inclusion (De-Risking vs. Financial inclusion).</w:t>
      </w:r>
    </w:p>
    <w:p w14:paraId="4079CC55" w14:textId="77777777" w:rsidR="00B60D4C" w:rsidRPr="00236568" w:rsidRDefault="00B60D4C">
      <w:pPr>
        <w:pStyle w:val="FootnoteText"/>
        <w:rPr>
          <w:sz w:val="24"/>
          <w:szCs w:val="24"/>
          <w:lang w:val="en-GB"/>
        </w:rPr>
      </w:pPr>
    </w:p>
    <w:p w14:paraId="1BA09CEB" w14:textId="7BA1DCBE" w:rsidR="00B60D4C" w:rsidRPr="00236568" w:rsidRDefault="005C69EF">
      <w:pPr>
        <w:pStyle w:val="FootnoteText"/>
        <w:rPr>
          <w:sz w:val="24"/>
          <w:szCs w:val="24"/>
          <w:lang w:val="en-GB"/>
        </w:rPr>
      </w:pPr>
      <w:r w:rsidRPr="00236568">
        <w:rPr>
          <w:sz w:val="24"/>
          <w:szCs w:val="24"/>
          <w:lang w:val="en-GB"/>
        </w:rPr>
        <w:t xml:space="preserve">Foreign </w:t>
      </w:r>
      <w:r w:rsidR="00271A4E" w:rsidRPr="00236568">
        <w:rPr>
          <w:sz w:val="24"/>
          <w:szCs w:val="24"/>
          <w:lang w:val="en-GB"/>
        </w:rPr>
        <w:t>client</w:t>
      </w:r>
      <w:r w:rsidRPr="00236568">
        <w:rPr>
          <w:sz w:val="24"/>
          <w:szCs w:val="24"/>
          <w:lang w:val="en-GB"/>
        </w:rPr>
        <w:t xml:space="preserve"> servic</w:t>
      </w:r>
      <w:r w:rsidR="00E568E5" w:rsidRPr="00236568">
        <w:rPr>
          <w:sz w:val="24"/>
          <w:szCs w:val="24"/>
          <w:lang w:val="en-GB"/>
        </w:rPr>
        <w:t>e</w:t>
      </w:r>
      <w:r w:rsidR="00B60D4C" w:rsidRPr="00236568">
        <w:rPr>
          <w:sz w:val="24"/>
          <w:szCs w:val="24"/>
          <w:lang w:val="en-GB"/>
        </w:rPr>
        <w:t xml:space="preserve"> banks' business model having a high</w:t>
      </w:r>
      <w:r w:rsidR="00E568E5" w:rsidRPr="00236568">
        <w:rPr>
          <w:sz w:val="24"/>
          <w:szCs w:val="24"/>
          <w:lang w:val="en-GB"/>
        </w:rPr>
        <w:t>er</w:t>
      </w:r>
      <w:r w:rsidR="00B60D4C" w:rsidRPr="00236568">
        <w:rPr>
          <w:sz w:val="24"/>
          <w:szCs w:val="24"/>
          <w:lang w:val="en-GB"/>
        </w:rPr>
        <w:t xml:space="preserve"> yield </w:t>
      </w:r>
      <w:proofErr w:type="gramStart"/>
      <w:r w:rsidR="00B60D4C" w:rsidRPr="00236568">
        <w:rPr>
          <w:sz w:val="24"/>
          <w:szCs w:val="24"/>
          <w:lang w:val="en-GB"/>
        </w:rPr>
        <w:t xml:space="preserve">and </w:t>
      </w:r>
      <w:r w:rsidR="00E568E5" w:rsidRPr="00236568">
        <w:rPr>
          <w:sz w:val="24"/>
          <w:szCs w:val="24"/>
          <w:lang w:val="en-GB"/>
        </w:rPr>
        <w:t>also</w:t>
      </w:r>
      <w:proofErr w:type="gramEnd"/>
      <w:r w:rsidR="00E568E5" w:rsidRPr="00236568">
        <w:rPr>
          <w:sz w:val="24"/>
          <w:szCs w:val="24"/>
          <w:lang w:val="en-GB"/>
        </w:rPr>
        <w:t xml:space="preserve"> </w:t>
      </w:r>
      <w:r w:rsidR="00B60D4C" w:rsidRPr="00236568">
        <w:rPr>
          <w:sz w:val="24"/>
          <w:szCs w:val="24"/>
          <w:lang w:val="en-GB"/>
        </w:rPr>
        <w:t>probability of large potential losses</w:t>
      </w:r>
      <w:r w:rsidR="00E568E5" w:rsidRPr="00236568">
        <w:rPr>
          <w:sz w:val="24"/>
          <w:szCs w:val="24"/>
          <w:lang w:val="en-GB"/>
        </w:rPr>
        <w:t>, has high risks in ML/TF area</w:t>
      </w:r>
      <w:r w:rsidR="00B60D4C" w:rsidRPr="00236568">
        <w:rPr>
          <w:sz w:val="24"/>
          <w:szCs w:val="24"/>
          <w:lang w:val="en-GB"/>
        </w:rPr>
        <w:t xml:space="preserve">. </w:t>
      </w:r>
      <w:r w:rsidR="00593D55">
        <w:rPr>
          <w:sz w:val="24"/>
          <w:szCs w:val="24"/>
          <w:lang w:val="en-GB"/>
        </w:rPr>
        <w:t xml:space="preserve">The </w:t>
      </w:r>
      <w:r w:rsidR="00961BE3" w:rsidRPr="00236568">
        <w:rPr>
          <w:sz w:val="24"/>
          <w:szCs w:val="24"/>
          <w:lang w:val="en-GB"/>
        </w:rPr>
        <w:t>ML/TF</w:t>
      </w:r>
      <w:r w:rsidR="00B60D4C" w:rsidRPr="00236568">
        <w:rPr>
          <w:sz w:val="24"/>
          <w:szCs w:val="24"/>
          <w:lang w:val="en-GB"/>
        </w:rPr>
        <w:t xml:space="preserve"> prevention standard introduction of higher quality can also mean a drop in the volume of transactions, which </w:t>
      </w:r>
      <w:proofErr w:type="gramStart"/>
      <w:r w:rsidR="00B60D4C" w:rsidRPr="00236568">
        <w:rPr>
          <w:sz w:val="24"/>
          <w:szCs w:val="24"/>
          <w:lang w:val="en-GB"/>
        </w:rPr>
        <w:t>may be reflected</w:t>
      </w:r>
      <w:proofErr w:type="gramEnd"/>
      <w:r w:rsidR="00B60D4C" w:rsidRPr="00236568">
        <w:rPr>
          <w:sz w:val="24"/>
          <w:szCs w:val="24"/>
          <w:lang w:val="en-GB"/>
        </w:rPr>
        <w:t xml:space="preserve"> in banks' profit figures. Therefore</w:t>
      </w:r>
      <w:r w:rsidR="00593D55">
        <w:rPr>
          <w:sz w:val="24"/>
          <w:szCs w:val="24"/>
          <w:lang w:val="en-GB"/>
        </w:rPr>
        <w:t>, the</w:t>
      </w:r>
      <w:r w:rsidR="00B60D4C" w:rsidRPr="00236568">
        <w:rPr>
          <w:sz w:val="24"/>
          <w:szCs w:val="24"/>
          <w:lang w:val="en-GB"/>
        </w:rPr>
        <w:t xml:space="preserve"> FCMC already </w:t>
      </w:r>
      <w:r w:rsidR="00593D55" w:rsidRPr="00236568">
        <w:rPr>
          <w:sz w:val="24"/>
          <w:szCs w:val="24"/>
          <w:lang w:val="en-GB"/>
        </w:rPr>
        <w:t>pay</w:t>
      </w:r>
      <w:r w:rsidR="00593D55">
        <w:rPr>
          <w:sz w:val="24"/>
          <w:szCs w:val="24"/>
          <w:lang w:val="en-GB"/>
        </w:rPr>
        <w:t>s</w:t>
      </w:r>
      <w:r w:rsidR="00593D55" w:rsidRPr="00236568">
        <w:rPr>
          <w:sz w:val="24"/>
          <w:szCs w:val="24"/>
          <w:lang w:val="en-GB"/>
        </w:rPr>
        <w:t xml:space="preserve"> </w:t>
      </w:r>
      <w:r w:rsidR="00B60D4C" w:rsidRPr="00236568">
        <w:rPr>
          <w:sz w:val="24"/>
          <w:szCs w:val="24"/>
          <w:lang w:val="en-GB"/>
        </w:rPr>
        <w:t>increased attention to the banks' business models and strategies.</w:t>
      </w:r>
      <w:r w:rsidR="00E568E5" w:rsidRPr="00236568">
        <w:rPr>
          <w:lang w:val="en-GB"/>
        </w:rPr>
        <w:t xml:space="preserve"> </w:t>
      </w:r>
      <w:r w:rsidR="00E568E5" w:rsidRPr="00236568">
        <w:rPr>
          <w:sz w:val="24"/>
          <w:szCs w:val="24"/>
          <w:lang w:val="en-GB"/>
        </w:rPr>
        <w:t xml:space="preserve">At the same time, the FCMC actively </w:t>
      </w:r>
      <w:r w:rsidR="001F4B9B" w:rsidRPr="00236568">
        <w:rPr>
          <w:sz w:val="24"/>
          <w:szCs w:val="24"/>
          <w:lang w:val="en-GB"/>
        </w:rPr>
        <w:t>work</w:t>
      </w:r>
      <w:r w:rsidR="001F4B9B">
        <w:rPr>
          <w:sz w:val="24"/>
          <w:szCs w:val="24"/>
          <w:lang w:val="en-GB"/>
        </w:rPr>
        <w:t>s</w:t>
      </w:r>
      <w:r w:rsidR="001F4B9B" w:rsidRPr="00236568">
        <w:rPr>
          <w:sz w:val="24"/>
          <w:szCs w:val="24"/>
          <w:lang w:val="en-GB"/>
        </w:rPr>
        <w:t xml:space="preserve"> </w:t>
      </w:r>
      <w:r w:rsidR="003424E3">
        <w:rPr>
          <w:sz w:val="24"/>
          <w:szCs w:val="24"/>
          <w:lang w:val="en-GB"/>
        </w:rPr>
        <w:t xml:space="preserve">with </w:t>
      </w:r>
      <w:r w:rsidR="00E568E5" w:rsidRPr="00236568">
        <w:rPr>
          <w:sz w:val="24"/>
          <w:szCs w:val="24"/>
          <w:lang w:val="en-GB"/>
        </w:rPr>
        <w:t xml:space="preserve">the regulatory framework </w:t>
      </w:r>
      <w:r w:rsidR="003424E3">
        <w:rPr>
          <w:sz w:val="24"/>
          <w:szCs w:val="24"/>
          <w:lang w:val="en-GB"/>
        </w:rPr>
        <w:t xml:space="preserve">and </w:t>
      </w:r>
      <w:r w:rsidR="003424E3" w:rsidRPr="00236568">
        <w:rPr>
          <w:sz w:val="24"/>
          <w:szCs w:val="24"/>
          <w:lang w:val="en-GB"/>
        </w:rPr>
        <w:t>strengthen</w:t>
      </w:r>
      <w:r w:rsidR="003424E3">
        <w:rPr>
          <w:sz w:val="24"/>
          <w:szCs w:val="24"/>
          <w:lang w:val="en-GB"/>
        </w:rPr>
        <w:t>s</w:t>
      </w:r>
      <w:r w:rsidR="003424E3" w:rsidRPr="00236568">
        <w:rPr>
          <w:sz w:val="24"/>
          <w:szCs w:val="24"/>
          <w:lang w:val="en-GB"/>
        </w:rPr>
        <w:t xml:space="preserve"> </w:t>
      </w:r>
      <w:r w:rsidR="00E568E5" w:rsidRPr="00236568">
        <w:rPr>
          <w:sz w:val="24"/>
          <w:szCs w:val="24"/>
          <w:lang w:val="en-GB"/>
        </w:rPr>
        <w:t xml:space="preserve">supervisory </w:t>
      </w:r>
      <w:r w:rsidR="003424E3" w:rsidRPr="00236568">
        <w:rPr>
          <w:sz w:val="24"/>
          <w:szCs w:val="24"/>
          <w:lang w:val="en-GB"/>
        </w:rPr>
        <w:t xml:space="preserve">capacity </w:t>
      </w:r>
      <w:r w:rsidR="003424E3">
        <w:rPr>
          <w:sz w:val="24"/>
          <w:szCs w:val="24"/>
          <w:lang w:val="en-GB"/>
        </w:rPr>
        <w:t xml:space="preserve">on the </w:t>
      </w:r>
      <w:r w:rsidR="00E568E5" w:rsidRPr="00236568">
        <w:rPr>
          <w:sz w:val="24"/>
          <w:szCs w:val="24"/>
          <w:lang w:val="en-GB"/>
        </w:rPr>
        <w:t>AML/</w:t>
      </w:r>
      <w:r w:rsidR="0033612A">
        <w:rPr>
          <w:sz w:val="24"/>
          <w:szCs w:val="24"/>
          <w:lang w:val="en-GB"/>
        </w:rPr>
        <w:t>C</w:t>
      </w:r>
      <w:r w:rsidR="00E568E5" w:rsidRPr="00236568">
        <w:rPr>
          <w:sz w:val="24"/>
          <w:szCs w:val="24"/>
          <w:lang w:val="en-GB"/>
        </w:rPr>
        <w:t xml:space="preserve">TF </w:t>
      </w:r>
      <w:r w:rsidR="0033612A">
        <w:rPr>
          <w:sz w:val="24"/>
          <w:szCs w:val="24"/>
          <w:lang w:val="en-GB"/>
        </w:rPr>
        <w:t>compliance</w:t>
      </w:r>
      <w:r w:rsidR="00E568E5" w:rsidRPr="00236568">
        <w:rPr>
          <w:sz w:val="24"/>
          <w:szCs w:val="24"/>
          <w:lang w:val="en-GB"/>
        </w:rPr>
        <w:t xml:space="preserve">. This has enabled the intensification of in-house and targeted </w:t>
      </w:r>
      <w:r w:rsidR="005E17B1">
        <w:rPr>
          <w:sz w:val="24"/>
          <w:szCs w:val="24"/>
          <w:lang w:val="en-GB"/>
        </w:rPr>
        <w:t>inspections</w:t>
      </w:r>
      <w:r w:rsidR="005E17B1" w:rsidRPr="00236568">
        <w:rPr>
          <w:sz w:val="24"/>
          <w:szCs w:val="24"/>
          <w:lang w:val="en-GB"/>
        </w:rPr>
        <w:t xml:space="preserve"> </w:t>
      </w:r>
      <w:r w:rsidR="00E568E5" w:rsidRPr="00236568">
        <w:rPr>
          <w:sz w:val="24"/>
          <w:szCs w:val="24"/>
          <w:lang w:val="en-GB"/>
        </w:rPr>
        <w:t xml:space="preserve">of banking and non-banking sector, and initiated improvements </w:t>
      </w:r>
      <w:proofErr w:type="gramStart"/>
      <w:r w:rsidR="005E17B1">
        <w:rPr>
          <w:sz w:val="24"/>
          <w:szCs w:val="24"/>
          <w:lang w:val="en-GB"/>
        </w:rPr>
        <w:t xml:space="preserve">must </w:t>
      </w:r>
      <w:r w:rsidR="00E568E5" w:rsidRPr="00236568">
        <w:rPr>
          <w:sz w:val="24"/>
          <w:szCs w:val="24"/>
          <w:lang w:val="en-GB"/>
        </w:rPr>
        <w:t>be continued</w:t>
      </w:r>
      <w:proofErr w:type="gramEnd"/>
      <w:r w:rsidR="00E568E5" w:rsidRPr="00236568">
        <w:rPr>
          <w:sz w:val="24"/>
          <w:szCs w:val="24"/>
          <w:lang w:val="en-GB"/>
        </w:rPr>
        <w:t>.</w:t>
      </w:r>
    </w:p>
    <w:p w14:paraId="7BB09425" w14:textId="77777777" w:rsidR="00B60D4C" w:rsidRPr="00236568" w:rsidRDefault="00B60D4C">
      <w:pPr>
        <w:pStyle w:val="FootnoteText"/>
        <w:rPr>
          <w:sz w:val="24"/>
          <w:szCs w:val="24"/>
          <w:lang w:val="en-GB"/>
        </w:rPr>
      </w:pPr>
    </w:p>
    <w:p w14:paraId="40305929" w14:textId="70D87072" w:rsidR="00B60D4C" w:rsidRPr="00236568" w:rsidRDefault="001A6F69">
      <w:pPr>
        <w:pStyle w:val="FootnoteText"/>
        <w:rPr>
          <w:sz w:val="24"/>
          <w:szCs w:val="24"/>
          <w:lang w:val="en-GB"/>
        </w:rPr>
      </w:pPr>
      <w:r>
        <w:rPr>
          <w:sz w:val="24"/>
          <w:szCs w:val="24"/>
          <w:lang w:val="en-GB"/>
        </w:rPr>
        <w:t xml:space="preserve">Although the </w:t>
      </w:r>
      <w:r w:rsidR="00B60D4C" w:rsidRPr="00236568">
        <w:rPr>
          <w:sz w:val="24"/>
          <w:szCs w:val="24"/>
          <w:lang w:val="en-GB"/>
        </w:rPr>
        <w:t xml:space="preserve">Latvian banking infrastructure is </w:t>
      </w:r>
      <w:r w:rsidR="00F262C8" w:rsidRPr="00236568">
        <w:rPr>
          <w:sz w:val="24"/>
          <w:szCs w:val="24"/>
          <w:lang w:val="en-GB"/>
        </w:rPr>
        <w:t xml:space="preserve">efficiently </w:t>
      </w:r>
      <w:r w:rsidR="00B60D4C" w:rsidRPr="00236568">
        <w:rPr>
          <w:sz w:val="24"/>
          <w:szCs w:val="24"/>
          <w:lang w:val="en-GB"/>
        </w:rPr>
        <w:t xml:space="preserve">developed, the lending activity is insufficient to contribute to </w:t>
      </w:r>
      <w:r w:rsidR="00F262C8" w:rsidRPr="00236568">
        <w:rPr>
          <w:sz w:val="24"/>
          <w:szCs w:val="24"/>
          <w:lang w:val="en-GB"/>
        </w:rPr>
        <w:t xml:space="preserve">the </w:t>
      </w:r>
      <w:r w:rsidR="00B60D4C" w:rsidRPr="00236568">
        <w:rPr>
          <w:sz w:val="24"/>
          <w:szCs w:val="24"/>
          <w:lang w:val="en-GB"/>
        </w:rPr>
        <w:t>objective of the Government Action Plan, which seeks to achieve lending growth in a comparable rate to</w:t>
      </w:r>
      <w:r w:rsidR="00F26D07">
        <w:rPr>
          <w:sz w:val="24"/>
          <w:szCs w:val="24"/>
          <w:lang w:val="en-GB"/>
        </w:rPr>
        <w:t xml:space="preserve"> the</w:t>
      </w:r>
      <w:r w:rsidR="00B60D4C" w:rsidRPr="00236568">
        <w:rPr>
          <w:sz w:val="24"/>
          <w:szCs w:val="24"/>
          <w:lang w:val="en-GB"/>
        </w:rPr>
        <w:t xml:space="preserve"> GDP growth of 10%</w:t>
      </w:r>
      <w:r w:rsidR="00B60D4C" w:rsidRPr="00236568">
        <w:rPr>
          <w:rStyle w:val="FootnoteReference"/>
          <w:sz w:val="24"/>
          <w:szCs w:val="24"/>
          <w:lang w:val="en-GB"/>
        </w:rPr>
        <w:footnoteReference w:id="8"/>
      </w:r>
      <w:r w:rsidR="00B60D4C" w:rsidRPr="00236568">
        <w:rPr>
          <w:sz w:val="24"/>
          <w:szCs w:val="24"/>
          <w:lang w:val="en-GB"/>
        </w:rPr>
        <w:t xml:space="preserve"> over three years. In comparison with other euro area countries</w:t>
      </w:r>
      <w:r w:rsidR="00623757">
        <w:rPr>
          <w:sz w:val="24"/>
          <w:szCs w:val="24"/>
          <w:lang w:val="en-GB"/>
        </w:rPr>
        <w:t>,</w:t>
      </w:r>
      <w:r w:rsidR="00B60D4C" w:rsidRPr="00236568">
        <w:rPr>
          <w:sz w:val="24"/>
          <w:szCs w:val="24"/>
          <w:lang w:val="en-GB"/>
        </w:rPr>
        <w:t xml:space="preserve"> in Latvia lending remain</w:t>
      </w:r>
      <w:r w:rsidR="00623757">
        <w:rPr>
          <w:sz w:val="24"/>
          <w:szCs w:val="24"/>
          <w:lang w:val="en-GB"/>
        </w:rPr>
        <w:t>ed</w:t>
      </w:r>
      <w:r w:rsidR="00B60D4C" w:rsidRPr="00236568">
        <w:rPr>
          <w:sz w:val="24"/>
          <w:szCs w:val="24"/>
          <w:lang w:val="en-GB"/>
        </w:rPr>
        <w:t xml:space="preserve"> weak </w:t>
      </w:r>
      <w:r w:rsidR="00F262C8" w:rsidRPr="00236568">
        <w:rPr>
          <w:sz w:val="24"/>
          <w:szCs w:val="24"/>
          <w:lang w:val="en-GB"/>
        </w:rPr>
        <w:t xml:space="preserve">for a </w:t>
      </w:r>
      <w:r w:rsidR="00B60D4C" w:rsidRPr="00236568">
        <w:rPr>
          <w:sz w:val="24"/>
          <w:szCs w:val="24"/>
          <w:lang w:val="en-GB"/>
        </w:rPr>
        <w:t>long period.</w:t>
      </w:r>
      <w:r w:rsidR="00F262C8" w:rsidRPr="00236568">
        <w:rPr>
          <w:sz w:val="24"/>
          <w:szCs w:val="24"/>
          <w:lang w:val="en-GB"/>
        </w:rPr>
        <w:t xml:space="preserve"> In</w:t>
      </w:r>
      <w:r w:rsidR="00B60D4C" w:rsidRPr="00236568">
        <w:rPr>
          <w:sz w:val="24"/>
          <w:szCs w:val="24"/>
          <w:lang w:val="en-GB"/>
        </w:rPr>
        <w:t xml:space="preserve"> </w:t>
      </w:r>
      <w:proofErr w:type="gramStart"/>
      <w:r w:rsidR="00B60D4C" w:rsidRPr="00236568">
        <w:rPr>
          <w:sz w:val="24"/>
          <w:szCs w:val="24"/>
          <w:lang w:val="en-GB"/>
        </w:rPr>
        <w:t>Latvia</w:t>
      </w:r>
      <w:proofErr w:type="gramEnd"/>
      <w:r w:rsidR="00B60D4C" w:rsidRPr="00236568">
        <w:rPr>
          <w:sz w:val="24"/>
          <w:szCs w:val="24"/>
          <w:lang w:val="en-GB"/>
        </w:rPr>
        <w:t xml:space="preserve"> </w:t>
      </w:r>
      <w:r w:rsidR="00F262C8" w:rsidRPr="00236568">
        <w:rPr>
          <w:sz w:val="24"/>
          <w:szCs w:val="24"/>
          <w:lang w:val="en-GB"/>
        </w:rPr>
        <w:t xml:space="preserve">there is </w:t>
      </w:r>
      <w:r w:rsidR="00B60D4C" w:rsidRPr="00236568">
        <w:rPr>
          <w:sz w:val="24"/>
          <w:szCs w:val="24"/>
          <w:lang w:val="en-GB"/>
        </w:rPr>
        <w:t xml:space="preserve">the second largest loan portfolio (domestic households and non-financial corporations’ loans) </w:t>
      </w:r>
      <w:r w:rsidR="00F262C8" w:rsidRPr="00236568">
        <w:rPr>
          <w:sz w:val="24"/>
          <w:szCs w:val="24"/>
          <w:lang w:val="en-GB"/>
        </w:rPr>
        <w:t xml:space="preserve">rate of </w:t>
      </w:r>
      <w:r w:rsidR="00B60D4C" w:rsidRPr="00236568">
        <w:rPr>
          <w:sz w:val="24"/>
          <w:szCs w:val="24"/>
          <w:lang w:val="en-GB"/>
        </w:rPr>
        <w:t xml:space="preserve">contraction in the </w:t>
      </w:r>
      <w:r w:rsidR="00FB510A">
        <w:rPr>
          <w:sz w:val="24"/>
          <w:szCs w:val="24"/>
          <w:lang w:val="en-GB"/>
        </w:rPr>
        <w:t>e</w:t>
      </w:r>
      <w:r w:rsidR="00F262C8" w:rsidRPr="00236568">
        <w:rPr>
          <w:sz w:val="24"/>
          <w:szCs w:val="24"/>
          <w:lang w:val="en-GB"/>
        </w:rPr>
        <w:t xml:space="preserve">uro </w:t>
      </w:r>
      <w:r w:rsidR="00B60D4C" w:rsidRPr="00236568">
        <w:rPr>
          <w:sz w:val="24"/>
          <w:szCs w:val="24"/>
          <w:lang w:val="en-GB"/>
        </w:rPr>
        <w:t>area since the end of 2008.</w:t>
      </w:r>
    </w:p>
    <w:p w14:paraId="19D94E57" w14:textId="77777777" w:rsidR="00B60D4C" w:rsidRPr="00236568" w:rsidRDefault="00B60D4C">
      <w:pPr>
        <w:pStyle w:val="FootnoteText"/>
        <w:rPr>
          <w:sz w:val="24"/>
          <w:szCs w:val="24"/>
          <w:lang w:val="en-GB"/>
        </w:rPr>
      </w:pPr>
    </w:p>
    <w:p w14:paraId="409F2E48" w14:textId="02628456" w:rsidR="00B60D4C" w:rsidRPr="00236568" w:rsidRDefault="003D5CD6" w:rsidP="00DE5FE5">
      <w:pPr>
        <w:spacing w:line="240" w:lineRule="auto"/>
      </w:pPr>
      <w:r w:rsidRPr="00236568">
        <w:rPr>
          <w:noProof/>
          <w:lang w:val="lv-LV" w:eastAsia="lv-LV"/>
        </w:rPr>
        <w:lastRenderedPageBreak/>
        <w:drawing>
          <wp:inline distT="0" distB="0" distL="0" distR="0" wp14:anchorId="6FC86095" wp14:editId="710FB368">
            <wp:extent cx="5719445" cy="1785620"/>
            <wp:effectExtent l="0" t="0" r="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9445" cy="1785620"/>
                    </a:xfrm>
                    <a:prstGeom prst="rect">
                      <a:avLst/>
                    </a:prstGeom>
                    <a:noFill/>
                    <a:ln>
                      <a:noFill/>
                    </a:ln>
                  </pic:spPr>
                </pic:pic>
              </a:graphicData>
            </a:graphic>
          </wp:inline>
        </w:drawing>
      </w:r>
    </w:p>
    <w:p w14:paraId="35BF4F5B" w14:textId="30AE837F" w:rsidR="00B60D4C" w:rsidRPr="00236568" w:rsidRDefault="00B60D4C" w:rsidP="00595DDE">
      <w:pPr>
        <w:pStyle w:val="FootnoteText"/>
        <w:rPr>
          <w:i/>
          <w:lang w:val="en-GB"/>
        </w:rPr>
      </w:pPr>
      <w:r w:rsidRPr="00236568">
        <w:rPr>
          <w:i/>
          <w:lang w:val="en-GB"/>
        </w:rPr>
        <w:t xml:space="preserve">Fig.2.2. Loans to Latvian </w:t>
      </w:r>
      <w:r w:rsidR="009E3C5B" w:rsidRPr="00236568">
        <w:rPr>
          <w:i/>
          <w:lang w:val="en-GB"/>
        </w:rPr>
        <w:t>domestic client</w:t>
      </w:r>
      <w:r w:rsidRPr="00236568">
        <w:rPr>
          <w:i/>
          <w:lang w:val="en-GB"/>
        </w:rPr>
        <w:t>s, annual rate of change and its components by sector (Source: Bank of Latvia).</w:t>
      </w:r>
      <w:r w:rsidR="00294E45" w:rsidRPr="00236568">
        <w:rPr>
          <w:i/>
          <w:lang w:val="en-GB"/>
        </w:rPr>
        <w:t xml:space="preserve"> Top-down: government, financial institutions, households, non-financial corporations and total.</w:t>
      </w:r>
    </w:p>
    <w:p w14:paraId="07542FAD" w14:textId="77777777" w:rsidR="00B60D4C" w:rsidRPr="00236568" w:rsidRDefault="00B60D4C" w:rsidP="00BF7917">
      <w:pPr>
        <w:pStyle w:val="FootnoteText"/>
        <w:rPr>
          <w:i/>
          <w:lang w:val="en-GB"/>
        </w:rPr>
      </w:pPr>
    </w:p>
    <w:p w14:paraId="43B5BC9D" w14:textId="5ED0672A" w:rsidR="00B60D4C" w:rsidRPr="00236568" w:rsidRDefault="00B60D4C">
      <w:pPr>
        <w:pStyle w:val="FootnoteText"/>
        <w:rPr>
          <w:sz w:val="24"/>
          <w:szCs w:val="24"/>
          <w:lang w:val="en-GB"/>
        </w:rPr>
      </w:pPr>
      <w:r w:rsidRPr="00236568">
        <w:rPr>
          <w:sz w:val="24"/>
          <w:szCs w:val="24"/>
          <w:lang w:val="en-GB"/>
        </w:rPr>
        <w:t>According to the European Central Bank, the lending dynamics</w:t>
      </w:r>
      <w:r w:rsidR="00F262C8" w:rsidRPr="00236568">
        <w:rPr>
          <w:sz w:val="24"/>
          <w:szCs w:val="24"/>
          <w:lang w:val="en-GB"/>
        </w:rPr>
        <w:t xml:space="preserve"> for domestic households and non-</w:t>
      </w:r>
      <w:r w:rsidR="00B601E6" w:rsidRPr="00236568">
        <w:rPr>
          <w:sz w:val="24"/>
          <w:szCs w:val="24"/>
          <w:lang w:val="en-GB"/>
        </w:rPr>
        <w:t>financial</w:t>
      </w:r>
      <w:r w:rsidR="00F262C8" w:rsidRPr="00236568">
        <w:rPr>
          <w:sz w:val="24"/>
          <w:szCs w:val="24"/>
          <w:lang w:val="en-GB"/>
        </w:rPr>
        <w:t xml:space="preserve"> corporations</w:t>
      </w:r>
      <w:r w:rsidRPr="00236568">
        <w:rPr>
          <w:sz w:val="24"/>
          <w:szCs w:val="24"/>
          <w:lang w:val="en-GB"/>
        </w:rPr>
        <w:t xml:space="preserve"> in Latvia lags behind neighbouring countries. </w:t>
      </w:r>
      <w:r w:rsidR="00F262C8" w:rsidRPr="00236568">
        <w:rPr>
          <w:sz w:val="24"/>
          <w:szCs w:val="24"/>
          <w:lang w:val="en-GB"/>
        </w:rPr>
        <w:t xml:space="preserve">Also in the </w:t>
      </w:r>
      <w:r w:rsidRPr="00236568">
        <w:rPr>
          <w:sz w:val="24"/>
          <w:szCs w:val="24"/>
          <w:lang w:val="en-GB"/>
        </w:rPr>
        <w:t>euro</w:t>
      </w:r>
      <w:r w:rsidR="00FB510A">
        <w:rPr>
          <w:sz w:val="24"/>
          <w:szCs w:val="24"/>
          <w:lang w:val="en-GB"/>
        </w:rPr>
        <w:t xml:space="preserve"> </w:t>
      </w:r>
      <w:proofErr w:type="gramStart"/>
      <w:r w:rsidRPr="00236568">
        <w:rPr>
          <w:sz w:val="24"/>
          <w:szCs w:val="24"/>
          <w:lang w:val="en-GB"/>
        </w:rPr>
        <w:t>area</w:t>
      </w:r>
      <w:proofErr w:type="gramEnd"/>
      <w:r w:rsidRPr="00236568">
        <w:rPr>
          <w:sz w:val="24"/>
          <w:szCs w:val="24"/>
          <w:lang w:val="en-GB"/>
        </w:rPr>
        <w:t xml:space="preserve"> the annual rate of change in lending in the first half of 2016 was slightly higher than Latvia.</w:t>
      </w:r>
    </w:p>
    <w:p w14:paraId="7F559F4F" w14:textId="77777777" w:rsidR="00B601E6" w:rsidRPr="00236568" w:rsidRDefault="00B601E6">
      <w:pPr>
        <w:pStyle w:val="FootnoteText"/>
        <w:rPr>
          <w:sz w:val="24"/>
          <w:szCs w:val="24"/>
          <w:lang w:val="en-GB"/>
        </w:rPr>
      </w:pPr>
    </w:p>
    <w:p w14:paraId="12CD8AC5" w14:textId="77777777" w:rsidR="00B601E6" w:rsidRPr="00236568" w:rsidRDefault="00B601E6">
      <w:pPr>
        <w:pStyle w:val="FootnoteText"/>
        <w:rPr>
          <w:sz w:val="24"/>
          <w:szCs w:val="24"/>
          <w:lang w:val="en-GB"/>
        </w:rPr>
      </w:pPr>
    </w:p>
    <w:p w14:paraId="2E11B8CA" w14:textId="77777777" w:rsidR="00B60D4C" w:rsidRPr="00236568" w:rsidRDefault="00B60D4C">
      <w:pPr>
        <w:pStyle w:val="FootnoteText"/>
        <w:rPr>
          <w:sz w:val="24"/>
          <w:szCs w:val="24"/>
          <w:lang w:val="en-GB"/>
        </w:rPr>
      </w:pPr>
    </w:p>
    <w:p w14:paraId="78EAEA7B" w14:textId="776AFD10" w:rsidR="00B60D4C" w:rsidRPr="00236568" w:rsidRDefault="003D5CD6" w:rsidP="00DE5FE5">
      <w:pPr>
        <w:spacing w:line="240" w:lineRule="auto"/>
      </w:pPr>
      <w:r w:rsidRPr="00236568">
        <w:rPr>
          <w:noProof/>
          <w:lang w:val="lv-LV" w:eastAsia="lv-LV"/>
        </w:rPr>
        <w:drawing>
          <wp:inline distT="0" distB="0" distL="0" distR="0" wp14:anchorId="752E2950" wp14:editId="53A18B54">
            <wp:extent cx="5753735" cy="2165350"/>
            <wp:effectExtent l="0" t="0" r="0" b="635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2165350"/>
                    </a:xfrm>
                    <a:prstGeom prst="rect">
                      <a:avLst/>
                    </a:prstGeom>
                    <a:noFill/>
                    <a:ln>
                      <a:noFill/>
                    </a:ln>
                  </pic:spPr>
                </pic:pic>
              </a:graphicData>
            </a:graphic>
          </wp:inline>
        </w:drawing>
      </w:r>
    </w:p>
    <w:p w14:paraId="67326D5D" w14:textId="0F57D638" w:rsidR="00B60D4C" w:rsidRPr="00236568" w:rsidRDefault="00B60D4C" w:rsidP="00595DDE">
      <w:pPr>
        <w:pStyle w:val="FootnoteText"/>
        <w:rPr>
          <w:i/>
          <w:lang w:val="en-GB"/>
        </w:rPr>
      </w:pPr>
      <w:r w:rsidRPr="00236568">
        <w:rPr>
          <w:i/>
          <w:lang w:val="en-GB"/>
        </w:rPr>
        <w:t>Fig.2.3. Loans to domestic non-financial corporations and households, the annual rate of change (</w:t>
      </w:r>
      <w:proofErr w:type="gramStart"/>
      <w:r w:rsidRPr="00236568">
        <w:rPr>
          <w:i/>
          <w:lang w:val="en-GB"/>
        </w:rPr>
        <w:t>%</w:t>
      </w:r>
      <w:proofErr w:type="gramEnd"/>
      <w:r w:rsidRPr="00236568">
        <w:rPr>
          <w:i/>
          <w:lang w:val="en-GB"/>
        </w:rPr>
        <w:t>) (Data source - the European Central Bank)</w:t>
      </w:r>
      <w:r w:rsidR="00294E45" w:rsidRPr="00236568">
        <w:rPr>
          <w:i/>
          <w:lang w:val="en-GB"/>
        </w:rPr>
        <w:t>. Top-down: Estonia, Lithuania, Latvia and euro area</w:t>
      </w:r>
    </w:p>
    <w:p w14:paraId="149A6C38" w14:textId="77777777" w:rsidR="00B60D4C" w:rsidRPr="00236568" w:rsidRDefault="00B60D4C" w:rsidP="00DE5FE5">
      <w:pPr>
        <w:spacing w:line="240" w:lineRule="auto"/>
      </w:pPr>
    </w:p>
    <w:p w14:paraId="0336553F" w14:textId="54B56946" w:rsidR="00B60D4C" w:rsidRPr="00236568" w:rsidRDefault="00B60D4C" w:rsidP="00595DDE">
      <w:pPr>
        <w:pStyle w:val="FootnoteText"/>
        <w:rPr>
          <w:sz w:val="24"/>
          <w:szCs w:val="24"/>
          <w:lang w:val="en-GB"/>
        </w:rPr>
      </w:pPr>
      <w:r w:rsidRPr="00236568">
        <w:rPr>
          <w:sz w:val="24"/>
          <w:szCs w:val="24"/>
          <w:lang w:val="en-GB"/>
        </w:rPr>
        <w:t xml:space="preserve">In the </w:t>
      </w:r>
      <w:r w:rsidR="00802BB9" w:rsidRPr="00236568">
        <w:rPr>
          <w:sz w:val="24"/>
          <w:szCs w:val="24"/>
          <w:lang w:val="en-GB"/>
        </w:rPr>
        <w:t xml:space="preserve">first </w:t>
      </w:r>
      <w:r w:rsidRPr="00236568">
        <w:rPr>
          <w:sz w:val="24"/>
          <w:szCs w:val="24"/>
          <w:lang w:val="en-GB"/>
        </w:rPr>
        <w:t xml:space="preserve">half of </w:t>
      </w:r>
      <w:proofErr w:type="gramStart"/>
      <w:r w:rsidRPr="00236568">
        <w:rPr>
          <w:sz w:val="24"/>
          <w:szCs w:val="24"/>
          <w:lang w:val="en-GB"/>
        </w:rPr>
        <w:t>2016</w:t>
      </w:r>
      <w:proofErr w:type="gramEnd"/>
      <w:r w:rsidRPr="00236568">
        <w:rPr>
          <w:sz w:val="24"/>
          <w:szCs w:val="24"/>
          <w:lang w:val="en-GB"/>
        </w:rPr>
        <w:t xml:space="preserve"> there </w:t>
      </w:r>
      <w:r w:rsidR="00FB510A">
        <w:rPr>
          <w:sz w:val="24"/>
          <w:szCs w:val="24"/>
          <w:lang w:val="en-GB"/>
        </w:rPr>
        <w:t xml:space="preserve">was </w:t>
      </w:r>
      <w:r w:rsidRPr="00236568">
        <w:rPr>
          <w:sz w:val="24"/>
          <w:szCs w:val="24"/>
          <w:lang w:val="en-GB"/>
        </w:rPr>
        <w:t xml:space="preserve">a total loan portfolio growth. There are also forecasts, based on FCMC's questionnaire at the end of 2015 that strategic objectives of banking sector foresee small loan portfolio growth during 2016. At the end of 2015, in the total </w:t>
      </w:r>
      <w:r w:rsidR="009E3C5B" w:rsidRPr="00236568">
        <w:rPr>
          <w:sz w:val="24"/>
          <w:szCs w:val="24"/>
          <w:lang w:val="en-GB"/>
        </w:rPr>
        <w:t>domestic client</w:t>
      </w:r>
      <w:r w:rsidRPr="00236568">
        <w:rPr>
          <w:sz w:val="24"/>
          <w:szCs w:val="24"/>
          <w:lang w:val="en-GB"/>
        </w:rPr>
        <w:t xml:space="preserve"> loan portfolio there are 85.65% bank loans and 14.35% non-bank loans. Non-bank loans compared to the end of 2014 have increased by 9.8% and amounted to 2.08 billion euros, and continued to grow relatively rapidly in </w:t>
      </w:r>
      <w:r w:rsidR="00802BB9" w:rsidRPr="00236568">
        <w:rPr>
          <w:sz w:val="24"/>
          <w:szCs w:val="24"/>
          <w:lang w:val="en-GB"/>
        </w:rPr>
        <w:t xml:space="preserve">the first half of </w:t>
      </w:r>
      <w:r w:rsidRPr="00236568">
        <w:rPr>
          <w:sz w:val="24"/>
          <w:szCs w:val="24"/>
          <w:lang w:val="en-GB"/>
        </w:rPr>
        <w:t>2016. This suggests when bank lending remain</w:t>
      </w:r>
      <w:r w:rsidR="0089185C">
        <w:rPr>
          <w:sz w:val="24"/>
          <w:szCs w:val="24"/>
          <w:lang w:val="en-GB"/>
        </w:rPr>
        <w:t>s</w:t>
      </w:r>
      <w:r w:rsidRPr="00236568">
        <w:rPr>
          <w:sz w:val="24"/>
          <w:szCs w:val="24"/>
          <w:lang w:val="en-GB"/>
        </w:rPr>
        <w:t xml:space="preserve"> relatively weak the demand for alternative forms of financing in the Latvian financial market is growing.</w:t>
      </w:r>
    </w:p>
    <w:p w14:paraId="56710E81" w14:textId="77777777" w:rsidR="00B60D4C" w:rsidRPr="00236568" w:rsidRDefault="00B60D4C" w:rsidP="00BF7917">
      <w:pPr>
        <w:pStyle w:val="FootnoteText"/>
        <w:rPr>
          <w:sz w:val="24"/>
          <w:szCs w:val="24"/>
          <w:lang w:val="en-GB"/>
        </w:rPr>
      </w:pPr>
    </w:p>
    <w:p w14:paraId="4A4642AE" w14:textId="0406C460" w:rsidR="00B60D4C" w:rsidRPr="00236568" w:rsidRDefault="00B60D4C">
      <w:pPr>
        <w:pStyle w:val="FootnoteText"/>
        <w:rPr>
          <w:sz w:val="24"/>
          <w:szCs w:val="24"/>
          <w:lang w:val="en-GB"/>
        </w:rPr>
      </w:pPr>
      <w:r w:rsidRPr="00236568">
        <w:rPr>
          <w:sz w:val="24"/>
          <w:szCs w:val="24"/>
          <w:lang w:val="en-GB"/>
        </w:rPr>
        <w:t xml:space="preserve">In the first half of </w:t>
      </w:r>
      <w:proofErr w:type="gramStart"/>
      <w:r w:rsidRPr="00236568">
        <w:rPr>
          <w:sz w:val="24"/>
          <w:szCs w:val="24"/>
          <w:lang w:val="en-GB"/>
        </w:rPr>
        <w:t>2016</w:t>
      </w:r>
      <w:proofErr w:type="gramEnd"/>
      <w:r w:rsidRPr="00236568">
        <w:rPr>
          <w:sz w:val="24"/>
          <w:szCs w:val="24"/>
          <w:lang w:val="en-GB"/>
        </w:rPr>
        <w:t xml:space="preserve"> the total </w:t>
      </w:r>
      <w:r w:rsidR="0024319C" w:rsidRPr="00236568">
        <w:rPr>
          <w:sz w:val="24"/>
          <w:szCs w:val="24"/>
          <w:lang w:val="en-GB"/>
        </w:rPr>
        <w:t xml:space="preserve">loan portfolio </w:t>
      </w:r>
      <w:r w:rsidR="0024319C">
        <w:rPr>
          <w:sz w:val="24"/>
          <w:szCs w:val="24"/>
          <w:lang w:val="en-GB"/>
        </w:rPr>
        <w:t xml:space="preserve">of the </w:t>
      </w:r>
      <w:r w:rsidRPr="00236568">
        <w:rPr>
          <w:sz w:val="24"/>
          <w:szCs w:val="24"/>
          <w:lang w:val="en-GB"/>
        </w:rPr>
        <w:t xml:space="preserve">Latvian banking sector increased by 358 million euro or 2.4%. </w:t>
      </w:r>
      <w:r w:rsidR="00840100" w:rsidRPr="00236568">
        <w:rPr>
          <w:sz w:val="24"/>
          <w:szCs w:val="24"/>
          <w:lang w:val="en-GB"/>
        </w:rPr>
        <w:t xml:space="preserve">Domestic </w:t>
      </w:r>
      <w:r w:rsidRPr="00236568">
        <w:rPr>
          <w:sz w:val="24"/>
          <w:szCs w:val="24"/>
          <w:lang w:val="en-GB"/>
        </w:rPr>
        <w:t xml:space="preserve">corporate loan portfolio increased by 2.5%, while </w:t>
      </w:r>
      <w:r w:rsidR="00880CC0">
        <w:rPr>
          <w:sz w:val="24"/>
          <w:szCs w:val="24"/>
          <w:lang w:val="en-GB"/>
        </w:rPr>
        <w:t xml:space="preserve">the </w:t>
      </w:r>
      <w:r w:rsidR="00840100" w:rsidRPr="00236568">
        <w:rPr>
          <w:sz w:val="24"/>
          <w:szCs w:val="24"/>
          <w:lang w:val="en-GB"/>
        </w:rPr>
        <w:t>domestic</w:t>
      </w:r>
      <w:r w:rsidRPr="00236568">
        <w:rPr>
          <w:sz w:val="24"/>
          <w:szCs w:val="24"/>
          <w:lang w:val="en-GB"/>
        </w:rPr>
        <w:t xml:space="preserve"> household </w:t>
      </w:r>
      <w:r w:rsidR="00840100" w:rsidRPr="00236568">
        <w:rPr>
          <w:sz w:val="24"/>
          <w:szCs w:val="24"/>
          <w:lang w:val="en-GB"/>
        </w:rPr>
        <w:t xml:space="preserve">loan </w:t>
      </w:r>
      <w:r w:rsidRPr="00236568">
        <w:rPr>
          <w:sz w:val="24"/>
          <w:szCs w:val="24"/>
          <w:lang w:val="en-GB"/>
        </w:rPr>
        <w:t>portfolio decreased by 1%</w:t>
      </w:r>
      <w:r w:rsidR="00880CC0">
        <w:rPr>
          <w:sz w:val="24"/>
          <w:szCs w:val="24"/>
          <w:lang w:val="en-GB"/>
        </w:rPr>
        <w:t xml:space="preserve"> and the</w:t>
      </w:r>
      <w:r w:rsidRPr="00236568">
        <w:rPr>
          <w:sz w:val="24"/>
          <w:szCs w:val="24"/>
          <w:lang w:val="en-GB"/>
        </w:rPr>
        <w:t xml:space="preserve"> </w:t>
      </w:r>
      <w:r w:rsidR="00880CC0" w:rsidRPr="00236568">
        <w:rPr>
          <w:sz w:val="24"/>
          <w:szCs w:val="24"/>
          <w:lang w:val="en-GB"/>
        </w:rPr>
        <w:t xml:space="preserve">loan portfolio </w:t>
      </w:r>
      <w:r w:rsidR="00880CC0">
        <w:rPr>
          <w:sz w:val="24"/>
          <w:szCs w:val="24"/>
          <w:lang w:val="en-GB"/>
        </w:rPr>
        <w:t xml:space="preserve">of </w:t>
      </w:r>
      <w:r w:rsidR="00840100" w:rsidRPr="00236568">
        <w:rPr>
          <w:sz w:val="24"/>
          <w:szCs w:val="24"/>
          <w:lang w:val="en-GB"/>
        </w:rPr>
        <w:t xml:space="preserve">foreign </w:t>
      </w:r>
      <w:r w:rsidR="00271A4E" w:rsidRPr="00236568">
        <w:rPr>
          <w:sz w:val="24"/>
          <w:szCs w:val="24"/>
          <w:lang w:val="en-GB"/>
        </w:rPr>
        <w:t>client</w:t>
      </w:r>
      <w:r w:rsidR="00880CC0">
        <w:rPr>
          <w:sz w:val="24"/>
          <w:szCs w:val="24"/>
          <w:lang w:val="en-GB"/>
        </w:rPr>
        <w:t>s</w:t>
      </w:r>
      <w:r w:rsidRPr="00236568">
        <w:rPr>
          <w:sz w:val="24"/>
          <w:szCs w:val="24"/>
          <w:lang w:val="en-GB"/>
        </w:rPr>
        <w:t xml:space="preserve"> increased by 2.1%, </w:t>
      </w:r>
      <w:r w:rsidR="00880CC0">
        <w:rPr>
          <w:sz w:val="24"/>
          <w:szCs w:val="24"/>
          <w:lang w:val="en-GB"/>
        </w:rPr>
        <w:t xml:space="preserve">which </w:t>
      </w:r>
      <w:proofErr w:type="gramStart"/>
      <w:r w:rsidR="00880CC0">
        <w:rPr>
          <w:sz w:val="24"/>
          <w:szCs w:val="24"/>
          <w:lang w:val="en-GB"/>
        </w:rPr>
        <w:t xml:space="preserve">was </w:t>
      </w:r>
      <w:r w:rsidRPr="00236568">
        <w:rPr>
          <w:sz w:val="24"/>
          <w:szCs w:val="24"/>
          <w:lang w:val="en-GB"/>
        </w:rPr>
        <w:t>partly contributed</w:t>
      </w:r>
      <w:proofErr w:type="gramEnd"/>
      <w:r w:rsidRPr="00236568">
        <w:rPr>
          <w:sz w:val="24"/>
          <w:szCs w:val="24"/>
          <w:lang w:val="en-GB"/>
        </w:rPr>
        <w:t xml:space="preserve"> by slight strengthening of the US dollar</w:t>
      </w:r>
      <w:r w:rsidRPr="00236568">
        <w:rPr>
          <w:rStyle w:val="FootnoteReference"/>
          <w:sz w:val="24"/>
          <w:szCs w:val="24"/>
          <w:lang w:val="en-GB"/>
        </w:rPr>
        <w:footnoteReference w:id="9"/>
      </w:r>
      <w:r w:rsidRPr="00236568">
        <w:rPr>
          <w:sz w:val="24"/>
          <w:szCs w:val="24"/>
          <w:lang w:val="en-GB"/>
        </w:rPr>
        <w:t>.</w:t>
      </w:r>
    </w:p>
    <w:p w14:paraId="0478F990" w14:textId="77777777" w:rsidR="00B60D4C" w:rsidRPr="00236568" w:rsidRDefault="00B60D4C">
      <w:pPr>
        <w:pStyle w:val="FootnoteText"/>
        <w:rPr>
          <w:sz w:val="24"/>
          <w:szCs w:val="24"/>
          <w:lang w:val="en-GB"/>
        </w:rPr>
      </w:pPr>
    </w:p>
    <w:p w14:paraId="300AAF74" w14:textId="5ACADC5D" w:rsidR="00B60D4C" w:rsidRPr="00236568" w:rsidRDefault="00B60D4C">
      <w:pPr>
        <w:pStyle w:val="FootnoteText"/>
        <w:rPr>
          <w:sz w:val="24"/>
          <w:szCs w:val="24"/>
          <w:lang w:val="en-GB"/>
        </w:rPr>
      </w:pPr>
      <w:r w:rsidRPr="00236568">
        <w:rPr>
          <w:sz w:val="24"/>
          <w:szCs w:val="24"/>
          <w:lang w:val="en-GB"/>
        </w:rPr>
        <w:lastRenderedPageBreak/>
        <w:t xml:space="preserve">The banking sector regulation is amongst the most topical issues of the </w:t>
      </w:r>
      <w:r w:rsidR="00840100" w:rsidRPr="00236568">
        <w:rPr>
          <w:sz w:val="24"/>
          <w:szCs w:val="24"/>
          <w:lang w:val="en-GB"/>
        </w:rPr>
        <w:t>EU</w:t>
      </w:r>
      <w:r w:rsidRPr="00236568">
        <w:rPr>
          <w:sz w:val="24"/>
          <w:szCs w:val="24"/>
          <w:lang w:val="en-GB"/>
        </w:rPr>
        <w:t xml:space="preserve"> in terms of new legislative initiative already for some years. Since the 2008 financial crisis, the EU banking sector regulation </w:t>
      </w:r>
      <w:proofErr w:type="gramStart"/>
      <w:r w:rsidRPr="00236568">
        <w:rPr>
          <w:sz w:val="24"/>
          <w:szCs w:val="24"/>
          <w:lang w:val="en-GB"/>
        </w:rPr>
        <w:t>has been substantially reformed</w:t>
      </w:r>
      <w:proofErr w:type="gramEnd"/>
      <w:r w:rsidRPr="00236568">
        <w:rPr>
          <w:sz w:val="24"/>
          <w:szCs w:val="24"/>
          <w:lang w:val="en-GB"/>
        </w:rPr>
        <w:t xml:space="preserve">, among other things, introducing more stringent capital requirements and bank resolution framework, including the bail-in tool. Still there is ongoing work in a number of workflow associated with the completion of </w:t>
      </w:r>
      <w:r w:rsidR="00AD5716">
        <w:rPr>
          <w:sz w:val="24"/>
          <w:szCs w:val="24"/>
          <w:lang w:val="en-GB"/>
        </w:rPr>
        <w:t xml:space="preserve">the </w:t>
      </w:r>
      <w:r w:rsidR="003038F7">
        <w:rPr>
          <w:sz w:val="24"/>
          <w:szCs w:val="24"/>
          <w:lang w:val="en-GB"/>
        </w:rPr>
        <w:t>B</w:t>
      </w:r>
      <w:r w:rsidRPr="00236568">
        <w:rPr>
          <w:sz w:val="24"/>
          <w:szCs w:val="24"/>
          <w:lang w:val="en-GB"/>
        </w:rPr>
        <w:t xml:space="preserve">anking </w:t>
      </w:r>
      <w:r w:rsidR="003038F7">
        <w:rPr>
          <w:sz w:val="24"/>
          <w:szCs w:val="24"/>
          <w:lang w:val="en-GB"/>
        </w:rPr>
        <w:t>U</w:t>
      </w:r>
      <w:r w:rsidR="003038F7" w:rsidRPr="00236568">
        <w:rPr>
          <w:sz w:val="24"/>
          <w:szCs w:val="24"/>
          <w:lang w:val="en-GB"/>
        </w:rPr>
        <w:t>nion</w:t>
      </w:r>
      <w:r w:rsidRPr="00236568">
        <w:rPr>
          <w:sz w:val="24"/>
          <w:szCs w:val="24"/>
          <w:lang w:val="en-GB"/>
        </w:rPr>
        <w:t>:</w:t>
      </w:r>
    </w:p>
    <w:p w14:paraId="24F9BA14" w14:textId="77777777" w:rsidR="00B60D4C" w:rsidRPr="00236568" w:rsidRDefault="00B60D4C">
      <w:pPr>
        <w:pStyle w:val="FootnoteText"/>
        <w:rPr>
          <w:sz w:val="24"/>
          <w:szCs w:val="24"/>
          <w:lang w:val="en-GB"/>
        </w:rPr>
      </w:pPr>
    </w:p>
    <w:p w14:paraId="1B6448F1" w14:textId="7C0DAE11" w:rsidR="00B60D4C" w:rsidRPr="00236568" w:rsidRDefault="00B60D4C">
      <w:pPr>
        <w:pStyle w:val="FootnoteText"/>
        <w:numPr>
          <w:ilvl w:val="0"/>
          <w:numId w:val="7"/>
        </w:numPr>
        <w:rPr>
          <w:bCs/>
          <w:sz w:val="24"/>
          <w:szCs w:val="24"/>
          <w:lang w:val="en-GB"/>
        </w:rPr>
      </w:pPr>
      <w:proofErr w:type="gramStart"/>
      <w:r w:rsidRPr="00236568">
        <w:rPr>
          <w:bCs/>
          <w:sz w:val="24"/>
          <w:szCs w:val="24"/>
          <w:lang w:val="en-GB"/>
        </w:rPr>
        <w:t>development</w:t>
      </w:r>
      <w:proofErr w:type="gramEnd"/>
      <w:r w:rsidRPr="00236568">
        <w:rPr>
          <w:bCs/>
          <w:sz w:val="24"/>
          <w:szCs w:val="24"/>
          <w:lang w:val="en-GB"/>
        </w:rPr>
        <w:t xml:space="preserve"> and implementation of risk </w:t>
      </w:r>
      <w:r w:rsidR="00AD5716">
        <w:rPr>
          <w:bCs/>
          <w:sz w:val="24"/>
          <w:szCs w:val="24"/>
          <w:lang w:val="en-GB"/>
        </w:rPr>
        <w:t>reduction</w:t>
      </w:r>
      <w:r w:rsidR="00AD5716" w:rsidRPr="00236568">
        <w:rPr>
          <w:bCs/>
          <w:sz w:val="24"/>
          <w:szCs w:val="24"/>
          <w:lang w:val="en-GB"/>
        </w:rPr>
        <w:t xml:space="preserve"> </w:t>
      </w:r>
      <w:r w:rsidRPr="00236568">
        <w:rPr>
          <w:bCs/>
          <w:sz w:val="24"/>
          <w:szCs w:val="24"/>
          <w:lang w:val="en-GB"/>
        </w:rPr>
        <w:t xml:space="preserve">measures raised as preconditions for further </w:t>
      </w:r>
      <w:r w:rsidR="00AD5716">
        <w:rPr>
          <w:bCs/>
          <w:sz w:val="24"/>
          <w:szCs w:val="24"/>
          <w:lang w:val="en-GB"/>
        </w:rPr>
        <w:t>common</w:t>
      </w:r>
      <w:r w:rsidR="00AD5716" w:rsidRPr="00236568">
        <w:rPr>
          <w:bCs/>
          <w:sz w:val="24"/>
          <w:szCs w:val="24"/>
          <w:lang w:val="en-GB"/>
        </w:rPr>
        <w:t xml:space="preserve"> </w:t>
      </w:r>
      <w:r w:rsidRPr="00236568">
        <w:rPr>
          <w:bCs/>
          <w:sz w:val="24"/>
          <w:szCs w:val="24"/>
          <w:lang w:val="en-GB"/>
        </w:rPr>
        <w:t xml:space="preserve">risk-sharing </w:t>
      </w:r>
      <w:r w:rsidR="00AD5716">
        <w:rPr>
          <w:bCs/>
          <w:sz w:val="24"/>
          <w:szCs w:val="24"/>
          <w:lang w:val="en-GB"/>
        </w:rPr>
        <w:t xml:space="preserve">measures </w:t>
      </w:r>
      <w:r w:rsidRPr="00236568">
        <w:rPr>
          <w:bCs/>
          <w:sz w:val="24"/>
          <w:szCs w:val="24"/>
          <w:lang w:val="en-GB"/>
        </w:rPr>
        <w:t>(</w:t>
      </w:r>
      <w:r w:rsidR="00527FC8">
        <w:rPr>
          <w:bCs/>
          <w:sz w:val="24"/>
          <w:szCs w:val="24"/>
          <w:lang w:val="en-GB"/>
        </w:rPr>
        <w:t xml:space="preserve">sovereign risk exposure </w:t>
      </w:r>
      <w:r w:rsidRPr="00236568">
        <w:rPr>
          <w:bCs/>
          <w:sz w:val="24"/>
          <w:szCs w:val="24"/>
          <w:lang w:val="en-GB"/>
        </w:rPr>
        <w:t xml:space="preserve">in the context of banks' capital requirements, disparities of </w:t>
      </w:r>
      <w:r w:rsidR="00527FC8">
        <w:rPr>
          <w:bCs/>
          <w:sz w:val="24"/>
          <w:szCs w:val="24"/>
          <w:lang w:val="en-GB"/>
        </w:rPr>
        <w:t>national options and discretions</w:t>
      </w:r>
      <w:r w:rsidRPr="00236568">
        <w:rPr>
          <w:bCs/>
          <w:sz w:val="24"/>
          <w:szCs w:val="24"/>
          <w:lang w:val="en-GB"/>
        </w:rPr>
        <w:t xml:space="preserve">, </w:t>
      </w:r>
      <w:r w:rsidR="00F33A95">
        <w:rPr>
          <w:bCs/>
          <w:sz w:val="24"/>
          <w:szCs w:val="24"/>
          <w:lang w:val="en-GB"/>
        </w:rPr>
        <w:t>harmonisation of</w:t>
      </w:r>
      <w:r w:rsidR="00F33A95" w:rsidRPr="00236568">
        <w:rPr>
          <w:bCs/>
          <w:sz w:val="24"/>
          <w:szCs w:val="24"/>
          <w:lang w:val="en-GB"/>
        </w:rPr>
        <w:t xml:space="preserve"> </w:t>
      </w:r>
      <w:r w:rsidRPr="00236568">
        <w:rPr>
          <w:bCs/>
          <w:sz w:val="24"/>
          <w:szCs w:val="24"/>
          <w:lang w:val="en-GB"/>
        </w:rPr>
        <w:t>insolvency regime, etc.);</w:t>
      </w:r>
    </w:p>
    <w:p w14:paraId="714EF773" w14:textId="0E896E56" w:rsidR="00B60D4C" w:rsidRPr="00236568" w:rsidRDefault="00F33A95">
      <w:pPr>
        <w:pStyle w:val="FootnoteText"/>
        <w:numPr>
          <w:ilvl w:val="0"/>
          <w:numId w:val="7"/>
        </w:numPr>
        <w:rPr>
          <w:bCs/>
          <w:sz w:val="24"/>
          <w:szCs w:val="24"/>
          <w:lang w:val="en-GB"/>
        </w:rPr>
      </w:pPr>
      <w:r>
        <w:rPr>
          <w:bCs/>
          <w:sz w:val="24"/>
          <w:szCs w:val="24"/>
          <w:lang w:val="en-GB"/>
        </w:rPr>
        <w:t>development of a</w:t>
      </w:r>
      <w:r w:rsidR="00B60D4C" w:rsidRPr="00236568">
        <w:rPr>
          <w:bCs/>
          <w:sz w:val="24"/>
          <w:szCs w:val="24"/>
          <w:lang w:val="en-GB"/>
        </w:rPr>
        <w:t xml:space="preserve"> common back-stop mechanism </w:t>
      </w:r>
      <w:r>
        <w:rPr>
          <w:bCs/>
          <w:sz w:val="24"/>
          <w:szCs w:val="24"/>
          <w:lang w:val="en-GB"/>
        </w:rPr>
        <w:t xml:space="preserve">for the </w:t>
      </w:r>
      <w:r w:rsidR="00B60D4C" w:rsidRPr="00236568">
        <w:rPr>
          <w:bCs/>
          <w:sz w:val="24"/>
          <w:szCs w:val="24"/>
          <w:lang w:val="en-GB"/>
        </w:rPr>
        <w:t>single resolution fund to reduce the national fiscal risks associated with the implementation of bank resolution</w:t>
      </w:r>
      <w:r>
        <w:rPr>
          <w:bCs/>
          <w:sz w:val="24"/>
          <w:szCs w:val="24"/>
          <w:lang w:val="en-GB"/>
        </w:rPr>
        <w:t xml:space="preserve"> mechanism</w:t>
      </w:r>
      <w:r w:rsidR="00B60D4C" w:rsidRPr="00236568">
        <w:rPr>
          <w:bCs/>
          <w:sz w:val="24"/>
          <w:szCs w:val="24"/>
          <w:lang w:val="en-GB"/>
        </w:rPr>
        <w:t>;</w:t>
      </w:r>
    </w:p>
    <w:p w14:paraId="7D77F5ED" w14:textId="1F1FF85A" w:rsidR="00B60D4C" w:rsidRPr="00236568" w:rsidRDefault="00F33A95">
      <w:pPr>
        <w:pStyle w:val="FootnoteText"/>
        <w:numPr>
          <w:ilvl w:val="0"/>
          <w:numId w:val="7"/>
        </w:numPr>
        <w:rPr>
          <w:bCs/>
          <w:sz w:val="24"/>
          <w:szCs w:val="24"/>
          <w:lang w:val="en-GB"/>
        </w:rPr>
      </w:pPr>
      <w:proofErr w:type="gramStart"/>
      <w:r>
        <w:rPr>
          <w:bCs/>
          <w:sz w:val="24"/>
          <w:szCs w:val="24"/>
          <w:lang w:val="en-GB"/>
        </w:rPr>
        <w:t>development</w:t>
      </w:r>
      <w:proofErr w:type="gramEnd"/>
      <w:r>
        <w:rPr>
          <w:bCs/>
          <w:sz w:val="24"/>
          <w:szCs w:val="24"/>
          <w:lang w:val="en-GB"/>
        </w:rPr>
        <w:t xml:space="preserve"> of a</w:t>
      </w:r>
      <w:r w:rsidR="00B60D4C" w:rsidRPr="00236568">
        <w:rPr>
          <w:bCs/>
          <w:sz w:val="24"/>
          <w:szCs w:val="24"/>
          <w:lang w:val="en-GB"/>
        </w:rPr>
        <w:t xml:space="preserve"> common European deposit guarantee system - the draft deposit insurance system (Banking Union's third pillar), which </w:t>
      </w:r>
      <w:r>
        <w:rPr>
          <w:bCs/>
          <w:sz w:val="24"/>
          <w:szCs w:val="24"/>
          <w:lang w:val="en-GB"/>
        </w:rPr>
        <w:t xml:space="preserve">proposes to gradually integrate the </w:t>
      </w:r>
      <w:r w:rsidR="00B60D4C" w:rsidRPr="00236568">
        <w:rPr>
          <w:bCs/>
          <w:sz w:val="24"/>
          <w:szCs w:val="24"/>
          <w:lang w:val="en-GB"/>
        </w:rPr>
        <w:t>national deposit guarantee funds into the European single deposit insurance fund</w:t>
      </w:r>
      <w:r w:rsidRPr="00F33A95">
        <w:rPr>
          <w:bCs/>
          <w:sz w:val="24"/>
          <w:szCs w:val="24"/>
          <w:lang w:val="en-GB"/>
        </w:rPr>
        <w:t xml:space="preserve"> </w:t>
      </w:r>
      <w:r w:rsidRPr="00236568">
        <w:rPr>
          <w:bCs/>
          <w:sz w:val="24"/>
          <w:szCs w:val="24"/>
          <w:lang w:val="en-GB"/>
        </w:rPr>
        <w:t>by 2024</w:t>
      </w:r>
      <w:r w:rsidR="00B60D4C" w:rsidRPr="00236568">
        <w:rPr>
          <w:bCs/>
          <w:sz w:val="24"/>
          <w:szCs w:val="24"/>
          <w:lang w:val="en-GB"/>
        </w:rPr>
        <w:t>.</w:t>
      </w:r>
    </w:p>
    <w:p w14:paraId="7E228EBD" w14:textId="77777777" w:rsidR="00B60D4C" w:rsidRPr="00236568" w:rsidRDefault="00B60D4C" w:rsidP="00DE5FE5">
      <w:pPr>
        <w:spacing w:line="240" w:lineRule="auto"/>
      </w:pPr>
    </w:p>
    <w:p w14:paraId="3AB4AA2D" w14:textId="28876997" w:rsidR="00633550" w:rsidRPr="00236568" w:rsidRDefault="00633550" w:rsidP="00595DDE">
      <w:pPr>
        <w:pStyle w:val="FootnoteText"/>
        <w:rPr>
          <w:bCs/>
          <w:sz w:val="24"/>
          <w:szCs w:val="24"/>
          <w:lang w:val="en-GB"/>
        </w:rPr>
      </w:pPr>
      <w:proofErr w:type="gramStart"/>
      <w:r w:rsidRPr="00236568">
        <w:rPr>
          <w:bCs/>
          <w:sz w:val="24"/>
          <w:szCs w:val="24"/>
          <w:lang w:val="en-GB"/>
        </w:rPr>
        <w:t>There is important initiative of the European Commission concerning the banking sector's future activities related to the planned action at the EU level, by developing an action plan to reduce unnecessary regulatory burden for the financing of the economy, improving the regulatory proportionality, while maintaining compliance with the prudential objectives, making the regulatory framework more forward-looking and improving the internal consistency.</w:t>
      </w:r>
      <w:proofErr w:type="gramEnd"/>
    </w:p>
    <w:p w14:paraId="4C792336" w14:textId="77777777" w:rsidR="00633550" w:rsidRPr="00236568" w:rsidRDefault="00633550" w:rsidP="00BF7917">
      <w:pPr>
        <w:pStyle w:val="FootnoteText"/>
        <w:rPr>
          <w:bCs/>
          <w:sz w:val="24"/>
          <w:szCs w:val="24"/>
          <w:lang w:val="en-GB"/>
        </w:rPr>
      </w:pPr>
    </w:p>
    <w:p w14:paraId="0ECADC6D" w14:textId="79B8D30C" w:rsidR="00B60D4C" w:rsidRPr="00236568" w:rsidRDefault="00667DDC">
      <w:pPr>
        <w:pStyle w:val="FootnoteText"/>
        <w:rPr>
          <w:bCs/>
          <w:sz w:val="24"/>
          <w:szCs w:val="24"/>
          <w:lang w:val="en-GB"/>
        </w:rPr>
      </w:pPr>
      <w:r w:rsidRPr="00236568">
        <w:rPr>
          <w:bCs/>
          <w:sz w:val="24"/>
          <w:szCs w:val="24"/>
          <w:lang w:val="en-GB"/>
        </w:rPr>
        <w:t xml:space="preserve">There </w:t>
      </w:r>
      <w:r w:rsidR="00F33A95">
        <w:rPr>
          <w:bCs/>
          <w:sz w:val="24"/>
          <w:szCs w:val="24"/>
          <w:lang w:val="en-GB"/>
        </w:rPr>
        <w:t xml:space="preserve">are outstanding measures to </w:t>
      </w:r>
      <w:proofErr w:type="gramStart"/>
      <w:r w:rsidR="00F33A95">
        <w:rPr>
          <w:bCs/>
          <w:sz w:val="24"/>
          <w:szCs w:val="24"/>
          <w:lang w:val="en-GB"/>
        </w:rPr>
        <w:t>be implemented</w:t>
      </w:r>
      <w:proofErr w:type="gramEnd"/>
      <w:r w:rsidR="00F33A95">
        <w:rPr>
          <w:bCs/>
          <w:sz w:val="24"/>
          <w:szCs w:val="24"/>
          <w:lang w:val="en-GB"/>
        </w:rPr>
        <w:t xml:space="preserve"> at the EU level concerning AML/CFT. One is t</w:t>
      </w:r>
      <w:r w:rsidR="00B60D4C" w:rsidRPr="00236568">
        <w:rPr>
          <w:bCs/>
          <w:sz w:val="24"/>
          <w:szCs w:val="24"/>
          <w:lang w:val="en-GB"/>
        </w:rPr>
        <w:t>he European Commission</w:t>
      </w:r>
      <w:r w:rsidR="00F33A95">
        <w:rPr>
          <w:bCs/>
          <w:sz w:val="24"/>
          <w:szCs w:val="24"/>
          <w:lang w:val="en-GB"/>
        </w:rPr>
        <w:t>’s</w:t>
      </w:r>
      <w:r w:rsidR="00B60D4C" w:rsidRPr="00236568">
        <w:rPr>
          <w:bCs/>
          <w:sz w:val="24"/>
          <w:szCs w:val="24"/>
          <w:lang w:val="en-GB"/>
        </w:rPr>
        <w:t xml:space="preserve"> Action Plan to combat the financing of terrorism, </w:t>
      </w:r>
      <w:r w:rsidR="00F33A95">
        <w:rPr>
          <w:bCs/>
          <w:sz w:val="24"/>
          <w:szCs w:val="24"/>
          <w:lang w:val="en-GB"/>
        </w:rPr>
        <w:t xml:space="preserve">and </w:t>
      </w:r>
      <w:r w:rsidR="00B60D4C" w:rsidRPr="00236568">
        <w:rPr>
          <w:bCs/>
          <w:sz w:val="24"/>
          <w:szCs w:val="24"/>
          <w:lang w:val="en-GB"/>
        </w:rPr>
        <w:t>the European Commission</w:t>
      </w:r>
      <w:r w:rsidR="00F33A95">
        <w:rPr>
          <w:bCs/>
          <w:sz w:val="24"/>
          <w:szCs w:val="24"/>
          <w:lang w:val="en-GB"/>
        </w:rPr>
        <w:t>’s</w:t>
      </w:r>
      <w:r w:rsidR="00B60D4C" w:rsidRPr="00236568">
        <w:rPr>
          <w:bCs/>
          <w:sz w:val="24"/>
          <w:szCs w:val="24"/>
          <w:lang w:val="en-GB"/>
        </w:rPr>
        <w:t xml:space="preserve"> proposal for a European Parliament and Council </w:t>
      </w:r>
      <w:proofErr w:type="gramStart"/>
      <w:r w:rsidR="00B60D4C" w:rsidRPr="00236568">
        <w:rPr>
          <w:bCs/>
          <w:sz w:val="24"/>
          <w:szCs w:val="24"/>
          <w:lang w:val="en-GB"/>
        </w:rPr>
        <w:t>Directive which</w:t>
      </w:r>
      <w:proofErr w:type="gramEnd"/>
      <w:r w:rsidR="00B60D4C" w:rsidRPr="00236568">
        <w:rPr>
          <w:bCs/>
          <w:sz w:val="24"/>
          <w:szCs w:val="24"/>
          <w:lang w:val="en-GB"/>
        </w:rPr>
        <w:t xml:space="preserve"> amends Directive 2015/849 on the prevention of the use of financial system for </w:t>
      </w:r>
      <w:r w:rsidR="00961BE3" w:rsidRPr="00236568">
        <w:rPr>
          <w:bCs/>
          <w:sz w:val="24"/>
          <w:szCs w:val="24"/>
          <w:lang w:val="en-GB"/>
        </w:rPr>
        <w:t>ML/TF</w:t>
      </w:r>
      <w:r w:rsidR="00B60D4C" w:rsidRPr="00236568">
        <w:rPr>
          <w:bCs/>
          <w:sz w:val="24"/>
          <w:szCs w:val="24"/>
          <w:lang w:val="en-GB"/>
        </w:rPr>
        <w:t xml:space="preserve">, and amending Directive 2009/101/EC. At the same </w:t>
      </w:r>
      <w:proofErr w:type="gramStart"/>
      <w:r w:rsidR="00B60D4C" w:rsidRPr="00236568">
        <w:rPr>
          <w:bCs/>
          <w:sz w:val="24"/>
          <w:szCs w:val="24"/>
          <w:lang w:val="en-GB"/>
        </w:rPr>
        <w:t>time</w:t>
      </w:r>
      <w:proofErr w:type="gramEnd"/>
      <w:r w:rsidR="00B60D4C" w:rsidRPr="00236568">
        <w:rPr>
          <w:bCs/>
          <w:sz w:val="24"/>
          <w:szCs w:val="24"/>
          <w:lang w:val="en-GB"/>
        </w:rPr>
        <w:t xml:space="preserve"> series of measures </w:t>
      </w:r>
      <w:r w:rsidR="004A4124">
        <w:rPr>
          <w:bCs/>
          <w:sz w:val="24"/>
          <w:szCs w:val="24"/>
          <w:lang w:val="en-GB"/>
        </w:rPr>
        <w:t xml:space="preserve">are </w:t>
      </w:r>
      <w:r w:rsidR="00B60D4C" w:rsidRPr="00236568">
        <w:rPr>
          <w:bCs/>
          <w:sz w:val="24"/>
          <w:szCs w:val="24"/>
          <w:lang w:val="en-GB"/>
        </w:rPr>
        <w:t xml:space="preserve">intended </w:t>
      </w:r>
      <w:r w:rsidR="004A4124">
        <w:rPr>
          <w:bCs/>
          <w:sz w:val="24"/>
          <w:szCs w:val="24"/>
          <w:lang w:val="en-GB"/>
        </w:rPr>
        <w:t xml:space="preserve">to </w:t>
      </w:r>
      <w:r w:rsidR="004A4124" w:rsidRPr="00236568">
        <w:rPr>
          <w:bCs/>
          <w:sz w:val="24"/>
          <w:szCs w:val="24"/>
          <w:lang w:val="en-GB"/>
        </w:rPr>
        <w:t>introduc</w:t>
      </w:r>
      <w:r w:rsidR="004A4124">
        <w:rPr>
          <w:bCs/>
          <w:sz w:val="24"/>
          <w:szCs w:val="24"/>
          <w:lang w:val="en-GB"/>
        </w:rPr>
        <w:t>e</w:t>
      </w:r>
      <w:r w:rsidR="004A4124" w:rsidRPr="00236568">
        <w:rPr>
          <w:bCs/>
          <w:sz w:val="24"/>
          <w:szCs w:val="24"/>
          <w:lang w:val="en-GB"/>
        </w:rPr>
        <w:t xml:space="preserve"> </w:t>
      </w:r>
      <w:r w:rsidR="00B60D4C" w:rsidRPr="00236568">
        <w:rPr>
          <w:bCs/>
          <w:sz w:val="24"/>
          <w:szCs w:val="24"/>
          <w:lang w:val="en-GB"/>
        </w:rPr>
        <w:t xml:space="preserve">changes to the current framework </w:t>
      </w:r>
      <w:r w:rsidR="00985513">
        <w:rPr>
          <w:bCs/>
          <w:sz w:val="24"/>
          <w:szCs w:val="24"/>
          <w:lang w:val="en-GB"/>
        </w:rPr>
        <w:t xml:space="preserve">for </w:t>
      </w:r>
      <w:r w:rsidR="00985513" w:rsidRPr="00236568">
        <w:rPr>
          <w:bCs/>
          <w:sz w:val="24"/>
          <w:szCs w:val="24"/>
          <w:lang w:val="en-GB"/>
        </w:rPr>
        <w:t>enhanc</w:t>
      </w:r>
      <w:r w:rsidR="00985513">
        <w:rPr>
          <w:bCs/>
          <w:sz w:val="24"/>
          <w:szCs w:val="24"/>
          <w:lang w:val="en-GB"/>
        </w:rPr>
        <w:t>ing</w:t>
      </w:r>
      <w:r w:rsidR="00985513" w:rsidRPr="00236568">
        <w:rPr>
          <w:bCs/>
          <w:sz w:val="24"/>
          <w:szCs w:val="24"/>
          <w:lang w:val="en-GB"/>
        </w:rPr>
        <w:t xml:space="preserve"> </w:t>
      </w:r>
      <w:r w:rsidR="00B60D4C" w:rsidRPr="00236568">
        <w:rPr>
          <w:bCs/>
          <w:sz w:val="24"/>
          <w:szCs w:val="24"/>
          <w:lang w:val="en-GB"/>
        </w:rPr>
        <w:t>transparency and fight against tax evasion</w:t>
      </w:r>
      <w:r w:rsidRPr="00236568">
        <w:rPr>
          <w:bCs/>
          <w:sz w:val="24"/>
          <w:szCs w:val="24"/>
          <w:lang w:val="en-GB"/>
        </w:rPr>
        <w:t>.</w:t>
      </w:r>
    </w:p>
    <w:p w14:paraId="17770D81" w14:textId="77777777" w:rsidR="00B60D4C" w:rsidRPr="00236568" w:rsidRDefault="00B60D4C">
      <w:pPr>
        <w:pStyle w:val="FootnoteText"/>
        <w:rPr>
          <w:bCs/>
          <w:sz w:val="24"/>
          <w:szCs w:val="24"/>
          <w:lang w:val="en-GB"/>
        </w:rPr>
      </w:pPr>
    </w:p>
    <w:p w14:paraId="4D4DC16A" w14:textId="49CBD20C" w:rsidR="00B60D4C" w:rsidRPr="00236568" w:rsidRDefault="002F4EBF">
      <w:pPr>
        <w:pStyle w:val="FootnoteText"/>
        <w:rPr>
          <w:bCs/>
          <w:sz w:val="24"/>
          <w:szCs w:val="24"/>
          <w:lang w:val="en-GB"/>
        </w:rPr>
      </w:pPr>
      <w:r>
        <w:rPr>
          <w:bCs/>
          <w:sz w:val="24"/>
          <w:szCs w:val="24"/>
          <w:lang w:val="en-GB"/>
        </w:rPr>
        <w:t>I</w:t>
      </w:r>
      <w:r w:rsidR="00B60D4C" w:rsidRPr="00236568">
        <w:rPr>
          <w:bCs/>
          <w:sz w:val="24"/>
          <w:szCs w:val="24"/>
          <w:lang w:val="en-GB"/>
        </w:rPr>
        <w:t xml:space="preserve">n addition to </w:t>
      </w:r>
      <w:r>
        <w:rPr>
          <w:bCs/>
          <w:sz w:val="24"/>
          <w:szCs w:val="24"/>
          <w:lang w:val="en-GB"/>
        </w:rPr>
        <w:t xml:space="preserve">the </w:t>
      </w:r>
      <w:r w:rsidR="00B60D4C" w:rsidRPr="00236568">
        <w:rPr>
          <w:bCs/>
          <w:sz w:val="24"/>
          <w:szCs w:val="24"/>
          <w:lang w:val="en-GB"/>
        </w:rPr>
        <w:t xml:space="preserve">horizontal priorities </w:t>
      </w:r>
      <w:r>
        <w:rPr>
          <w:bCs/>
          <w:sz w:val="24"/>
          <w:szCs w:val="24"/>
          <w:lang w:val="en-GB"/>
        </w:rPr>
        <w:t>of</w:t>
      </w:r>
      <w:r w:rsidRPr="00236568">
        <w:rPr>
          <w:bCs/>
          <w:sz w:val="24"/>
          <w:szCs w:val="24"/>
          <w:lang w:val="en-GB"/>
        </w:rPr>
        <w:t xml:space="preserve"> the banking sector </w:t>
      </w:r>
      <w:r w:rsidR="00B60D4C" w:rsidRPr="00236568">
        <w:rPr>
          <w:bCs/>
          <w:sz w:val="24"/>
          <w:szCs w:val="24"/>
          <w:lang w:val="en-GB"/>
        </w:rPr>
        <w:t xml:space="preserve">- </w:t>
      </w:r>
      <w:r w:rsidR="00B60D4C" w:rsidRPr="00236568">
        <w:rPr>
          <w:bCs/>
          <w:i/>
          <w:sz w:val="24"/>
          <w:szCs w:val="24"/>
          <w:lang w:val="en-GB"/>
        </w:rPr>
        <w:t>digitization and innovation</w:t>
      </w:r>
      <w:r w:rsidR="00667DDC" w:rsidRPr="00236568">
        <w:rPr>
          <w:bCs/>
          <w:i/>
          <w:sz w:val="24"/>
          <w:szCs w:val="24"/>
          <w:lang w:val="en-GB"/>
        </w:rPr>
        <w:t>, AML/</w:t>
      </w:r>
      <w:r>
        <w:rPr>
          <w:bCs/>
          <w:i/>
          <w:sz w:val="24"/>
          <w:szCs w:val="24"/>
          <w:lang w:val="en-GB"/>
        </w:rPr>
        <w:t xml:space="preserve">CFT </w:t>
      </w:r>
      <w:r w:rsidR="00667DDC" w:rsidRPr="00236568">
        <w:rPr>
          <w:bCs/>
          <w:i/>
          <w:sz w:val="24"/>
          <w:szCs w:val="24"/>
          <w:lang w:val="en-GB"/>
        </w:rPr>
        <w:t>compliance</w:t>
      </w:r>
      <w:r w:rsidR="00B60D4C" w:rsidRPr="00236568">
        <w:rPr>
          <w:bCs/>
          <w:sz w:val="24"/>
          <w:szCs w:val="24"/>
          <w:lang w:val="en-GB"/>
        </w:rPr>
        <w:t xml:space="preserve"> and </w:t>
      </w:r>
      <w:r w:rsidR="00667DDC" w:rsidRPr="00236568">
        <w:rPr>
          <w:bCs/>
          <w:i/>
          <w:sz w:val="24"/>
          <w:szCs w:val="24"/>
          <w:lang w:val="en-GB"/>
        </w:rPr>
        <w:t>improvement of national</w:t>
      </w:r>
      <w:r w:rsidR="00667DDC" w:rsidRPr="00236568">
        <w:rPr>
          <w:bCs/>
          <w:sz w:val="24"/>
          <w:szCs w:val="24"/>
          <w:lang w:val="en-GB"/>
        </w:rPr>
        <w:t xml:space="preserve"> </w:t>
      </w:r>
      <w:r w:rsidR="00B60D4C" w:rsidRPr="00236568">
        <w:rPr>
          <w:bCs/>
          <w:i/>
          <w:sz w:val="24"/>
          <w:szCs w:val="24"/>
          <w:lang w:val="en-GB"/>
        </w:rPr>
        <w:t>reputation</w:t>
      </w:r>
      <w:r w:rsidR="00667DDC" w:rsidRPr="00236568">
        <w:rPr>
          <w:bCs/>
          <w:i/>
          <w:sz w:val="24"/>
          <w:szCs w:val="24"/>
          <w:lang w:val="en-GB"/>
        </w:rPr>
        <w:t>,</w:t>
      </w:r>
      <w:r w:rsidR="00B60D4C" w:rsidRPr="00236568">
        <w:rPr>
          <w:bCs/>
          <w:i/>
          <w:sz w:val="24"/>
          <w:szCs w:val="24"/>
          <w:lang w:val="en-GB"/>
        </w:rPr>
        <w:t xml:space="preserve"> and international </w:t>
      </w:r>
      <w:r w:rsidR="0037210D" w:rsidRPr="00236568">
        <w:rPr>
          <w:bCs/>
          <w:i/>
          <w:sz w:val="24"/>
          <w:szCs w:val="24"/>
          <w:lang w:val="en-GB"/>
        </w:rPr>
        <w:t>competitiveness</w:t>
      </w:r>
      <w:r w:rsidR="0037210D" w:rsidRPr="00236568">
        <w:rPr>
          <w:bCs/>
          <w:sz w:val="24"/>
          <w:szCs w:val="24"/>
          <w:lang w:val="en-GB"/>
        </w:rPr>
        <w:t>,</w:t>
      </w:r>
      <w:r w:rsidR="00DF25AD" w:rsidRPr="00236568">
        <w:rPr>
          <w:bCs/>
          <w:sz w:val="24"/>
          <w:szCs w:val="24"/>
          <w:lang w:val="en-GB"/>
        </w:rPr>
        <w:t xml:space="preserve"> </w:t>
      </w:r>
      <w:r>
        <w:rPr>
          <w:bCs/>
          <w:sz w:val="24"/>
          <w:szCs w:val="24"/>
          <w:lang w:val="en-GB"/>
        </w:rPr>
        <w:t xml:space="preserve">another </w:t>
      </w:r>
      <w:r w:rsidR="00B60D4C" w:rsidRPr="00236568">
        <w:rPr>
          <w:b/>
          <w:bCs/>
          <w:sz w:val="24"/>
          <w:szCs w:val="24"/>
          <w:u w:val="single"/>
          <w:lang w:val="en-GB"/>
        </w:rPr>
        <w:t>strategic direction is</w:t>
      </w:r>
      <w:r w:rsidR="0037210D" w:rsidRPr="00236568">
        <w:rPr>
          <w:b/>
          <w:bCs/>
          <w:sz w:val="24"/>
          <w:szCs w:val="24"/>
          <w:u w:val="single"/>
          <w:lang w:val="en-GB"/>
        </w:rPr>
        <w:t xml:space="preserve"> </w:t>
      </w:r>
      <w:r w:rsidR="00B60D4C" w:rsidRPr="00236568">
        <w:rPr>
          <w:b/>
          <w:bCs/>
          <w:sz w:val="24"/>
          <w:szCs w:val="24"/>
          <w:u w:val="single"/>
          <w:lang w:val="en-GB"/>
        </w:rPr>
        <w:t>lending activation.</w:t>
      </w:r>
    </w:p>
    <w:p w14:paraId="3B01D826" w14:textId="77777777" w:rsidR="00B60D4C" w:rsidRPr="00236568" w:rsidRDefault="00B60D4C">
      <w:pPr>
        <w:pStyle w:val="FootnoteText"/>
        <w:rPr>
          <w:bCs/>
          <w:sz w:val="24"/>
          <w:szCs w:val="24"/>
          <w:lang w:val="en-GB"/>
        </w:rPr>
      </w:pPr>
    </w:p>
    <w:p w14:paraId="1DFF262A" w14:textId="77777777" w:rsidR="00C92772" w:rsidRPr="00236568" w:rsidRDefault="00C92772">
      <w:pPr>
        <w:pStyle w:val="FootnoteText"/>
        <w:rPr>
          <w:bCs/>
          <w:sz w:val="24"/>
          <w:szCs w:val="24"/>
          <w:lang w:val="en-GB"/>
        </w:rPr>
      </w:pPr>
    </w:p>
    <w:p w14:paraId="6067CC95" w14:textId="77777777" w:rsidR="00C92772" w:rsidRPr="00236568" w:rsidRDefault="00C92772">
      <w:pPr>
        <w:pStyle w:val="FootnoteText"/>
        <w:rPr>
          <w:bCs/>
          <w:sz w:val="24"/>
          <w:szCs w:val="24"/>
          <w:lang w:val="en-GB"/>
        </w:rPr>
      </w:pPr>
    </w:p>
    <w:p w14:paraId="09205A3B" w14:textId="77777777" w:rsidR="00C92772" w:rsidRPr="00236568" w:rsidRDefault="00C92772">
      <w:pPr>
        <w:pStyle w:val="FootnoteText"/>
        <w:rPr>
          <w:bCs/>
          <w:sz w:val="24"/>
          <w:szCs w:val="24"/>
          <w:lang w:val="en-GB"/>
        </w:rPr>
      </w:pPr>
    </w:p>
    <w:p w14:paraId="50CDFF13" w14:textId="77777777" w:rsidR="00B60D4C" w:rsidRPr="00236568" w:rsidRDefault="00B60D4C">
      <w:pPr>
        <w:pStyle w:val="FootnoteText"/>
        <w:rPr>
          <w:b/>
          <w:sz w:val="24"/>
          <w:szCs w:val="24"/>
          <w:u w:val="single"/>
          <w:lang w:val="en-GB"/>
        </w:rPr>
      </w:pPr>
      <w:r w:rsidRPr="00236568">
        <w:rPr>
          <w:b/>
          <w:sz w:val="24"/>
          <w:szCs w:val="24"/>
          <w:u w:val="single"/>
          <w:lang w:val="en-GB"/>
        </w:rPr>
        <w:t>Performance indicator:</w:t>
      </w:r>
    </w:p>
    <w:p w14:paraId="09BF4A81" w14:textId="77777777" w:rsidR="00B60D4C" w:rsidRPr="00236568" w:rsidRDefault="00B60D4C">
      <w:pPr>
        <w:pStyle w:val="FootnoteText"/>
        <w:rPr>
          <w:b/>
          <w:sz w:val="24"/>
          <w:szCs w:val="24"/>
          <w:u w:val="single"/>
          <w:lang w:val="en-GB"/>
        </w:rPr>
      </w:pPr>
    </w:p>
    <w:p w14:paraId="0A99FF19" w14:textId="7A5E29AB"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Access to finance, based on innovative technological solutions and increasing the pace of lending growth in line with </w:t>
      </w:r>
      <w:r w:rsidR="00EA1309">
        <w:rPr>
          <w:rFonts w:ascii="Times New Roman" w:hAnsi="Times New Roman"/>
          <w:color w:val="000000"/>
          <w:sz w:val="24"/>
          <w:szCs w:val="24"/>
          <w:lang w:eastAsia="lv-LV"/>
        </w:rPr>
        <w:t xml:space="preserve">the </w:t>
      </w:r>
      <w:r w:rsidRPr="00236568">
        <w:rPr>
          <w:rFonts w:ascii="Times New Roman" w:hAnsi="Times New Roman"/>
          <w:color w:val="000000"/>
          <w:sz w:val="24"/>
          <w:szCs w:val="24"/>
          <w:lang w:eastAsia="lv-LV"/>
        </w:rPr>
        <w:t xml:space="preserve">GDP growth, to increase </w:t>
      </w:r>
      <w:r w:rsidR="009E3C5B" w:rsidRPr="00236568">
        <w:rPr>
          <w:rFonts w:ascii="Times New Roman" w:hAnsi="Times New Roman"/>
          <w:color w:val="000000"/>
          <w:sz w:val="24"/>
          <w:szCs w:val="24"/>
          <w:lang w:eastAsia="lv-LV"/>
        </w:rPr>
        <w:t>domestic client</w:t>
      </w:r>
      <w:r w:rsidRPr="00236568">
        <w:rPr>
          <w:rFonts w:ascii="Times New Roman" w:hAnsi="Times New Roman"/>
          <w:color w:val="000000"/>
          <w:sz w:val="24"/>
          <w:szCs w:val="24"/>
          <w:lang w:eastAsia="lv-LV"/>
        </w:rPr>
        <w:t>s' household and corporate loan portfolio by at least 10%</w:t>
      </w:r>
      <w:r w:rsidRPr="00236568">
        <w:rPr>
          <w:rStyle w:val="FootnoteReference"/>
          <w:rFonts w:ascii="Times New Roman" w:hAnsi="Times New Roman"/>
          <w:color w:val="000000"/>
          <w:sz w:val="24"/>
          <w:szCs w:val="24"/>
          <w:lang w:eastAsia="lv-LV"/>
        </w:rPr>
        <w:footnoteReference w:id="10"/>
      </w:r>
      <w:r w:rsidRPr="00236568">
        <w:rPr>
          <w:rFonts w:ascii="Times New Roman" w:hAnsi="Times New Roman"/>
          <w:color w:val="000000"/>
          <w:sz w:val="24"/>
          <w:szCs w:val="24"/>
          <w:lang w:eastAsia="lv-LV"/>
        </w:rPr>
        <w:t xml:space="preserve"> over three years.</w:t>
      </w:r>
    </w:p>
    <w:p w14:paraId="50DC1974" w14:textId="77777777" w:rsidR="00B60D4C" w:rsidRPr="00236568" w:rsidRDefault="00B60D4C">
      <w:pPr>
        <w:spacing w:after="0" w:line="240" w:lineRule="auto"/>
        <w:jc w:val="both"/>
        <w:rPr>
          <w:rFonts w:ascii="Times New Roman" w:hAnsi="Times New Roman"/>
          <w:color w:val="000000"/>
          <w:sz w:val="24"/>
          <w:szCs w:val="24"/>
          <w:lang w:eastAsia="lv-LV"/>
        </w:rPr>
      </w:pPr>
    </w:p>
    <w:p w14:paraId="26C959E6" w14:textId="77777777" w:rsidR="00B60D4C" w:rsidRPr="00236568" w:rsidRDefault="00B60D4C">
      <w:pPr>
        <w:spacing w:after="0" w:line="240" w:lineRule="auto"/>
        <w:jc w:val="both"/>
        <w:rPr>
          <w:rFonts w:ascii="Times New Roman" w:hAnsi="Times New Roman"/>
          <w:color w:val="000000"/>
          <w:sz w:val="24"/>
          <w:szCs w:val="24"/>
          <w:lang w:eastAsia="lv-LV"/>
        </w:rPr>
      </w:pPr>
    </w:p>
    <w:p w14:paraId="158A8F78" w14:textId="6B02A373" w:rsidR="00B60D4C" w:rsidRPr="00236568" w:rsidRDefault="00444336" w:rsidP="00DE5FE5">
      <w:pPr>
        <w:pStyle w:val="Heading3"/>
        <w:spacing w:line="240" w:lineRule="auto"/>
      </w:pPr>
      <w:bookmarkStart w:id="15" w:name="_Toc479773683"/>
      <w:bookmarkStart w:id="16" w:name="_Toc479839717"/>
      <w:r w:rsidRPr="00236568">
        <w:lastRenderedPageBreak/>
        <w:t>1</w:t>
      </w:r>
      <w:r w:rsidR="00B229C0" w:rsidRPr="00236568">
        <w:t>.</w:t>
      </w:r>
      <w:r w:rsidR="00B70588" w:rsidRPr="00236568">
        <w:t>2</w:t>
      </w:r>
      <w:r w:rsidRPr="00236568">
        <w:t>.</w:t>
      </w:r>
      <w:r w:rsidR="00B70588" w:rsidRPr="00236568">
        <w:t>1</w:t>
      </w:r>
      <w:r w:rsidR="00B60D4C" w:rsidRPr="00236568">
        <w:t>. Lending activation</w:t>
      </w:r>
      <w:bookmarkEnd w:id="15"/>
      <w:bookmarkEnd w:id="16"/>
    </w:p>
    <w:p w14:paraId="7FAEA9EF" w14:textId="77777777" w:rsidR="00B60D4C" w:rsidRPr="00236568" w:rsidRDefault="00B60D4C" w:rsidP="00DE5FE5">
      <w:pPr>
        <w:spacing w:line="240" w:lineRule="auto"/>
      </w:pPr>
    </w:p>
    <w:p w14:paraId="6ABA30A1" w14:textId="77777777" w:rsidR="00B60D4C" w:rsidRPr="00236568" w:rsidRDefault="00B60D4C" w:rsidP="00595DDE">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Lending activation is essential to encourage investment in the Latvian economy and promote its growth. Loan portfolio, which ensures a healthy economic growth, has evaluated 60% - 90% of the country's gross domestic product (without detailed analysis of the structure of the loan portfolio). This indicator the end of 2015 was 53%</w:t>
      </w:r>
      <w:r w:rsidRPr="00236568">
        <w:rPr>
          <w:rStyle w:val="FootnoteReference"/>
          <w:rFonts w:ascii="Times New Roman" w:hAnsi="Times New Roman"/>
          <w:color w:val="000000"/>
          <w:sz w:val="24"/>
          <w:szCs w:val="24"/>
          <w:lang w:eastAsia="lv-LV"/>
        </w:rPr>
        <w:footnoteReference w:id="11"/>
      </w:r>
      <w:r w:rsidRPr="00236568">
        <w:rPr>
          <w:rFonts w:ascii="Times New Roman" w:hAnsi="Times New Roman"/>
          <w:color w:val="000000"/>
          <w:sz w:val="24"/>
          <w:szCs w:val="24"/>
          <w:lang w:eastAsia="lv-LV"/>
        </w:rPr>
        <w:t>.</w:t>
      </w:r>
    </w:p>
    <w:p w14:paraId="321F35CC" w14:textId="77777777" w:rsidR="00CC1D67" w:rsidRPr="00236568" w:rsidRDefault="00CC1D67" w:rsidP="00BF7917">
      <w:pPr>
        <w:spacing w:after="0" w:line="240" w:lineRule="auto"/>
        <w:jc w:val="both"/>
        <w:rPr>
          <w:rFonts w:ascii="Times New Roman" w:hAnsi="Times New Roman"/>
          <w:color w:val="000000"/>
          <w:sz w:val="24"/>
          <w:szCs w:val="24"/>
          <w:lang w:eastAsia="lv-LV"/>
        </w:rPr>
      </w:pPr>
    </w:p>
    <w:p w14:paraId="03E8859B" w14:textId="6D53E0FF" w:rsidR="00B60D4C" w:rsidRPr="00236568" w:rsidRDefault="00CC1D67" w:rsidP="00DE5FE5">
      <w:pPr>
        <w:spacing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While promoting the development of lending, </w:t>
      </w:r>
      <w:r w:rsidR="00080568" w:rsidRPr="00236568">
        <w:rPr>
          <w:rFonts w:ascii="Times New Roman" w:hAnsi="Times New Roman"/>
          <w:color w:val="000000"/>
          <w:sz w:val="24"/>
          <w:szCs w:val="24"/>
          <w:lang w:eastAsia="lv-LV"/>
        </w:rPr>
        <w:t xml:space="preserve">it is important to avoid negative consequences of </w:t>
      </w:r>
      <w:r w:rsidRPr="00236568">
        <w:rPr>
          <w:rFonts w:ascii="Times New Roman" w:hAnsi="Times New Roman"/>
          <w:color w:val="000000"/>
          <w:sz w:val="24"/>
          <w:szCs w:val="24"/>
          <w:lang w:eastAsia="lv-LV"/>
        </w:rPr>
        <w:t>excessive lending</w:t>
      </w:r>
      <w:r w:rsidR="00080568"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through effec</w:t>
      </w:r>
      <w:r w:rsidR="00080568" w:rsidRPr="00236568">
        <w:rPr>
          <w:rFonts w:ascii="Times New Roman" w:hAnsi="Times New Roman"/>
          <w:color w:val="000000"/>
          <w:sz w:val="24"/>
          <w:szCs w:val="24"/>
          <w:lang w:eastAsia="lv-LV"/>
        </w:rPr>
        <w:t>tive risk management mechanisms.</w:t>
      </w:r>
    </w:p>
    <w:p w14:paraId="0A5A3B1E" w14:textId="2B45E6D5" w:rsidR="00B60D4C" w:rsidRPr="00236568" w:rsidRDefault="00B60D4C" w:rsidP="00595DDE">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Within this </w:t>
      </w:r>
      <w:proofErr w:type="gramStart"/>
      <w:r w:rsidRPr="00236568">
        <w:rPr>
          <w:rFonts w:ascii="Times New Roman" w:hAnsi="Times New Roman"/>
          <w:color w:val="000000"/>
          <w:sz w:val="24"/>
          <w:szCs w:val="24"/>
          <w:lang w:eastAsia="lv-LV"/>
        </w:rPr>
        <w:t>heading</w:t>
      </w:r>
      <w:proofErr w:type="gramEnd"/>
      <w:r w:rsidRPr="00236568">
        <w:rPr>
          <w:rFonts w:ascii="Times New Roman" w:hAnsi="Times New Roman"/>
          <w:color w:val="000000"/>
          <w:sz w:val="24"/>
          <w:szCs w:val="24"/>
          <w:lang w:eastAsia="lv-LV"/>
        </w:rPr>
        <w:t xml:space="preserve"> direction there are activities defined that improve access to finance, by removing the obstacles identified, as well as providing a more efficient use of state aid instruments.</w:t>
      </w:r>
    </w:p>
    <w:p w14:paraId="429A9D07" w14:textId="77777777" w:rsidR="00B60D4C" w:rsidRPr="00236568" w:rsidRDefault="00B60D4C" w:rsidP="00BF7917">
      <w:pPr>
        <w:spacing w:after="0" w:line="240" w:lineRule="auto"/>
        <w:jc w:val="both"/>
        <w:rPr>
          <w:rFonts w:ascii="Times New Roman" w:hAnsi="Times New Roman"/>
          <w:color w:val="000000"/>
          <w:sz w:val="24"/>
          <w:szCs w:val="24"/>
          <w:lang w:eastAsia="lv-LV"/>
        </w:rPr>
      </w:pPr>
    </w:p>
    <w:p w14:paraId="4086F90C" w14:textId="4EBF1795"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In </w:t>
      </w:r>
      <w:proofErr w:type="gramStart"/>
      <w:r w:rsidRPr="00236568">
        <w:rPr>
          <w:rFonts w:ascii="Times New Roman" w:hAnsi="Times New Roman"/>
          <w:color w:val="000000"/>
          <w:sz w:val="24"/>
          <w:szCs w:val="24"/>
          <w:lang w:eastAsia="lv-LV"/>
        </w:rPr>
        <w:t>bank</w:t>
      </w:r>
      <w:proofErr w:type="gramEnd"/>
      <w:r w:rsidRPr="00236568">
        <w:rPr>
          <w:rFonts w:ascii="Times New Roman" w:hAnsi="Times New Roman"/>
          <w:color w:val="000000"/>
          <w:sz w:val="24"/>
          <w:szCs w:val="24"/>
          <w:lang w:eastAsia="lv-LV"/>
        </w:rPr>
        <w:t xml:space="preserve"> lending there is a market gap in the extent to which companies that wish to receive funding </w:t>
      </w:r>
      <w:r w:rsidR="00FD4234">
        <w:rPr>
          <w:rFonts w:ascii="Times New Roman" w:hAnsi="Times New Roman"/>
          <w:color w:val="000000"/>
          <w:sz w:val="24"/>
          <w:szCs w:val="24"/>
          <w:lang w:eastAsia="lv-LV"/>
        </w:rPr>
        <w:t>are</w:t>
      </w:r>
      <w:r w:rsidR="00FD4234"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refused for credit risk and profitability reasons, and it particularly affects small companies and start-ups. Lack of credit history and high administrative costs would be prohibitive to lend small amounts, and the insufficient capital to co-finance, precautionary attitude with regard to debt </w:t>
      </w:r>
      <w:r w:rsidR="00FD61C3">
        <w:rPr>
          <w:rFonts w:ascii="Times New Roman" w:hAnsi="Times New Roman"/>
          <w:color w:val="000000"/>
          <w:sz w:val="24"/>
          <w:szCs w:val="24"/>
          <w:lang w:eastAsia="lv-LV"/>
        </w:rPr>
        <w:t xml:space="preserve">of </w:t>
      </w:r>
      <w:r w:rsidRPr="00236568">
        <w:rPr>
          <w:rFonts w:ascii="Times New Roman" w:hAnsi="Times New Roman"/>
          <w:color w:val="000000"/>
          <w:sz w:val="24"/>
          <w:szCs w:val="24"/>
          <w:lang w:eastAsia="lv-LV"/>
        </w:rPr>
        <w:t>small and medium businesses and an increase in the informal economy are the main factors that negatively affect the banks' loan growth. The estimated total amount demand for bank loans for which the market does not cover in the sector is estimated at around 381-698 million euro</w:t>
      </w:r>
      <w:r w:rsidRPr="00236568">
        <w:rPr>
          <w:rStyle w:val="FootnoteReference"/>
          <w:rFonts w:ascii="Times New Roman" w:hAnsi="Times New Roman"/>
          <w:color w:val="000000"/>
          <w:sz w:val="24"/>
          <w:szCs w:val="24"/>
          <w:lang w:eastAsia="lv-LV"/>
        </w:rPr>
        <w:footnoteReference w:id="12"/>
      </w:r>
      <w:r w:rsidRPr="00236568">
        <w:rPr>
          <w:rFonts w:ascii="Times New Roman" w:hAnsi="Times New Roman"/>
          <w:color w:val="000000"/>
          <w:sz w:val="24"/>
          <w:szCs w:val="24"/>
          <w:lang w:eastAsia="lv-LV"/>
        </w:rPr>
        <w:t>.</w:t>
      </w:r>
    </w:p>
    <w:p w14:paraId="150D2398" w14:textId="77777777" w:rsidR="00B60D4C" w:rsidRPr="00236568" w:rsidRDefault="00B60D4C">
      <w:pPr>
        <w:spacing w:after="0" w:line="240" w:lineRule="auto"/>
        <w:jc w:val="both"/>
        <w:rPr>
          <w:rFonts w:ascii="Times New Roman" w:hAnsi="Times New Roman"/>
          <w:color w:val="000000"/>
          <w:sz w:val="24"/>
          <w:szCs w:val="24"/>
          <w:lang w:eastAsia="lv-LV"/>
        </w:rPr>
      </w:pPr>
    </w:p>
    <w:p w14:paraId="341B36B7" w14:textId="13F89B41"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With regard to access to </w:t>
      </w:r>
      <w:proofErr w:type="gramStart"/>
      <w:r w:rsidRPr="00236568">
        <w:rPr>
          <w:rFonts w:ascii="Times New Roman" w:hAnsi="Times New Roman"/>
          <w:color w:val="000000"/>
          <w:sz w:val="24"/>
          <w:szCs w:val="24"/>
          <w:lang w:eastAsia="lv-LV"/>
        </w:rPr>
        <w:t>finance</w:t>
      </w:r>
      <w:proofErr w:type="gramEnd"/>
      <w:r w:rsidRPr="00236568">
        <w:rPr>
          <w:rFonts w:ascii="Times New Roman" w:hAnsi="Times New Roman"/>
          <w:color w:val="000000"/>
          <w:sz w:val="24"/>
          <w:szCs w:val="24"/>
          <w:lang w:eastAsia="lv-LV"/>
        </w:rPr>
        <w:t xml:space="preserve"> it is found that small and medium-sized enterprises are not sufficiently informed about availability </w:t>
      </w:r>
      <w:r w:rsidR="00CE47B1">
        <w:rPr>
          <w:rFonts w:ascii="Times New Roman" w:hAnsi="Times New Roman"/>
          <w:color w:val="000000"/>
          <w:sz w:val="24"/>
          <w:szCs w:val="24"/>
          <w:lang w:eastAsia="lv-LV"/>
        </w:rPr>
        <w:t xml:space="preserve">of </w:t>
      </w:r>
      <w:r w:rsidRPr="00236568">
        <w:rPr>
          <w:rFonts w:ascii="Times New Roman" w:hAnsi="Times New Roman"/>
          <w:color w:val="000000"/>
          <w:sz w:val="24"/>
          <w:szCs w:val="24"/>
          <w:lang w:eastAsia="lv-LV"/>
        </w:rPr>
        <w:t>various state aid programs, which are being introduced in the form of financial instruments, particularly for micro-businesses and companies in the early stage of development. In addition, lack of good corporate governance and circumstances that young entrepreneurs lack a general understanding of the types of financing is an important factor that negatively affects the potential capital investors. The newly established business and micro-enterprise managers often lack the overall level of financial literacy, which complicates the financing providers that the company's evaluation.</w:t>
      </w:r>
    </w:p>
    <w:p w14:paraId="130EE2AD" w14:textId="77777777" w:rsidR="00B60D4C" w:rsidRPr="00236568" w:rsidRDefault="00B60D4C">
      <w:pPr>
        <w:spacing w:after="0" w:line="240" w:lineRule="auto"/>
        <w:jc w:val="both"/>
        <w:rPr>
          <w:rFonts w:ascii="Times New Roman" w:hAnsi="Times New Roman"/>
          <w:color w:val="000000"/>
          <w:sz w:val="24"/>
          <w:szCs w:val="24"/>
          <w:lang w:eastAsia="lv-LV"/>
        </w:rPr>
      </w:pPr>
    </w:p>
    <w:p w14:paraId="3D1AB24E" w14:textId="77777777"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For micro-financing sector the assessment identified the following market shortcomings: high costs for banks; lack of sufficient collateral in micro enterprises; high risk, namely the finance providers consider micro loans to be risky business; micro businesses are not sufficiently informed about the micro-financing capabilities.</w:t>
      </w:r>
    </w:p>
    <w:p w14:paraId="443741AA" w14:textId="77777777" w:rsidR="00B60D4C" w:rsidRPr="00236568" w:rsidRDefault="00B60D4C">
      <w:pPr>
        <w:spacing w:after="0" w:line="240" w:lineRule="auto"/>
        <w:jc w:val="both"/>
        <w:rPr>
          <w:rFonts w:ascii="Times New Roman" w:hAnsi="Times New Roman"/>
          <w:color w:val="000000"/>
          <w:sz w:val="24"/>
          <w:szCs w:val="24"/>
          <w:lang w:eastAsia="lv-LV"/>
        </w:rPr>
      </w:pPr>
    </w:p>
    <w:p w14:paraId="16DEDCBE" w14:textId="77777777"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The estimated total amount for which the market does not cover the demand for micro-finance sector is estimated at around 163-184 million euros</w:t>
      </w:r>
      <w:r w:rsidRPr="00236568">
        <w:rPr>
          <w:rStyle w:val="FootnoteReference"/>
          <w:rFonts w:ascii="Times New Roman" w:hAnsi="Times New Roman"/>
          <w:color w:val="000000"/>
          <w:sz w:val="24"/>
          <w:szCs w:val="24"/>
          <w:lang w:eastAsia="lv-LV"/>
        </w:rPr>
        <w:footnoteReference w:id="13"/>
      </w:r>
      <w:r w:rsidRPr="00236568">
        <w:rPr>
          <w:rFonts w:ascii="Times New Roman" w:hAnsi="Times New Roman"/>
          <w:color w:val="000000"/>
          <w:sz w:val="24"/>
          <w:szCs w:val="24"/>
          <w:lang w:eastAsia="lv-LV"/>
        </w:rPr>
        <w:t>.</w:t>
      </w:r>
    </w:p>
    <w:p w14:paraId="33DB38BF" w14:textId="77777777" w:rsidR="00080568" w:rsidRPr="00236568" w:rsidRDefault="00080568">
      <w:pPr>
        <w:spacing w:after="0" w:line="240" w:lineRule="auto"/>
        <w:jc w:val="both"/>
        <w:rPr>
          <w:rFonts w:ascii="Times New Roman" w:hAnsi="Times New Roman"/>
          <w:color w:val="000000"/>
          <w:sz w:val="24"/>
          <w:szCs w:val="24"/>
          <w:lang w:eastAsia="lv-LV"/>
        </w:rPr>
      </w:pPr>
    </w:p>
    <w:p w14:paraId="761B550F" w14:textId="4368C436" w:rsidR="00080568" w:rsidRPr="00236568" w:rsidRDefault="002362C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Significant improvement</w:t>
      </w:r>
      <w:r w:rsidR="00080568" w:rsidRPr="00236568">
        <w:rPr>
          <w:rFonts w:ascii="Times New Roman" w:hAnsi="Times New Roman"/>
          <w:color w:val="000000"/>
          <w:sz w:val="24"/>
          <w:szCs w:val="24"/>
          <w:lang w:eastAsia="lv-LV"/>
        </w:rPr>
        <w:t xml:space="preserve"> in </w:t>
      </w:r>
      <w:r w:rsidRPr="00236568">
        <w:rPr>
          <w:rFonts w:ascii="Times New Roman" w:hAnsi="Times New Roman"/>
          <w:color w:val="000000"/>
          <w:sz w:val="24"/>
          <w:szCs w:val="24"/>
          <w:lang w:eastAsia="lv-LV"/>
        </w:rPr>
        <w:t>business</w:t>
      </w:r>
      <w:r w:rsidR="00080568" w:rsidRPr="00236568">
        <w:rPr>
          <w:rFonts w:ascii="Times New Roman" w:hAnsi="Times New Roman"/>
          <w:color w:val="000000"/>
          <w:sz w:val="24"/>
          <w:szCs w:val="24"/>
          <w:lang w:eastAsia="lv-LV"/>
        </w:rPr>
        <w:t xml:space="preserve"> development</w:t>
      </w:r>
      <w:r w:rsidRPr="00236568">
        <w:rPr>
          <w:rFonts w:ascii="Times New Roman" w:hAnsi="Times New Roman"/>
          <w:color w:val="000000"/>
          <w:sz w:val="24"/>
          <w:szCs w:val="24"/>
          <w:lang w:eastAsia="lv-LV"/>
        </w:rPr>
        <w:t>,</w:t>
      </w:r>
      <w:r w:rsidR="00080568" w:rsidRPr="00236568">
        <w:rPr>
          <w:rFonts w:ascii="Times New Roman" w:hAnsi="Times New Roman"/>
          <w:color w:val="000000"/>
          <w:sz w:val="24"/>
          <w:szCs w:val="24"/>
          <w:lang w:eastAsia="lv-LV"/>
        </w:rPr>
        <w:t xml:space="preserve"> strengthening capitalization, as well as attracting investment</w:t>
      </w:r>
      <w:r w:rsidRPr="00236568">
        <w:rPr>
          <w:rFonts w:ascii="Times New Roman" w:hAnsi="Times New Roman"/>
          <w:color w:val="000000"/>
          <w:sz w:val="24"/>
          <w:szCs w:val="24"/>
          <w:lang w:eastAsia="lv-LV"/>
        </w:rPr>
        <w:t xml:space="preserve">, </w:t>
      </w:r>
      <w:proofErr w:type="gramStart"/>
      <w:r w:rsidRPr="00236568">
        <w:rPr>
          <w:rFonts w:ascii="Times New Roman" w:hAnsi="Times New Roman"/>
          <w:color w:val="000000"/>
          <w:sz w:val="24"/>
          <w:szCs w:val="24"/>
          <w:lang w:eastAsia="lv-LV"/>
        </w:rPr>
        <w:t>could</w:t>
      </w:r>
      <w:r w:rsidR="00080568"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be achieved</w:t>
      </w:r>
      <w:proofErr w:type="gramEnd"/>
      <w:r w:rsidRPr="00236568">
        <w:rPr>
          <w:rFonts w:ascii="Times New Roman" w:hAnsi="Times New Roman"/>
          <w:color w:val="000000"/>
          <w:sz w:val="24"/>
          <w:szCs w:val="24"/>
          <w:lang w:eastAsia="lv-LV"/>
        </w:rPr>
        <w:t xml:space="preserve"> by</w:t>
      </w:r>
      <w:r w:rsidR="00080568"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the reforms of</w:t>
      </w:r>
      <w:r w:rsidR="00080568" w:rsidRPr="00236568">
        <w:rPr>
          <w:rFonts w:ascii="Times New Roman" w:hAnsi="Times New Roman"/>
          <w:color w:val="000000"/>
          <w:sz w:val="24"/>
          <w:szCs w:val="24"/>
          <w:lang w:eastAsia="lv-LV"/>
        </w:rPr>
        <w:t xml:space="preserve"> tax framework </w:t>
      </w:r>
      <w:r w:rsidRPr="00236568">
        <w:rPr>
          <w:rFonts w:ascii="Times New Roman" w:hAnsi="Times New Roman"/>
          <w:color w:val="000000"/>
          <w:sz w:val="24"/>
          <w:szCs w:val="24"/>
          <w:lang w:eastAsia="lv-LV"/>
        </w:rPr>
        <w:t>by the proposal to</w:t>
      </w:r>
      <w:r w:rsidR="00080568"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exempt</w:t>
      </w:r>
      <w:r w:rsidR="00080568" w:rsidRPr="00236568">
        <w:rPr>
          <w:rFonts w:ascii="Times New Roman" w:hAnsi="Times New Roman"/>
          <w:color w:val="000000"/>
          <w:sz w:val="24"/>
          <w:szCs w:val="24"/>
          <w:lang w:eastAsia="lv-LV"/>
        </w:rPr>
        <w:t xml:space="preserve"> reinvested earnings from corporate income tax. </w:t>
      </w:r>
      <w:r w:rsidRPr="00236568">
        <w:rPr>
          <w:rFonts w:ascii="Times New Roman" w:hAnsi="Times New Roman"/>
          <w:color w:val="000000"/>
          <w:sz w:val="24"/>
          <w:szCs w:val="24"/>
          <w:lang w:eastAsia="lv-LV"/>
        </w:rPr>
        <w:t xml:space="preserve">The exemption of </w:t>
      </w:r>
      <w:proofErr w:type="gramStart"/>
      <w:r w:rsidRPr="00236568">
        <w:rPr>
          <w:rFonts w:ascii="Times New Roman" w:hAnsi="Times New Roman"/>
          <w:color w:val="000000"/>
          <w:sz w:val="24"/>
          <w:szCs w:val="24"/>
          <w:lang w:eastAsia="lv-LV"/>
        </w:rPr>
        <w:t>c</w:t>
      </w:r>
      <w:r w:rsidR="00080568" w:rsidRPr="00236568">
        <w:rPr>
          <w:rFonts w:ascii="Times New Roman" w:hAnsi="Times New Roman"/>
          <w:color w:val="000000"/>
          <w:sz w:val="24"/>
          <w:szCs w:val="24"/>
          <w:lang w:eastAsia="lv-LV"/>
        </w:rPr>
        <w:t>ompany reinvested</w:t>
      </w:r>
      <w:proofErr w:type="gramEnd"/>
      <w:r w:rsidR="00080568" w:rsidRPr="00236568">
        <w:rPr>
          <w:rFonts w:ascii="Times New Roman" w:hAnsi="Times New Roman"/>
          <w:color w:val="000000"/>
          <w:sz w:val="24"/>
          <w:szCs w:val="24"/>
          <w:lang w:eastAsia="lv-LV"/>
        </w:rPr>
        <w:t xml:space="preserve"> earnings from corporate income tax </w:t>
      </w:r>
      <w:r w:rsidRPr="00236568">
        <w:rPr>
          <w:rFonts w:ascii="Times New Roman" w:hAnsi="Times New Roman"/>
          <w:color w:val="000000"/>
          <w:sz w:val="24"/>
          <w:szCs w:val="24"/>
          <w:lang w:eastAsia="lv-LV"/>
        </w:rPr>
        <w:t>c</w:t>
      </w:r>
      <w:r w:rsidR="00080568" w:rsidRPr="00236568">
        <w:rPr>
          <w:rFonts w:ascii="Times New Roman" w:hAnsi="Times New Roman"/>
          <w:color w:val="000000"/>
          <w:sz w:val="24"/>
          <w:szCs w:val="24"/>
          <w:lang w:eastAsia="lv-LV"/>
        </w:rPr>
        <w:t xml:space="preserve">ould also improve the availability of bank loans as </w:t>
      </w:r>
      <w:r w:rsidRPr="00236568">
        <w:rPr>
          <w:rFonts w:ascii="Times New Roman" w:hAnsi="Times New Roman"/>
          <w:color w:val="000000"/>
          <w:sz w:val="24"/>
          <w:szCs w:val="24"/>
          <w:lang w:eastAsia="lv-LV"/>
        </w:rPr>
        <w:t>the</w:t>
      </w:r>
      <w:r w:rsidR="00080568" w:rsidRPr="00236568">
        <w:rPr>
          <w:rFonts w:ascii="Times New Roman" w:hAnsi="Times New Roman"/>
          <w:color w:val="000000"/>
          <w:sz w:val="24"/>
          <w:szCs w:val="24"/>
          <w:lang w:eastAsia="lv-LV"/>
        </w:rPr>
        <w:t xml:space="preserve"> incentive to manipulate earnings declaration in order to avoid tax evasion</w:t>
      </w:r>
      <w:r w:rsidRPr="00236568">
        <w:rPr>
          <w:rFonts w:ascii="Times New Roman" w:hAnsi="Times New Roman"/>
          <w:color w:val="000000"/>
          <w:sz w:val="24"/>
          <w:szCs w:val="24"/>
          <w:lang w:eastAsia="lv-LV"/>
        </w:rPr>
        <w:t xml:space="preserve"> will cease</w:t>
      </w:r>
      <w:r w:rsidR="00080568" w:rsidRPr="00236568">
        <w:rPr>
          <w:rFonts w:ascii="Times New Roman" w:hAnsi="Times New Roman"/>
          <w:color w:val="000000"/>
          <w:sz w:val="24"/>
          <w:szCs w:val="24"/>
          <w:lang w:eastAsia="lv-LV"/>
        </w:rPr>
        <w:t xml:space="preserve">, as well as strengthen the company's own capital base. This </w:t>
      </w:r>
      <w:r w:rsidR="00444336" w:rsidRPr="00236568">
        <w:rPr>
          <w:rFonts w:ascii="Times New Roman" w:hAnsi="Times New Roman"/>
          <w:color w:val="000000"/>
          <w:sz w:val="24"/>
          <w:szCs w:val="24"/>
          <w:lang w:eastAsia="lv-LV"/>
        </w:rPr>
        <w:t xml:space="preserve">could </w:t>
      </w:r>
      <w:r w:rsidR="00080568" w:rsidRPr="00236568">
        <w:rPr>
          <w:rFonts w:ascii="Times New Roman" w:hAnsi="Times New Roman"/>
          <w:color w:val="000000"/>
          <w:sz w:val="24"/>
          <w:szCs w:val="24"/>
          <w:lang w:eastAsia="lv-LV"/>
        </w:rPr>
        <w:t xml:space="preserve">encourage companies to operate in the legal economy, while banks </w:t>
      </w:r>
      <w:r w:rsidR="00444336" w:rsidRPr="00236568">
        <w:rPr>
          <w:rFonts w:ascii="Times New Roman" w:hAnsi="Times New Roman"/>
          <w:color w:val="000000"/>
          <w:sz w:val="24"/>
          <w:szCs w:val="24"/>
          <w:lang w:eastAsia="lv-LV"/>
        </w:rPr>
        <w:t>could have</w:t>
      </w:r>
      <w:r w:rsidR="00080568" w:rsidRPr="00236568">
        <w:rPr>
          <w:rFonts w:ascii="Times New Roman" w:hAnsi="Times New Roman"/>
          <w:color w:val="000000"/>
          <w:sz w:val="24"/>
          <w:szCs w:val="24"/>
          <w:lang w:eastAsia="lv-LV"/>
        </w:rPr>
        <w:t xml:space="preserve"> </w:t>
      </w:r>
      <w:r w:rsidR="00444336" w:rsidRPr="00236568">
        <w:rPr>
          <w:rFonts w:ascii="Times New Roman" w:hAnsi="Times New Roman"/>
          <w:color w:val="000000"/>
          <w:sz w:val="24"/>
          <w:szCs w:val="24"/>
          <w:lang w:eastAsia="lv-LV"/>
        </w:rPr>
        <w:t xml:space="preserve">an </w:t>
      </w:r>
      <w:r w:rsidR="00080568" w:rsidRPr="00236568">
        <w:rPr>
          <w:rFonts w:ascii="Times New Roman" w:hAnsi="Times New Roman"/>
          <w:color w:val="000000"/>
          <w:sz w:val="24"/>
          <w:szCs w:val="24"/>
          <w:lang w:eastAsia="lv-LV"/>
        </w:rPr>
        <w:t>opportunity to lend</w:t>
      </w:r>
      <w:r w:rsidR="00444336" w:rsidRPr="00236568">
        <w:rPr>
          <w:rFonts w:ascii="Times New Roman" w:hAnsi="Times New Roman"/>
          <w:color w:val="000000"/>
          <w:sz w:val="24"/>
          <w:szCs w:val="24"/>
          <w:lang w:eastAsia="lv-LV"/>
        </w:rPr>
        <w:t xml:space="preserve"> more</w:t>
      </w:r>
      <w:r w:rsidR="00080568" w:rsidRPr="00236568">
        <w:rPr>
          <w:rFonts w:ascii="Times New Roman" w:hAnsi="Times New Roman"/>
          <w:color w:val="000000"/>
          <w:sz w:val="24"/>
          <w:szCs w:val="24"/>
          <w:lang w:eastAsia="lv-LV"/>
        </w:rPr>
        <w:t xml:space="preserve"> to these businesses.</w:t>
      </w:r>
    </w:p>
    <w:p w14:paraId="7EC73186" w14:textId="77777777" w:rsidR="00B60D4C" w:rsidRPr="00236568" w:rsidRDefault="00B60D4C">
      <w:pPr>
        <w:spacing w:after="0" w:line="240" w:lineRule="auto"/>
        <w:jc w:val="both"/>
        <w:rPr>
          <w:rFonts w:ascii="Times New Roman" w:hAnsi="Times New Roman"/>
          <w:color w:val="000000"/>
          <w:sz w:val="24"/>
          <w:szCs w:val="24"/>
          <w:lang w:eastAsia="lv-LV"/>
        </w:rPr>
      </w:pPr>
    </w:p>
    <w:p w14:paraId="3AC3CCFA" w14:textId="6240E020"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As an important platform for access to funding is the European Strategic Investment Fund (EFSI), which </w:t>
      </w:r>
      <w:proofErr w:type="gramStart"/>
      <w:r w:rsidRPr="00236568">
        <w:rPr>
          <w:rFonts w:ascii="Times New Roman" w:hAnsi="Times New Roman"/>
          <w:color w:val="000000"/>
          <w:sz w:val="24"/>
          <w:szCs w:val="24"/>
          <w:lang w:eastAsia="lv-LV"/>
        </w:rPr>
        <w:t>is established</w:t>
      </w:r>
      <w:proofErr w:type="gramEnd"/>
      <w:r w:rsidRPr="00236568">
        <w:rPr>
          <w:rFonts w:ascii="Times New Roman" w:hAnsi="Times New Roman"/>
          <w:color w:val="000000"/>
          <w:sz w:val="24"/>
          <w:szCs w:val="24"/>
          <w:lang w:eastAsia="lv-LV"/>
        </w:rPr>
        <w:t xml:space="preserve"> in 2015 with the aim to mobilize investment</w:t>
      </w:r>
      <w:r w:rsidR="00752C2C">
        <w:rPr>
          <w:rFonts w:ascii="Times New Roman" w:hAnsi="Times New Roman"/>
          <w:color w:val="000000"/>
          <w:sz w:val="24"/>
          <w:szCs w:val="24"/>
          <w:lang w:eastAsia="lv-LV"/>
        </w:rPr>
        <w:t xml:space="preserve"> of</w:t>
      </w:r>
      <w:r w:rsidRPr="00236568">
        <w:rPr>
          <w:rFonts w:ascii="Times New Roman" w:hAnsi="Times New Roman"/>
          <w:color w:val="000000"/>
          <w:sz w:val="24"/>
          <w:szCs w:val="24"/>
          <w:lang w:eastAsia="lv-LV"/>
        </w:rPr>
        <w:t xml:space="preserve"> 315 billion euro</w:t>
      </w:r>
      <w:r w:rsidR="00752C2C">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w:t>
      </w:r>
      <w:r w:rsidR="00752C2C">
        <w:rPr>
          <w:rFonts w:ascii="Times New Roman" w:hAnsi="Times New Roman"/>
          <w:color w:val="000000"/>
          <w:sz w:val="24"/>
          <w:szCs w:val="24"/>
          <w:lang w:eastAsia="lv-LV"/>
        </w:rPr>
        <w:t xml:space="preserve">The </w:t>
      </w:r>
      <w:r w:rsidRPr="00236568">
        <w:rPr>
          <w:rFonts w:ascii="Times New Roman" w:hAnsi="Times New Roman"/>
          <w:color w:val="000000"/>
          <w:sz w:val="24"/>
          <w:szCs w:val="24"/>
          <w:lang w:eastAsia="lv-LV"/>
        </w:rPr>
        <w:t xml:space="preserve">EFSI provides financing to attract private sector investment, further investment financing through loans, equity investments and guarantees financial instruments. </w:t>
      </w:r>
      <w:proofErr w:type="gramStart"/>
      <w:r w:rsidRPr="00236568">
        <w:rPr>
          <w:rFonts w:ascii="Times New Roman" w:hAnsi="Times New Roman"/>
          <w:color w:val="000000"/>
          <w:sz w:val="24"/>
          <w:szCs w:val="24"/>
          <w:lang w:eastAsia="lv-LV"/>
        </w:rPr>
        <w:t>EFSI investments are administered by international institutions - the European Investment Bank (EIB) and the European Investment Fund (EIF)</w:t>
      </w:r>
      <w:proofErr w:type="gramEnd"/>
      <w:r w:rsidRPr="00236568">
        <w:rPr>
          <w:rFonts w:ascii="Times New Roman" w:hAnsi="Times New Roman"/>
          <w:color w:val="000000"/>
          <w:sz w:val="24"/>
          <w:szCs w:val="24"/>
          <w:lang w:eastAsia="lv-LV"/>
        </w:rPr>
        <w:t xml:space="preserve">. With the </w:t>
      </w:r>
      <w:proofErr w:type="gramStart"/>
      <w:r w:rsidR="006D2BC2" w:rsidRPr="00236568">
        <w:rPr>
          <w:rFonts w:ascii="Times New Roman" w:hAnsi="Times New Roman"/>
          <w:color w:val="000000"/>
          <w:sz w:val="24"/>
          <w:szCs w:val="24"/>
          <w:lang w:eastAsia="lv-LV"/>
        </w:rPr>
        <w:t>EFS</w:t>
      </w:r>
      <w:r w:rsidR="006D2BC2">
        <w:rPr>
          <w:rFonts w:ascii="Times New Roman" w:hAnsi="Times New Roman"/>
          <w:color w:val="000000"/>
          <w:sz w:val="24"/>
          <w:szCs w:val="24"/>
          <w:lang w:eastAsia="lv-LV"/>
        </w:rPr>
        <w:t>I</w:t>
      </w:r>
      <w:proofErr w:type="gramEnd"/>
      <w:r w:rsidR="006D2BC2"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investment </w:t>
      </w:r>
      <w:r w:rsidR="00AA015B">
        <w:rPr>
          <w:rFonts w:ascii="Times New Roman" w:hAnsi="Times New Roman"/>
          <w:color w:val="000000"/>
          <w:sz w:val="24"/>
          <w:szCs w:val="24"/>
          <w:lang w:eastAsia="lv-LV"/>
        </w:rPr>
        <w:t xml:space="preserve">there is a </w:t>
      </w:r>
      <w:r w:rsidRPr="00236568">
        <w:rPr>
          <w:rFonts w:ascii="Times New Roman" w:hAnsi="Times New Roman"/>
          <w:color w:val="000000"/>
          <w:sz w:val="24"/>
          <w:szCs w:val="24"/>
          <w:lang w:eastAsia="lv-LV"/>
        </w:rPr>
        <w:t xml:space="preserve">potential to assume higher investment risk than those currently offered by the EIB or the EIF financial instruments. </w:t>
      </w:r>
      <w:proofErr w:type="gramStart"/>
      <w:r w:rsidR="00E10CA7">
        <w:rPr>
          <w:rFonts w:ascii="Times New Roman" w:hAnsi="Times New Roman"/>
          <w:color w:val="000000"/>
          <w:sz w:val="24"/>
          <w:szCs w:val="24"/>
          <w:lang w:eastAsia="lv-LV"/>
        </w:rPr>
        <w:t xml:space="preserve">The </w:t>
      </w:r>
      <w:r w:rsidRPr="00236568">
        <w:rPr>
          <w:rFonts w:ascii="Times New Roman" w:hAnsi="Times New Roman"/>
          <w:color w:val="000000"/>
          <w:sz w:val="24"/>
          <w:szCs w:val="24"/>
          <w:lang w:eastAsia="lv-LV"/>
        </w:rPr>
        <w:t>EFSI investment is investing in projects of the European Union policy priority areas - infrastructure, including transport, energy (including interconnections), digital infrastructure, education and training, health care, research and development, innovation, information and communication technologies, renewable energy development, energy and economical resource use, infrastructure projects, environment, natural resources, urban and social development by providing support in the form of financial instruments for small enterprises (employing fewer than 250 employees) or medium-sized enterprises (up to 3000 employees), including working capital financing</w:t>
      </w:r>
      <w:r w:rsidRPr="00236568">
        <w:rPr>
          <w:rStyle w:val="FootnoteReference"/>
          <w:rFonts w:ascii="Times New Roman" w:hAnsi="Times New Roman"/>
          <w:color w:val="000000"/>
          <w:sz w:val="24"/>
          <w:szCs w:val="24"/>
          <w:lang w:eastAsia="lv-LV"/>
        </w:rPr>
        <w:footnoteReference w:id="14"/>
      </w:r>
      <w:r w:rsidRPr="00236568">
        <w:rPr>
          <w:rFonts w:ascii="Times New Roman" w:hAnsi="Times New Roman"/>
          <w:color w:val="000000"/>
          <w:sz w:val="24"/>
          <w:szCs w:val="24"/>
          <w:lang w:eastAsia="lv-LV"/>
        </w:rPr>
        <w:t>.</w:t>
      </w:r>
      <w:proofErr w:type="gramEnd"/>
    </w:p>
    <w:p w14:paraId="049B70DC" w14:textId="77777777" w:rsidR="00B60D4C" w:rsidRPr="00236568" w:rsidRDefault="00B60D4C">
      <w:pPr>
        <w:spacing w:after="0" w:line="240" w:lineRule="auto"/>
        <w:jc w:val="both"/>
        <w:rPr>
          <w:rFonts w:ascii="Times New Roman" w:hAnsi="Times New Roman"/>
          <w:color w:val="000000"/>
          <w:sz w:val="24"/>
          <w:szCs w:val="24"/>
          <w:lang w:eastAsia="lv-LV"/>
        </w:rPr>
      </w:pPr>
    </w:p>
    <w:p w14:paraId="5A4559D3" w14:textId="4DC09524"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To activate implementation of opportunities offered </w:t>
      </w:r>
      <w:r w:rsidR="00244480">
        <w:rPr>
          <w:rFonts w:ascii="Times New Roman" w:hAnsi="Times New Roman"/>
          <w:color w:val="000000"/>
          <w:sz w:val="24"/>
          <w:szCs w:val="24"/>
          <w:lang w:eastAsia="lv-LV"/>
        </w:rPr>
        <w:t xml:space="preserve">by the </w:t>
      </w:r>
      <w:r w:rsidRPr="00236568">
        <w:rPr>
          <w:rFonts w:ascii="Times New Roman" w:hAnsi="Times New Roman"/>
          <w:color w:val="000000"/>
          <w:sz w:val="24"/>
          <w:szCs w:val="24"/>
          <w:lang w:eastAsia="lv-LV"/>
        </w:rPr>
        <w:t xml:space="preserve">EFSI in Latvia, as well as to contribute to the future availability of financial instruments, the joint-stock company "Development of financial institution </w:t>
      </w:r>
      <w:proofErr w:type="spellStart"/>
      <w:r w:rsidRPr="00236568">
        <w:rPr>
          <w:rFonts w:ascii="Times New Roman" w:hAnsi="Times New Roman"/>
          <w:color w:val="000000"/>
          <w:sz w:val="24"/>
          <w:szCs w:val="24"/>
          <w:lang w:eastAsia="lv-LV"/>
        </w:rPr>
        <w:t>Altum</w:t>
      </w:r>
      <w:proofErr w:type="spellEnd"/>
      <w:r w:rsidRPr="00236568">
        <w:rPr>
          <w:rFonts w:ascii="Times New Roman" w:hAnsi="Times New Roman"/>
          <w:color w:val="000000"/>
          <w:sz w:val="24"/>
          <w:szCs w:val="24"/>
          <w:lang w:eastAsia="lv-LV"/>
        </w:rPr>
        <w:t xml:space="preserve">" </w:t>
      </w:r>
      <w:proofErr w:type="gramStart"/>
      <w:r w:rsidRPr="00236568">
        <w:rPr>
          <w:rFonts w:ascii="Times New Roman" w:hAnsi="Times New Roman"/>
          <w:color w:val="000000"/>
          <w:sz w:val="24"/>
          <w:szCs w:val="24"/>
          <w:lang w:eastAsia="lv-LV"/>
        </w:rPr>
        <w:t>is tasked</w:t>
      </w:r>
      <w:proofErr w:type="gramEnd"/>
      <w:r w:rsidRPr="00236568">
        <w:rPr>
          <w:rFonts w:ascii="Times New Roman" w:hAnsi="Times New Roman"/>
          <w:color w:val="000000"/>
          <w:sz w:val="24"/>
          <w:szCs w:val="24"/>
          <w:lang w:eastAsia="lv-LV"/>
        </w:rPr>
        <w:t xml:space="preserve"> </w:t>
      </w:r>
      <w:r w:rsidR="000617B9">
        <w:rPr>
          <w:rFonts w:ascii="Times New Roman" w:hAnsi="Times New Roman"/>
          <w:color w:val="000000"/>
          <w:sz w:val="24"/>
          <w:szCs w:val="24"/>
          <w:lang w:eastAsia="lv-LV"/>
        </w:rPr>
        <w:t xml:space="preserve">as a </w:t>
      </w:r>
      <w:r w:rsidRPr="00236568">
        <w:rPr>
          <w:rFonts w:ascii="Times New Roman" w:hAnsi="Times New Roman"/>
          <w:color w:val="000000"/>
          <w:sz w:val="24"/>
          <w:szCs w:val="24"/>
          <w:lang w:eastAsia="lv-LV"/>
        </w:rPr>
        <w:t xml:space="preserve">coordinating institution. The measures </w:t>
      </w:r>
      <w:r w:rsidR="004D2B90">
        <w:rPr>
          <w:rFonts w:ascii="Times New Roman" w:hAnsi="Times New Roman"/>
          <w:color w:val="000000"/>
          <w:sz w:val="24"/>
          <w:szCs w:val="24"/>
          <w:lang w:eastAsia="lv-LV"/>
        </w:rPr>
        <w:t xml:space="preserve">of the plan </w:t>
      </w:r>
      <w:r w:rsidRPr="00236568">
        <w:rPr>
          <w:rFonts w:ascii="Times New Roman" w:hAnsi="Times New Roman"/>
          <w:color w:val="000000"/>
          <w:sz w:val="24"/>
          <w:szCs w:val="24"/>
          <w:lang w:eastAsia="lv-LV"/>
        </w:rPr>
        <w:t xml:space="preserve">include activation of </w:t>
      </w:r>
      <w:r w:rsidR="00033024">
        <w:rPr>
          <w:rFonts w:ascii="Times New Roman" w:hAnsi="Times New Roman"/>
          <w:color w:val="000000"/>
          <w:sz w:val="24"/>
          <w:szCs w:val="24"/>
          <w:lang w:eastAsia="lv-LV"/>
        </w:rPr>
        <w:t xml:space="preserve">the </w:t>
      </w:r>
      <w:r w:rsidRPr="00236568">
        <w:rPr>
          <w:rFonts w:ascii="Times New Roman" w:hAnsi="Times New Roman"/>
          <w:color w:val="000000"/>
          <w:sz w:val="24"/>
          <w:szCs w:val="24"/>
          <w:lang w:eastAsia="lv-LV"/>
        </w:rPr>
        <w:t xml:space="preserve">EFSI support in Latvia, and determining certain </w:t>
      </w:r>
      <w:r w:rsidR="00033024">
        <w:rPr>
          <w:rFonts w:ascii="Times New Roman" w:hAnsi="Times New Roman"/>
          <w:color w:val="000000"/>
          <w:sz w:val="24"/>
          <w:szCs w:val="24"/>
          <w:lang w:eastAsia="lv-LV"/>
        </w:rPr>
        <w:t xml:space="preserve">measures </w:t>
      </w:r>
      <w:r w:rsidRPr="00236568">
        <w:rPr>
          <w:rFonts w:ascii="Times New Roman" w:hAnsi="Times New Roman"/>
          <w:color w:val="000000"/>
          <w:sz w:val="24"/>
          <w:szCs w:val="24"/>
          <w:lang w:eastAsia="lv-LV"/>
        </w:rPr>
        <w:t xml:space="preserve">for institutions involved </w:t>
      </w:r>
      <w:r w:rsidR="00033024">
        <w:rPr>
          <w:rFonts w:ascii="Times New Roman" w:hAnsi="Times New Roman"/>
          <w:color w:val="000000"/>
          <w:sz w:val="24"/>
          <w:szCs w:val="24"/>
          <w:lang w:eastAsia="lv-LV"/>
        </w:rPr>
        <w:t xml:space="preserve">in </w:t>
      </w:r>
      <w:r w:rsidRPr="00236568">
        <w:rPr>
          <w:rFonts w:ascii="Times New Roman" w:hAnsi="Times New Roman"/>
          <w:color w:val="000000"/>
          <w:sz w:val="24"/>
          <w:szCs w:val="24"/>
          <w:lang w:eastAsia="lv-LV"/>
        </w:rPr>
        <w:t>implementation of support</w:t>
      </w:r>
      <w:r w:rsidR="00444336" w:rsidRPr="00236568">
        <w:rPr>
          <w:rFonts w:ascii="Times New Roman" w:hAnsi="Times New Roman"/>
          <w:color w:val="000000"/>
          <w:sz w:val="24"/>
          <w:szCs w:val="24"/>
          <w:lang w:eastAsia="lv-LV"/>
        </w:rPr>
        <w:t>, including strengthening the capacity in investment project development.</w:t>
      </w:r>
    </w:p>
    <w:p w14:paraId="3193CC72" w14:textId="77777777" w:rsidR="00B60D4C" w:rsidRPr="00236568" w:rsidRDefault="00B60D4C" w:rsidP="00DE5FE5">
      <w:pPr>
        <w:spacing w:line="240" w:lineRule="auto"/>
      </w:pPr>
    </w:p>
    <w:p w14:paraId="0E16EE42" w14:textId="77777777" w:rsidR="00B60D4C" w:rsidRPr="00236568" w:rsidRDefault="00B60D4C" w:rsidP="00DE5FE5">
      <w:pPr>
        <w:spacing w:line="240" w:lineRule="auto"/>
      </w:pPr>
    </w:p>
    <w:p w14:paraId="20BF2056" w14:textId="560E8B53" w:rsidR="00B60D4C" w:rsidRPr="00236568" w:rsidRDefault="00444336" w:rsidP="00DE5FE5">
      <w:pPr>
        <w:pStyle w:val="Heading2"/>
        <w:spacing w:line="240" w:lineRule="auto"/>
      </w:pPr>
      <w:bookmarkStart w:id="17" w:name="_Toc479773684"/>
      <w:bookmarkStart w:id="18" w:name="_Toc479839718"/>
      <w:r w:rsidRPr="00236568">
        <w:t>1.</w:t>
      </w:r>
      <w:r w:rsidR="00B60D4C" w:rsidRPr="00236568">
        <w:t xml:space="preserve">3. The </w:t>
      </w:r>
      <w:r w:rsidR="00005F6C" w:rsidRPr="00236568">
        <w:t>C</w:t>
      </w:r>
      <w:r w:rsidR="00B60D4C" w:rsidRPr="00236568">
        <w:t>apital market sector</w:t>
      </w:r>
      <w:bookmarkEnd w:id="17"/>
      <w:bookmarkEnd w:id="18"/>
    </w:p>
    <w:p w14:paraId="5F484C39" w14:textId="022A8B20" w:rsidR="00B60D4C" w:rsidRPr="00236568" w:rsidRDefault="007C2EB8" w:rsidP="00BF7917">
      <w:pPr>
        <w:spacing w:after="0" w:line="240" w:lineRule="auto"/>
        <w:jc w:val="both"/>
      </w:pPr>
      <w:r>
        <w:rPr>
          <w:rFonts w:ascii="Times New Roman" w:hAnsi="Times New Roman"/>
          <w:color w:val="000000"/>
          <w:sz w:val="24"/>
          <w:szCs w:val="24"/>
          <w:lang w:eastAsia="lv-LV"/>
        </w:rPr>
        <w:t xml:space="preserve">The </w:t>
      </w:r>
      <w:r w:rsidR="00B60D4C" w:rsidRPr="00236568">
        <w:rPr>
          <w:rFonts w:ascii="Times New Roman" w:hAnsi="Times New Roman"/>
          <w:color w:val="000000"/>
          <w:sz w:val="24"/>
          <w:szCs w:val="24"/>
          <w:lang w:eastAsia="lv-LV"/>
        </w:rPr>
        <w:t xml:space="preserve">Latvian capital market has a modern market infrastructure provided by </w:t>
      </w:r>
      <w:r w:rsidR="00DF6BD0" w:rsidRPr="00236568">
        <w:rPr>
          <w:rFonts w:ascii="Times New Roman" w:hAnsi="Times New Roman"/>
          <w:color w:val="000000"/>
          <w:sz w:val="24"/>
          <w:szCs w:val="24"/>
          <w:lang w:eastAsia="lv-LV"/>
        </w:rPr>
        <w:t>N</w:t>
      </w:r>
      <w:r w:rsidR="00B60D4C" w:rsidRPr="00236568">
        <w:rPr>
          <w:rFonts w:ascii="Times New Roman" w:hAnsi="Times New Roman"/>
          <w:color w:val="000000"/>
          <w:sz w:val="24"/>
          <w:szCs w:val="24"/>
          <w:lang w:eastAsia="lv-LV"/>
        </w:rPr>
        <w:t xml:space="preserve">asdaq Riga and appropriate market regulation </w:t>
      </w:r>
      <w:r w:rsidR="00444336" w:rsidRPr="00236568">
        <w:rPr>
          <w:rFonts w:ascii="Times New Roman" w:hAnsi="Times New Roman"/>
          <w:color w:val="000000"/>
          <w:sz w:val="24"/>
          <w:szCs w:val="24"/>
          <w:lang w:eastAsia="lv-LV"/>
        </w:rPr>
        <w:t>according</w:t>
      </w:r>
      <w:r w:rsidR="00B60D4C" w:rsidRPr="00236568">
        <w:rPr>
          <w:rFonts w:ascii="Times New Roman" w:hAnsi="Times New Roman"/>
          <w:color w:val="000000"/>
          <w:sz w:val="24"/>
          <w:szCs w:val="24"/>
          <w:lang w:eastAsia="lv-LV"/>
        </w:rPr>
        <w:t xml:space="preserve"> to </w:t>
      </w:r>
      <w:r w:rsidR="00DF6BD0" w:rsidRPr="00236568">
        <w:rPr>
          <w:rFonts w:ascii="Times New Roman" w:hAnsi="Times New Roman"/>
          <w:color w:val="000000"/>
          <w:sz w:val="24"/>
          <w:szCs w:val="24"/>
          <w:lang w:eastAsia="lv-LV"/>
        </w:rPr>
        <w:t xml:space="preserve">the </w:t>
      </w:r>
      <w:r w:rsidR="00B60D4C" w:rsidRPr="00236568">
        <w:rPr>
          <w:rFonts w:ascii="Times New Roman" w:hAnsi="Times New Roman"/>
          <w:color w:val="000000"/>
          <w:sz w:val="24"/>
          <w:szCs w:val="24"/>
          <w:lang w:eastAsia="lv-LV"/>
        </w:rPr>
        <w:t>EU standards</w:t>
      </w:r>
      <w:r w:rsidR="00DF6BD0" w:rsidRPr="00236568">
        <w:rPr>
          <w:rFonts w:ascii="Times New Roman" w:hAnsi="Times New Roman"/>
          <w:color w:val="000000"/>
          <w:sz w:val="24"/>
          <w:szCs w:val="24"/>
          <w:lang w:eastAsia="lv-LV"/>
        </w:rPr>
        <w:t xml:space="preserve"> and constantly upgraded</w:t>
      </w:r>
      <w:r w:rsidR="00B60D4C" w:rsidRPr="00236568">
        <w:rPr>
          <w:rFonts w:ascii="Times New Roman" w:hAnsi="Times New Roman"/>
          <w:color w:val="000000"/>
          <w:sz w:val="24"/>
          <w:szCs w:val="24"/>
          <w:lang w:eastAsia="lv-LV"/>
        </w:rPr>
        <w:t xml:space="preserve">. The merger of Latvian, Lithuanian and Estonian capital market infrastructure for settlement and accession to European settlement platform TARGET2-Securities </w:t>
      </w:r>
      <w:proofErr w:type="gramStart"/>
      <w:r w:rsidR="00B60D4C" w:rsidRPr="00236568">
        <w:rPr>
          <w:rFonts w:ascii="Times New Roman" w:hAnsi="Times New Roman"/>
          <w:color w:val="000000"/>
          <w:sz w:val="24"/>
          <w:szCs w:val="24"/>
          <w:lang w:eastAsia="lv-LV"/>
        </w:rPr>
        <w:t>is scheduled</w:t>
      </w:r>
      <w:proofErr w:type="gramEnd"/>
      <w:r w:rsidR="00B60D4C" w:rsidRPr="00236568">
        <w:rPr>
          <w:rFonts w:ascii="Times New Roman" w:hAnsi="Times New Roman"/>
          <w:color w:val="000000"/>
          <w:sz w:val="24"/>
          <w:szCs w:val="24"/>
          <w:lang w:eastAsia="lv-LV"/>
        </w:rPr>
        <w:t xml:space="preserve"> for 2017- to facilitate integration into the common European securities market. Latvian total stock market capitalization reached 4% of GDP in 2013</w:t>
      </w:r>
      <w:r w:rsidR="00B60D4C" w:rsidRPr="00236568">
        <w:rPr>
          <w:rStyle w:val="FootnoteReference"/>
          <w:rFonts w:ascii="Times New Roman" w:hAnsi="Times New Roman"/>
          <w:color w:val="000000"/>
          <w:sz w:val="24"/>
          <w:szCs w:val="24"/>
          <w:lang w:eastAsia="lv-LV"/>
        </w:rPr>
        <w:footnoteReference w:id="15"/>
      </w:r>
      <w:r w:rsidR="00B60D4C" w:rsidRPr="00236568">
        <w:rPr>
          <w:rFonts w:ascii="Times New Roman" w:hAnsi="Times New Roman"/>
          <w:color w:val="000000"/>
          <w:sz w:val="24"/>
          <w:szCs w:val="24"/>
          <w:lang w:eastAsia="lv-LV"/>
        </w:rPr>
        <w:t xml:space="preserve">, which was the lowest rate among </w:t>
      </w:r>
      <w:r w:rsidR="00500283" w:rsidRPr="00236568">
        <w:rPr>
          <w:rFonts w:ascii="Times New Roman" w:hAnsi="Times New Roman"/>
          <w:color w:val="000000"/>
          <w:sz w:val="24"/>
          <w:szCs w:val="24"/>
          <w:lang w:eastAsia="lv-LV"/>
        </w:rPr>
        <w:t>the EU</w:t>
      </w:r>
      <w:r w:rsidR="00B60D4C" w:rsidRPr="00236568">
        <w:rPr>
          <w:rFonts w:ascii="Times New Roman" w:hAnsi="Times New Roman"/>
          <w:color w:val="000000"/>
          <w:sz w:val="24"/>
          <w:szCs w:val="24"/>
          <w:lang w:eastAsia="lv-LV"/>
        </w:rPr>
        <w:t xml:space="preserve"> member states (comparatively in </w:t>
      </w:r>
      <w:r w:rsidR="004A1AF2" w:rsidRPr="00236568">
        <w:rPr>
          <w:rFonts w:ascii="Times New Roman" w:hAnsi="Times New Roman"/>
          <w:color w:val="000000"/>
          <w:sz w:val="24"/>
          <w:szCs w:val="24"/>
          <w:lang w:eastAsia="lv-LV"/>
        </w:rPr>
        <w:t>neighbouring</w:t>
      </w:r>
      <w:r w:rsidR="00B60D4C" w:rsidRPr="00236568">
        <w:rPr>
          <w:rFonts w:ascii="Times New Roman" w:hAnsi="Times New Roman"/>
          <w:color w:val="000000"/>
          <w:sz w:val="24"/>
          <w:szCs w:val="24"/>
          <w:lang w:eastAsia="lv-LV"/>
        </w:rPr>
        <w:t xml:space="preserve"> countries: Lithuania, in 2013 this indicator was 8%, in Estonia - 10%</w:t>
      </w:r>
      <w:r w:rsidR="00B60D4C" w:rsidRPr="00236568">
        <w:rPr>
          <w:rStyle w:val="FootnoteReference"/>
          <w:rFonts w:ascii="Times New Roman" w:hAnsi="Times New Roman"/>
          <w:color w:val="000000"/>
          <w:sz w:val="24"/>
          <w:szCs w:val="24"/>
          <w:lang w:eastAsia="lv-LV"/>
        </w:rPr>
        <w:footnoteReference w:id="16"/>
      </w:r>
      <w:r w:rsidR="00B60D4C" w:rsidRPr="00236568">
        <w:rPr>
          <w:rFonts w:ascii="Times New Roman" w:hAnsi="Times New Roman"/>
          <w:color w:val="000000"/>
          <w:sz w:val="24"/>
          <w:szCs w:val="24"/>
          <w:lang w:eastAsia="lv-LV"/>
        </w:rPr>
        <w:t xml:space="preserve">), suggesting that in </w:t>
      </w:r>
      <w:r w:rsidR="004A1AF2">
        <w:rPr>
          <w:rFonts w:ascii="Times New Roman" w:hAnsi="Times New Roman"/>
          <w:color w:val="000000"/>
          <w:sz w:val="24"/>
          <w:szCs w:val="24"/>
          <w:lang w:eastAsia="lv-LV"/>
        </w:rPr>
        <w:t xml:space="preserve">the </w:t>
      </w:r>
      <w:r w:rsidR="00B60D4C" w:rsidRPr="00236568">
        <w:rPr>
          <w:rFonts w:ascii="Times New Roman" w:hAnsi="Times New Roman"/>
          <w:color w:val="000000"/>
          <w:sz w:val="24"/>
          <w:szCs w:val="24"/>
          <w:lang w:eastAsia="lv-LV"/>
        </w:rPr>
        <w:t>Baltic</w:t>
      </w:r>
      <w:r w:rsidR="004A1AF2">
        <w:rPr>
          <w:rFonts w:ascii="Times New Roman" w:hAnsi="Times New Roman"/>
          <w:color w:val="000000"/>
          <w:sz w:val="24"/>
          <w:szCs w:val="24"/>
          <w:lang w:eastAsia="lv-LV"/>
        </w:rPr>
        <w:t>s</w:t>
      </w:r>
      <w:r w:rsidR="00B60D4C" w:rsidRPr="00236568">
        <w:rPr>
          <w:rFonts w:ascii="Times New Roman" w:hAnsi="Times New Roman"/>
          <w:color w:val="000000"/>
          <w:sz w:val="24"/>
          <w:szCs w:val="24"/>
          <w:lang w:eastAsia="lv-LV"/>
        </w:rPr>
        <w:t xml:space="preserve"> the development of </w:t>
      </w:r>
      <w:r w:rsidR="00C44AA5">
        <w:rPr>
          <w:rFonts w:ascii="Times New Roman" w:hAnsi="Times New Roman"/>
          <w:color w:val="000000"/>
          <w:sz w:val="24"/>
          <w:szCs w:val="24"/>
          <w:lang w:eastAsia="lv-LV"/>
        </w:rPr>
        <w:t xml:space="preserve">the </w:t>
      </w:r>
      <w:r w:rsidR="00B60D4C" w:rsidRPr="00236568">
        <w:rPr>
          <w:rFonts w:ascii="Times New Roman" w:hAnsi="Times New Roman"/>
          <w:color w:val="000000"/>
          <w:sz w:val="24"/>
          <w:szCs w:val="24"/>
          <w:lang w:eastAsia="lv-LV"/>
        </w:rPr>
        <w:t>Latvian securities market is weaker.</w:t>
      </w:r>
    </w:p>
    <w:p w14:paraId="73A0FD65" w14:textId="77777777" w:rsidR="00B60D4C" w:rsidRPr="00236568" w:rsidRDefault="00B60D4C">
      <w:pPr>
        <w:spacing w:after="0" w:line="240" w:lineRule="auto"/>
        <w:jc w:val="both"/>
        <w:rPr>
          <w:rFonts w:ascii="Times New Roman" w:hAnsi="Times New Roman"/>
          <w:color w:val="000000"/>
          <w:sz w:val="24"/>
          <w:szCs w:val="24"/>
          <w:lang w:eastAsia="lv-LV"/>
        </w:rPr>
      </w:pPr>
    </w:p>
    <w:p w14:paraId="022611F8" w14:textId="55ADAB2A" w:rsidR="00B60D4C" w:rsidRPr="00236568" w:rsidRDefault="008A44D4">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 xml:space="preserve">The </w:t>
      </w:r>
      <w:r w:rsidR="00B60D4C" w:rsidRPr="00236568">
        <w:rPr>
          <w:rFonts w:ascii="Times New Roman" w:hAnsi="Times New Roman"/>
          <w:color w:val="000000"/>
          <w:sz w:val="24"/>
          <w:szCs w:val="24"/>
          <w:lang w:eastAsia="lv-LV"/>
        </w:rPr>
        <w:t xml:space="preserve">Latvian stock market capitalization or market value continues to grow gradually. At the end of 2015, </w:t>
      </w:r>
      <w:r w:rsidR="00DF6BD0" w:rsidRPr="00236568">
        <w:rPr>
          <w:rFonts w:ascii="Times New Roman" w:hAnsi="Times New Roman"/>
          <w:color w:val="000000"/>
          <w:sz w:val="24"/>
          <w:szCs w:val="24"/>
          <w:lang w:eastAsia="lv-LV"/>
        </w:rPr>
        <w:t xml:space="preserve">publicly traded </w:t>
      </w:r>
      <w:r w:rsidR="00B60D4C" w:rsidRPr="00236568">
        <w:rPr>
          <w:rFonts w:ascii="Times New Roman" w:hAnsi="Times New Roman"/>
          <w:color w:val="000000"/>
          <w:sz w:val="24"/>
          <w:szCs w:val="24"/>
          <w:lang w:eastAsia="lv-LV"/>
        </w:rPr>
        <w:t>securities</w:t>
      </w:r>
      <w:r w:rsidR="00DF6BD0" w:rsidRPr="00236568">
        <w:rPr>
          <w:rFonts w:ascii="Times New Roman" w:hAnsi="Times New Roman"/>
          <w:color w:val="000000"/>
          <w:sz w:val="24"/>
          <w:szCs w:val="24"/>
          <w:lang w:eastAsia="lv-LV"/>
        </w:rPr>
        <w:t xml:space="preserve"> that </w:t>
      </w:r>
      <w:proofErr w:type="gramStart"/>
      <w:r w:rsidR="00DF6BD0" w:rsidRPr="00236568">
        <w:rPr>
          <w:rFonts w:ascii="Times New Roman" w:hAnsi="Times New Roman"/>
          <w:color w:val="000000"/>
          <w:sz w:val="24"/>
          <w:szCs w:val="24"/>
          <w:lang w:eastAsia="lv-LV"/>
        </w:rPr>
        <w:t>are registered</w:t>
      </w:r>
      <w:proofErr w:type="gramEnd"/>
      <w:r w:rsidR="00DF6BD0" w:rsidRPr="00236568">
        <w:rPr>
          <w:rFonts w:ascii="Times New Roman" w:hAnsi="Times New Roman"/>
          <w:color w:val="000000"/>
          <w:sz w:val="24"/>
          <w:szCs w:val="24"/>
          <w:lang w:eastAsia="lv-LV"/>
        </w:rPr>
        <w:t xml:space="preserve"> in Latvia amounted to 3.18 billion euro</w:t>
      </w:r>
      <w:r w:rsidR="00DF6BD0" w:rsidRPr="00236568">
        <w:rPr>
          <w:rStyle w:val="FootnoteReference"/>
          <w:rFonts w:ascii="Times New Roman" w:hAnsi="Times New Roman"/>
          <w:color w:val="000000"/>
          <w:sz w:val="24"/>
          <w:szCs w:val="24"/>
          <w:lang w:eastAsia="lv-LV"/>
        </w:rPr>
        <w:footnoteReference w:id="17"/>
      </w:r>
      <w:r w:rsidR="00B60D4C" w:rsidRPr="00236568">
        <w:rPr>
          <w:rFonts w:ascii="Times New Roman" w:hAnsi="Times New Roman"/>
          <w:color w:val="000000"/>
          <w:sz w:val="24"/>
          <w:szCs w:val="24"/>
          <w:lang w:eastAsia="lv-LV"/>
        </w:rPr>
        <w:t xml:space="preserve"> in the total capitalization, </w:t>
      </w:r>
      <w:r w:rsidR="00DF6BD0" w:rsidRPr="00236568">
        <w:rPr>
          <w:rFonts w:ascii="Times New Roman" w:hAnsi="Times New Roman"/>
          <w:color w:val="000000"/>
          <w:sz w:val="24"/>
          <w:szCs w:val="24"/>
          <w:lang w:eastAsia="lv-LV"/>
        </w:rPr>
        <w:t>with growth by</w:t>
      </w:r>
      <w:r w:rsidR="00B60D4C" w:rsidRPr="00236568">
        <w:rPr>
          <w:rFonts w:ascii="Times New Roman" w:hAnsi="Times New Roman"/>
          <w:color w:val="000000"/>
          <w:sz w:val="24"/>
          <w:szCs w:val="24"/>
          <w:lang w:eastAsia="lv-LV"/>
        </w:rPr>
        <w:t xml:space="preserve"> 64% </w:t>
      </w:r>
      <w:r w:rsidR="00DF6BD0" w:rsidRPr="00236568">
        <w:rPr>
          <w:rFonts w:ascii="Times New Roman" w:hAnsi="Times New Roman"/>
          <w:color w:val="000000"/>
          <w:sz w:val="24"/>
          <w:szCs w:val="24"/>
          <w:lang w:eastAsia="lv-LV"/>
        </w:rPr>
        <w:t xml:space="preserve">as </w:t>
      </w:r>
      <w:r w:rsidR="00B60D4C" w:rsidRPr="00236568">
        <w:rPr>
          <w:rFonts w:ascii="Times New Roman" w:hAnsi="Times New Roman"/>
          <w:color w:val="000000"/>
          <w:sz w:val="24"/>
          <w:szCs w:val="24"/>
          <w:lang w:eastAsia="lv-LV"/>
        </w:rPr>
        <w:t>compared to 1.9 billion euro at the end of 2012</w:t>
      </w:r>
      <w:r w:rsidR="00B60D4C" w:rsidRPr="00236568">
        <w:rPr>
          <w:rStyle w:val="FootnoteReference"/>
          <w:rFonts w:ascii="Times New Roman" w:hAnsi="Times New Roman"/>
          <w:color w:val="000000"/>
          <w:sz w:val="24"/>
          <w:szCs w:val="24"/>
          <w:lang w:eastAsia="lv-LV"/>
        </w:rPr>
        <w:footnoteReference w:id="18"/>
      </w:r>
      <w:r w:rsidR="00B60D4C" w:rsidRPr="00236568">
        <w:rPr>
          <w:rFonts w:ascii="Times New Roman" w:hAnsi="Times New Roman"/>
          <w:color w:val="000000"/>
          <w:sz w:val="24"/>
          <w:szCs w:val="24"/>
          <w:lang w:eastAsia="lv-LV"/>
        </w:rPr>
        <w:t xml:space="preserve">. The largest share or 35.1% of the total market capitalization </w:t>
      </w:r>
      <w:proofErr w:type="gramStart"/>
      <w:r w:rsidR="00B60D4C" w:rsidRPr="00236568">
        <w:rPr>
          <w:rFonts w:ascii="Times New Roman" w:hAnsi="Times New Roman"/>
          <w:color w:val="000000"/>
          <w:sz w:val="24"/>
          <w:szCs w:val="24"/>
          <w:lang w:eastAsia="lv-LV"/>
        </w:rPr>
        <w:t>is still made up</w:t>
      </w:r>
      <w:proofErr w:type="gramEnd"/>
      <w:r w:rsidR="00B60D4C" w:rsidRPr="00236568">
        <w:rPr>
          <w:rFonts w:ascii="Times New Roman" w:hAnsi="Times New Roman"/>
          <w:color w:val="000000"/>
          <w:sz w:val="24"/>
          <w:szCs w:val="24"/>
          <w:lang w:eastAsia="lv-LV"/>
        </w:rPr>
        <w:t xml:space="preserve"> of public </w:t>
      </w:r>
      <w:r w:rsidR="00B60D4C" w:rsidRPr="00236568">
        <w:rPr>
          <w:rFonts w:ascii="Times New Roman" w:hAnsi="Times New Roman"/>
          <w:color w:val="000000"/>
          <w:sz w:val="24"/>
          <w:szCs w:val="24"/>
          <w:lang w:eastAsia="lv-LV"/>
        </w:rPr>
        <w:lastRenderedPageBreak/>
        <w:t>debt securities, followed by equities with a 33.8% share and corporate debt securities reaching already 30.3%.</w:t>
      </w:r>
    </w:p>
    <w:p w14:paraId="098BF764" w14:textId="77777777" w:rsidR="00B60D4C" w:rsidRPr="00236568" w:rsidRDefault="00B60D4C">
      <w:pPr>
        <w:spacing w:after="0" w:line="240" w:lineRule="auto"/>
        <w:jc w:val="both"/>
        <w:rPr>
          <w:rFonts w:ascii="Times New Roman" w:hAnsi="Times New Roman"/>
          <w:color w:val="000000"/>
          <w:sz w:val="24"/>
          <w:szCs w:val="24"/>
          <w:lang w:eastAsia="lv-LV"/>
        </w:rPr>
      </w:pPr>
    </w:p>
    <w:p w14:paraId="599E75D2" w14:textId="28D6E4B5"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Corporate debt securities market activity provided the largest share of the total offerings increase where the number of the public debt offering in this period increased almost threefold from 15 to 42 emissions offerings, while the public offering of equities in this period decreased from 32 to 27 offerings</w:t>
      </w:r>
      <w:r w:rsidRPr="00236568">
        <w:rPr>
          <w:rStyle w:val="FootnoteReference"/>
          <w:rFonts w:ascii="Times New Roman" w:hAnsi="Times New Roman"/>
          <w:color w:val="000000"/>
          <w:sz w:val="24"/>
          <w:szCs w:val="24"/>
          <w:lang w:eastAsia="lv-LV"/>
        </w:rPr>
        <w:footnoteReference w:id="19"/>
      </w:r>
      <w:r w:rsidRPr="00236568">
        <w:rPr>
          <w:rFonts w:ascii="Times New Roman" w:hAnsi="Times New Roman"/>
          <w:color w:val="000000"/>
          <w:sz w:val="24"/>
          <w:szCs w:val="24"/>
          <w:lang w:eastAsia="lv-LV"/>
        </w:rPr>
        <w:t>. Th</w:t>
      </w:r>
      <w:r w:rsidR="00DF6BD0" w:rsidRPr="00236568">
        <w:rPr>
          <w:rFonts w:ascii="Times New Roman" w:hAnsi="Times New Roman"/>
          <w:color w:val="000000"/>
          <w:sz w:val="24"/>
          <w:szCs w:val="24"/>
          <w:lang w:eastAsia="lv-LV"/>
        </w:rPr>
        <w:t>e debt</w:t>
      </w:r>
      <w:r w:rsidRPr="00236568">
        <w:rPr>
          <w:rFonts w:ascii="Times New Roman" w:hAnsi="Times New Roman"/>
          <w:color w:val="000000"/>
          <w:sz w:val="24"/>
          <w:szCs w:val="24"/>
          <w:lang w:eastAsia="lv-LV"/>
        </w:rPr>
        <w:t xml:space="preserve"> market activation </w:t>
      </w:r>
      <w:proofErr w:type="gramStart"/>
      <w:r w:rsidRPr="00236568">
        <w:rPr>
          <w:rFonts w:ascii="Times New Roman" w:hAnsi="Times New Roman"/>
          <w:color w:val="000000"/>
          <w:sz w:val="24"/>
          <w:szCs w:val="24"/>
          <w:lang w:eastAsia="lv-LV"/>
        </w:rPr>
        <w:t>has been promoted</w:t>
      </w:r>
      <w:proofErr w:type="gramEnd"/>
      <w:r w:rsidRPr="00236568">
        <w:rPr>
          <w:rFonts w:ascii="Times New Roman" w:hAnsi="Times New Roman"/>
          <w:color w:val="000000"/>
          <w:sz w:val="24"/>
          <w:szCs w:val="24"/>
          <w:lang w:eastAsia="lv-LV"/>
        </w:rPr>
        <w:t xml:space="preserve"> </w:t>
      </w:r>
      <w:r w:rsidR="00454A16" w:rsidRPr="00236568">
        <w:rPr>
          <w:rFonts w:ascii="Times New Roman" w:hAnsi="Times New Roman"/>
          <w:color w:val="000000"/>
          <w:sz w:val="24"/>
          <w:szCs w:val="24"/>
          <w:lang w:eastAsia="lv-LV"/>
        </w:rPr>
        <w:t xml:space="preserve">largely </w:t>
      </w:r>
      <w:r w:rsidRPr="00236568">
        <w:rPr>
          <w:rFonts w:ascii="Times New Roman" w:hAnsi="Times New Roman"/>
          <w:color w:val="000000"/>
          <w:sz w:val="24"/>
          <w:szCs w:val="24"/>
          <w:lang w:eastAsia="lv-LV"/>
        </w:rPr>
        <w:t>by a favourable tax treatment.</w:t>
      </w:r>
    </w:p>
    <w:p w14:paraId="2F1AD67E" w14:textId="77777777" w:rsidR="00B60D4C" w:rsidRPr="00236568" w:rsidRDefault="00B60D4C">
      <w:pPr>
        <w:spacing w:after="0" w:line="240" w:lineRule="auto"/>
        <w:jc w:val="both"/>
        <w:rPr>
          <w:rFonts w:ascii="Times New Roman" w:hAnsi="Times New Roman"/>
          <w:color w:val="000000"/>
          <w:sz w:val="24"/>
          <w:szCs w:val="24"/>
          <w:lang w:eastAsia="lv-LV"/>
        </w:rPr>
      </w:pPr>
    </w:p>
    <w:p w14:paraId="33A368D4" w14:textId="252DF725" w:rsidR="00B60D4C" w:rsidRPr="00236568" w:rsidRDefault="00021CEB" w:rsidP="00DE5FE5">
      <w:pPr>
        <w:spacing w:line="240" w:lineRule="auto"/>
      </w:pPr>
      <w:r>
        <w:rPr>
          <w:noProof/>
          <w:lang w:val="lv-LV" w:eastAsia="lv-LV"/>
        </w:rPr>
        <w:drawing>
          <wp:inline distT="0" distB="0" distL="0" distR="0" wp14:anchorId="2A7962ED" wp14:editId="4160446E">
            <wp:extent cx="5436523" cy="2660073"/>
            <wp:effectExtent l="0" t="0" r="12065" b="69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F96AAE" w14:textId="5F0451F6" w:rsidR="00B60D4C" w:rsidRPr="00236568" w:rsidRDefault="00B60D4C" w:rsidP="00DE5FE5">
      <w:pPr>
        <w:spacing w:before="120" w:line="240" w:lineRule="auto"/>
        <w:jc w:val="both"/>
        <w:rPr>
          <w:rFonts w:ascii="Times New Roman" w:hAnsi="Times New Roman"/>
          <w:i/>
          <w:color w:val="000000"/>
          <w:sz w:val="20"/>
          <w:szCs w:val="20"/>
          <w:lang w:eastAsia="lv-LV"/>
        </w:rPr>
      </w:pPr>
      <w:r w:rsidRPr="00236568">
        <w:rPr>
          <w:rFonts w:ascii="Times New Roman" w:hAnsi="Times New Roman"/>
          <w:i/>
          <w:color w:val="000000"/>
          <w:sz w:val="20"/>
          <w:szCs w:val="20"/>
          <w:lang w:eastAsia="lv-LV"/>
        </w:rPr>
        <w:t xml:space="preserve">Fig 3. </w:t>
      </w:r>
      <w:r w:rsidR="00DF6BD0" w:rsidRPr="00236568">
        <w:rPr>
          <w:rFonts w:ascii="Times New Roman" w:hAnsi="Times New Roman"/>
          <w:i/>
          <w:color w:val="000000"/>
          <w:sz w:val="20"/>
          <w:szCs w:val="20"/>
          <w:lang w:eastAsia="lv-LV"/>
        </w:rPr>
        <w:t>Publicly traded securities</w:t>
      </w:r>
      <w:r w:rsidR="00294E45" w:rsidRPr="00236568">
        <w:rPr>
          <w:rFonts w:ascii="Times New Roman" w:hAnsi="Times New Roman"/>
          <w:i/>
          <w:color w:val="000000"/>
          <w:sz w:val="20"/>
          <w:szCs w:val="20"/>
          <w:lang w:eastAsia="lv-LV"/>
        </w:rPr>
        <w:t xml:space="preserve"> by capitalisation </w:t>
      </w:r>
      <w:r w:rsidRPr="00236568">
        <w:rPr>
          <w:rFonts w:ascii="Times New Roman" w:hAnsi="Times New Roman"/>
          <w:i/>
          <w:color w:val="000000"/>
          <w:sz w:val="20"/>
          <w:szCs w:val="20"/>
          <w:lang w:eastAsia="lv-LV"/>
        </w:rPr>
        <w:t>(</w:t>
      </w:r>
      <w:r w:rsidR="00DF6BD0" w:rsidRPr="00236568">
        <w:rPr>
          <w:rFonts w:ascii="Times New Roman" w:hAnsi="Times New Roman"/>
          <w:i/>
          <w:color w:val="000000"/>
          <w:sz w:val="20"/>
          <w:szCs w:val="20"/>
          <w:lang w:eastAsia="lv-LV"/>
        </w:rPr>
        <w:t xml:space="preserve">in </w:t>
      </w:r>
      <w:r w:rsidRPr="00236568">
        <w:rPr>
          <w:rFonts w:ascii="Times New Roman" w:hAnsi="Times New Roman"/>
          <w:i/>
          <w:color w:val="000000"/>
          <w:sz w:val="20"/>
          <w:szCs w:val="20"/>
          <w:lang w:eastAsia="lv-LV"/>
        </w:rPr>
        <w:t>million EUR) (Source: Latvian Central Depository data)</w:t>
      </w:r>
      <w:r w:rsidR="00294E45" w:rsidRPr="00236568">
        <w:rPr>
          <w:rFonts w:ascii="Times New Roman" w:hAnsi="Times New Roman"/>
          <w:i/>
          <w:color w:val="000000"/>
          <w:sz w:val="20"/>
          <w:szCs w:val="20"/>
          <w:lang w:eastAsia="lv-LV"/>
        </w:rPr>
        <w:t>:  Top-down: corporate debt securities, investment funds, equity and public debt securities.</w:t>
      </w:r>
    </w:p>
    <w:p w14:paraId="617E4AA2" w14:textId="3C13E6D7" w:rsidR="00B60D4C" w:rsidRPr="00236568" w:rsidRDefault="00B60D4C" w:rsidP="00595DDE">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In addition to the corporate securities market, </w:t>
      </w:r>
      <w:r w:rsidR="00454A16" w:rsidRPr="00236568">
        <w:rPr>
          <w:rFonts w:ascii="Times New Roman" w:hAnsi="Times New Roman"/>
          <w:color w:val="000000"/>
          <w:sz w:val="24"/>
          <w:szCs w:val="24"/>
          <w:lang w:eastAsia="lv-LV"/>
        </w:rPr>
        <w:t xml:space="preserve">pension funds have </w:t>
      </w:r>
      <w:r w:rsidRPr="00236568">
        <w:rPr>
          <w:rFonts w:ascii="Times New Roman" w:hAnsi="Times New Roman"/>
          <w:color w:val="000000"/>
          <w:sz w:val="24"/>
          <w:szCs w:val="24"/>
          <w:lang w:eastAsia="lv-LV"/>
        </w:rPr>
        <w:t>an important role in promoting investment in equities as the largest institutional investors. In Latvia a modern 2</w:t>
      </w:r>
      <w:r w:rsidRPr="00236568">
        <w:rPr>
          <w:rFonts w:ascii="Times New Roman" w:hAnsi="Times New Roman"/>
          <w:color w:val="000000"/>
          <w:sz w:val="24"/>
          <w:szCs w:val="24"/>
          <w:vertAlign w:val="superscript"/>
          <w:lang w:eastAsia="lv-LV"/>
        </w:rPr>
        <w:t>nd</w:t>
      </w:r>
      <w:r w:rsidRPr="00236568">
        <w:rPr>
          <w:rFonts w:ascii="Times New Roman" w:hAnsi="Times New Roman"/>
          <w:color w:val="000000"/>
          <w:sz w:val="24"/>
          <w:szCs w:val="24"/>
          <w:lang w:eastAsia="lv-LV"/>
        </w:rPr>
        <w:t xml:space="preserve"> pillar (mandatory state funded pensions) pension system has been  established where the total savings at the end of the 1</w:t>
      </w:r>
      <w:r w:rsidRPr="00236568">
        <w:rPr>
          <w:rFonts w:ascii="Times New Roman" w:hAnsi="Times New Roman"/>
          <w:color w:val="000000"/>
          <w:sz w:val="24"/>
          <w:szCs w:val="24"/>
          <w:vertAlign w:val="superscript"/>
          <w:lang w:eastAsia="lv-LV"/>
        </w:rPr>
        <w:t>st</w:t>
      </w:r>
      <w:r w:rsidRPr="00236568">
        <w:rPr>
          <w:rFonts w:ascii="Times New Roman" w:hAnsi="Times New Roman"/>
          <w:color w:val="000000"/>
          <w:sz w:val="24"/>
          <w:szCs w:val="24"/>
          <w:lang w:eastAsia="lv-LV"/>
        </w:rPr>
        <w:t xml:space="preserve"> half of 2016 reached 2.5 billion</w:t>
      </w:r>
      <w:r w:rsidR="00454A16" w:rsidRPr="00236568">
        <w:rPr>
          <w:rFonts w:ascii="Times New Roman" w:hAnsi="Times New Roman"/>
          <w:color w:val="000000"/>
          <w:sz w:val="24"/>
          <w:szCs w:val="24"/>
          <w:lang w:eastAsia="lv-LV"/>
        </w:rPr>
        <w:t xml:space="preserve"> euro</w:t>
      </w:r>
      <w:r w:rsidRPr="00236568">
        <w:rPr>
          <w:rFonts w:ascii="Times New Roman" w:hAnsi="Times New Roman"/>
          <w:color w:val="000000"/>
          <w:sz w:val="24"/>
          <w:szCs w:val="24"/>
          <w:lang w:eastAsia="lv-LV"/>
        </w:rPr>
        <w:t>, while the private pension funds or 3</w:t>
      </w:r>
      <w:r w:rsidRPr="00236568">
        <w:rPr>
          <w:rFonts w:ascii="Times New Roman" w:hAnsi="Times New Roman"/>
          <w:color w:val="000000"/>
          <w:sz w:val="24"/>
          <w:szCs w:val="24"/>
          <w:vertAlign w:val="superscript"/>
          <w:lang w:eastAsia="lv-LV"/>
        </w:rPr>
        <w:t>rd</w:t>
      </w:r>
      <w:r w:rsidRPr="00236568">
        <w:rPr>
          <w:rFonts w:ascii="Times New Roman" w:hAnsi="Times New Roman"/>
          <w:color w:val="000000"/>
          <w:sz w:val="24"/>
          <w:szCs w:val="24"/>
          <w:lang w:eastAsia="lv-LV"/>
        </w:rPr>
        <w:t xml:space="preserve"> pillar pensions (voluntary private pensions) ha</w:t>
      </w:r>
      <w:r w:rsidR="00454A16" w:rsidRPr="00236568">
        <w:rPr>
          <w:rFonts w:ascii="Times New Roman" w:hAnsi="Times New Roman"/>
          <w:color w:val="000000"/>
          <w:sz w:val="24"/>
          <w:szCs w:val="24"/>
          <w:lang w:eastAsia="lv-LV"/>
        </w:rPr>
        <w:t>ve</w:t>
      </w:r>
      <w:r w:rsidRPr="00236568">
        <w:rPr>
          <w:rFonts w:ascii="Times New Roman" w:hAnsi="Times New Roman"/>
          <w:color w:val="000000"/>
          <w:sz w:val="24"/>
          <w:szCs w:val="24"/>
          <w:lang w:eastAsia="lv-LV"/>
        </w:rPr>
        <w:t xml:space="preserve"> accumulated 340.3 million euro</w:t>
      </w:r>
      <w:r w:rsidRPr="00236568">
        <w:rPr>
          <w:rStyle w:val="FootnoteReference"/>
          <w:rFonts w:ascii="Times New Roman" w:hAnsi="Times New Roman"/>
          <w:color w:val="000000"/>
          <w:sz w:val="24"/>
          <w:szCs w:val="24"/>
          <w:lang w:eastAsia="lv-LV"/>
        </w:rPr>
        <w:footnoteReference w:id="20"/>
      </w:r>
      <w:r w:rsidRPr="00236568">
        <w:rPr>
          <w:rFonts w:ascii="Times New Roman" w:hAnsi="Times New Roman"/>
          <w:color w:val="000000"/>
          <w:sz w:val="24"/>
          <w:szCs w:val="24"/>
          <w:lang w:eastAsia="lv-LV"/>
        </w:rPr>
        <w:t>. At the end of the first half 2016, total state funded pension funds have invested 1.07 billion</w:t>
      </w:r>
      <w:r w:rsidRPr="00236568">
        <w:rPr>
          <w:rStyle w:val="FootnoteReference"/>
          <w:rFonts w:ascii="Times New Roman" w:hAnsi="Times New Roman"/>
          <w:color w:val="000000"/>
          <w:sz w:val="24"/>
          <w:szCs w:val="24"/>
          <w:lang w:eastAsia="lv-LV"/>
        </w:rPr>
        <w:footnoteReference w:id="21"/>
      </w:r>
      <w:r w:rsidRPr="00236568">
        <w:rPr>
          <w:rFonts w:ascii="Times New Roman" w:hAnsi="Times New Roman"/>
          <w:color w:val="000000"/>
          <w:sz w:val="24"/>
          <w:szCs w:val="24"/>
          <w:lang w:eastAsia="lv-LV"/>
        </w:rPr>
        <w:t xml:space="preserve"> euro in Latvia, while the private pension funds - 115 million euro</w:t>
      </w:r>
      <w:r w:rsidRPr="00236568">
        <w:rPr>
          <w:rStyle w:val="FootnoteReference"/>
          <w:rFonts w:ascii="Times New Roman" w:hAnsi="Times New Roman"/>
          <w:color w:val="000000"/>
          <w:sz w:val="24"/>
          <w:szCs w:val="24"/>
          <w:lang w:eastAsia="lv-LV"/>
        </w:rPr>
        <w:footnoteReference w:id="22"/>
      </w:r>
      <w:r w:rsidRPr="00236568">
        <w:rPr>
          <w:rFonts w:ascii="Times New Roman" w:hAnsi="Times New Roman"/>
          <w:color w:val="000000"/>
          <w:sz w:val="24"/>
          <w:szCs w:val="24"/>
          <w:lang w:eastAsia="lv-LV"/>
        </w:rPr>
        <w:t>.</w:t>
      </w:r>
    </w:p>
    <w:p w14:paraId="4502163F" w14:textId="77777777" w:rsidR="00B60D4C" w:rsidRPr="00236568" w:rsidRDefault="00B60D4C" w:rsidP="00BF7917">
      <w:pPr>
        <w:spacing w:after="0" w:line="240" w:lineRule="auto"/>
        <w:jc w:val="both"/>
        <w:rPr>
          <w:rFonts w:ascii="Times New Roman" w:hAnsi="Times New Roman"/>
          <w:color w:val="000000"/>
          <w:sz w:val="24"/>
          <w:szCs w:val="24"/>
          <w:lang w:eastAsia="lv-LV"/>
        </w:rPr>
      </w:pPr>
    </w:p>
    <w:p w14:paraId="7C1C5037" w14:textId="5A30F923"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Investment funds</w:t>
      </w:r>
      <w:r w:rsidR="00454A16" w:rsidRPr="00236568">
        <w:rPr>
          <w:rFonts w:ascii="Times New Roman" w:hAnsi="Times New Roman"/>
          <w:color w:val="000000"/>
          <w:sz w:val="24"/>
          <w:szCs w:val="24"/>
          <w:lang w:eastAsia="lv-LV"/>
        </w:rPr>
        <w:t xml:space="preserve"> in</w:t>
      </w:r>
      <w:r w:rsidRPr="00236568">
        <w:rPr>
          <w:rFonts w:ascii="Times New Roman" w:hAnsi="Times New Roman"/>
          <w:color w:val="000000"/>
          <w:sz w:val="24"/>
          <w:szCs w:val="24"/>
          <w:lang w:eastAsia="lv-LV"/>
        </w:rPr>
        <w:t xml:space="preserve"> </w:t>
      </w:r>
      <w:r w:rsidR="00454A16" w:rsidRPr="00236568">
        <w:rPr>
          <w:rFonts w:ascii="Times New Roman" w:hAnsi="Times New Roman"/>
          <w:color w:val="000000"/>
          <w:sz w:val="24"/>
          <w:szCs w:val="24"/>
          <w:lang w:eastAsia="lv-LV"/>
        </w:rPr>
        <w:t xml:space="preserve">Latvia, which </w:t>
      </w:r>
      <w:proofErr w:type="gramStart"/>
      <w:r w:rsidR="00454A16" w:rsidRPr="00236568">
        <w:rPr>
          <w:rFonts w:ascii="Times New Roman" w:hAnsi="Times New Roman"/>
          <w:color w:val="000000"/>
          <w:sz w:val="24"/>
          <w:szCs w:val="24"/>
          <w:lang w:eastAsia="lv-LV"/>
        </w:rPr>
        <w:t>are established</w:t>
      </w:r>
      <w:proofErr w:type="gramEnd"/>
      <w:r w:rsidR="00454A16" w:rsidRPr="00236568">
        <w:rPr>
          <w:rFonts w:ascii="Times New Roman" w:hAnsi="Times New Roman"/>
          <w:color w:val="000000"/>
          <w:sz w:val="24"/>
          <w:szCs w:val="24"/>
          <w:lang w:eastAsia="lv-LV"/>
        </w:rPr>
        <w:t xml:space="preserve"> largely as alternative investment funds,</w:t>
      </w:r>
      <w:r w:rsidRPr="00236568">
        <w:rPr>
          <w:rFonts w:ascii="Times New Roman" w:hAnsi="Times New Roman"/>
          <w:color w:val="000000"/>
          <w:sz w:val="24"/>
          <w:szCs w:val="24"/>
          <w:lang w:eastAsia="lv-LV"/>
        </w:rPr>
        <w:t xml:space="preserve"> account for about 1.3% of GDP</w:t>
      </w:r>
      <w:r w:rsidRPr="00236568">
        <w:rPr>
          <w:rStyle w:val="FootnoteReference"/>
          <w:rFonts w:ascii="Times New Roman" w:hAnsi="Times New Roman"/>
          <w:color w:val="000000"/>
          <w:sz w:val="24"/>
          <w:szCs w:val="24"/>
          <w:lang w:eastAsia="lv-LV"/>
        </w:rPr>
        <w:footnoteReference w:id="23"/>
      </w:r>
      <w:r w:rsidRPr="00236568">
        <w:rPr>
          <w:rFonts w:ascii="Times New Roman" w:hAnsi="Times New Roman"/>
          <w:color w:val="000000"/>
          <w:sz w:val="24"/>
          <w:szCs w:val="24"/>
          <w:lang w:eastAsia="lv-LV"/>
        </w:rPr>
        <w:t>.</w:t>
      </w:r>
    </w:p>
    <w:p w14:paraId="653E4C4F" w14:textId="77777777" w:rsidR="00B60D4C" w:rsidRPr="00236568" w:rsidRDefault="00B60D4C">
      <w:pPr>
        <w:spacing w:after="0" w:line="240" w:lineRule="auto"/>
        <w:jc w:val="both"/>
        <w:rPr>
          <w:rFonts w:ascii="Times New Roman" w:hAnsi="Times New Roman"/>
          <w:color w:val="000000"/>
          <w:sz w:val="24"/>
          <w:szCs w:val="24"/>
          <w:lang w:eastAsia="lv-LV"/>
        </w:rPr>
      </w:pPr>
    </w:p>
    <w:p w14:paraId="22025622" w14:textId="2822539C"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low securities market capitalization implies market-based equity instrument shortages or a market failure. Thus, there is need for Latvian capital market development, at least by amount of this market </w:t>
      </w:r>
      <w:r w:rsidR="00B50737">
        <w:rPr>
          <w:rFonts w:ascii="Times New Roman" w:hAnsi="Times New Roman"/>
          <w:color w:val="000000"/>
          <w:sz w:val="24"/>
          <w:szCs w:val="24"/>
          <w:lang w:eastAsia="lv-LV"/>
        </w:rPr>
        <w:t>gap</w:t>
      </w:r>
      <w:r w:rsidRPr="00236568">
        <w:rPr>
          <w:rFonts w:ascii="Times New Roman" w:hAnsi="Times New Roman"/>
          <w:color w:val="000000"/>
          <w:sz w:val="24"/>
          <w:szCs w:val="24"/>
          <w:lang w:eastAsia="lv-LV"/>
        </w:rPr>
        <w:t>, according to the Ministry of Economics gap analysis assessment</w:t>
      </w:r>
      <w:r w:rsidR="00454A16" w:rsidRPr="00236568">
        <w:rPr>
          <w:rFonts w:ascii="Times New Roman" w:hAnsi="Times New Roman"/>
          <w:color w:val="000000"/>
          <w:sz w:val="24"/>
          <w:szCs w:val="24"/>
          <w:lang w:eastAsia="lv-LV"/>
        </w:rPr>
        <w:t xml:space="preserve"> it</w:t>
      </w:r>
      <w:r w:rsidRPr="00236568">
        <w:rPr>
          <w:rFonts w:ascii="Times New Roman" w:hAnsi="Times New Roman"/>
          <w:color w:val="000000"/>
          <w:sz w:val="24"/>
          <w:szCs w:val="24"/>
          <w:lang w:eastAsia="lv-LV"/>
        </w:rPr>
        <w:t xml:space="preserve"> equals to </w:t>
      </w:r>
      <w:r w:rsidRPr="00236568">
        <w:rPr>
          <w:rFonts w:ascii="Times New Roman" w:hAnsi="Times New Roman"/>
          <w:color w:val="000000"/>
          <w:sz w:val="24"/>
          <w:szCs w:val="24"/>
          <w:lang w:eastAsia="lv-LV"/>
        </w:rPr>
        <w:lastRenderedPageBreak/>
        <w:t>568 million</w:t>
      </w:r>
      <w:r w:rsidR="00454A16" w:rsidRPr="00236568">
        <w:rPr>
          <w:rFonts w:ascii="Times New Roman" w:hAnsi="Times New Roman"/>
          <w:color w:val="000000"/>
          <w:sz w:val="24"/>
          <w:szCs w:val="24"/>
          <w:lang w:eastAsia="lv-LV"/>
        </w:rPr>
        <w:t xml:space="preserve"> euro</w:t>
      </w:r>
      <w:r w:rsidRPr="00236568">
        <w:rPr>
          <w:rStyle w:val="FootnoteReference"/>
          <w:rFonts w:ascii="Times New Roman" w:hAnsi="Times New Roman"/>
          <w:color w:val="000000"/>
          <w:sz w:val="24"/>
          <w:szCs w:val="24"/>
          <w:lang w:eastAsia="lv-LV"/>
        </w:rPr>
        <w:footnoteReference w:id="24"/>
      </w:r>
      <w:r w:rsidRPr="00236568">
        <w:rPr>
          <w:rFonts w:ascii="Times New Roman" w:hAnsi="Times New Roman"/>
          <w:color w:val="000000"/>
          <w:sz w:val="24"/>
          <w:szCs w:val="24"/>
          <w:lang w:eastAsia="lv-LV"/>
        </w:rPr>
        <w:t xml:space="preserve">. </w:t>
      </w:r>
      <w:proofErr w:type="gramStart"/>
      <w:r w:rsidRPr="00236568">
        <w:rPr>
          <w:rFonts w:ascii="Times New Roman" w:hAnsi="Times New Roman"/>
          <w:color w:val="000000"/>
          <w:sz w:val="24"/>
          <w:szCs w:val="24"/>
          <w:lang w:eastAsia="lv-LV"/>
        </w:rPr>
        <w:t>Thus</w:t>
      </w:r>
      <w:proofErr w:type="gramEnd"/>
      <w:r w:rsidRPr="00236568">
        <w:rPr>
          <w:rFonts w:ascii="Times New Roman" w:hAnsi="Times New Roman"/>
          <w:color w:val="000000"/>
          <w:sz w:val="24"/>
          <w:szCs w:val="24"/>
          <w:lang w:eastAsia="lv-LV"/>
        </w:rPr>
        <w:t xml:space="preserve"> it would require an increase in the number of companies using equity funding, by increasing the number and range of instruments that provide for market-based conditions for attracting investment opportunity by investing in equity capital, and promoting a more active involvement of investors in the securities markets.</w:t>
      </w:r>
    </w:p>
    <w:p w14:paraId="4EAF0B40" w14:textId="77777777" w:rsidR="00B60D4C" w:rsidRPr="00236568" w:rsidRDefault="00B60D4C">
      <w:pPr>
        <w:spacing w:after="0" w:line="240" w:lineRule="auto"/>
        <w:jc w:val="both"/>
        <w:rPr>
          <w:rFonts w:ascii="Times New Roman" w:hAnsi="Times New Roman"/>
          <w:color w:val="000000"/>
          <w:sz w:val="24"/>
          <w:szCs w:val="24"/>
          <w:lang w:eastAsia="lv-LV"/>
        </w:rPr>
      </w:pPr>
    </w:p>
    <w:p w14:paraId="2C4F793B" w14:textId="6053A955"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Capital market development is a key priority in the EU agenda and it </w:t>
      </w:r>
      <w:proofErr w:type="gramStart"/>
      <w:r w:rsidRPr="00236568">
        <w:rPr>
          <w:rFonts w:ascii="Times New Roman" w:hAnsi="Times New Roman"/>
          <w:color w:val="000000"/>
          <w:sz w:val="24"/>
          <w:szCs w:val="24"/>
          <w:lang w:eastAsia="lv-LV"/>
        </w:rPr>
        <w:t>is presented</w:t>
      </w:r>
      <w:proofErr w:type="gramEnd"/>
      <w:r w:rsidRPr="00236568">
        <w:rPr>
          <w:rFonts w:ascii="Times New Roman" w:hAnsi="Times New Roman"/>
          <w:color w:val="000000"/>
          <w:sz w:val="24"/>
          <w:szCs w:val="24"/>
          <w:lang w:eastAsia="lv-LV"/>
        </w:rPr>
        <w:t xml:space="preserve"> in the European Commission's Action Plan for the Capital Market Union. The plan included the aim of creating integrated EU capital markets, providing new sources of financing for businesses, especially small and medium-sized enterprises by reducing the cost of raising capital and the removal of obstacles to cross-border investment and the ability to attract investment from other countries in the </w:t>
      </w:r>
      <w:r w:rsidR="00500283" w:rsidRPr="00236568">
        <w:rPr>
          <w:rFonts w:ascii="Times New Roman" w:hAnsi="Times New Roman"/>
          <w:color w:val="000000"/>
          <w:sz w:val="24"/>
          <w:szCs w:val="24"/>
          <w:lang w:eastAsia="lv-LV"/>
        </w:rPr>
        <w:t>EU</w:t>
      </w:r>
      <w:r w:rsidRPr="00236568">
        <w:rPr>
          <w:rFonts w:ascii="Times New Roman" w:hAnsi="Times New Roman"/>
          <w:color w:val="000000"/>
          <w:sz w:val="24"/>
          <w:szCs w:val="24"/>
          <w:lang w:eastAsia="lv-LV"/>
        </w:rPr>
        <w:t xml:space="preserve">. Similarly, the aim is to make the </w:t>
      </w:r>
      <w:r w:rsidR="00500283" w:rsidRPr="00236568">
        <w:rPr>
          <w:rFonts w:ascii="Times New Roman" w:hAnsi="Times New Roman"/>
          <w:color w:val="000000"/>
          <w:sz w:val="24"/>
          <w:szCs w:val="24"/>
          <w:lang w:eastAsia="lv-LV"/>
        </w:rPr>
        <w:t>EU</w:t>
      </w:r>
      <w:r w:rsidRPr="00236568">
        <w:rPr>
          <w:rFonts w:ascii="Times New Roman" w:hAnsi="Times New Roman"/>
          <w:color w:val="000000"/>
          <w:sz w:val="24"/>
          <w:szCs w:val="24"/>
          <w:lang w:eastAsia="lv-LV"/>
        </w:rPr>
        <w:t xml:space="preserve"> financial system more stable, more resilient and more competitive. There is progress on number of legislative proposals:</w:t>
      </w:r>
    </w:p>
    <w:p w14:paraId="7FEAA43F" w14:textId="77777777" w:rsidR="00B60D4C" w:rsidRPr="00236568" w:rsidRDefault="00B60D4C">
      <w:pPr>
        <w:spacing w:after="0" w:line="240" w:lineRule="auto"/>
        <w:jc w:val="both"/>
        <w:rPr>
          <w:rFonts w:ascii="Times New Roman" w:hAnsi="Times New Roman"/>
          <w:color w:val="000000"/>
          <w:sz w:val="24"/>
          <w:szCs w:val="24"/>
          <w:lang w:eastAsia="lv-LV"/>
        </w:rPr>
      </w:pPr>
    </w:p>
    <w:p w14:paraId="67AC0097" w14:textId="77777777" w:rsidR="00B60D4C" w:rsidRPr="00236568" w:rsidRDefault="00B60D4C">
      <w:pPr>
        <w:pStyle w:val="ListParagraph"/>
        <w:numPr>
          <w:ilvl w:val="0"/>
          <w:numId w:val="7"/>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Review of the Prospectus Directive in order to facilitate the requirements of small and medium-sized enterprises, related to the opportunity to participate in the securities market and the preparation of the issue prospectus;</w:t>
      </w:r>
    </w:p>
    <w:p w14:paraId="4C9F9CDD" w14:textId="77777777" w:rsidR="00B60D4C" w:rsidRPr="00236568" w:rsidRDefault="00B60D4C">
      <w:pPr>
        <w:pStyle w:val="ListParagraph"/>
        <w:numPr>
          <w:ilvl w:val="0"/>
          <w:numId w:val="7"/>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The regulatory framework for securitization by establishing a simple, transparent, standardized securitization process criteria;</w:t>
      </w:r>
    </w:p>
    <w:p w14:paraId="2251955E" w14:textId="77777777" w:rsidR="00B60D4C" w:rsidRPr="00236568" w:rsidRDefault="00B60D4C">
      <w:pPr>
        <w:pStyle w:val="ListParagraph"/>
        <w:numPr>
          <w:ilvl w:val="0"/>
          <w:numId w:val="7"/>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Amendments to the European Venture Capital Fund (</w:t>
      </w:r>
      <w:proofErr w:type="spellStart"/>
      <w:r w:rsidRPr="00236568">
        <w:rPr>
          <w:rFonts w:ascii="Times New Roman" w:hAnsi="Times New Roman"/>
          <w:color w:val="000000"/>
          <w:sz w:val="24"/>
          <w:szCs w:val="24"/>
          <w:lang w:val="en-GB"/>
        </w:rPr>
        <w:t>EuVECA</w:t>
      </w:r>
      <w:proofErr w:type="spellEnd"/>
      <w:r w:rsidRPr="00236568">
        <w:rPr>
          <w:rFonts w:ascii="Times New Roman" w:hAnsi="Times New Roman"/>
          <w:color w:val="000000"/>
          <w:sz w:val="24"/>
          <w:szCs w:val="24"/>
          <w:lang w:val="en-GB"/>
        </w:rPr>
        <w:t>) Regulation and the Regulation on European Social Entrepreneurship Funds (</w:t>
      </w:r>
      <w:proofErr w:type="spellStart"/>
      <w:r w:rsidRPr="00236568">
        <w:rPr>
          <w:rFonts w:ascii="Times New Roman" w:hAnsi="Times New Roman"/>
          <w:color w:val="000000"/>
          <w:sz w:val="24"/>
          <w:szCs w:val="24"/>
          <w:lang w:val="en-GB"/>
        </w:rPr>
        <w:t>EuSEF</w:t>
      </w:r>
      <w:proofErr w:type="spellEnd"/>
      <w:r w:rsidRPr="00236568">
        <w:rPr>
          <w:rFonts w:ascii="Times New Roman" w:hAnsi="Times New Roman"/>
          <w:color w:val="000000"/>
          <w:sz w:val="24"/>
          <w:szCs w:val="24"/>
          <w:lang w:val="en-GB"/>
        </w:rPr>
        <w:t>) with the aim of increasing investments in venture capital and social projects and to facilitate the investors investing in innovative small and medium-sized enterprises;</w:t>
      </w:r>
    </w:p>
    <w:p w14:paraId="2EDBEAC7" w14:textId="77777777" w:rsidR="00B60D4C" w:rsidRPr="00236568" w:rsidRDefault="00B60D4C" w:rsidP="00DE5FE5">
      <w:pPr>
        <w:spacing w:line="240" w:lineRule="auto"/>
      </w:pPr>
    </w:p>
    <w:p w14:paraId="45CA8D8A" w14:textId="47EE51ED" w:rsidR="00B60D4C" w:rsidRPr="00236568" w:rsidRDefault="00B60D4C" w:rsidP="00595DDE">
      <w:pPr>
        <w:spacing w:after="0" w:line="240" w:lineRule="auto"/>
        <w:jc w:val="both"/>
        <w:rPr>
          <w:rFonts w:ascii="Times New Roman" w:hAnsi="Times New Roman"/>
          <w:color w:val="000000"/>
          <w:sz w:val="24"/>
          <w:szCs w:val="24"/>
          <w:lang w:eastAsia="lv-LV"/>
        </w:rPr>
      </w:pPr>
      <w:proofErr w:type="spellStart"/>
      <w:r w:rsidRPr="00236568">
        <w:rPr>
          <w:rFonts w:ascii="Times New Roman" w:hAnsi="Times New Roman"/>
          <w:color w:val="000000"/>
          <w:sz w:val="24"/>
          <w:szCs w:val="24"/>
          <w:lang w:eastAsia="lv-LV"/>
        </w:rPr>
        <w:t>FinTech</w:t>
      </w:r>
      <w:proofErr w:type="spellEnd"/>
      <w:r w:rsidRPr="00236568">
        <w:rPr>
          <w:rFonts w:ascii="Times New Roman" w:hAnsi="Times New Roman"/>
          <w:color w:val="000000"/>
          <w:sz w:val="24"/>
          <w:szCs w:val="24"/>
          <w:lang w:eastAsia="lv-LV"/>
        </w:rPr>
        <w:t xml:space="preserve"> innovation has a significant impact on financial market transactions, and in particular to securities trading. High-frequency trading (high frequency trading or Fast Market) companies have become major players in the stock markets and in accordance with the European Securities Market </w:t>
      </w:r>
      <w:proofErr w:type="gramStart"/>
      <w:r w:rsidRPr="00236568">
        <w:rPr>
          <w:rFonts w:ascii="Times New Roman" w:hAnsi="Times New Roman"/>
          <w:color w:val="000000"/>
          <w:sz w:val="24"/>
          <w:szCs w:val="24"/>
          <w:lang w:eastAsia="lv-LV"/>
        </w:rPr>
        <w:t>Authority</w:t>
      </w:r>
      <w:proofErr w:type="gramEnd"/>
      <w:r w:rsidRPr="00236568">
        <w:rPr>
          <w:rFonts w:ascii="Times New Roman" w:hAnsi="Times New Roman"/>
          <w:color w:val="000000"/>
          <w:sz w:val="24"/>
          <w:szCs w:val="24"/>
          <w:lang w:eastAsia="lv-LV"/>
        </w:rPr>
        <w:t xml:space="preserve"> figures make up 24% of the trading volume of the stock markets</w:t>
      </w:r>
      <w:r w:rsidRPr="00236568">
        <w:rPr>
          <w:rStyle w:val="FootnoteReference"/>
          <w:rFonts w:ascii="Times New Roman" w:hAnsi="Times New Roman"/>
          <w:color w:val="000000"/>
          <w:sz w:val="24"/>
          <w:szCs w:val="24"/>
          <w:lang w:eastAsia="lv-LV"/>
        </w:rPr>
        <w:footnoteReference w:id="25"/>
      </w:r>
      <w:r w:rsidRPr="00236568">
        <w:rPr>
          <w:rFonts w:ascii="Times New Roman" w:hAnsi="Times New Roman"/>
          <w:color w:val="000000"/>
          <w:sz w:val="24"/>
          <w:szCs w:val="24"/>
          <w:lang w:eastAsia="lv-LV"/>
        </w:rPr>
        <w:t>. High-</w:t>
      </w:r>
      <w:r w:rsidR="00500283" w:rsidRPr="00236568">
        <w:rPr>
          <w:rFonts w:ascii="Times New Roman" w:hAnsi="Times New Roman"/>
          <w:color w:val="000000"/>
          <w:sz w:val="24"/>
          <w:szCs w:val="24"/>
          <w:lang w:eastAsia="lv-LV"/>
        </w:rPr>
        <w:t xml:space="preserve">frequency </w:t>
      </w:r>
      <w:r w:rsidRPr="00236568">
        <w:rPr>
          <w:rFonts w:ascii="Times New Roman" w:hAnsi="Times New Roman"/>
          <w:color w:val="000000"/>
          <w:sz w:val="24"/>
          <w:szCs w:val="24"/>
          <w:lang w:eastAsia="lv-LV"/>
        </w:rPr>
        <w:t xml:space="preserve">trading companies are the qualities that allow them to perform a very large number of small transactions with short-term investment of time (often intraday) - quick access to only a few milliseconds, trading platforms and market information, trading algorithms operate autonomously with no human involvement when markets are open. Such solutions ensure rapid development of high-frequency trading development. These </w:t>
      </w:r>
      <w:r w:rsidR="00887825">
        <w:rPr>
          <w:rFonts w:ascii="Times New Roman" w:hAnsi="Times New Roman"/>
          <w:color w:val="000000"/>
          <w:sz w:val="24"/>
          <w:szCs w:val="24"/>
          <w:lang w:eastAsia="lv-LV"/>
        </w:rPr>
        <w:t>participants</w:t>
      </w:r>
      <w:r w:rsidR="00887825"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tend to be non-banks with a small capital compared to traditional financiers - banks whose capital requirements for the trading book ha</w:t>
      </w:r>
      <w:r w:rsidR="00331E12" w:rsidRPr="00236568">
        <w:rPr>
          <w:rFonts w:ascii="Times New Roman" w:hAnsi="Times New Roman"/>
          <w:color w:val="000000"/>
          <w:sz w:val="24"/>
          <w:szCs w:val="24"/>
          <w:lang w:eastAsia="lv-LV"/>
        </w:rPr>
        <w:t>ve</w:t>
      </w:r>
      <w:r w:rsidRPr="00236568">
        <w:rPr>
          <w:rFonts w:ascii="Times New Roman" w:hAnsi="Times New Roman"/>
          <w:color w:val="000000"/>
          <w:sz w:val="24"/>
          <w:szCs w:val="24"/>
          <w:lang w:eastAsia="lv-LV"/>
        </w:rPr>
        <w:t xml:space="preserve"> increased. Likewise, the capital market sector has opportunities to implement cost optimization and</w:t>
      </w:r>
      <w:r w:rsidR="00331E12"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analytical capacity management through the </w:t>
      </w:r>
      <w:proofErr w:type="spellStart"/>
      <w:r w:rsidRPr="00236568">
        <w:rPr>
          <w:rFonts w:ascii="Times New Roman" w:hAnsi="Times New Roman"/>
          <w:color w:val="000000"/>
          <w:sz w:val="24"/>
          <w:szCs w:val="24"/>
          <w:lang w:eastAsia="lv-LV"/>
        </w:rPr>
        <w:t>RegTech</w:t>
      </w:r>
      <w:proofErr w:type="spellEnd"/>
      <w:r w:rsidRPr="00236568">
        <w:rPr>
          <w:rFonts w:ascii="Times New Roman" w:hAnsi="Times New Roman"/>
          <w:color w:val="000000"/>
          <w:sz w:val="24"/>
          <w:szCs w:val="24"/>
          <w:lang w:eastAsia="lv-LV"/>
        </w:rPr>
        <w:t xml:space="preserve"> and </w:t>
      </w:r>
      <w:proofErr w:type="spellStart"/>
      <w:r w:rsidRPr="00236568">
        <w:rPr>
          <w:rFonts w:ascii="Times New Roman" w:hAnsi="Times New Roman"/>
          <w:color w:val="000000"/>
          <w:sz w:val="24"/>
          <w:szCs w:val="24"/>
          <w:lang w:eastAsia="lv-LV"/>
        </w:rPr>
        <w:t>LegTech</w:t>
      </w:r>
      <w:proofErr w:type="spellEnd"/>
      <w:r w:rsidRPr="00236568">
        <w:rPr>
          <w:rFonts w:ascii="Times New Roman" w:hAnsi="Times New Roman"/>
          <w:color w:val="000000"/>
          <w:sz w:val="24"/>
          <w:szCs w:val="24"/>
          <w:lang w:eastAsia="lv-LV"/>
        </w:rPr>
        <w:t>.</w:t>
      </w:r>
    </w:p>
    <w:p w14:paraId="06A4B849" w14:textId="77777777" w:rsidR="00B60D4C" w:rsidRPr="00236568" w:rsidRDefault="00B60D4C" w:rsidP="00BF7917">
      <w:pPr>
        <w:spacing w:after="0" w:line="240" w:lineRule="auto"/>
        <w:jc w:val="both"/>
        <w:rPr>
          <w:rFonts w:ascii="Times New Roman" w:hAnsi="Times New Roman"/>
          <w:color w:val="000000"/>
          <w:sz w:val="24"/>
          <w:szCs w:val="24"/>
          <w:lang w:eastAsia="lv-LV"/>
        </w:rPr>
      </w:pPr>
    </w:p>
    <w:p w14:paraId="783E7121" w14:textId="708955A4"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In the context of international </w:t>
      </w:r>
      <w:proofErr w:type="gramStart"/>
      <w:r w:rsidRPr="00236568">
        <w:rPr>
          <w:rFonts w:ascii="Times New Roman" w:hAnsi="Times New Roman"/>
          <w:color w:val="000000"/>
          <w:sz w:val="24"/>
          <w:szCs w:val="24"/>
          <w:lang w:eastAsia="lv-LV"/>
        </w:rPr>
        <w:t>competitiveness</w:t>
      </w:r>
      <w:proofErr w:type="gramEnd"/>
      <w:r w:rsidRPr="00236568">
        <w:rPr>
          <w:rFonts w:ascii="Times New Roman" w:hAnsi="Times New Roman"/>
          <w:color w:val="000000"/>
          <w:sz w:val="24"/>
          <w:szCs w:val="24"/>
          <w:lang w:eastAsia="lv-LV"/>
        </w:rPr>
        <w:t xml:space="preserve"> it is necessary that broad range of capital market instruments become available, to promote that </w:t>
      </w:r>
      <w:r w:rsidR="00331E12" w:rsidRPr="00236568">
        <w:rPr>
          <w:rFonts w:ascii="Times New Roman" w:hAnsi="Times New Roman"/>
          <w:color w:val="000000"/>
          <w:sz w:val="24"/>
          <w:szCs w:val="24"/>
          <w:lang w:eastAsia="lv-LV"/>
        </w:rPr>
        <w:t>larger</w:t>
      </w:r>
      <w:r w:rsidRPr="00236568">
        <w:rPr>
          <w:rFonts w:ascii="Times New Roman" w:hAnsi="Times New Roman"/>
          <w:color w:val="000000"/>
          <w:sz w:val="24"/>
          <w:szCs w:val="24"/>
          <w:lang w:eastAsia="lv-LV"/>
        </w:rPr>
        <w:t xml:space="preserve"> part of the accumulated pension funds are invested in the Latvian economy, instead of investments flowing out to other countries.</w:t>
      </w:r>
    </w:p>
    <w:p w14:paraId="0E86EA10" w14:textId="77777777" w:rsidR="00B60D4C" w:rsidRPr="00236568" w:rsidRDefault="00B60D4C">
      <w:pPr>
        <w:spacing w:after="0" w:line="240" w:lineRule="auto"/>
        <w:jc w:val="both"/>
        <w:rPr>
          <w:rFonts w:ascii="Times New Roman" w:hAnsi="Times New Roman"/>
          <w:color w:val="000000"/>
          <w:sz w:val="24"/>
          <w:szCs w:val="24"/>
          <w:lang w:eastAsia="lv-LV"/>
        </w:rPr>
      </w:pPr>
    </w:p>
    <w:p w14:paraId="68CE3104" w14:textId="0483CA7A"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In view of the above, three </w:t>
      </w:r>
      <w:r w:rsidRPr="00236568">
        <w:rPr>
          <w:rFonts w:ascii="Times New Roman" w:hAnsi="Times New Roman"/>
          <w:b/>
          <w:color w:val="000000"/>
          <w:sz w:val="24"/>
          <w:szCs w:val="24"/>
          <w:lang w:eastAsia="lv-LV"/>
        </w:rPr>
        <w:t xml:space="preserve">strategic </w:t>
      </w:r>
      <w:r w:rsidR="00500283" w:rsidRPr="00236568">
        <w:rPr>
          <w:rFonts w:ascii="Times New Roman" w:hAnsi="Times New Roman"/>
          <w:b/>
          <w:color w:val="000000"/>
          <w:sz w:val="24"/>
          <w:szCs w:val="24"/>
          <w:lang w:eastAsia="lv-LV"/>
        </w:rPr>
        <w:t xml:space="preserve">directions </w:t>
      </w:r>
      <w:r w:rsidRPr="00236568">
        <w:rPr>
          <w:rFonts w:ascii="Times New Roman" w:hAnsi="Times New Roman"/>
          <w:b/>
          <w:color w:val="000000"/>
          <w:sz w:val="24"/>
          <w:szCs w:val="24"/>
          <w:lang w:eastAsia="lv-LV"/>
        </w:rPr>
        <w:t>of action</w:t>
      </w:r>
      <w:r w:rsidRPr="00236568">
        <w:rPr>
          <w:rFonts w:ascii="Times New Roman" w:hAnsi="Times New Roman"/>
          <w:color w:val="000000"/>
          <w:sz w:val="24"/>
          <w:szCs w:val="24"/>
          <w:lang w:eastAsia="lv-LV"/>
        </w:rPr>
        <w:t xml:space="preserve"> in the capital market sector </w:t>
      </w:r>
      <w:proofErr w:type="gramStart"/>
      <w:r w:rsidRPr="00236568">
        <w:rPr>
          <w:rFonts w:ascii="Times New Roman" w:hAnsi="Times New Roman"/>
          <w:color w:val="000000"/>
          <w:sz w:val="24"/>
          <w:szCs w:val="24"/>
          <w:lang w:eastAsia="lv-LV"/>
        </w:rPr>
        <w:t>are defined</w:t>
      </w:r>
      <w:proofErr w:type="gramEnd"/>
      <w:r w:rsidRPr="00236568">
        <w:rPr>
          <w:rFonts w:ascii="Times New Roman" w:hAnsi="Times New Roman"/>
          <w:b/>
          <w:color w:val="000000"/>
          <w:sz w:val="24"/>
          <w:szCs w:val="24"/>
          <w:lang w:eastAsia="lv-LV"/>
        </w:rPr>
        <w:t>:</w:t>
      </w:r>
    </w:p>
    <w:p w14:paraId="493B520D" w14:textId="77777777" w:rsidR="00B60D4C" w:rsidRPr="00236568" w:rsidRDefault="00B60D4C">
      <w:pPr>
        <w:spacing w:after="0" w:line="240" w:lineRule="auto"/>
        <w:jc w:val="both"/>
        <w:rPr>
          <w:rFonts w:ascii="Times New Roman" w:hAnsi="Times New Roman"/>
          <w:color w:val="000000"/>
          <w:sz w:val="24"/>
          <w:szCs w:val="24"/>
          <w:lang w:eastAsia="lv-LV"/>
        </w:rPr>
      </w:pPr>
    </w:p>
    <w:p w14:paraId="03C79046" w14:textId="77777777" w:rsidR="00B60D4C" w:rsidRPr="00236568" w:rsidRDefault="00B60D4C">
      <w:pPr>
        <w:pStyle w:val="ListParagraph"/>
        <w:numPr>
          <w:ilvl w:val="0"/>
          <w:numId w:val="2"/>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Increasing the number of companies using capital market instruments funding;</w:t>
      </w:r>
    </w:p>
    <w:p w14:paraId="19F66EDA" w14:textId="77777777" w:rsidR="00B60D4C" w:rsidRPr="00236568" w:rsidRDefault="00B60D4C">
      <w:pPr>
        <w:pStyle w:val="ListParagraph"/>
        <w:numPr>
          <w:ilvl w:val="0"/>
          <w:numId w:val="2"/>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Developing capital instruments to increase opportunities for access of funding and investment;</w:t>
      </w:r>
    </w:p>
    <w:p w14:paraId="1E07551F" w14:textId="5FA76A5D" w:rsidR="00B60D4C" w:rsidRPr="00236568" w:rsidRDefault="00B60D4C">
      <w:pPr>
        <w:pStyle w:val="ListParagraph"/>
        <w:numPr>
          <w:ilvl w:val="0"/>
          <w:numId w:val="2"/>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lastRenderedPageBreak/>
        <w:t>Increasing activity of institutional and private investors in the domestic capital market</w:t>
      </w:r>
      <w:r w:rsidR="00331E12" w:rsidRPr="00236568">
        <w:rPr>
          <w:rFonts w:ascii="Times New Roman" w:hAnsi="Times New Roman"/>
          <w:color w:val="000000"/>
          <w:sz w:val="24"/>
          <w:szCs w:val="24"/>
          <w:lang w:val="en-GB"/>
        </w:rPr>
        <w:t>.</w:t>
      </w:r>
      <w:r w:rsidRPr="00236568">
        <w:rPr>
          <w:rFonts w:ascii="Times New Roman" w:hAnsi="Times New Roman"/>
          <w:color w:val="000000"/>
          <w:sz w:val="24"/>
          <w:szCs w:val="24"/>
          <w:lang w:val="en-GB"/>
        </w:rPr>
        <w:t xml:space="preserve"> </w:t>
      </w:r>
    </w:p>
    <w:p w14:paraId="1A595B62" w14:textId="77777777" w:rsidR="00B60D4C" w:rsidRPr="00236568" w:rsidRDefault="00B60D4C" w:rsidP="00DE5FE5">
      <w:pPr>
        <w:spacing w:line="240" w:lineRule="auto"/>
      </w:pPr>
    </w:p>
    <w:p w14:paraId="71137F43" w14:textId="77777777" w:rsidR="00B60D4C" w:rsidRPr="00236568" w:rsidRDefault="00B60D4C" w:rsidP="00DE5FE5">
      <w:pPr>
        <w:spacing w:before="120" w:line="240" w:lineRule="auto"/>
        <w:jc w:val="both"/>
        <w:rPr>
          <w:rFonts w:ascii="Times New Roman" w:hAnsi="Times New Roman"/>
          <w:b/>
          <w:color w:val="000000"/>
          <w:sz w:val="24"/>
          <w:szCs w:val="24"/>
          <w:u w:val="single"/>
          <w:lang w:eastAsia="lv-LV"/>
        </w:rPr>
      </w:pPr>
      <w:r w:rsidRPr="00236568">
        <w:rPr>
          <w:rFonts w:ascii="Times New Roman" w:hAnsi="Times New Roman"/>
          <w:b/>
          <w:color w:val="000000"/>
          <w:sz w:val="24"/>
          <w:szCs w:val="24"/>
          <w:u w:val="single"/>
          <w:lang w:eastAsia="lv-LV"/>
        </w:rPr>
        <w:t>Performance indicator:</w:t>
      </w:r>
    </w:p>
    <w:p w14:paraId="1406242E" w14:textId="34A8604E" w:rsidR="00B60D4C" w:rsidRPr="00236568" w:rsidRDefault="00B60D4C" w:rsidP="00595DDE">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Total equity market capitalization volume increase</w:t>
      </w:r>
      <w:r w:rsidR="00331E12" w:rsidRPr="00236568">
        <w:rPr>
          <w:rFonts w:ascii="Times New Roman" w:hAnsi="Times New Roman"/>
          <w:color w:val="000000"/>
          <w:sz w:val="24"/>
          <w:szCs w:val="24"/>
          <w:lang w:eastAsia="lv-LV"/>
        </w:rPr>
        <w:t>d</w:t>
      </w:r>
      <w:r w:rsidRPr="00236568">
        <w:rPr>
          <w:rFonts w:ascii="Times New Roman" w:hAnsi="Times New Roman"/>
          <w:color w:val="000000"/>
          <w:sz w:val="24"/>
          <w:szCs w:val="24"/>
          <w:lang w:eastAsia="lv-LV"/>
        </w:rPr>
        <w:t xml:space="preserve"> by 2.2% of GDP</w:t>
      </w:r>
      <w:r w:rsidRPr="00236568">
        <w:rPr>
          <w:rStyle w:val="FootnoteReference"/>
          <w:rFonts w:ascii="Times New Roman" w:hAnsi="Times New Roman"/>
          <w:color w:val="000000"/>
          <w:sz w:val="24"/>
          <w:szCs w:val="24"/>
          <w:lang w:eastAsia="lv-LV"/>
        </w:rPr>
        <w:footnoteReference w:id="26"/>
      </w:r>
      <w:r w:rsidRPr="00236568">
        <w:rPr>
          <w:rFonts w:ascii="Times New Roman" w:hAnsi="Times New Roman"/>
          <w:color w:val="000000"/>
          <w:sz w:val="24"/>
          <w:szCs w:val="24"/>
          <w:lang w:eastAsia="lv-LV"/>
        </w:rPr>
        <w:t xml:space="preserve"> over three years, expanding the availability of capital market instruments to Latvian </w:t>
      </w:r>
      <w:r w:rsidR="009E3C5B" w:rsidRPr="00236568">
        <w:rPr>
          <w:rFonts w:ascii="Times New Roman" w:hAnsi="Times New Roman"/>
          <w:color w:val="000000"/>
          <w:sz w:val="24"/>
          <w:szCs w:val="24"/>
          <w:lang w:eastAsia="lv-LV"/>
        </w:rPr>
        <w:t>domestic client</w:t>
      </w:r>
      <w:r w:rsidRPr="00236568">
        <w:rPr>
          <w:rFonts w:ascii="Times New Roman" w:hAnsi="Times New Roman"/>
          <w:color w:val="000000"/>
          <w:sz w:val="24"/>
          <w:szCs w:val="24"/>
          <w:lang w:eastAsia="lv-LV"/>
        </w:rPr>
        <w:t xml:space="preserve"> non-financial companies and investment opportunities for institutional and private investors.</w:t>
      </w:r>
    </w:p>
    <w:p w14:paraId="4AA6AF7C" w14:textId="77777777" w:rsidR="00B60D4C" w:rsidRPr="00236568" w:rsidRDefault="00B60D4C" w:rsidP="00BF7917">
      <w:pPr>
        <w:spacing w:after="0" w:line="240" w:lineRule="auto"/>
        <w:jc w:val="both"/>
        <w:rPr>
          <w:rFonts w:ascii="Times New Roman" w:hAnsi="Times New Roman"/>
          <w:color w:val="000000"/>
          <w:sz w:val="24"/>
          <w:szCs w:val="24"/>
          <w:lang w:eastAsia="lv-LV"/>
        </w:rPr>
      </w:pPr>
    </w:p>
    <w:p w14:paraId="77A6F96A" w14:textId="38211CCE" w:rsidR="00B60D4C" w:rsidRPr="00236568" w:rsidRDefault="00EA1BAD" w:rsidP="00DE5FE5">
      <w:pPr>
        <w:pStyle w:val="Heading3"/>
        <w:spacing w:line="240" w:lineRule="auto"/>
      </w:pPr>
      <w:bookmarkStart w:id="19" w:name="_Toc479773685"/>
      <w:bookmarkStart w:id="20" w:name="_Toc479839719"/>
      <w:r w:rsidRPr="00236568">
        <w:t>1.</w:t>
      </w:r>
      <w:r w:rsidR="00B60D4C" w:rsidRPr="00236568">
        <w:t>3.1. Increasing the number of companies using capital market instruments funding</w:t>
      </w:r>
      <w:bookmarkEnd w:id="19"/>
      <w:bookmarkEnd w:id="20"/>
    </w:p>
    <w:p w14:paraId="5BBB61C0" w14:textId="77777777" w:rsidR="00B60D4C" w:rsidRPr="00236568" w:rsidRDefault="00B60D4C" w:rsidP="00595DDE">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In accordance with the Capital Markets Union </w:t>
      </w:r>
      <w:proofErr w:type="gramStart"/>
      <w:r w:rsidRPr="00236568">
        <w:rPr>
          <w:rFonts w:ascii="Times New Roman" w:hAnsi="Times New Roman"/>
          <w:color w:val="000000"/>
          <w:sz w:val="24"/>
          <w:szCs w:val="24"/>
          <w:lang w:eastAsia="lv-LV"/>
        </w:rPr>
        <w:t>objectives</w:t>
      </w:r>
      <w:proofErr w:type="gramEnd"/>
      <w:r w:rsidRPr="00236568">
        <w:rPr>
          <w:rStyle w:val="FootnoteReference"/>
          <w:rFonts w:ascii="Times New Roman" w:hAnsi="Times New Roman"/>
          <w:color w:val="000000"/>
          <w:sz w:val="24"/>
          <w:szCs w:val="24"/>
          <w:lang w:eastAsia="lv-LV"/>
        </w:rPr>
        <w:footnoteReference w:id="27"/>
      </w:r>
      <w:r w:rsidRPr="00236568">
        <w:rPr>
          <w:rFonts w:ascii="Times New Roman" w:hAnsi="Times New Roman"/>
          <w:color w:val="000000"/>
          <w:sz w:val="24"/>
          <w:szCs w:val="24"/>
          <w:lang w:eastAsia="lv-LV"/>
        </w:rPr>
        <w:t xml:space="preserve"> it is necessary to develop access to equity investment for small and medium-sized enterprises by easing the requirements for participation in the securities market and the preparation of the prospectus to ensure fundraising diversification and improvement of corporate governance standards in the private sector. Also important is the promotion of corporate debt securities, which would contribute to corporate governance and increasing transparency. Further development capital and securities market instruments are an essential precondition for additional investment opportunities to promote the Latvian capital market.</w:t>
      </w:r>
    </w:p>
    <w:p w14:paraId="3EA1E189" w14:textId="77777777" w:rsidR="00B60D4C" w:rsidRPr="00236568" w:rsidRDefault="00B60D4C" w:rsidP="00BF7917">
      <w:pPr>
        <w:spacing w:after="0" w:line="240" w:lineRule="auto"/>
        <w:jc w:val="both"/>
        <w:rPr>
          <w:rFonts w:ascii="Times New Roman" w:hAnsi="Times New Roman"/>
          <w:color w:val="000000"/>
          <w:sz w:val="24"/>
          <w:szCs w:val="24"/>
          <w:lang w:eastAsia="lv-LV"/>
        </w:rPr>
      </w:pPr>
    </w:p>
    <w:p w14:paraId="635615FD" w14:textId="64A206C2"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In order to increase access to market based instruments, public support establish</w:t>
      </w:r>
      <w:r w:rsidR="00A05B93" w:rsidRPr="00236568">
        <w:rPr>
          <w:rFonts w:ascii="Times New Roman" w:hAnsi="Times New Roman"/>
          <w:color w:val="000000"/>
          <w:sz w:val="24"/>
          <w:szCs w:val="24"/>
          <w:lang w:eastAsia="lv-LV"/>
        </w:rPr>
        <w:t>ing</w:t>
      </w:r>
      <w:r w:rsidRPr="00236568">
        <w:rPr>
          <w:rFonts w:ascii="Times New Roman" w:hAnsi="Times New Roman"/>
          <w:color w:val="000000"/>
          <w:sz w:val="24"/>
          <w:szCs w:val="24"/>
          <w:lang w:eastAsia="lv-LV"/>
        </w:rPr>
        <w:t xml:space="preserve"> venture capital funds is important (operating as alternative investment funds). Accordingly, for each of type of market failure there </w:t>
      </w:r>
      <w:r w:rsidR="00A05B93" w:rsidRPr="00236568">
        <w:rPr>
          <w:rFonts w:ascii="Times New Roman" w:hAnsi="Times New Roman"/>
          <w:color w:val="000000"/>
          <w:sz w:val="24"/>
          <w:szCs w:val="24"/>
          <w:lang w:eastAsia="lv-LV"/>
        </w:rPr>
        <w:t>is</w:t>
      </w:r>
      <w:r w:rsidRPr="00236568">
        <w:rPr>
          <w:rFonts w:ascii="Times New Roman" w:hAnsi="Times New Roman"/>
          <w:color w:val="000000"/>
          <w:sz w:val="24"/>
          <w:szCs w:val="24"/>
          <w:lang w:eastAsia="lv-LV"/>
        </w:rPr>
        <w:t xml:space="preserve"> appropriate financial instrument state aid program. With regard to venture capital and growth capital industry, it </w:t>
      </w:r>
      <w:proofErr w:type="gramStart"/>
      <w:r w:rsidRPr="00236568">
        <w:rPr>
          <w:rFonts w:ascii="Times New Roman" w:hAnsi="Times New Roman"/>
          <w:color w:val="000000"/>
          <w:sz w:val="24"/>
          <w:szCs w:val="24"/>
          <w:lang w:eastAsia="lv-LV"/>
        </w:rPr>
        <w:t>can be concluded</w:t>
      </w:r>
      <w:proofErr w:type="gramEnd"/>
      <w:r w:rsidRPr="00236568">
        <w:rPr>
          <w:rFonts w:ascii="Times New Roman" w:hAnsi="Times New Roman"/>
          <w:color w:val="000000"/>
          <w:sz w:val="24"/>
          <w:szCs w:val="24"/>
          <w:lang w:eastAsia="lv-LV"/>
        </w:rPr>
        <w:t xml:space="preserve"> that, overall, the venture capital market is not sufficiently developed and is not attractive to investors. Institutional investors lack the incentive to invest in local venture capital funds, and venture capital funds have a tendency to migrate to later stage investment in their growth phase. The estimated total amount for which the market does not cover the demand for venture capital and growth capital industry is estimated at about 294-538 million euros. </w:t>
      </w:r>
      <w:r w:rsidR="00A05B93" w:rsidRPr="00236568">
        <w:rPr>
          <w:rFonts w:ascii="Times New Roman" w:hAnsi="Times New Roman"/>
          <w:color w:val="000000"/>
          <w:sz w:val="24"/>
          <w:szCs w:val="24"/>
          <w:lang w:eastAsia="lv-LV"/>
        </w:rPr>
        <w:t xml:space="preserve">Starting with </w:t>
      </w:r>
      <w:r w:rsidRPr="00236568">
        <w:rPr>
          <w:rFonts w:ascii="Times New Roman" w:hAnsi="Times New Roman"/>
          <w:color w:val="000000"/>
          <w:sz w:val="24"/>
          <w:szCs w:val="24"/>
          <w:lang w:eastAsia="lv-LV"/>
        </w:rPr>
        <w:t xml:space="preserve">the </w:t>
      </w:r>
      <w:r w:rsidR="00500283" w:rsidRPr="00236568">
        <w:rPr>
          <w:rFonts w:ascii="Times New Roman" w:hAnsi="Times New Roman"/>
          <w:color w:val="000000"/>
          <w:sz w:val="24"/>
          <w:szCs w:val="24"/>
          <w:lang w:eastAsia="lv-LV"/>
        </w:rPr>
        <w:t>EU</w:t>
      </w:r>
      <w:r w:rsidRPr="00236568">
        <w:rPr>
          <w:rFonts w:ascii="Times New Roman" w:hAnsi="Times New Roman"/>
          <w:color w:val="000000"/>
          <w:sz w:val="24"/>
          <w:szCs w:val="24"/>
          <w:lang w:eastAsia="lv-LV"/>
        </w:rPr>
        <w:t xml:space="preserve"> Structural </w:t>
      </w:r>
      <w:proofErr w:type="gramStart"/>
      <w:r w:rsidRPr="00236568">
        <w:rPr>
          <w:rFonts w:ascii="Times New Roman" w:hAnsi="Times New Roman"/>
          <w:color w:val="000000"/>
          <w:sz w:val="24"/>
          <w:szCs w:val="24"/>
          <w:lang w:eastAsia="lv-LV"/>
        </w:rPr>
        <w:t>Fund</w:t>
      </w:r>
      <w:proofErr w:type="gramEnd"/>
      <w:r w:rsidRPr="00236568">
        <w:rPr>
          <w:rFonts w:ascii="Times New Roman" w:hAnsi="Times New Roman"/>
          <w:color w:val="000000"/>
          <w:sz w:val="24"/>
          <w:szCs w:val="24"/>
          <w:lang w:eastAsia="lv-LV"/>
        </w:rPr>
        <w:t xml:space="preserve"> programming period for 2014 to 2020, </w:t>
      </w:r>
      <w:r w:rsidR="00A05B93" w:rsidRPr="00236568">
        <w:rPr>
          <w:rFonts w:ascii="Times New Roman" w:hAnsi="Times New Roman"/>
          <w:color w:val="000000"/>
          <w:sz w:val="24"/>
          <w:szCs w:val="24"/>
          <w:lang w:eastAsia="lv-LV"/>
        </w:rPr>
        <w:t xml:space="preserve">public funds </w:t>
      </w:r>
      <w:r w:rsidRPr="00236568">
        <w:rPr>
          <w:rFonts w:ascii="Times New Roman" w:hAnsi="Times New Roman"/>
          <w:color w:val="000000"/>
          <w:sz w:val="24"/>
          <w:szCs w:val="24"/>
          <w:lang w:eastAsia="lv-LV"/>
        </w:rPr>
        <w:t xml:space="preserve">will be available </w:t>
      </w:r>
      <w:r w:rsidR="00A05B93" w:rsidRPr="00236568">
        <w:rPr>
          <w:rFonts w:ascii="Times New Roman" w:hAnsi="Times New Roman"/>
          <w:color w:val="000000"/>
          <w:sz w:val="24"/>
          <w:szCs w:val="24"/>
          <w:lang w:eastAsia="lv-LV"/>
        </w:rPr>
        <w:t xml:space="preserve">for investment in equity </w:t>
      </w:r>
      <w:r w:rsidRPr="00236568">
        <w:rPr>
          <w:rFonts w:ascii="Times New Roman" w:hAnsi="Times New Roman"/>
          <w:color w:val="000000"/>
          <w:sz w:val="24"/>
          <w:szCs w:val="24"/>
          <w:lang w:eastAsia="lv-LV"/>
        </w:rPr>
        <w:t>for business angel co-financing, accelerators and quasi-equity instrument, which provides mezzanine financing.</w:t>
      </w:r>
    </w:p>
    <w:p w14:paraId="78968737" w14:textId="77777777" w:rsidR="00B60D4C" w:rsidRPr="00236568" w:rsidRDefault="00B60D4C">
      <w:pPr>
        <w:spacing w:after="0" w:line="240" w:lineRule="auto"/>
        <w:jc w:val="both"/>
        <w:rPr>
          <w:rFonts w:ascii="Times New Roman" w:hAnsi="Times New Roman"/>
          <w:color w:val="000000"/>
          <w:sz w:val="24"/>
          <w:szCs w:val="24"/>
          <w:lang w:eastAsia="lv-LV"/>
        </w:rPr>
      </w:pPr>
    </w:p>
    <w:p w14:paraId="41CE2FEF" w14:textId="4BA7BE4A" w:rsidR="00B60D4C" w:rsidRPr="00236568" w:rsidRDefault="00B60D4C">
      <w:pPr>
        <w:spacing w:after="0" w:line="240" w:lineRule="auto"/>
        <w:jc w:val="both"/>
      </w:pPr>
      <w:r w:rsidRPr="00236568">
        <w:rPr>
          <w:rFonts w:ascii="Times New Roman" w:hAnsi="Times New Roman"/>
          <w:color w:val="000000"/>
          <w:sz w:val="24"/>
          <w:szCs w:val="24"/>
          <w:lang w:eastAsia="lv-LV"/>
        </w:rPr>
        <w:t xml:space="preserve">With regard to the business angel sector it </w:t>
      </w:r>
      <w:proofErr w:type="gramStart"/>
      <w:r w:rsidRPr="00236568">
        <w:rPr>
          <w:rFonts w:ascii="Times New Roman" w:hAnsi="Times New Roman"/>
          <w:color w:val="000000"/>
          <w:sz w:val="24"/>
          <w:szCs w:val="24"/>
          <w:lang w:eastAsia="lv-LV"/>
        </w:rPr>
        <w:t>is concluded</w:t>
      </w:r>
      <w:proofErr w:type="gramEnd"/>
      <w:r w:rsidRPr="00236568">
        <w:rPr>
          <w:rFonts w:ascii="Times New Roman" w:hAnsi="Times New Roman"/>
          <w:color w:val="000000"/>
          <w:sz w:val="24"/>
          <w:szCs w:val="24"/>
          <w:lang w:eastAsia="lv-LV"/>
        </w:rPr>
        <w:t xml:space="preserve"> that access to business angels is limited due to lack of unifying network</w:t>
      </w:r>
      <w:r w:rsidR="00A05B93" w:rsidRPr="00236568">
        <w:rPr>
          <w:rFonts w:ascii="Times New Roman" w:hAnsi="Times New Roman"/>
          <w:color w:val="000000"/>
          <w:sz w:val="24"/>
          <w:szCs w:val="24"/>
          <w:lang w:eastAsia="lv-LV"/>
        </w:rPr>
        <w:t>s</w:t>
      </w:r>
      <w:r w:rsidRPr="00236568">
        <w:rPr>
          <w:rFonts w:ascii="Times New Roman" w:hAnsi="Times New Roman"/>
          <w:color w:val="000000"/>
          <w:sz w:val="24"/>
          <w:szCs w:val="24"/>
          <w:lang w:eastAsia="lv-LV"/>
        </w:rPr>
        <w:t>, and because of lack of experience there is no desire to invest</w:t>
      </w:r>
      <w:r w:rsidR="00A05B93"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w:t>
      </w:r>
      <w:r w:rsidR="00A05B93" w:rsidRPr="00236568">
        <w:rPr>
          <w:rFonts w:ascii="Times New Roman" w:hAnsi="Times New Roman"/>
          <w:color w:val="000000"/>
          <w:sz w:val="24"/>
          <w:szCs w:val="24"/>
          <w:lang w:eastAsia="lv-LV"/>
        </w:rPr>
        <w:t>In</w:t>
      </w:r>
      <w:r w:rsidRPr="00236568">
        <w:rPr>
          <w:rFonts w:ascii="Times New Roman" w:hAnsi="Times New Roman"/>
          <w:color w:val="000000"/>
          <w:sz w:val="24"/>
          <w:szCs w:val="24"/>
          <w:lang w:eastAsia="lv-LV"/>
        </w:rPr>
        <w:t xml:space="preserve"> the regional business incubators</w:t>
      </w:r>
      <w:r w:rsidR="00A05B93"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w:t>
      </w:r>
      <w:r w:rsidR="00A05B93" w:rsidRPr="00236568">
        <w:rPr>
          <w:rFonts w:ascii="Times New Roman" w:hAnsi="Times New Roman"/>
          <w:color w:val="000000"/>
          <w:sz w:val="24"/>
          <w:szCs w:val="24"/>
          <w:lang w:eastAsia="lv-LV"/>
        </w:rPr>
        <w:t xml:space="preserve">new companies that would be attractive to business angels investments </w:t>
      </w:r>
      <w:r w:rsidRPr="00236568">
        <w:rPr>
          <w:rFonts w:ascii="Times New Roman" w:hAnsi="Times New Roman"/>
          <w:color w:val="000000"/>
          <w:sz w:val="24"/>
          <w:szCs w:val="24"/>
          <w:lang w:eastAsia="lv-LV"/>
        </w:rPr>
        <w:t xml:space="preserve">are rarely created, corporate presentation quality often is lower than expected by business angels, and opportunities to stop the investment is limited. The estimated total amount for which the market does not cover the demand for business angel sector </w:t>
      </w:r>
      <w:proofErr w:type="gramStart"/>
      <w:r w:rsidRPr="00236568">
        <w:rPr>
          <w:rFonts w:ascii="Times New Roman" w:hAnsi="Times New Roman"/>
          <w:color w:val="000000"/>
          <w:sz w:val="24"/>
          <w:szCs w:val="24"/>
          <w:lang w:eastAsia="lv-LV"/>
        </w:rPr>
        <w:t>is estimated</w:t>
      </w:r>
      <w:proofErr w:type="gramEnd"/>
      <w:r w:rsidRPr="00236568">
        <w:rPr>
          <w:rFonts w:ascii="Times New Roman" w:hAnsi="Times New Roman"/>
          <w:color w:val="000000"/>
          <w:sz w:val="24"/>
          <w:szCs w:val="24"/>
          <w:lang w:eastAsia="lv-LV"/>
        </w:rPr>
        <w:t xml:space="preserve"> at around 20 million euro</w:t>
      </w:r>
      <w:r w:rsidRPr="00236568">
        <w:rPr>
          <w:rStyle w:val="FootnoteReference"/>
          <w:rFonts w:ascii="Times New Roman" w:hAnsi="Times New Roman"/>
          <w:color w:val="000000"/>
          <w:sz w:val="24"/>
          <w:szCs w:val="24"/>
          <w:lang w:eastAsia="lv-LV"/>
        </w:rPr>
        <w:footnoteReference w:id="28"/>
      </w:r>
      <w:r w:rsidRPr="00236568">
        <w:t>.</w:t>
      </w:r>
    </w:p>
    <w:p w14:paraId="1E11AD7B" w14:textId="77777777" w:rsidR="00B60D4C" w:rsidRPr="00236568" w:rsidRDefault="00B60D4C" w:rsidP="00DE5FE5">
      <w:pPr>
        <w:spacing w:line="240" w:lineRule="auto"/>
      </w:pPr>
    </w:p>
    <w:p w14:paraId="2739105E" w14:textId="695ADD8E" w:rsidR="00B60D4C" w:rsidRPr="00236568" w:rsidRDefault="00EA1BAD" w:rsidP="00DE5FE5">
      <w:pPr>
        <w:pStyle w:val="Heading3"/>
        <w:spacing w:line="240" w:lineRule="auto"/>
        <w:rPr>
          <w:lang w:eastAsia="lv-LV"/>
        </w:rPr>
      </w:pPr>
      <w:bookmarkStart w:id="21" w:name="_Toc479773686"/>
      <w:bookmarkStart w:id="22" w:name="_Toc479839720"/>
      <w:r w:rsidRPr="00236568">
        <w:rPr>
          <w:lang w:eastAsia="lv-LV"/>
        </w:rPr>
        <w:t>1.</w:t>
      </w:r>
      <w:r w:rsidR="00B60D4C" w:rsidRPr="00236568">
        <w:rPr>
          <w:lang w:eastAsia="lv-LV"/>
        </w:rPr>
        <w:t>3.2. Developing capital instruments to increase opportunities for access of funding and investment</w:t>
      </w:r>
      <w:bookmarkEnd w:id="21"/>
      <w:bookmarkEnd w:id="22"/>
    </w:p>
    <w:p w14:paraId="4B6D141F" w14:textId="77777777" w:rsidR="00B60D4C" w:rsidRPr="00236568" w:rsidRDefault="00B60D4C" w:rsidP="00595DDE">
      <w:pPr>
        <w:spacing w:after="0" w:line="240" w:lineRule="auto"/>
        <w:jc w:val="both"/>
        <w:rPr>
          <w:rFonts w:ascii="Times New Roman" w:hAnsi="Times New Roman"/>
          <w:color w:val="000000"/>
          <w:sz w:val="24"/>
          <w:szCs w:val="24"/>
          <w:lang w:eastAsia="lv-LV"/>
        </w:rPr>
      </w:pPr>
    </w:p>
    <w:p w14:paraId="7D3C0182" w14:textId="3AE7C8CD" w:rsidR="00A05B93" w:rsidRPr="00236568" w:rsidRDefault="00A05B93" w:rsidP="00BF7917">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lastRenderedPageBreak/>
        <w:t xml:space="preserve">Capital market at present does not provide </w:t>
      </w:r>
      <w:r w:rsidR="00582CB6" w:rsidRPr="00236568">
        <w:rPr>
          <w:rFonts w:ascii="Times New Roman" w:hAnsi="Times New Roman"/>
          <w:color w:val="000000"/>
          <w:sz w:val="24"/>
          <w:szCs w:val="24"/>
          <w:lang w:eastAsia="lv-LV"/>
        </w:rPr>
        <w:t xml:space="preserve">an </w:t>
      </w:r>
      <w:r w:rsidRPr="00236568">
        <w:rPr>
          <w:rFonts w:ascii="Times New Roman" w:hAnsi="Times New Roman"/>
          <w:color w:val="000000"/>
          <w:sz w:val="24"/>
          <w:szCs w:val="24"/>
          <w:lang w:eastAsia="lv-LV"/>
        </w:rPr>
        <w:t>adequate alternative</w:t>
      </w:r>
      <w:r w:rsidR="00582CB6" w:rsidRPr="00236568">
        <w:rPr>
          <w:rFonts w:ascii="Times New Roman" w:hAnsi="Times New Roman"/>
          <w:color w:val="000000"/>
          <w:sz w:val="24"/>
          <w:szCs w:val="24"/>
          <w:lang w:eastAsia="lv-LV"/>
        </w:rPr>
        <w:t xml:space="preserve"> for diversification of funding sources for companies, and it is not an instrument to channel savings into investments.</w:t>
      </w:r>
    </w:p>
    <w:p w14:paraId="0212D643" w14:textId="77777777" w:rsidR="00A05B93" w:rsidRPr="00236568" w:rsidRDefault="00A05B93">
      <w:pPr>
        <w:spacing w:after="0" w:line="240" w:lineRule="auto"/>
        <w:jc w:val="both"/>
        <w:rPr>
          <w:rFonts w:ascii="Times New Roman" w:hAnsi="Times New Roman"/>
          <w:color w:val="000000"/>
          <w:sz w:val="24"/>
          <w:szCs w:val="24"/>
          <w:lang w:eastAsia="lv-LV"/>
        </w:rPr>
      </w:pPr>
    </w:p>
    <w:p w14:paraId="32A9D4C9" w14:textId="22311C1B"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Notwithstanding the limited capital market activity in Latvia, on a global scale and in the EU there are continuous innovations in the industry. For example, according to new data disclosure requirements currently at the level of the </w:t>
      </w:r>
      <w:r w:rsidR="00582CB6" w:rsidRPr="00236568">
        <w:rPr>
          <w:rFonts w:ascii="Times New Roman" w:hAnsi="Times New Roman"/>
          <w:color w:val="000000"/>
          <w:sz w:val="24"/>
          <w:szCs w:val="24"/>
          <w:lang w:eastAsia="lv-LV"/>
        </w:rPr>
        <w:t>EU</w:t>
      </w:r>
      <w:r w:rsidRPr="00236568">
        <w:rPr>
          <w:rFonts w:ascii="Times New Roman" w:hAnsi="Times New Roman"/>
          <w:color w:val="000000"/>
          <w:sz w:val="24"/>
          <w:szCs w:val="24"/>
          <w:lang w:eastAsia="lv-LV"/>
        </w:rPr>
        <w:t xml:space="preserve"> are working on the creation of a new infrastructure providers, who will have the right to publish OTC trade data (both before and after the trading results), providing the APA (Approved Publication Arrangement) services for OTC issue. The largest trading platform in Europe already have applied for and received approval from the European Securities and Markets Authority of this service. Latvia </w:t>
      </w:r>
      <w:r w:rsidR="00582CB6" w:rsidRPr="00236568">
        <w:rPr>
          <w:rFonts w:ascii="Times New Roman" w:hAnsi="Times New Roman"/>
          <w:color w:val="000000"/>
          <w:sz w:val="24"/>
          <w:szCs w:val="24"/>
          <w:lang w:eastAsia="lv-LV"/>
        </w:rPr>
        <w:t>will have to</w:t>
      </w:r>
      <w:r w:rsidRPr="00236568">
        <w:rPr>
          <w:rFonts w:ascii="Times New Roman" w:hAnsi="Times New Roman"/>
          <w:color w:val="000000"/>
          <w:sz w:val="24"/>
          <w:szCs w:val="24"/>
          <w:lang w:eastAsia="lv-LV"/>
        </w:rPr>
        <w:t xml:space="preserve"> assess the need for membership to join the OTC platforms</w:t>
      </w:r>
      <w:r w:rsidR="00582CB6" w:rsidRPr="00236568">
        <w:rPr>
          <w:rFonts w:ascii="Times New Roman" w:hAnsi="Times New Roman"/>
          <w:color w:val="000000"/>
          <w:sz w:val="24"/>
          <w:szCs w:val="24"/>
          <w:lang w:eastAsia="lv-LV"/>
        </w:rPr>
        <w:t xml:space="preserve">, </w:t>
      </w:r>
      <w:r w:rsidR="00902075" w:rsidRPr="00236568">
        <w:rPr>
          <w:rFonts w:ascii="Times New Roman" w:hAnsi="Times New Roman"/>
          <w:color w:val="000000"/>
          <w:sz w:val="24"/>
          <w:szCs w:val="24"/>
          <w:lang w:eastAsia="lv-LV"/>
        </w:rPr>
        <w:t>taking into account increasing activity of OTC trade</w:t>
      </w:r>
      <w:r w:rsidRPr="00236568">
        <w:rPr>
          <w:rFonts w:ascii="Times New Roman" w:hAnsi="Times New Roman"/>
          <w:color w:val="000000"/>
          <w:sz w:val="24"/>
          <w:szCs w:val="24"/>
          <w:lang w:eastAsia="lv-LV"/>
        </w:rPr>
        <w:t>.</w:t>
      </w:r>
    </w:p>
    <w:p w14:paraId="3854EF99" w14:textId="77777777" w:rsidR="00B60D4C" w:rsidRPr="00236568" w:rsidRDefault="00B60D4C">
      <w:pPr>
        <w:spacing w:after="0" w:line="240" w:lineRule="auto"/>
        <w:jc w:val="both"/>
        <w:rPr>
          <w:rFonts w:ascii="Times New Roman" w:hAnsi="Times New Roman"/>
          <w:color w:val="000000"/>
          <w:sz w:val="24"/>
          <w:szCs w:val="24"/>
          <w:lang w:eastAsia="lv-LV"/>
        </w:rPr>
      </w:pPr>
    </w:p>
    <w:p w14:paraId="2D788C7C" w14:textId="0DCC1563"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For </w:t>
      </w:r>
      <w:r w:rsidR="00305A8F" w:rsidRPr="00236568">
        <w:rPr>
          <w:rFonts w:ascii="Times New Roman" w:hAnsi="Times New Roman"/>
          <w:color w:val="000000"/>
          <w:sz w:val="24"/>
          <w:szCs w:val="24"/>
          <w:lang w:eastAsia="lv-LV"/>
        </w:rPr>
        <w:t>a</w:t>
      </w:r>
      <w:r w:rsidRPr="00236568">
        <w:rPr>
          <w:rFonts w:ascii="Times New Roman" w:hAnsi="Times New Roman"/>
          <w:color w:val="000000"/>
          <w:sz w:val="24"/>
          <w:szCs w:val="24"/>
          <w:lang w:eastAsia="lv-LV"/>
        </w:rPr>
        <w:t xml:space="preserve"> sustainable financial system, </w:t>
      </w:r>
      <w:r w:rsidR="00305A8F" w:rsidRPr="00236568">
        <w:rPr>
          <w:rFonts w:ascii="Times New Roman" w:hAnsi="Times New Roman"/>
          <w:color w:val="000000"/>
          <w:sz w:val="24"/>
          <w:szCs w:val="24"/>
          <w:lang w:eastAsia="lv-LV"/>
        </w:rPr>
        <w:t>response/adaptation to</w:t>
      </w:r>
      <w:r w:rsidRPr="00236568">
        <w:rPr>
          <w:rFonts w:ascii="Times New Roman" w:hAnsi="Times New Roman"/>
          <w:color w:val="000000"/>
          <w:sz w:val="24"/>
          <w:szCs w:val="24"/>
          <w:lang w:eastAsia="lv-LV"/>
        </w:rPr>
        <w:t xml:space="preserve"> climate change risks</w:t>
      </w:r>
      <w:r w:rsidR="00305A8F" w:rsidRPr="00236568">
        <w:rPr>
          <w:rFonts w:ascii="Times New Roman" w:hAnsi="Times New Roman"/>
          <w:color w:val="000000"/>
          <w:sz w:val="24"/>
          <w:szCs w:val="24"/>
          <w:lang w:eastAsia="lv-LV"/>
        </w:rPr>
        <w:t xml:space="preserve"> is one of the constituent elements</w:t>
      </w:r>
      <w:r w:rsidRPr="00236568">
        <w:rPr>
          <w:rFonts w:ascii="Times New Roman" w:hAnsi="Times New Roman"/>
          <w:color w:val="000000"/>
          <w:sz w:val="24"/>
          <w:szCs w:val="24"/>
          <w:lang w:eastAsia="lv-LV"/>
        </w:rPr>
        <w:t>. In order to achieve the</w:t>
      </w:r>
      <w:r w:rsidR="00305A8F" w:rsidRPr="00236568">
        <w:rPr>
          <w:rFonts w:ascii="Times New Roman" w:hAnsi="Times New Roman"/>
          <w:color w:val="000000"/>
          <w:sz w:val="24"/>
          <w:szCs w:val="24"/>
          <w:lang w:eastAsia="lv-LV"/>
        </w:rPr>
        <w:t xml:space="preserve"> objective of the</w:t>
      </w:r>
      <w:r w:rsidRPr="00236568">
        <w:rPr>
          <w:rFonts w:ascii="Times New Roman" w:hAnsi="Times New Roman"/>
          <w:color w:val="000000"/>
          <w:sz w:val="24"/>
          <w:szCs w:val="24"/>
          <w:lang w:eastAsia="lv-LV"/>
        </w:rPr>
        <w:t xml:space="preserve"> United Nations Framework Convention on Climate Change Conference of the Parties 21 session (COP 21)</w:t>
      </w:r>
      <w:r w:rsidR="00305A8F"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the Paris Agreement</w:t>
      </w:r>
      <w:r w:rsidR="00305A8F"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w:t>
      </w:r>
      <w:r w:rsidR="00305A8F" w:rsidRPr="00236568">
        <w:rPr>
          <w:rFonts w:ascii="Times New Roman" w:hAnsi="Times New Roman"/>
          <w:color w:val="000000"/>
          <w:sz w:val="24"/>
          <w:szCs w:val="24"/>
          <w:lang w:eastAsia="lv-LV"/>
        </w:rPr>
        <w:t>keeping a global temperature rise,</w:t>
      </w:r>
      <w:r w:rsidRPr="00236568">
        <w:rPr>
          <w:rFonts w:ascii="Times New Roman" w:hAnsi="Times New Roman"/>
          <w:color w:val="000000"/>
          <w:sz w:val="24"/>
          <w:szCs w:val="24"/>
          <w:lang w:eastAsia="lv-LV"/>
        </w:rPr>
        <w:t xml:space="preserve"> many financial organizations in the world have committed to channel funding directly to the green environmental projects. There is also development of green bonds where companies invest in projects related to renewable energy sources, improving energy efficiency, environmental sustainability and climate change risks. These bonds have a tendency to increase significantly every year. Also in Latvia, </w:t>
      </w:r>
      <w:r w:rsidR="00EA1BAD" w:rsidRPr="00236568">
        <w:rPr>
          <w:rFonts w:ascii="Times New Roman" w:hAnsi="Times New Roman"/>
          <w:color w:val="000000"/>
          <w:sz w:val="24"/>
          <w:szCs w:val="24"/>
          <w:lang w:eastAsia="lv-LV"/>
        </w:rPr>
        <w:t>Joint Stock Company “</w:t>
      </w:r>
      <w:proofErr w:type="spellStart"/>
      <w:r w:rsidRPr="00236568">
        <w:rPr>
          <w:rFonts w:ascii="Times New Roman" w:hAnsi="Times New Roman"/>
          <w:color w:val="000000"/>
          <w:sz w:val="24"/>
          <w:szCs w:val="24"/>
          <w:lang w:eastAsia="lv-LV"/>
        </w:rPr>
        <w:t>Latvenergo</w:t>
      </w:r>
      <w:proofErr w:type="spellEnd"/>
      <w:r w:rsidR="00EA1BAD"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have issued green bonds, in 2015 and 2016, in total of 100 million euro. The funds raised with bonds </w:t>
      </w:r>
      <w:proofErr w:type="gramStart"/>
      <w:r w:rsidRPr="00236568">
        <w:rPr>
          <w:rFonts w:ascii="Times New Roman" w:hAnsi="Times New Roman"/>
          <w:color w:val="000000"/>
          <w:sz w:val="24"/>
          <w:szCs w:val="24"/>
          <w:lang w:eastAsia="lv-LV"/>
        </w:rPr>
        <w:t>must be used</w:t>
      </w:r>
      <w:proofErr w:type="gramEnd"/>
      <w:r w:rsidRPr="00236568">
        <w:rPr>
          <w:rFonts w:ascii="Times New Roman" w:hAnsi="Times New Roman"/>
          <w:color w:val="000000"/>
          <w:sz w:val="24"/>
          <w:szCs w:val="24"/>
          <w:lang w:eastAsia="lv-LV"/>
        </w:rPr>
        <w:t xml:space="preserve"> solely to improve the environment in projects related to renewable energy sources, improving energy efficiency and sustainable environment.</w:t>
      </w:r>
      <w:r w:rsidR="00EA1BAD" w:rsidRPr="00236568">
        <w:rPr>
          <w:rFonts w:ascii="Times New Roman" w:hAnsi="Times New Roman"/>
          <w:color w:val="000000"/>
          <w:sz w:val="24"/>
          <w:szCs w:val="24"/>
          <w:lang w:eastAsia="lv-LV"/>
        </w:rPr>
        <w:t xml:space="preserve"> JSC</w:t>
      </w:r>
      <w:r w:rsidRPr="00236568">
        <w:rPr>
          <w:rFonts w:ascii="Times New Roman" w:hAnsi="Times New Roman"/>
          <w:color w:val="000000"/>
          <w:sz w:val="24"/>
          <w:szCs w:val="24"/>
          <w:lang w:eastAsia="lv-LV"/>
        </w:rPr>
        <w:t xml:space="preserve"> </w:t>
      </w:r>
      <w:r w:rsidR="00EA1BAD" w:rsidRPr="00236568">
        <w:rPr>
          <w:rFonts w:ascii="Times New Roman" w:hAnsi="Times New Roman"/>
          <w:color w:val="000000"/>
          <w:sz w:val="24"/>
          <w:szCs w:val="24"/>
          <w:lang w:eastAsia="lv-LV"/>
        </w:rPr>
        <w:t>“</w:t>
      </w:r>
      <w:proofErr w:type="spellStart"/>
      <w:r w:rsidRPr="00236568">
        <w:rPr>
          <w:rFonts w:ascii="Times New Roman" w:hAnsi="Times New Roman"/>
          <w:color w:val="000000"/>
          <w:sz w:val="24"/>
          <w:szCs w:val="24"/>
          <w:lang w:eastAsia="lv-LV"/>
        </w:rPr>
        <w:t>Latvenergo</w:t>
      </w:r>
      <w:proofErr w:type="spellEnd"/>
      <w:r w:rsidR="00EA1BAD"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with green bond issue was one of the first new EU member states. Investors</w:t>
      </w:r>
      <w:r w:rsidR="00327393">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interest and the low bond yield is a pro</w:t>
      </w:r>
      <w:r w:rsidR="00887825">
        <w:rPr>
          <w:rFonts w:ascii="Times New Roman" w:hAnsi="Times New Roman"/>
          <w:color w:val="000000"/>
          <w:sz w:val="24"/>
          <w:szCs w:val="24"/>
          <w:lang w:eastAsia="lv-LV"/>
        </w:rPr>
        <w:t>of</w:t>
      </w:r>
      <w:r w:rsidRPr="00236568">
        <w:rPr>
          <w:rFonts w:ascii="Times New Roman" w:hAnsi="Times New Roman"/>
          <w:color w:val="000000"/>
          <w:sz w:val="24"/>
          <w:szCs w:val="24"/>
          <w:lang w:eastAsia="lv-LV"/>
        </w:rPr>
        <w:t xml:space="preserve"> for attractiveness to invest in green projects. However, targeted funding</w:t>
      </w:r>
      <w:r w:rsidR="0024654A"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 xml:space="preserve">does not lower the cost of financial resources, as investors primarily access the borrower's credit risk. It is therefore necessary for this type of bond issue for both public and private sector to contribute </w:t>
      </w:r>
      <w:r w:rsidR="0024654A" w:rsidRPr="00236568">
        <w:rPr>
          <w:rFonts w:ascii="Times New Roman" w:hAnsi="Times New Roman"/>
          <w:color w:val="000000"/>
          <w:sz w:val="24"/>
          <w:szCs w:val="24"/>
          <w:lang w:eastAsia="lv-LV"/>
        </w:rPr>
        <w:t xml:space="preserve">jointly </w:t>
      </w:r>
      <w:r w:rsidRPr="00236568">
        <w:rPr>
          <w:rFonts w:ascii="Times New Roman" w:hAnsi="Times New Roman"/>
          <w:color w:val="000000"/>
          <w:sz w:val="24"/>
          <w:szCs w:val="24"/>
          <w:lang w:eastAsia="lv-LV"/>
        </w:rPr>
        <w:t>to the issuer’s environmentally friendly image, reducing global warming and expanding the product diversity in corporate bond market.</w:t>
      </w:r>
    </w:p>
    <w:p w14:paraId="04B24AF7" w14:textId="77777777" w:rsidR="00B60D4C" w:rsidRPr="00236568" w:rsidRDefault="00B60D4C">
      <w:pPr>
        <w:spacing w:after="0" w:line="240" w:lineRule="auto"/>
        <w:jc w:val="both"/>
        <w:rPr>
          <w:rFonts w:ascii="Times New Roman" w:hAnsi="Times New Roman"/>
          <w:color w:val="000000"/>
          <w:sz w:val="24"/>
          <w:szCs w:val="24"/>
          <w:lang w:eastAsia="lv-LV"/>
        </w:rPr>
      </w:pPr>
    </w:p>
    <w:p w14:paraId="46F29802" w14:textId="200F133E"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At the EU level, there are efforts to give new impetus to the simple and transparent securitization market, contributing to the improvement of the financing</w:t>
      </w:r>
      <w:r w:rsidR="001A7721" w:rsidRPr="00236568">
        <w:rPr>
          <w:rFonts w:ascii="Times New Roman" w:hAnsi="Times New Roman"/>
          <w:color w:val="000000"/>
          <w:sz w:val="24"/>
          <w:szCs w:val="24"/>
          <w:lang w:eastAsia="lv-LV"/>
        </w:rPr>
        <w:t xml:space="preserve"> in the economy</w:t>
      </w:r>
      <w:r w:rsidRPr="00236568">
        <w:rPr>
          <w:rFonts w:ascii="Times New Roman" w:hAnsi="Times New Roman"/>
          <w:color w:val="000000"/>
          <w:sz w:val="24"/>
          <w:szCs w:val="24"/>
          <w:lang w:eastAsia="lv-LV"/>
        </w:rPr>
        <w:t xml:space="preserve">. Securitisation enables the lender to combine loans at its disposal and sell to investors. Securitisation contributes to the risk of dissipation of the entire financial sector, as part of those lenders transfer to other lenders or institutional investors. </w:t>
      </w:r>
      <w:r w:rsidR="0040352D" w:rsidRPr="00236568">
        <w:rPr>
          <w:rFonts w:ascii="Times New Roman" w:hAnsi="Times New Roman"/>
          <w:color w:val="000000"/>
          <w:sz w:val="24"/>
          <w:szCs w:val="24"/>
          <w:lang w:eastAsia="lv-LV"/>
        </w:rPr>
        <w:t>The EU</w:t>
      </w:r>
      <w:r w:rsidRPr="00236568">
        <w:rPr>
          <w:rFonts w:ascii="Times New Roman" w:hAnsi="Times New Roman"/>
          <w:color w:val="000000"/>
          <w:sz w:val="24"/>
          <w:szCs w:val="24"/>
          <w:lang w:eastAsia="lv-LV"/>
        </w:rPr>
        <w:t xml:space="preserve"> securitization market in terms of volume is eight times smaller than the corresponding one in the United States. Although Latvian traditional lenders, banks, </w:t>
      </w:r>
      <w:proofErr w:type="gramStart"/>
      <w:r w:rsidRPr="00236568">
        <w:rPr>
          <w:rFonts w:ascii="Times New Roman" w:hAnsi="Times New Roman"/>
          <w:color w:val="000000"/>
          <w:sz w:val="24"/>
          <w:szCs w:val="24"/>
          <w:lang w:eastAsia="lv-LV"/>
        </w:rPr>
        <w:t>are not forced</w:t>
      </w:r>
      <w:proofErr w:type="gramEnd"/>
      <w:r w:rsidRPr="00236568">
        <w:rPr>
          <w:rFonts w:ascii="Times New Roman" w:hAnsi="Times New Roman"/>
          <w:color w:val="000000"/>
          <w:sz w:val="24"/>
          <w:szCs w:val="24"/>
          <w:lang w:eastAsia="lv-LV"/>
        </w:rPr>
        <w:t xml:space="preserve"> to look at new ways for additional lending, securitisation can create a new impetus for further use of loans through structured capital market instruments.</w:t>
      </w:r>
    </w:p>
    <w:p w14:paraId="63BE59FE" w14:textId="77777777" w:rsidR="00B60D4C" w:rsidRPr="00236568" w:rsidRDefault="00B60D4C">
      <w:pPr>
        <w:spacing w:after="0" w:line="240" w:lineRule="auto"/>
        <w:jc w:val="both"/>
        <w:rPr>
          <w:rFonts w:ascii="Times New Roman" w:hAnsi="Times New Roman"/>
          <w:color w:val="000000"/>
          <w:sz w:val="24"/>
          <w:szCs w:val="24"/>
          <w:lang w:eastAsia="lv-LV"/>
        </w:rPr>
      </w:pPr>
    </w:p>
    <w:p w14:paraId="188F5A3D" w14:textId="77777777" w:rsidR="00B60D4C" w:rsidRPr="00236568" w:rsidRDefault="00B60D4C">
      <w:pPr>
        <w:spacing w:after="0" w:line="240" w:lineRule="auto"/>
        <w:jc w:val="both"/>
      </w:pPr>
      <w:r w:rsidRPr="00236568">
        <w:rPr>
          <w:rFonts w:ascii="Times New Roman" w:hAnsi="Times New Roman"/>
          <w:color w:val="000000"/>
          <w:sz w:val="24"/>
          <w:szCs w:val="24"/>
          <w:lang w:eastAsia="lv-LV"/>
        </w:rPr>
        <w:t>Creating new investment opportunities, it is essential to create an attractive range of instruments of the state funded pension funds for investment in the Latvian economy. Similarly, the state-funded pension funds contribute to the development of long-term investment in structured financial instruments based on big infrastructure projects, investment in Latvian investments, as well as through public-private partnership projects developed as a result.</w:t>
      </w:r>
    </w:p>
    <w:p w14:paraId="4E859E64" w14:textId="77777777" w:rsidR="00B60D4C" w:rsidRPr="00236568" w:rsidRDefault="00B60D4C" w:rsidP="00DE5FE5">
      <w:pPr>
        <w:spacing w:line="240" w:lineRule="auto"/>
      </w:pPr>
    </w:p>
    <w:p w14:paraId="771A400F" w14:textId="5DF27ECE" w:rsidR="00B60D4C" w:rsidRPr="00236568" w:rsidRDefault="00EA1BAD" w:rsidP="00DE5FE5">
      <w:pPr>
        <w:pStyle w:val="Heading3"/>
        <w:spacing w:line="240" w:lineRule="auto"/>
      </w:pPr>
      <w:bookmarkStart w:id="23" w:name="_Toc479773687"/>
      <w:bookmarkStart w:id="24" w:name="_Toc479839721"/>
      <w:r w:rsidRPr="00236568">
        <w:t>1.</w:t>
      </w:r>
      <w:r w:rsidR="00B60D4C" w:rsidRPr="00236568">
        <w:t>3.3. Increasing activity of institutional and private investors in the domestic capital market</w:t>
      </w:r>
      <w:bookmarkEnd w:id="23"/>
      <w:bookmarkEnd w:id="24"/>
      <w:r w:rsidR="00B60D4C" w:rsidRPr="00236568">
        <w:t xml:space="preserve"> </w:t>
      </w:r>
    </w:p>
    <w:p w14:paraId="45188891" w14:textId="77777777" w:rsidR="00B60D4C" w:rsidRPr="00236568" w:rsidRDefault="00B60D4C" w:rsidP="00595DDE">
      <w:pPr>
        <w:spacing w:after="0" w:line="240" w:lineRule="auto"/>
        <w:jc w:val="center"/>
      </w:pPr>
    </w:p>
    <w:p w14:paraId="48D79767" w14:textId="1D5AC552" w:rsidR="00572BBD" w:rsidRPr="00236568" w:rsidRDefault="009C6CFA" w:rsidP="00BF7917">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lastRenderedPageBreak/>
        <w:t>The improvement of investor activity is o</w:t>
      </w:r>
      <w:r w:rsidR="00572BBD" w:rsidRPr="00236568">
        <w:rPr>
          <w:rFonts w:ascii="Times New Roman" w:hAnsi="Times New Roman"/>
          <w:color w:val="000000"/>
          <w:sz w:val="24"/>
          <w:szCs w:val="24"/>
          <w:lang w:eastAsia="lv-LV"/>
        </w:rPr>
        <w:t xml:space="preserve">ne of the </w:t>
      </w:r>
      <w:r w:rsidRPr="00236568">
        <w:rPr>
          <w:rFonts w:ascii="Times New Roman" w:hAnsi="Times New Roman"/>
          <w:color w:val="000000"/>
          <w:sz w:val="24"/>
          <w:szCs w:val="24"/>
          <w:lang w:eastAsia="lv-LV"/>
        </w:rPr>
        <w:t>directions of action</w:t>
      </w:r>
      <w:r w:rsidR="00572BBD" w:rsidRPr="00236568">
        <w:rPr>
          <w:rFonts w:ascii="Times New Roman" w:hAnsi="Times New Roman"/>
          <w:color w:val="000000"/>
          <w:sz w:val="24"/>
          <w:szCs w:val="24"/>
          <w:lang w:eastAsia="lv-LV"/>
        </w:rPr>
        <w:t xml:space="preserve"> </w:t>
      </w:r>
      <w:r w:rsidRPr="00236568">
        <w:rPr>
          <w:rFonts w:ascii="Times New Roman" w:hAnsi="Times New Roman"/>
          <w:color w:val="000000"/>
          <w:sz w:val="24"/>
          <w:szCs w:val="24"/>
          <w:lang w:eastAsia="lv-LV"/>
        </w:rPr>
        <w:t>for</w:t>
      </w:r>
      <w:r w:rsidR="00572BBD" w:rsidRPr="00236568">
        <w:rPr>
          <w:rFonts w:ascii="Times New Roman" w:hAnsi="Times New Roman"/>
          <w:color w:val="000000"/>
          <w:sz w:val="24"/>
          <w:szCs w:val="24"/>
          <w:lang w:eastAsia="lv-LV"/>
        </w:rPr>
        <w:t xml:space="preserve"> the capital market development. </w:t>
      </w:r>
      <w:r w:rsidRPr="00236568">
        <w:rPr>
          <w:rFonts w:ascii="Times New Roman" w:hAnsi="Times New Roman"/>
          <w:color w:val="000000"/>
          <w:sz w:val="24"/>
          <w:szCs w:val="24"/>
          <w:lang w:eastAsia="lv-LV"/>
        </w:rPr>
        <w:t xml:space="preserve">Individuals </w:t>
      </w:r>
      <w:proofErr w:type="gramStart"/>
      <w:r w:rsidRPr="00236568">
        <w:rPr>
          <w:rFonts w:ascii="Times New Roman" w:hAnsi="Times New Roman"/>
          <w:color w:val="000000"/>
          <w:sz w:val="24"/>
          <w:szCs w:val="24"/>
          <w:lang w:eastAsia="lv-LV"/>
        </w:rPr>
        <w:t>can be seen</w:t>
      </w:r>
      <w:proofErr w:type="gramEnd"/>
      <w:r w:rsidRPr="00236568">
        <w:rPr>
          <w:rFonts w:ascii="Times New Roman" w:hAnsi="Times New Roman"/>
          <w:color w:val="000000"/>
          <w:sz w:val="24"/>
          <w:szCs w:val="24"/>
          <w:lang w:eastAsia="lv-LV"/>
        </w:rPr>
        <w:t xml:space="preserve"> as</w:t>
      </w:r>
      <w:r w:rsidR="00572BBD" w:rsidRPr="00236568">
        <w:rPr>
          <w:rFonts w:ascii="Times New Roman" w:hAnsi="Times New Roman"/>
          <w:color w:val="000000"/>
          <w:sz w:val="24"/>
          <w:szCs w:val="24"/>
          <w:lang w:eastAsia="lv-LV"/>
        </w:rPr>
        <w:t xml:space="preserve"> important market player</w:t>
      </w:r>
      <w:r w:rsidRPr="00236568">
        <w:rPr>
          <w:rFonts w:ascii="Times New Roman" w:hAnsi="Times New Roman"/>
          <w:color w:val="000000"/>
          <w:sz w:val="24"/>
          <w:szCs w:val="24"/>
          <w:lang w:eastAsia="lv-LV"/>
        </w:rPr>
        <w:t xml:space="preserve">s. </w:t>
      </w:r>
      <w:r w:rsidR="00572BBD" w:rsidRPr="00236568">
        <w:rPr>
          <w:rFonts w:ascii="Times New Roman" w:hAnsi="Times New Roman"/>
          <w:color w:val="000000"/>
          <w:sz w:val="24"/>
          <w:szCs w:val="24"/>
          <w:lang w:eastAsia="lv-LV"/>
        </w:rPr>
        <w:t xml:space="preserve">Latvian households </w:t>
      </w:r>
      <w:r w:rsidRPr="00236568">
        <w:rPr>
          <w:rFonts w:ascii="Times New Roman" w:hAnsi="Times New Roman"/>
          <w:color w:val="000000"/>
          <w:sz w:val="24"/>
          <w:szCs w:val="24"/>
          <w:lang w:eastAsia="lv-LV"/>
        </w:rPr>
        <w:t>are</w:t>
      </w:r>
      <w:r w:rsidR="00572BBD" w:rsidRPr="00236568">
        <w:rPr>
          <w:rFonts w:ascii="Times New Roman" w:hAnsi="Times New Roman"/>
          <w:color w:val="000000"/>
          <w:sz w:val="24"/>
          <w:szCs w:val="24"/>
          <w:lang w:eastAsia="lv-LV"/>
        </w:rPr>
        <w:t xml:space="preserve"> no</w:t>
      </w:r>
      <w:r w:rsidRPr="00236568">
        <w:rPr>
          <w:rFonts w:ascii="Times New Roman" w:hAnsi="Times New Roman"/>
          <w:color w:val="000000"/>
          <w:sz w:val="24"/>
          <w:szCs w:val="24"/>
          <w:lang w:eastAsia="lv-LV"/>
        </w:rPr>
        <w:t>t</w:t>
      </w:r>
      <w:r w:rsidR="00572BBD" w:rsidRPr="00236568">
        <w:rPr>
          <w:rFonts w:ascii="Times New Roman" w:hAnsi="Times New Roman"/>
          <w:color w:val="000000"/>
          <w:sz w:val="24"/>
          <w:szCs w:val="24"/>
          <w:lang w:eastAsia="lv-LV"/>
        </w:rPr>
        <w:t xml:space="preserve"> active capital market investors</w:t>
      </w:r>
      <w:r w:rsidRPr="00236568">
        <w:rPr>
          <w:rFonts w:ascii="Times New Roman" w:hAnsi="Times New Roman"/>
          <w:color w:val="000000"/>
          <w:sz w:val="24"/>
          <w:szCs w:val="24"/>
          <w:lang w:eastAsia="lv-LV"/>
        </w:rPr>
        <w:t xml:space="preserve"> at </w:t>
      </w:r>
      <w:proofErr w:type="gramStart"/>
      <w:r w:rsidRPr="00236568">
        <w:rPr>
          <w:rFonts w:ascii="Times New Roman" w:hAnsi="Times New Roman"/>
          <w:color w:val="000000"/>
          <w:sz w:val="24"/>
          <w:szCs w:val="24"/>
          <w:lang w:eastAsia="lv-LV"/>
        </w:rPr>
        <w:t>present</w:t>
      </w:r>
      <w:r w:rsidR="00572BBD" w:rsidRPr="00236568">
        <w:rPr>
          <w:rFonts w:ascii="Times New Roman" w:hAnsi="Times New Roman"/>
          <w:color w:val="000000"/>
          <w:sz w:val="24"/>
          <w:szCs w:val="24"/>
          <w:lang w:eastAsia="lv-LV"/>
        </w:rPr>
        <w:t>,</w:t>
      </w:r>
      <w:proofErr w:type="gramEnd"/>
      <w:r w:rsidR="00572BBD" w:rsidRPr="00236568">
        <w:rPr>
          <w:rFonts w:ascii="Times New Roman" w:hAnsi="Times New Roman"/>
          <w:color w:val="000000"/>
          <w:sz w:val="24"/>
          <w:szCs w:val="24"/>
          <w:lang w:eastAsia="lv-LV"/>
        </w:rPr>
        <w:t xml:space="preserve"> however, </w:t>
      </w:r>
      <w:r w:rsidRPr="00236568">
        <w:rPr>
          <w:rFonts w:ascii="Times New Roman" w:hAnsi="Times New Roman"/>
          <w:color w:val="000000"/>
          <w:sz w:val="24"/>
          <w:szCs w:val="24"/>
          <w:lang w:eastAsia="lv-LV"/>
        </w:rPr>
        <w:t xml:space="preserve">by </w:t>
      </w:r>
      <w:r w:rsidR="00572BBD" w:rsidRPr="00236568">
        <w:rPr>
          <w:rFonts w:ascii="Times New Roman" w:hAnsi="Times New Roman"/>
          <w:color w:val="000000"/>
          <w:sz w:val="24"/>
          <w:szCs w:val="24"/>
          <w:lang w:eastAsia="lv-LV"/>
        </w:rPr>
        <w:t xml:space="preserve">simplifying and facilitating access to the market, it is possible to </w:t>
      </w:r>
      <w:r w:rsidRPr="00236568">
        <w:rPr>
          <w:rFonts w:ascii="Times New Roman" w:hAnsi="Times New Roman"/>
          <w:color w:val="000000"/>
          <w:sz w:val="24"/>
          <w:szCs w:val="24"/>
          <w:lang w:eastAsia="lv-LV"/>
        </w:rPr>
        <w:t>attract households to invest in the capital market</w:t>
      </w:r>
      <w:r w:rsidR="00572BBD" w:rsidRPr="00236568">
        <w:rPr>
          <w:rFonts w:ascii="Times New Roman" w:hAnsi="Times New Roman"/>
          <w:color w:val="000000"/>
          <w:sz w:val="24"/>
          <w:szCs w:val="24"/>
          <w:lang w:eastAsia="lv-LV"/>
        </w:rPr>
        <w:t xml:space="preserve">, which would </w:t>
      </w:r>
      <w:r w:rsidRPr="00236568">
        <w:rPr>
          <w:rFonts w:ascii="Times New Roman" w:hAnsi="Times New Roman"/>
          <w:color w:val="000000"/>
          <w:sz w:val="24"/>
          <w:szCs w:val="24"/>
          <w:lang w:eastAsia="lv-LV"/>
        </w:rPr>
        <w:t xml:space="preserve">further </w:t>
      </w:r>
      <w:r w:rsidR="00572BBD" w:rsidRPr="00236568">
        <w:rPr>
          <w:rFonts w:ascii="Times New Roman" w:hAnsi="Times New Roman"/>
          <w:color w:val="000000"/>
          <w:sz w:val="24"/>
          <w:szCs w:val="24"/>
          <w:lang w:eastAsia="lv-LV"/>
        </w:rPr>
        <w:t>promote the development of the market.</w:t>
      </w:r>
    </w:p>
    <w:p w14:paraId="2F1E652E" w14:textId="1C98727D" w:rsidR="00572BBD" w:rsidRPr="00236568" w:rsidRDefault="00572BBD">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At the same </w:t>
      </w:r>
      <w:proofErr w:type="gramStart"/>
      <w:r w:rsidRPr="00236568">
        <w:rPr>
          <w:rFonts w:ascii="Times New Roman" w:hAnsi="Times New Roman"/>
          <w:color w:val="000000"/>
          <w:sz w:val="24"/>
          <w:szCs w:val="24"/>
          <w:lang w:eastAsia="lv-LV"/>
        </w:rPr>
        <w:t>time</w:t>
      </w:r>
      <w:proofErr w:type="gramEnd"/>
      <w:r w:rsidRPr="00236568">
        <w:rPr>
          <w:rFonts w:ascii="Times New Roman" w:hAnsi="Times New Roman"/>
          <w:color w:val="000000"/>
          <w:sz w:val="24"/>
          <w:szCs w:val="24"/>
          <w:lang w:eastAsia="lv-LV"/>
        </w:rPr>
        <w:t xml:space="preserve"> </w:t>
      </w:r>
      <w:r w:rsidR="009C6CFA" w:rsidRPr="00236568">
        <w:rPr>
          <w:rFonts w:ascii="Times New Roman" w:hAnsi="Times New Roman"/>
          <w:color w:val="000000"/>
          <w:sz w:val="24"/>
          <w:szCs w:val="24"/>
          <w:lang w:eastAsia="lv-LV"/>
        </w:rPr>
        <w:t xml:space="preserve">it is necessary to </w:t>
      </w:r>
      <w:r w:rsidR="003C1B6B" w:rsidRPr="00236568">
        <w:rPr>
          <w:rFonts w:ascii="Times New Roman" w:hAnsi="Times New Roman"/>
          <w:color w:val="000000"/>
          <w:sz w:val="24"/>
          <w:szCs w:val="24"/>
          <w:lang w:eastAsia="lv-LV"/>
        </w:rPr>
        <w:t>review</w:t>
      </w:r>
      <w:r w:rsidR="009C6CFA" w:rsidRPr="00236568">
        <w:rPr>
          <w:rFonts w:ascii="Times New Roman" w:hAnsi="Times New Roman"/>
          <w:color w:val="000000"/>
          <w:sz w:val="24"/>
          <w:szCs w:val="24"/>
          <w:lang w:eastAsia="lv-LV"/>
        </w:rPr>
        <w:t xml:space="preserve"> the opportunities to promote</w:t>
      </w:r>
      <w:r w:rsidRPr="00236568">
        <w:rPr>
          <w:rFonts w:ascii="Times New Roman" w:hAnsi="Times New Roman"/>
          <w:color w:val="000000"/>
          <w:sz w:val="24"/>
          <w:szCs w:val="24"/>
          <w:lang w:eastAsia="lv-LV"/>
        </w:rPr>
        <w:t xml:space="preserve"> the activity of institutional investors, including </w:t>
      </w:r>
      <w:r w:rsidR="003C1B6B" w:rsidRPr="00236568">
        <w:rPr>
          <w:rFonts w:ascii="Times New Roman" w:hAnsi="Times New Roman"/>
          <w:color w:val="000000"/>
          <w:sz w:val="24"/>
          <w:szCs w:val="24"/>
          <w:lang w:eastAsia="lv-LV"/>
        </w:rPr>
        <w:t>the existing</w:t>
      </w:r>
      <w:r w:rsidRPr="00236568">
        <w:rPr>
          <w:rFonts w:ascii="Times New Roman" w:hAnsi="Times New Roman"/>
          <w:color w:val="000000"/>
          <w:sz w:val="24"/>
          <w:szCs w:val="24"/>
          <w:lang w:eastAsia="lv-LV"/>
        </w:rPr>
        <w:t xml:space="preserve"> barriers to institutional investors in the domestic capital market</w:t>
      </w:r>
      <w:r w:rsidR="003C1B6B" w:rsidRPr="00236568">
        <w:rPr>
          <w:rFonts w:ascii="Times New Roman" w:hAnsi="Times New Roman"/>
          <w:color w:val="000000"/>
          <w:sz w:val="24"/>
          <w:szCs w:val="24"/>
          <w:lang w:eastAsia="lv-LV"/>
        </w:rPr>
        <w:t>. It is</w:t>
      </w:r>
      <w:r w:rsidRPr="00236568">
        <w:rPr>
          <w:rFonts w:ascii="Times New Roman" w:hAnsi="Times New Roman"/>
          <w:color w:val="000000"/>
          <w:sz w:val="24"/>
          <w:szCs w:val="24"/>
          <w:lang w:eastAsia="lv-LV"/>
        </w:rPr>
        <w:t xml:space="preserve"> necessary to promote competition in the state-funded pension </w:t>
      </w:r>
      <w:r w:rsidR="003C1B6B" w:rsidRPr="00236568">
        <w:rPr>
          <w:rFonts w:ascii="Times New Roman" w:hAnsi="Times New Roman"/>
          <w:color w:val="000000"/>
          <w:sz w:val="24"/>
          <w:szCs w:val="24"/>
          <w:lang w:eastAsia="lv-LV"/>
        </w:rPr>
        <w:t xml:space="preserve">funds </w:t>
      </w:r>
      <w:r w:rsidRPr="00236568">
        <w:rPr>
          <w:rFonts w:ascii="Times New Roman" w:hAnsi="Times New Roman"/>
          <w:color w:val="000000"/>
          <w:sz w:val="24"/>
          <w:szCs w:val="24"/>
          <w:lang w:eastAsia="lv-LV"/>
        </w:rPr>
        <w:t xml:space="preserve">management market, </w:t>
      </w:r>
      <w:r w:rsidR="003C1B6B" w:rsidRPr="00236568">
        <w:rPr>
          <w:rFonts w:ascii="Times New Roman" w:hAnsi="Times New Roman"/>
          <w:color w:val="000000"/>
          <w:sz w:val="24"/>
          <w:szCs w:val="24"/>
          <w:lang w:eastAsia="lv-LV"/>
        </w:rPr>
        <w:t>with an</w:t>
      </w:r>
      <w:r w:rsidRPr="00236568">
        <w:rPr>
          <w:rFonts w:ascii="Times New Roman" w:hAnsi="Times New Roman"/>
          <w:color w:val="000000"/>
          <w:sz w:val="24"/>
          <w:szCs w:val="24"/>
          <w:lang w:eastAsia="lv-LV"/>
        </w:rPr>
        <w:t xml:space="preserve"> active competition, </w:t>
      </w:r>
      <w:r w:rsidR="003C1B6B" w:rsidRPr="00236568">
        <w:rPr>
          <w:rFonts w:ascii="Times New Roman" w:hAnsi="Times New Roman"/>
          <w:color w:val="000000"/>
          <w:sz w:val="24"/>
          <w:szCs w:val="24"/>
          <w:lang w:eastAsia="lv-LV"/>
        </w:rPr>
        <w:t xml:space="preserve">the service quality of fund managers </w:t>
      </w:r>
      <w:proofErr w:type="gramStart"/>
      <w:r w:rsidR="003C1B6B" w:rsidRPr="00236568">
        <w:rPr>
          <w:rFonts w:ascii="Times New Roman" w:hAnsi="Times New Roman"/>
          <w:color w:val="000000"/>
          <w:sz w:val="24"/>
          <w:szCs w:val="24"/>
          <w:lang w:eastAsia="lv-LV"/>
        </w:rPr>
        <w:t>can be improved</w:t>
      </w:r>
      <w:proofErr w:type="gramEnd"/>
      <w:r w:rsidRPr="00236568">
        <w:rPr>
          <w:rFonts w:ascii="Times New Roman" w:hAnsi="Times New Roman"/>
          <w:color w:val="000000"/>
          <w:sz w:val="24"/>
          <w:szCs w:val="24"/>
          <w:lang w:eastAsia="lv-LV"/>
        </w:rPr>
        <w:t>, optimizing fund management costs.</w:t>
      </w:r>
    </w:p>
    <w:p w14:paraId="282FDA12" w14:textId="77777777" w:rsidR="00572BBD" w:rsidRPr="00236568" w:rsidRDefault="00572BBD">
      <w:pPr>
        <w:spacing w:after="0" w:line="240" w:lineRule="auto"/>
        <w:jc w:val="both"/>
        <w:rPr>
          <w:rFonts w:ascii="Times New Roman" w:hAnsi="Times New Roman"/>
          <w:color w:val="000000"/>
          <w:sz w:val="24"/>
          <w:szCs w:val="24"/>
          <w:lang w:eastAsia="lv-LV"/>
        </w:rPr>
      </w:pPr>
    </w:p>
    <w:p w14:paraId="706D746D" w14:textId="77777777" w:rsidR="00B60D4C" w:rsidRPr="00236568" w:rsidRDefault="00B60D4C">
      <w:pPr>
        <w:spacing w:after="0" w:line="240" w:lineRule="auto"/>
        <w:jc w:val="both"/>
        <w:rPr>
          <w:rFonts w:ascii="Times New Roman" w:hAnsi="Times New Roman"/>
          <w:color w:val="000000"/>
          <w:sz w:val="24"/>
          <w:szCs w:val="24"/>
          <w:lang w:eastAsia="lv-LV"/>
        </w:rPr>
      </w:pPr>
    </w:p>
    <w:p w14:paraId="32186F16" w14:textId="0703CDF1" w:rsidR="00B60D4C" w:rsidRPr="00236568" w:rsidRDefault="00EA1BAD" w:rsidP="00DE5FE5">
      <w:pPr>
        <w:pStyle w:val="Heading2"/>
        <w:spacing w:line="240" w:lineRule="auto"/>
      </w:pPr>
      <w:bookmarkStart w:id="25" w:name="_Toc479773688"/>
      <w:bookmarkStart w:id="26" w:name="_Toc479839722"/>
      <w:r w:rsidRPr="00236568">
        <w:t>1.</w:t>
      </w:r>
      <w:r w:rsidR="00B60D4C" w:rsidRPr="00236568">
        <w:t>4.</w:t>
      </w:r>
      <w:r w:rsidR="00005F6C" w:rsidRPr="00236568">
        <w:t xml:space="preserve"> </w:t>
      </w:r>
      <w:r w:rsidR="00B60D4C" w:rsidRPr="00236568">
        <w:t>Alternative funding financial services sector</w:t>
      </w:r>
      <w:r w:rsidR="00B60D4C" w:rsidRPr="00236568">
        <w:rPr>
          <w:vertAlign w:val="superscript"/>
        </w:rPr>
        <w:footnoteReference w:id="29"/>
      </w:r>
      <w:bookmarkEnd w:id="25"/>
      <w:bookmarkEnd w:id="26"/>
    </w:p>
    <w:p w14:paraId="1BC1B29A" w14:textId="77777777" w:rsidR="00B229C0" w:rsidRPr="00236568" w:rsidRDefault="00B229C0" w:rsidP="00595DDE">
      <w:pPr>
        <w:spacing w:after="0" w:line="240" w:lineRule="auto"/>
        <w:jc w:val="both"/>
        <w:rPr>
          <w:rFonts w:ascii="Times New Roman" w:hAnsi="Times New Roman"/>
          <w:sz w:val="24"/>
          <w:szCs w:val="24"/>
        </w:rPr>
      </w:pPr>
    </w:p>
    <w:p w14:paraId="6E6A71A3" w14:textId="07AC588C" w:rsidR="00B60D4C" w:rsidRPr="00236568" w:rsidRDefault="00B60D4C" w:rsidP="00BF7917">
      <w:pPr>
        <w:spacing w:after="0" w:line="240" w:lineRule="auto"/>
        <w:jc w:val="both"/>
      </w:pPr>
      <w:r w:rsidRPr="00236568">
        <w:rPr>
          <w:rFonts w:ascii="Times New Roman" w:hAnsi="Times New Roman"/>
          <w:sz w:val="24"/>
          <w:szCs w:val="24"/>
        </w:rPr>
        <w:t>Financial markets as a mechanism that brings together those who have the means</w:t>
      </w:r>
      <w:r w:rsidR="000646DE" w:rsidRPr="00236568">
        <w:rPr>
          <w:rFonts w:ascii="Times New Roman" w:hAnsi="Times New Roman"/>
          <w:sz w:val="24"/>
          <w:szCs w:val="24"/>
        </w:rPr>
        <w:t xml:space="preserve"> with</w:t>
      </w:r>
      <w:r w:rsidRPr="00236568">
        <w:rPr>
          <w:rFonts w:ascii="Times New Roman" w:hAnsi="Times New Roman"/>
          <w:sz w:val="24"/>
          <w:szCs w:val="24"/>
        </w:rPr>
        <w:t xml:space="preserve"> those </w:t>
      </w:r>
      <w:r w:rsidR="000646DE" w:rsidRPr="00236568">
        <w:rPr>
          <w:rFonts w:ascii="Times New Roman" w:hAnsi="Times New Roman"/>
          <w:sz w:val="24"/>
          <w:szCs w:val="24"/>
        </w:rPr>
        <w:t>who needs funding</w:t>
      </w:r>
      <w:r w:rsidRPr="00236568">
        <w:rPr>
          <w:rFonts w:ascii="Times New Roman" w:hAnsi="Times New Roman"/>
          <w:sz w:val="24"/>
          <w:szCs w:val="24"/>
        </w:rPr>
        <w:t xml:space="preserve"> is constantly evolving. At </w:t>
      </w:r>
      <w:r w:rsidR="000646DE" w:rsidRPr="00236568">
        <w:rPr>
          <w:rFonts w:ascii="Times New Roman" w:hAnsi="Times New Roman"/>
          <w:sz w:val="24"/>
          <w:szCs w:val="24"/>
        </w:rPr>
        <w:t>present</w:t>
      </w:r>
      <w:r w:rsidRPr="00236568">
        <w:rPr>
          <w:rFonts w:ascii="Times New Roman" w:hAnsi="Times New Roman"/>
          <w:sz w:val="24"/>
          <w:szCs w:val="24"/>
        </w:rPr>
        <w:t xml:space="preserve">, </w:t>
      </w:r>
      <w:r w:rsidR="000646DE" w:rsidRPr="00236568">
        <w:rPr>
          <w:rFonts w:ascii="Times New Roman" w:hAnsi="Times New Roman"/>
          <w:sz w:val="24"/>
          <w:szCs w:val="24"/>
        </w:rPr>
        <w:t xml:space="preserve">when </w:t>
      </w:r>
      <w:r w:rsidRPr="00236568">
        <w:rPr>
          <w:rFonts w:ascii="Times New Roman" w:hAnsi="Times New Roman"/>
          <w:sz w:val="24"/>
          <w:szCs w:val="24"/>
        </w:rPr>
        <w:t xml:space="preserve">deposit rates have reached historically low levels, while the bank's </w:t>
      </w:r>
      <w:r w:rsidR="000646DE" w:rsidRPr="00236568">
        <w:rPr>
          <w:rFonts w:ascii="Times New Roman" w:hAnsi="Times New Roman"/>
          <w:sz w:val="24"/>
          <w:szCs w:val="24"/>
        </w:rPr>
        <w:t xml:space="preserve">lending </w:t>
      </w:r>
      <w:r w:rsidRPr="00236568">
        <w:rPr>
          <w:rFonts w:ascii="Times New Roman" w:hAnsi="Times New Roman"/>
          <w:sz w:val="24"/>
          <w:szCs w:val="24"/>
        </w:rPr>
        <w:t>policy is conservative, both potential investors and borrowers have an additional incentive to seek alternative solutions to the banking sector and more and more opportunities are open to financial innovation.</w:t>
      </w:r>
    </w:p>
    <w:p w14:paraId="04966178" w14:textId="77777777" w:rsidR="00B60D4C" w:rsidRPr="00236568" w:rsidRDefault="00B60D4C">
      <w:pPr>
        <w:spacing w:after="0" w:line="240" w:lineRule="auto"/>
        <w:jc w:val="both"/>
        <w:rPr>
          <w:rFonts w:ascii="Times New Roman" w:hAnsi="Times New Roman"/>
          <w:sz w:val="24"/>
          <w:szCs w:val="24"/>
        </w:rPr>
      </w:pPr>
    </w:p>
    <w:p w14:paraId="1825F7C3" w14:textId="7E496AB1" w:rsidR="00B60D4C" w:rsidRPr="00236568" w:rsidRDefault="000646DE">
      <w:pPr>
        <w:spacing w:after="0" w:line="240" w:lineRule="auto"/>
        <w:jc w:val="both"/>
        <w:rPr>
          <w:rFonts w:ascii="Times New Roman" w:hAnsi="Times New Roman"/>
          <w:sz w:val="24"/>
          <w:szCs w:val="24"/>
        </w:rPr>
      </w:pPr>
      <w:r w:rsidRPr="00236568">
        <w:rPr>
          <w:rFonts w:ascii="Times New Roman" w:hAnsi="Times New Roman"/>
          <w:sz w:val="24"/>
          <w:szCs w:val="24"/>
        </w:rPr>
        <w:t xml:space="preserve">Other </w:t>
      </w:r>
      <w:r w:rsidR="00B60D4C" w:rsidRPr="00236568">
        <w:rPr>
          <w:rFonts w:ascii="Times New Roman" w:hAnsi="Times New Roman"/>
          <w:sz w:val="24"/>
          <w:szCs w:val="24"/>
        </w:rPr>
        <w:t xml:space="preserve">sources of funding (such as non-bank providers leasing companies, credit unions, </w:t>
      </w:r>
      <w:r w:rsidRPr="00236568">
        <w:rPr>
          <w:rFonts w:ascii="Times New Roman" w:hAnsi="Times New Roman"/>
          <w:sz w:val="24"/>
          <w:szCs w:val="24"/>
        </w:rPr>
        <w:t>online lending,</w:t>
      </w:r>
      <w:r w:rsidRPr="00236568" w:rsidDel="000646DE">
        <w:rPr>
          <w:rFonts w:ascii="Times New Roman" w:hAnsi="Times New Roman"/>
          <w:sz w:val="24"/>
          <w:szCs w:val="24"/>
        </w:rPr>
        <w:t xml:space="preserve"> </w:t>
      </w:r>
      <w:r w:rsidRPr="00236568">
        <w:rPr>
          <w:rFonts w:ascii="Times New Roman" w:hAnsi="Times New Roman"/>
          <w:sz w:val="24"/>
          <w:szCs w:val="24"/>
        </w:rPr>
        <w:t>consumer lending</w:t>
      </w:r>
      <w:r w:rsidR="00B60D4C" w:rsidRPr="00236568">
        <w:rPr>
          <w:rFonts w:ascii="Times New Roman" w:hAnsi="Times New Roman"/>
          <w:sz w:val="24"/>
          <w:szCs w:val="24"/>
        </w:rPr>
        <w:t xml:space="preserve"> companies, </w:t>
      </w:r>
      <w:r w:rsidRPr="00236568">
        <w:rPr>
          <w:rFonts w:ascii="Times New Roman" w:hAnsi="Times New Roman"/>
          <w:sz w:val="24"/>
          <w:szCs w:val="24"/>
        </w:rPr>
        <w:t xml:space="preserve">and other lenders, as well as alternative investment funds, </w:t>
      </w:r>
      <w:r w:rsidR="00B60D4C" w:rsidRPr="00236568">
        <w:rPr>
          <w:rFonts w:ascii="Times New Roman" w:hAnsi="Times New Roman"/>
          <w:sz w:val="24"/>
          <w:szCs w:val="24"/>
        </w:rPr>
        <w:t xml:space="preserve">with a total market share of </w:t>
      </w:r>
      <w:r w:rsidRPr="00236568">
        <w:rPr>
          <w:rFonts w:ascii="Times New Roman" w:hAnsi="Times New Roman"/>
          <w:sz w:val="24"/>
          <w:szCs w:val="24"/>
        </w:rPr>
        <w:t>6.6</w:t>
      </w:r>
      <w:r w:rsidR="00B60D4C" w:rsidRPr="00236568">
        <w:rPr>
          <w:rFonts w:ascii="Times New Roman" w:hAnsi="Times New Roman"/>
          <w:sz w:val="24"/>
          <w:szCs w:val="24"/>
        </w:rPr>
        <w:t xml:space="preserve">% </w:t>
      </w:r>
      <w:r w:rsidRPr="00236568">
        <w:rPr>
          <w:rFonts w:ascii="Times New Roman" w:hAnsi="Times New Roman"/>
          <w:sz w:val="24"/>
          <w:szCs w:val="24"/>
        </w:rPr>
        <w:t xml:space="preserve">in </w:t>
      </w:r>
      <w:r w:rsidR="00B60D4C" w:rsidRPr="00236568">
        <w:rPr>
          <w:rFonts w:ascii="Times New Roman" w:hAnsi="Times New Roman"/>
          <w:sz w:val="24"/>
          <w:szCs w:val="24"/>
        </w:rPr>
        <w:t xml:space="preserve">financial sector assets) has a complementary role in both the banking and the traditional capital market instruments, alternative financial service providers have significant development opportunities Latvia. </w:t>
      </w:r>
      <w:r w:rsidR="00E733D3" w:rsidRPr="00236568">
        <w:rPr>
          <w:rFonts w:ascii="Times New Roman" w:hAnsi="Times New Roman"/>
          <w:sz w:val="24"/>
          <w:szCs w:val="24"/>
        </w:rPr>
        <w:t>The a</w:t>
      </w:r>
      <w:r w:rsidR="00B60D4C" w:rsidRPr="00236568">
        <w:rPr>
          <w:rFonts w:ascii="Times New Roman" w:hAnsi="Times New Roman"/>
          <w:sz w:val="24"/>
          <w:szCs w:val="24"/>
        </w:rPr>
        <w:t>lternative sources of funding can play an important role, particularly in start-ups, small, but fast-growing businesses in innovative sectors of growth. In parallel to the development of technology-based financial services, there is also</w:t>
      </w:r>
      <w:r w:rsidR="00150564" w:rsidRPr="00236568">
        <w:rPr>
          <w:rFonts w:ascii="Times New Roman" w:hAnsi="Times New Roman"/>
          <w:sz w:val="24"/>
          <w:szCs w:val="24"/>
        </w:rPr>
        <w:t xml:space="preserve"> further</w:t>
      </w:r>
      <w:r w:rsidR="00B60D4C" w:rsidRPr="00236568">
        <w:rPr>
          <w:rFonts w:ascii="Times New Roman" w:hAnsi="Times New Roman"/>
          <w:sz w:val="24"/>
          <w:szCs w:val="24"/>
        </w:rPr>
        <w:t xml:space="preserve"> development of historically present alternative financial services</w:t>
      </w:r>
      <w:r w:rsidR="00150564" w:rsidRPr="00236568">
        <w:rPr>
          <w:rFonts w:ascii="Times New Roman" w:hAnsi="Times New Roman"/>
          <w:sz w:val="24"/>
          <w:szCs w:val="24"/>
        </w:rPr>
        <w:t>, which by the objective and function</w:t>
      </w:r>
      <w:r w:rsidR="00B60D4C" w:rsidRPr="00236568">
        <w:rPr>
          <w:rFonts w:ascii="Times New Roman" w:hAnsi="Times New Roman"/>
          <w:sz w:val="24"/>
          <w:szCs w:val="24"/>
        </w:rPr>
        <w:t xml:space="preserve"> provide financial services </w:t>
      </w:r>
      <w:r w:rsidR="00150564" w:rsidRPr="00236568">
        <w:rPr>
          <w:rFonts w:ascii="Times New Roman" w:hAnsi="Times New Roman"/>
          <w:sz w:val="24"/>
          <w:szCs w:val="24"/>
        </w:rPr>
        <w:t>to a</w:t>
      </w:r>
      <w:r w:rsidR="00B60D4C" w:rsidRPr="00236568">
        <w:rPr>
          <w:rFonts w:ascii="Times New Roman" w:hAnsi="Times New Roman"/>
          <w:sz w:val="24"/>
          <w:szCs w:val="24"/>
        </w:rPr>
        <w:t xml:space="preserve"> particular group of recipients, as well as </w:t>
      </w:r>
      <w:r w:rsidR="00150564" w:rsidRPr="00236568">
        <w:rPr>
          <w:rFonts w:ascii="Times New Roman" w:hAnsi="Times New Roman"/>
          <w:sz w:val="24"/>
          <w:szCs w:val="24"/>
        </w:rPr>
        <w:t xml:space="preserve">provide </w:t>
      </w:r>
      <w:r w:rsidR="00B60D4C" w:rsidRPr="00236568">
        <w:rPr>
          <w:rFonts w:ascii="Times New Roman" w:hAnsi="Times New Roman"/>
          <w:sz w:val="24"/>
          <w:szCs w:val="24"/>
        </w:rPr>
        <w:t>access to financial services in the regions.</w:t>
      </w:r>
    </w:p>
    <w:p w14:paraId="039EAC0A" w14:textId="77777777" w:rsidR="00B60D4C" w:rsidRPr="00236568" w:rsidRDefault="00B60D4C">
      <w:pPr>
        <w:spacing w:after="0" w:line="240" w:lineRule="auto"/>
        <w:jc w:val="both"/>
        <w:rPr>
          <w:rFonts w:ascii="Times New Roman" w:hAnsi="Times New Roman"/>
          <w:sz w:val="24"/>
          <w:szCs w:val="24"/>
        </w:rPr>
      </w:pPr>
    </w:p>
    <w:p w14:paraId="793AB7F2" w14:textId="618EFC37" w:rsidR="00B60D4C" w:rsidRPr="00236568" w:rsidRDefault="00B60D4C">
      <w:pPr>
        <w:spacing w:after="0" w:line="240" w:lineRule="auto"/>
        <w:jc w:val="both"/>
        <w:rPr>
          <w:rFonts w:ascii="Times New Roman" w:hAnsi="Times New Roman"/>
          <w:sz w:val="24"/>
          <w:szCs w:val="24"/>
        </w:rPr>
      </w:pPr>
      <w:proofErr w:type="gramStart"/>
      <w:r w:rsidRPr="00236568">
        <w:rPr>
          <w:rFonts w:ascii="Times New Roman" w:hAnsi="Times New Roman"/>
          <w:sz w:val="24"/>
          <w:szCs w:val="24"/>
        </w:rPr>
        <w:t xml:space="preserve">In the total </w:t>
      </w:r>
      <w:r w:rsidR="009E3C5B" w:rsidRPr="00236568">
        <w:rPr>
          <w:rFonts w:ascii="Times New Roman" w:hAnsi="Times New Roman"/>
          <w:sz w:val="24"/>
          <w:szCs w:val="24"/>
        </w:rPr>
        <w:t>domestic client</w:t>
      </w:r>
      <w:r w:rsidRPr="00236568">
        <w:rPr>
          <w:rFonts w:ascii="Times New Roman" w:hAnsi="Times New Roman"/>
          <w:sz w:val="24"/>
          <w:szCs w:val="24"/>
        </w:rPr>
        <w:t xml:space="preserve"> loan portfolio 85.65% are bank loans and 14.35% are non-bank loans the end of 2015, and compared to the end of 2014</w:t>
      </w:r>
      <w:r w:rsidR="00150564" w:rsidRPr="00236568">
        <w:rPr>
          <w:rFonts w:ascii="Times New Roman" w:hAnsi="Times New Roman"/>
          <w:sz w:val="24"/>
          <w:szCs w:val="24"/>
        </w:rPr>
        <w:t xml:space="preserve"> </w:t>
      </w:r>
      <w:r w:rsidRPr="00236568">
        <w:rPr>
          <w:rFonts w:ascii="Times New Roman" w:hAnsi="Times New Roman"/>
          <w:sz w:val="24"/>
          <w:szCs w:val="24"/>
        </w:rPr>
        <w:t>the amount of non-bank loans has increased by 9.8%, reaching 2.08 billion euro, which indicates the continued decline in the loan portfolio, the demand for alternative forms of financing in the Latvian financial market is growing.</w:t>
      </w:r>
      <w:proofErr w:type="gramEnd"/>
      <w:r w:rsidRPr="00236568">
        <w:rPr>
          <w:rFonts w:ascii="Times New Roman" w:hAnsi="Times New Roman"/>
          <w:sz w:val="24"/>
          <w:szCs w:val="24"/>
        </w:rPr>
        <w:t xml:space="preserve"> </w:t>
      </w:r>
      <w:proofErr w:type="gramStart"/>
      <w:r w:rsidRPr="00236568">
        <w:rPr>
          <w:rFonts w:ascii="Times New Roman" w:hAnsi="Times New Roman"/>
          <w:sz w:val="24"/>
          <w:szCs w:val="24"/>
        </w:rPr>
        <w:t>In particular, according to the Consumer Rights Protection Centre (hereinafter - CRPC) data non-bank lenders consumer loans amounted to 450.90 million euro on 31 December 2015, and compared with December 31, 2014, an increase by 53.04 million euro, or 13.33%, while the increase over 31 December 2013 (the lowest point during the period 2013-2015) is about 108.19 million euro or 31.57%</w:t>
      </w:r>
      <w:r w:rsidRPr="00236568">
        <w:rPr>
          <w:rStyle w:val="FootnoteReference"/>
          <w:rFonts w:ascii="Times New Roman" w:hAnsi="Times New Roman"/>
          <w:sz w:val="24"/>
          <w:szCs w:val="24"/>
        </w:rPr>
        <w:footnoteReference w:id="30"/>
      </w:r>
      <w:r w:rsidRPr="00236568">
        <w:rPr>
          <w:rFonts w:ascii="Times New Roman" w:hAnsi="Times New Roman"/>
          <w:sz w:val="24"/>
          <w:szCs w:val="24"/>
        </w:rPr>
        <w:t xml:space="preserve"> (total loan portfolio on June 30, 2016 - 486,6 million)</w:t>
      </w:r>
      <w:r w:rsidRPr="00236568">
        <w:rPr>
          <w:rStyle w:val="FootnoteReference"/>
          <w:rFonts w:ascii="Times New Roman" w:hAnsi="Times New Roman"/>
          <w:sz w:val="24"/>
          <w:szCs w:val="24"/>
        </w:rPr>
        <w:footnoteReference w:id="31"/>
      </w:r>
      <w:r w:rsidRPr="00236568">
        <w:rPr>
          <w:rFonts w:ascii="Times New Roman" w:hAnsi="Times New Roman"/>
          <w:sz w:val="24"/>
          <w:szCs w:val="24"/>
        </w:rPr>
        <w:t xml:space="preserve">, which also refers to the household demand for alternative funding, including collective financing platforms, which partially replaces the </w:t>
      </w:r>
      <w:r w:rsidR="009E3C5B" w:rsidRPr="00236568">
        <w:rPr>
          <w:rFonts w:ascii="Times New Roman" w:hAnsi="Times New Roman"/>
          <w:sz w:val="24"/>
          <w:szCs w:val="24"/>
        </w:rPr>
        <w:t>domestic client</w:t>
      </w:r>
      <w:r w:rsidRPr="00236568">
        <w:rPr>
          <w:rFonts w:ascii="Times New Roman" w:hAnsi="Times New Roman"/>
          <w:sz w:val="24"/>
          <w:szCs w:val="24"/>
        </w:rPr>
        <w:t xml:space="preserve"> banking sector loan portfolio contraction</w:t>
      </w:r>
      <w:r w:rsidRPr="00236568">
        <w:rPr>
          <w:rStyle w:val="FootnoteReference"/>
          <w:rFonts w:ascii="Times New Roman" w:hAnsi="Times New Roman"/>
          <w:sz w:val="24"/>
          <w:szCs w:val="24"/>
        </w:rPr>
        <w:footnoteReference w:id="32"/>
      </w:r>
      <w:r w:rsidRPr="00236568">
        <w:rPr>
          <w:rFonts w:ascii="Times New Roman" w:hAnsi="Times New Roman"/>
          <w:sz w:val="24"/>
          <w:szCs w:val="24"/>
        </w:rPr>
        <w:t>.</w:t>
      </w:r>
      <w:proofErr w:type="gramEnd"/>
    </w:p>
    <w:p w14:paraId="5CAFC795" w14:textId="52435D91" w:rsidR="00B60D4C" w:rsidRPr="00236568" w:rsidRDefault="003D5CD6" w:rsidP="00DE5FE5">
      <w:pPr>
        <w:spacing w:line="240" w:lineRule="auto"/>
      </w:pPr>
      <w:r w:rsidRPr="00236568">
        <w:rPr>
          <w:noProof/>
          <w:lang w:val="lv-LV" w:eastAsia="lv-LV"/>
        </w:rPr>
        <w:lastRenderedPageBreak/>
        <w:drawing>
          <wp:inline distT="0" distB="0" distL="0" distR="0" wp14:anchorId="54B0C74B" wp14:editId="1E4182CB">
            <wp:extent cx="5727700" cy="361442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614420"/>
                    </a:xfrm>
                    <a:prstGeom prst="rect">
                      <a:avLst/>
                    </a:prstGeom>
                    <a:noFill/>
                    <a:ln>
                      <a:noFill/>
                    </a:ln>
                  </pic:spPr>
                </pic:pic>
              </a:graphicData>
            </a:graphic>
          </wp:inline>
        </w:drawing>
      </w:r>
    </w:p>
    <w:p w14:paraId="5E8884F4" w14:textId="77777777" w:rsidR="00B60D4C" w:rsidRPr="00236568" w:rsidRDefault="00B60D4C" w:rsidP="00DE5FE5">
      <w:pPr>
        <w:spacing w:line="240" w:lineRule="auto"/>
      </w:pPr>
    </w:p>
    <w:p w14:paraId="36617F13" w14:textId="77777777" w:rsidR="00B60D4C" w:rsidRPr="00236568" w:rsidRDefault="00B60D4C" w:rsidP="00DE5FE5">
      <w:pPr>
        <w:spacing w:before="120" w:line="240" w:lineRule="auto"/>
        <w:jc w:val="both"/>
        <w:rPr>
          <w:rFonts w:ascii="Times New Roman" w:hAnsi="Times New Roman"/>
          <w:i/>
          <w:color w:val="000000"/>
          <w:sz w:val="20"/>
          <w:szCs w:val="20"/>
          <w:lang w:eastAsia="lv-LV"/>
        </w:rPr>
      </w:pPr>
      <w:r w:rsidRPr="00236568">
        <w:rPr>
          <w:rFonts w:ascii="Times New Roman" w:hAnsi="Times New Roman"/>
          <w:i/>
          <w:color w:val="000000"/>
          <w:sz w:val="20"/>
          <w:szCs w:val="20"/>
          <w:lang w:eastAsia="lv-LV"/>
        </w:rPr>
        <w:t xml:space="preserve">Fig 4. Licensed </w:t>
      </w:r>
      <w:proofErr w:type="gramStart"/>
      <w:r w:rsidRPr="00236568">
        <w:rPr>
          <w:rFonts w:ascii="Times New Roman" w:hAnsi="Times New Roman"/>
          <w:i/>
          <w:color w:val="000000"/>
          <w:sz w:val="20"/>
          <w:szCs w:val="20"/>
          <w:lang w:eastAsia="lv-LV"/>
        </w:rPr>
        <w:t>non-bank sector loan portfolio</w:t>
      </w:r>
      <w:proofErr w:type="gramEnd"/>
      <w:r w:rsidRPr="00236568">
        <w:rPr>
          <w:rFonts w:ascii="Times New Roman" w:hAnsi="Times New Roman"/>
          <w:i/>
          <w:color w:val="000000"/>
          <w:sz w:val="20"/>
          <w:szCs w:val="20"/>
          <w:lang w:eastAsia="lv-LV"/>
        </w:rPr>
        <w:t xml:space="preserve"> for households (million euro) per year. (CRPC data, June 30, 2016.).</w:t>
      </w:r>
    </w:p>
    <w:p w14:paraId="0C6D7DB8" w14:textId="77777777" w:rsidR="005E749F" w:rsidRPr="00236568" w:rsidRDefault="005E749F" w:rsidP="00DE5FE5">
      <w:pPr>
        <w:spacing w:before="120" w:line="240" w:lineRule="auto"/>
        <w:jc w:val="both"/>
        <w:rPr>
          <w:rFonts w:ascii="Times New Roman" w:hAnsi="Times New Roman"/>
          <w:color w:val="000000"/>
          <w:sz w:val="24"/>
          <w:szCs w:val="24"/>
          <w:lang w:eastAsia="lv-LV"/>
        </w:rPr>
      </w:pPr>
    </w:p>
    <w:p w14:paraId="42023818" w14:textId="456EA3D2" w:rsidR="005E749F" w:rsidRPr="00236568" w:rsidRDefault="005E749F"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In the first half of 2016, the leasing volumes in Latvia grew by 6.6%, or 79 million. Leasing volume at the end of June 2016 was 1.28 billion euros. Out of which, financial leasing was 77% or 988 million euro, but operating lease was 23% or 295 million euro. Factoring portfolio at the end of the first half of 2016 was 149.6 million. The total leasing and factoring portfolio at the end of first half of 2016 was 1.43 billion euros, an increase of 5.7% over the end of 2015. In the first half of </w:t>
      </w:r>
      <w:proofErr w:type="gramStart"/>
      <w:r w:rsidRPr="00236568">
        <w:rPr>
          <w:rFonts w:ascii="Times New Roman" w:hAnsi="Times New Roman"/>
          <w:color w:val="000000"/>
          <w:sz w:val="24"/>
          <w:szCs w:val="24"/>
          <w:lang w:eastAsia="lv-LV"/>
        </w:rPr>
        <w:t>2016</w:t>
      </w:r>
      <w:proofErr w:type="gramEnd"/>
      <w:r w:rsidRPr="00236568">
        <w:rPr>
          <w:rFonts w:ascii="Times New Roman" w:hAnsi="Times New Roman"/>
          <w:color w:val="000000"/>
          <w:sz w:val="24"/>
          <w:szCs w:val="24"/>
          <w:lang w:eastAsia="lv-LV"/>
        </w:rPr>
        <w:t xml:space="preserve"> the new leasing contracts were issues in amount of 342 million euro.</w:t>
      </w:r>
    </w:p>
    <w:p w14:paraId="5554CE19" w14:textId="408F80F6" w:rsidR="00B60D4C" w:rsidRPr="00236568" w:rsidRDefault="00B60D4C" w:rsidP="00DE5FE5">
      <w:pPr>
        <w:spacing w:before="120" w:line="240" w:lineRule="auto"/>
        <w:jc w:val="both"/>
        <w:rPr>
          <w:rFonts w:ascii="Times New Roman" w:hAnsi="Times New Roman"/>
          <w:color w:val="000000"/>
          <w:sz w:val="24"/>
          <w:szCs w:val="24"/>
          <w:lang w:eastAsia="lv-LV"/>
        </w:rPr>
      </w:pPr>
      <w:proofErr w:type="gramStart"/>
      <w:r w:rsidRPr="00236568">
        <w:rPr>
          <w:rFonts w:ascii="Times New Roman" w:hAnsi="Times New Roman"/>
          <w:color w:val="000000"/>
          <w:sz w:val="24"/>
          <w:szCs w:val="24"/>
          <w:lang w:eastAsia="lv-LV"/>
        </w:rPr>
        <w:t>In the case of leasing and factoring industry there are certain market failures related to the extent to which companies that wish to receive funding are refused for the credit risk and earnings, and loan application purpose reasons, as well as there exist restrictive factors in adhering to the banking sector loans, as leasing and factoring services are mainly subsidiaries of banks, which are applied in the consolidated supervision requirements.</w:t>
      </w:r>
      <w:proofErr w:type="gramEnd"/>
      <w:r w:rsidRPr="00236568">
        <w:rPr>
          <w:rFonts w:ascii="Times New Roman" w:hAnsi="Times New Roman"/>
          <w:color w:val="000000"/>
          <w:sz w:val="24"/>
          <w:szCs w:val="24"/>
          <w:lang w:eastAsia="lv-LV"/>
        </w:rPr>
        <w:t xml:space="preserve"> The estimated total amount for which market demand </w:t>
      </w:r>
      <w:proofErr w:type="gramStart"/>
      <w:r w:rsidRPr="00236568">
        <w:rPr>
          <w:rFonts w:ascii="Times New Roman" w:hAnsi="Times New Roman"/>
          <w:color w:val="000000"/>
          <w:sz w:val="24"/>
          <w:szCs w:val="24"/>
          <w:lang w:eastAsia="lv-LV"/>
        </w:rPr>
        <w:t>is not covered</w:t>
      </w:r>
      <w:proofErr w:type="gramEnd"/>
      <w:r w:rsidRPr="00236568">
        <w:rPr>
          <w:rFonts w:ascii="Times New Roman" w:hAnsi="Times New Roman"/>
          <w:color w:val="000000"/>
          <w:sz w:val="24"/>
          <w:szCs w:val="24"/>
          <w:lang w:eastAsia="lv-LV"/>
        </w:rPr>
        <w:t xml:space="preserve"> by the leasing industry is estimated at around 55 to 101 million euro, and the factoring industry - from 107 to 196 million</w:t>
      </w:r>
      <w:r w:rsidR="00150564" w:rsidRPr="00236568">
        <w:rPr>
          <w:rFonts w:ascii="Times New Roman" w:hAnsi="Times New Roman"/>
          <w:color w:val="000000"/>
          <w:sz w:val="24"/>
          <w:szCs w:val="24"/>
          <w:lang w:eastAsia="lv-LV"/>
        </w:rPr>
        <w:t xml:space="preserve"> euro</w:t>
      </w:r>
      <w:r w:rsidRPr="00236568">
        <w:rPr>
          <w:rStyle w:val="FootnoteReference"/>
          <w:rFonts w:ascii="Times New Roman" w:hAnsi="Times New Roman"/>
          <w:color w:val="000000"/>
          <w:sz w:val="24"/>
          <w:szCs w:val="24"/>
          <w:lang w:eastAsia="lv-LV"/>
        </w:rPr>
        <w:footnoteReference w:id="33"/>
      </w:r>
      <w:r w:rsidRPr="00236568">
        <w:rPr>
          <w:rFonts w:ascii="Times New Roman" w:hAnsi="Times New Roman"/>
          <w:color w:val="000000"/>
          <w:sz w:val="24"/>
          <w:szCs w:val="24"/>
          <w:lang w:eastAsia="lv-LV"/>
        </w:rPr>
        <w:t>.</w:t>
      </w:r>
    </w:p>
    <w:p w14:paraId="317378E3" w14:textId="0063BD32" w:rsidR="00B60D4C" w:rsidRPr="00236568" w:rsidRDefault="00B60D4C"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On December 31, 2015, 57 licensed non-bank credit providers operated in Latvia in the segment of households</w:t>
      </w:r>
      <w:r w:rsidR="00150564" w:rsidRPr="00236568">
        <w:rPr>
          <w:rFonts w:ascii="Times New Roman" w:hAnsi="Times New Roman"/>
          <w:color w:val="000000"/>
          <w:sz w:val="24"/>
          <w:szCs w:val="24"/>
          <w:lang w:eastAsia="lv-LV"/>
        </w:rPr>
        <w:t xml:space="preserve"> lending</w:t>
      </w:r>
      <w:r w:rsidRPr="00236568">
        <w:rPr>
          <w:rFonts w:ascii="Times New Roman" w:hAnsi="Times New Roman"/>
          <w:color w:val="000000"/>
          <w:sz w:val="24"/>
          <w:szCs w:val="24"/>
          <w:lang w:eastAsia="lv-LV"/>
        </w:rPr>
        <w:t xml:space="preserve">, including 19 issued public distance loans, 19 issued loans against movable collateral (Lombard loans), 19 issued consumer loans, the company issued 15 leasing and other transport vehicle collateral loans and 13 issued mortgage loans. </w:t>
      </w:r>
      <w:r w:rsidR="00CE3155" w:rsidRPr="00236568">
        <w:rPr>
          <w:rFonts w:ascii="Times New Roman" w:hAnsi="Times New Roman"/>
          <w:color w:val="000000"/>
          <w:sz w:val="24"/>
          <w:szCs w:val="24"/>
          <w:lang w:eastAsia="lv-LV"/>
        </w:rPr>
        <w:t>In 2015</w:t>
      </w:r>
      <w:r w:rsidRPr="00236568">
        <w:rPr>
          <w:rFonts w:ascii="Times New Roman" w:hAnsi="Times New Roman"/>
          <w:color w:val="000000"/>
          <w:sz w:val="24"/>
          <w:szCs w:val="24"/>
          <w:lang w:eastAsia="lv-LV"/>
        </w:rPr>
        <w:t xml:space="preserve">, there were changes in the non-bank credit providers and among the types of credit. Eighth of the non-bank lenders have changed their names, retaining the existing registration numbers. On June 30, </w:t>
      </w:r>
      <w:proofErr w:type="gramStart"/>
      <w:r w:rsidRPr="00236568">
        <w:rPr>
          <w:rFonts w:ascii="Times New Roman" w:hAnsi="Times New Roman"/>
          <w:color w:val="000000"/>
          <w:sz w:val="24"/>
          <w:szCs w:val="24"/>
          <w:lang w:eastAsia="lv-LV"/>
        </w:rPr>
        <w:t>2016</w:t>
      </w:r>
      <w:proofErr w:type="gramEnd"/>
      <w:r w:rsidRPr="00236568">
        <w:rPr>
          <w:rFonts w:ascii="Times New Roman" w:hAnsi="Times New Roman"/>
          <w:color w:val="000000"/>
          <w:sz w:val="24"/>
          <w:szCs w:val="24"/>
          <w:lang w:eastAsia="lv-LV"/>
        </w:rPr>
        <w:t xml:space="preserve"> there are 60 operating licensed non-bank credit providers, of which 56 only extended new loans to consumers.</w:t>
      </w:r>
    </w:p>
    <w:p w14:paraId="35F17435" w14:textId="661AC5EB" w:rsidR="00B60D4C" w:rsidRPr="00236568" w:rsidRDefault="00B60D4C"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lastRenderedPageBreak/>
        <w:t xml:space="preserve">Non-bank </w:t>
      </w:r>
      <w:proofErr w:type="gramStart"/>
      <w:r w:rsidRPr="00236568">
        <w:rPr>
          <w:rFonts w:ascii="Times New Roman" w:hAnsi="Times New Roman"/>
          <w:color w:val="000000"/>
          <w:sz w:val="24"/>
          <w:szCs w:val="24"/>
          <w:lang w:eastAsia="lv-LV"/>
        </w:rPr>
        <w:t>lenders which provide new loans to the household sector</w:t>
      </w:r>
      <w:proofErr w:type="gramEnd"/>
      <w:r w:rsidRPr="00236568">
        <w:rPr>
          <w:rFonts w:ascii="Times New Roman" w:hAnsi="Times New Roman"/>
          <w:color w:val="000000"/>
          <w:sz w:val="24"/>
          <w:szCs w:val="24"/>
          <w:lang w:eastAsia="lv-LV"/>
        </w:rPr>
        <w:t xml:space="preserve"> are growing for four years, with</w:t>
      </w:r>
      <w:r w:rsidR="00150564" w:rsidRPr="00236568">
        <w:rPr>
          <w:rFonts w:ascii="Times New Roman" w:hAnsi="Times New Roman"/>
          <w:color w:val="000000"/>
          <w:sz w:val="24"/>
          <w:szCs w:val="24"/>
          <w:lang w:eastAsia="lv-LV"/>
        </w:rPr>
        <w:t xml:space="preserve"> the</w:t>
      </w:r>
      <w:r w:rsidRPr="00236568">
        <w:rPr>
          <w:rFonts w:ascii="Times New Roman" w:hAnsi="Times New Roman"/>
          <w:color w:val="000000"/>
          <w:sz w:val="24"/>
          <w:szCs w:val="24"/>
          <w:lang w:eastAsia="lv-LV"/>
        </w:rPr>
        <w:t xml:space="preserve"> best results in 2015 (latest report). Only in January </w:t>
      </w:r>
      <w:proofErr w:type="gramStart"/>
      <w:r w:rsidRPr="00236568">
        <w:rPr>
          <w:rFonts w:ascii="Times New Roman" w:hAnsi="Times New Roman"/>
          <w:color w:val="000000"/>
          <w:sz w:val="24"/>
          <w:szCs w:val="24"/>
          <w:lang w:eastAsia="lv-LV"/>
        </w:rPr>
        <w:t>2015</w:t>
      </w:r>
      <w:proofErr w:type="gramEnd"/>
      <w:r w:rsidRPr="00236568">
        <w:rPr>
          <w:rFonts w:ascii="Times New Roman" w:hAnsi="Times New Roman"/>
          <w:color w:val="000000"/>
          <w:sz w:val="24"/>
          <w:szCs w:val="24"/>
          <w:lang w:eastAsia="lv-LV"/>
        </w:rPr>
        <w:t xml:space="preserve"> the total of new loans was lower than in January 2013. In all other months new loans exceeded the respective monthly indicators in 2013 and 2014, the peak of new loans totalling </w:t>
      </w:r>
      <w:r w:rsidR="00150564" w:rsidRPr="00236568">
        <w:rPr>
          <w:rFonts w:ascii="Times New Roman" w:hAnsi="Times New Roman"/>
          <w:color w:val="000000"/>
          <w:sz w:val="24"/>
          <w:szCs w:val="24"/>
          <w:lang w:eastAsia="lv-LV"/>
        </w:rPr>
        <w:t xml:space="preserve">in </w:t>
      </w:r>
      <w:r w:rsidRPr="00236568">
        <w:rPr>
          <w:rFonts w:ascii="Times New Roman" w:hAnsi="Times New Roman"/>
          <w:color w:val="000000"/>
          <w:sz w:val="24"/>
          <w:szCs w:val="24"/>
          <w:lang w:eastAsia="lv-LV"/>
        </w:rPr>
        <w:t xml:space="preserve">October 2015 with 42.99 million euro, which was about 7.35 million euro, or 20.62% more than in October 2014 and of 10.02 million euro, or 30.39% more than in October 2013. Overall, the </w:t>
      </w:r>
      <w:proofErr w:type="gramStart"/>
      <w:r w:rsidRPr="00236568">
        <w:rPr>
          <w:rFonts w:ascii="Times New Roman" w:hAnsi="Times New Roman"/>
          <w:color w:val="000000"/>
          <w:sz w:val="24"/>
          <w:szCs w:val="24"/>
          <w:lang w:eastAsia="lv-LV"/>
        </w:rPr>
        <w:t>non-bank sector credit providers</w:t>
      </w:r>
      <w:proofErr w:type="gramEnd"/>
      <w:r w:rsidRPr="00236568">
        <w:rPr>
          <w:rFonts w:ascii="Times New Roman" w:hAnsi="Times New Roman"/>
          <w:color w:val="000000"/>
          <w:sz w:val="24"/>
          <w:szCs w:val="24"/>
          <w:lang w:eastAsia="lv-LV"/>
        </w:rPr>
        <w:t xml:space="preserve"> in 2015 for consumers of new loans issued 468.01 million euro, an increase by 80.63 million euro, or 20.81% more than in 2014, when was in turn a decrease against 2013 by 19.45 million euro, or 4.78%. In 2015 new loans over 2012 first year for which the data are collected, exceeded the limits of 116.60 million euro or 33.18%. The first half of 2016 continued to grow the amount of new loans, an increase of 40.90 million euro, or 18.29% more than in 2015 and the first half of 79.22 million euro, or 42.76% over the first half of 2014 and it amounted to 264.50 million euro.</w:t>
      </w:r>
    </w:p>
    <w:p w14:paraId="6E35FD97" w14:textId="2C27C75B" w:rsidR="00457063" w:rsidRPr="00236568" w:rsidRDefault="00B60D4C" w:rsidP="00DE5FE5">
      <w:pPr>
        <w:spacing w:before="120" w:line="240" w:lineRule="auto"/>
        <w:jc w:val="both"/>
      </w:pPr>
      <w:r w:rsidRPr="00236568">
        <w:rPr>
          <w:rFonts w:ascii="Times New Roman" w:hAnsi="Times New Roman"/>
          <w:color w:val="000000"/>
          <w:sz w:val="24"/>
          <w:szCs w:val="24"/>
          <w:lang w:eastAsia="lv-LV"/>
        </w:rPr>
        <w:t xml:space="preserve">Non-bank lenders to households total </w:t>
      </w:r>
      <w:proofErr w:type="gramStart"/>
      <w:r w:rsidRPr="00236568">
        <w:rPr>
          <w:rFonts w:ascii="Times New Roman" w:hAnsi="Times New Roman"/>
          <w:color w:val="000000"/>
          <w:sz w:val="24"/>
          <w:szCs w:val="24"/>
          <w:lang w:eastAsia="lv-LV"/>
        </w:rPr>
        <w:t>loan portfolio credit quality</w:t>
      </w:r>
      <w:proofErr w:type="gramEnd"/>
      <w:r w:rsidRPr="00236568">
        <w:rPr>
          <w:rFonts w:ascii="Times New Roman" w:hAnsi="Times New Roman"/>
          <w:color w:val="000000"/>
          <w:sz w:val="24"/>
          <w:szCs w:val="24"/>
          <w:lang w:eastAsia="lv-LV"/>
        </w:rPr>
        <w:t xml:space="preserve"> continued to improve in 2015. At the end 2013, the share of loans </w:t>
      </w:r>
      <w:proofErr w:type="gramStart"/>
      <w:r w:rsidRPr="00236568">
        <w:rPr>
          <w:rFonts w:ascii="Times New Roman" w:hAnsi="Times New Roman"/>
          <w:color w:val="000000"/>
          <w:sz w:val="24"/>
          <w:szCs w:val="24"/>
          <w:lang w:eastAsia="lv-LV"/>
        </w:rPr>
        <w:t>without delay</w:t>
      </w:r>
      <w:proofErr w:type="gramEnd"/>
      <w:r w:rsidRPr="00236568">
        <w:rPr>
          <w:rFonts w:ascii="Times New Roman" w:hAnsi="Times New Roman"/>
          <w:color w:val="000000"/>
          <w:sz w:val="24"/>
          <w:szCs w:val="24"/>
          <w:lang w:eastAsia="lv-LV"/>
        </w:rPr>
        <w:t xml:space="preserve"> in the total loan portfolio was 80.23% and 82.15% at the end of 2014, at it improved further in 2015, at the end of year reaching 85.28%. At the end of 2015, the share of delayed loans was 14.72% of the total loan portfolio. </w:t>
      </w:r>
      <w:r w:rsidR="00CE3155" w:rsidRPr="00236568">
        <w:rPr>
          <w:rFonts w:ascii="Times New Roman" w:hAnsi="Times New Roman"/>
          <w:color w:val="000000"/>
          <w:sz w:val="24"/>
          <w:szCs w:val="24"/>
          <w:lang w:eastAsia="lv-LV"/>
        </w:rPr>
        <w:t>The</w:t>
      </w:r>
      <w:r w:rsidRPr="00236568">
        <w:rPr>
          <w:rFonts w:ascii="Times New Roman" w:hAnsi="Times New Roman"/>
          <w:color w:val="000000"/>
          <w:sz w:val="24"/>
          <w:szCs w:val="24"/>
          <w:lang w:eastAsia="lv-LV"/>
        </w:rPr>
        <w:t xml:space="preserve"> loan quality has gradually improved</w:t>
      </w:r>
      <w:r w:rsidR="00CE3155" w:rsidRPr="00236568">
        <w:rPr>
          <w:rFonts w:ascii="Times New Roman" w:hAnsi="Times New Roman"/>
          <w:color w:val="000000"/>
          <w:sz w:val="24"/>
          <w:szCs w:val="24"/>
          <w:lang w:eastAsia="lv-LV"/>
        </w:rPr>
        <w:t xml:space="preserve"> in all segments of </w:t>
      </w:r>
      <w:r w:rsidR="00A82146" w:rsidRPr="00236568">
        <w:rPr>
          <w:rFonts w:ascii="Times New Roman" w:hAnsi="Times New Roman"/>
          <w:color w:val="000000"/>
          <w:sz w:val="24"/>
          <w:szCs w:val="24"/>
          <w:lang w:eastAsia="lv-LV"/>
        </w:rPr>
        <w:t>portfolio</w:t>
      </w:r>
      <w:r w:rsidR="00CE3155" w:rsidRPr="00236568">
        <w:rPr>
          <w:rFonts w:ascii="Times New Roman" w:hAnsi="Times New Roman"/>
          <w:color w:val="000000"/>
          <w:sz w:val="24"/>
          <w:szCs w:val="24"/>
          <w:lang w:eastAsia="lv-LV"/>
        </w:rPr>
        <w:t xml:space="preserve">, </w:t>
      </w:r>
      <w:r w:rsidR="00A82146" w:rsidRPr="00236568">
        <w:rPr>
          <w:rFonts w:ascii="Times New Roman" w:hAnsi="Times New Roman"/>
          <w:color w:val="000000"/>
          <w:sz w:val="24"/>
          <w:szCs w:val="24"/>
          <w:lang w:eastAsia="lv-LV"/>
        </w:rPr>
        <w:t>and the best quality is in leasing and other secured loan segment (93.56%)</w:t>
      </w:r>
      <w:r w:rsidRPr="00236568">
        <w:rPr>
          <w:rFonts w:ascii="Times New Roman" w:hAnsi="Times New Roman"/>
          <w:color w:val="000000"/>
          <w:sz w:val="24"/>
          <w:szCs w:val="24"/>
          <w:lang w:eastAsia="lv-LV"/>
        </w:rPr>
        <w:t xml:space="preserve">. </w:t>
      </w:r>
      <w:r w:rsidR="00A82146" w:rsidRPr="00236568">
        <w:rPr>
          <w:rFonts w:ascii="Times New Roman" w:hAnsi="Times New Roman"/>
          <w:color w:val="000000"/>
          <w:sz w:val="24"/>
          <w:szCs w:val="24"/>
          <w:lang w:eastAsia="lv-LV"/>
        </w:rPr>
        <w:t xml:space="preserve">In </w:t>
      </w:r>
      <w:r w:rsidRPr="00236568">
        <w:rPr>
          <w:rFonts w:ascii="Times New Roman" w:hAnsi="Times New Roman"/>
          <w:color w:val="000000"/>
          <w:sz w:val="24"/>
          <w:szCs w:val="24"/>
          <w:lang w:eastAsia="lv-LV"/>
        </w:rPr>
        <w:t xml:space="preserve">first </w:t>
      </w:r>
      <w:r w:rsidR="00A82146" w:rsidRPr="00236568">
        <w:rPr>
          <w:rFonts w:ascii="Times New Roman" w:hAnsi="Times New Roman"/>
          <w:color w:val="000000"/>
          <w:sz w:val="24"/>
          <w:szCs w:val="24"/>
          <w:lang w:eastAsia="lv-LV"/>
        </w:rPr>
        <w:t>half</w:t>
      </w:r>
      <w:r w:rsidRPr="00236568">
        <w:rPr>
          <w:rFonts w:ascii="Times New Roman" w:hAnsi="Times New Roman"/>
          <w:color w:val="000000"/>
          <w:sz w:val="24"/>
          <w:szCs w:val="24"/>
          <w:lang w:eastAsia="lv-LV"/>
        </w:rPr>
        <w:t xml:space="preserve"> of 2016, </w:t>
      </w:r>
      <w:proofErr w:type="gramStart"/>
      <w:r w:rsidRPr="00236568">
        <w:rPr>
          <w:rFonts w:ascii="Times New Roman" w:hAnsi="Times New Roman"/>
          <w:color w:val="000000"/>
          <w:sz w:val="24"/>
          <w:szCs w:val="24"/>
          <w:lang w:eastAsia="lv-LV"/>
        </w:rPr>
        <w:t>without delay</w:t>
      </w:r>
      <w:proofErr w:type="gramEnd"/>
      <w:r w:rsidRPr="00236568">
        <w:rPr>
          <w:rFonts w:ascii="Times New Roman" w:hAnsi="Times New Roman"/>
          <w:color w:val="000000"/>
          <w:sz w:val="24"/>
          <w:szCs w:val="24"/>
          <w:lang w:eastAsia="lv-LV"/>
        </w:rPr>
        <w:t xml:space="preserve">, the share of loans in total loan portfolio was 85.07% (1st half of 2015 - 82.69%, in the 1st half of 2014 - 80.60%, </w:t>
      </w:r>
      <w:r w:rsidR="00457063" w:rsidRPr="00236568">
        <w:rPr>
          <w:rFonts w:ascii="Times New Roman" w:hAnsi="Times New Roman"/>
          <w:color w:val="000000"/>
          <w:sz w:val="24"/>
          <w:szCs w:val="24"/>
          <w:lang w:eastAsia="lv-LV"/>
        </w:rPr>
        <w:t>in the</w:t>
      </w:r>
      <w:r w:rsidRPr="00236568">
        <w:rPr>
          <w:rFonts w:ascii="Times New Roman" w:hAnsi="Times New Roman"/>
          <w:color w:val="000000"/>
          <w:sz w:val="24"/>
          <w:szCs w:val="24"/>
          <w:lang w:eastAsia="lv-LV"/>
        </w:rPr>
        <w:t xml:space="preserve"> 1st half </w:t>
      </w:r>
      <w:r w:rsidR="00457063" w:rsidRPr="00236568">
        <w:rPr>
          <w:rFonts w:ascii="Times New Roman" w:hAnsi="Times New Roman"/>
          <w:color w:val="000000"/>
          <w:sz w:val="24"/>
          <w:szCs w:val="24"/>
          <w:lang w:eastAsia="lv-LV"/>
        </w:rPr>
        <w:t xml:space="preserve">2013 </w:t>
      </w:r>
      <w:r w:rsidRPr="00236568">
        <w:rPr>
          <w:rFonts w:ascii="Times New Roman" w:hAnsi="Times New Roman"/>
          <w:color w:val="000000"/>
          <w:sz w:val="24"/>
          <w:szCs w:val="24"/>
          <w:lang w:eastAsia="lv-LV"/>
        </w:rPr>
        <w:t xml:space="preserve">- 77.53%). At the same time the operation of non-bank lenders need to focus on further improvement of evaluation of the creditworthiness, reducing the likelihood that the consumer </w:t>
      </w:r>
      <w:proofErr w:type="gramStart"/>
      <w:r w:rsidRPr="00236568">
        <w:rPr>
          <w:rFonts w:ascii="Times New Roman" w:hAnsi="Times New Roman"/>
          <w:color w:val="000000"/>
          <w:sz w:val="24"/>
          <w:szCs w:val="24"/>
          <w:lang w:eastAsia="lv-LV"/>
        </w:rPr>
        <w:t>is bound</w:t>
      </w:r>
      <w:proofErr w:type="gramEnd"/>
      <w:r w:rsidRPr="00236568">
        <w:rPr>
          <w:rFonts w:ascii="Times New Roman" w:hAnsi="Times New Roman"/>
          <w:color w:val="000000"/>
          <w:sz w:val="24"/>
          <w:szCs w:val="24"/>
          <w:lang w:eastAsia="lv-LV"/>
        </w:rPr>
        <w:t xml:space="preserve"> by excessive debt.</w:t>
      </w:r>
      <w:r w:rsidR="00457063" w:rsidRPr="00236568">
        <w:t xml:space="preserve"> </w:t>
      </w:r>
    </w:p>
    <w:p w14:paraId="0B03E3A2" w14:textId="2BC23408" w:rsidR="00B60D4C" w:rsidRPr="00236568" w:rsidRDefault="00457063"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Credit unions are one more type of alternative financing providers in Latvia, and they have developed in accordance with the traditional business model, providing support to members of credit unions limited to individuals. To the end of </w:t>
      </w:r>
      <w:proofErr w:type="gramStart"/>
      <w:r w:rsidRPr="00236568">
        <w:rPr>
          <w:rFonts w:ascii="Times New Roman" w:hAnsi="Times New Roman"/>
          <w:color w:val="000000"/>
          <w:sz w:val="24"/>
          <w:szCs w:val="24"/>
          <w:lang w:eastAsia="lv-LV"/>
        </w:rPr>
        <w:t>2015</w:t>
      </w:r>
      <w:proofErr w:type="gramEnd"/>
      <w:r w:rsidRPr="00236568">
        <w:rPr>
          <w:rFonts w:ascii="Times New Roman" w:hAnsi="Times New Roman"/>
          <w:color w:val="000000"/>
          <w:sz w:val="24"/>
          <w:szCs w:val="24"/>
          <w:lang w:eastAsia="lv-LV"/>
        </w:rPr>
        <w:t xml:space="preserve"> there were 34 Latvian cooperative credit unions, whose total assets amounted to 25.2 million euros, which accounted for about 0.1% of total financial sector </w:t>
      </w:r>
      <w:r w:rsidR="00254B20" w:rsidRPr="00236568">
        <w:rPr>
          <w:rFonts w:ascii="Times New Roman" w:hAnsi="Times New Roman"/>
          <w:color w:val="000000"/>
          <w:sz w:val="24"/>
          <w:szCs w:val="24"/>
          <w:lang w:eastAsia="lv-LV"/>
        </w:rPr>
        <w:t xml:space="preserve">assets. </w:t>
      </w:r>
      <w:proofErr w:type="gramStart"/>
      <w:r w:rsidRPr="00236568">
        <w:rPr>
          <w:rFonts w:ascii="Times New Roman" w:hAnsi="Times New Roman"/>
          <w:color w:val="000000"/>
          <w:sz w:val="24"/>
          <w:szCs w:val="24"/>
          <w:lang w:eastAsia="lv-LV"/>
        </w:rPr>
        <w:t>Within the existing credit unions’ operating model, credit unions have demonstrated a stable performance and continue to grow gradually, as evidenced by both credit unions increasing loans and deposits.</w:t>
      </w:r>
      <w:proofErr w:type="gramEnd"/>
      <w:r w:rsidRPr="00236568">
        <w:rPr>
          <w:rFonts w:ascii="Times New Roman" w:hAnsi="Times New Roman"/>
          <w:color w:val="000000"/>
          <w:sz w:val="24"/>
          <w:szCs w:val="24"/>
          <w:lang w:eastAsia="lv-LV"/>
        </w:rPr>
        <w:t xml:space="preserve"> In 2015, 24 credit unions worked with a profit of, earning 439 thousand euros, while for the rest of 10 </w:t>
      </w:r>
      <w:r w:rsidR="00254B20" w:rsidRPr="00236568">
        <w:rPr>
          <w:rFonts w:ascii="Times New Roman" w:hAnsi="Times New Roman"/>
          <w:color w:val="000000"/>
          <w:sz w:val="24"/>
          <w:szCs w:val="24"/>
          <w:lang w:eastAsia="lv-LV"/>
        </w:rPr>
        <w:t>companies’</w:t>
      </w:r>
      <w:r w:rsidRPr="00236568">
        <w:rPr>
          <w:rFonts w:ascii="Times New Roman" w:hAnsi="Times New Roman"/>
          <w:color w:val="000000"/>
          <w:sz w:val="24"/>
          <w:szCs w:val="24"/>
          <w:lang w:eastAsia="lv-LV"/>
        </w:rPr>
        <w:t xml:space="preserve"> losses </w:t>
      </w:r>
      <w:r w:rsidR="006635FB" w:rsidRPr="00236568">
        <w:rPr>
          <w:rFonts w:ascii="Times New Roman" w:hAnsi="Times New Roman"/>
          <w:color w:val="000000"/>
          <w:sz w:val="24"/>
          <w:szCs w:val="24"/>
          <w:lang w:eastAsia="lv-LV"/>
        </w:rPr>
        <w:t>totalled</w:t>
      </w:r>
      <w:r w:rsidRPr="00236568">
        <w:rPr>
          <w:rFonts w:ascii="Times New Roman" w:hAnsi="Times New Roman"/>
          <w:color w:val="000000"/>
          <w:sz w:val="24"/>
          <w:szCs w:val="24"/>
          <w:lang w:eastAsia="lv-LV"/>
        </w:rPr>
        <w:t xml:space="preserve"> 31 thousand euros. </w:t>
      </w:r>
      <w:proofErr w:type="gramStart"/>
      <w:r w:rsidRPr="00236568">
        <w:rPr>
          <w:rFonts w:ascii="Times New Roman" w:hAnsi="Times New Roman"/>
          <w:color w:val="000000"/>
          <w:sz w:val="24"/>
          <w:szCs w:val="24"/>
          <w:lang w:eastAsia="lv-LV"/>
        </w:rPr>
        <w:t>4</w:t>
      </w:r>
      <w:proofErr w:type="gramEnd"/>
      <w:r w:rsidRPr="00236568">
        <w:rPr>
          <w:rFonts w:ascii="Times New Roman" w:hAnsi="Times New Roman"/>
          <w:color w:val="000000"/>
          <w:sz w:val="24"/>
          <w:szCs w:val="24"/>
          <w:lang w:eastAsia="lv-LV"/>
        </w:rPr>
        <w:t xml:space="preserve"> credit unions credited legal persons, and their total stock of loans at the end of 2015 was about 150 thousand </w:t>
      </w:r>
      <w:r w:rsidR="00254B20" w:rsidRPr="00236568">
        <w:rPr>
          <w:rFonts w:ascii="Times New Roman" w:hAnsi="Times New Roman"/>
          <w:color w:val="000000"/>
          <w:sz w:val="24"/>
          <w:szCs w:val="24"/>
          <w:lang w:eastAsia="lv-LV"/>
        </w:rPr>
        <w:t>euros.</w:t>
      </w:r>
    </w:p>
    <w:p w14:paraId="1F312101" w14:textId="557EA8AD" w:rsidR="00CA55BE" w:rsidRPr="00236568" w:rsidRDefault="00CA55BE"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For the further development of credit unions, regulation on second-tier cooperative credit unions on a voluntary basis will be elaborated, based on the concept report on further development, approved by the Cabinet of Ministers on the January 24, 2017 (Minutes No. 4 39§).</w:t>
      </w:r>
    </w:p>
    <w:p w14:paraId="2F40712E" w14:textId="6E90018A" w:rsidR="00B60D4C" w:rsidRPr="00236568" w:rsidRDefault="00B60D4C"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The European Commission has published a report on crowdfunding</w:t>
      </w:r>
      <w:r w:rsidR="0051604C">
        <w:rPr>
          <w:rFonts w:ascii="Times New Roman" w:hAnsi="Times New Roman"/>
          <w:color w:val="000000"/>
          <w:sz w:val="24"/>
          <w:szCs w:val="24"/>
          <w:lang w:eastAsia="lv-LV"/>
        </w:rPr>
        <w:t xml:space="preserve"> in the EU member states,</w:t>
      </w:r>
      <w:r w:rsidR="00CA55BE" w:rsidRPr="00236568">
        <w:rPr>
          <w:rFonts w:ascii="Times New Roman" w:hAnsi="Times New Roman"/>
          <w:color w:val="000000"/>
          <w:sz w:val="24"/>
          <w:szCs w:val="24"/>
          <w:lang w:eastAsia="lv-LV"/>
        </w:rPr>
        <w:t xml:space="preserve"> and </w:t>
      </w:r>
      <w:r w:rsidR="0051604C">
        <w:rPr>
          <w:rFonts w:ascii="Times New Roman" w:hAnsi="Times New Roman"/>
          <w:color w:val="000000"/>
          <w:sz w:val="24"/>
          <w:szCs w:val="24"/>
          <w:lang w:eastAsia="lv-LV"/>
        </w:rPr>
        <w:t>considers appropriate to</w:t>
      </w:r>
      <w:r w:rsidR="00895E22" w:rsidRPr="00236568">
        <w:rPr>
          <w:rFonts w:ascii="Times New Roman" w:hAnsi="Times New Roman"/>
          <w:color w:val="000000"/>
          <w:sz w:val="24"/>
          <w:szCs w:val="24"/>
          <w:lang w:eastAsia="lv-LV"/>
        </w:rPr>
        <w:t xml:space="preserve"> </w:t>
      </w:r>
      <w:r w:rsidR="0051604C">
        <w:rPr>
          <w:rFonts w:ascii="Times New Roman" w:hAnsi="Times New Roman"/>
          <w:color w:val="000000"/>
          <w:sz w:val="24"/>
          <w:szCs w:val="24"/>
          <w:lang w:eastAsia="lv-LV"/>
        </w:rPr>
        <w:t>monitor further developments.</w:t>
      </w:r>
    </w:p>
    <w:p w14:paraId="5642B572" w14:textId="7F58BEFD" w:rsidR="00B60D4C" w:rsidRPr="00236568" w:rsidRDefault="00B60D4C"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Given the above, </w:t>
      </w:r>
      <w:r w:rsidR="00895E22" w:rsidRPr="00236568">
        <w:rPr>
          <w:rFonts w:ascii="Times New Roman" w:hAnsi="Times New Roman"/>
          <w:color w:val="000000"/>
          <w:sz w:val="24"/>
          <w:szCs w:val="24"/>
          <w:lang w:eastAsia="lv-LV"/>
        </w:rPr>
        <w:t xml:space="preserve">the section of </w:t>
      </w:r>
      <w:r w:rsidRPr="00236568">
        <w:rPr>
          <w:rFonts w:ascii="Times New Roman" w:hAnsi="Times New Roman"/>
          <w:color w:val="000000"/>
          <w:sz w:val="24"/>
          <w:szCs w:val="24"/>
          <w:lang w:eastAsia="lv-LV"/>
        </w:rPr>
        <w:t xml:space="preserve">alternative financial </w:t>
      </w:r>
      <w:r w:rsidR="00254B20" w:rsidRPr="00236568">
        <w:rPr>
          <w:rFonts w:ascii="Times New Roman" w:hAnsi="Times New Roman"/>
          <w:color w:val="000000"/>
          <w:sz w:val="24"/>
          <w:szCs w:val="24"/>
          <w:lang w:eastAsia="lv-LV"/>
        </w:rPr>
        <w:t>services addresses</w:t>
      </w:r>
      <w:r w:rsidR="00895E22" w:rsidRPr="00236568">
        <w:rPr>
          <w:rFonts w:ascii="Times New Roman" w:hAnsi="Times New Roman"/>
          <w:color w:val="000000"/>
          <w:sz w:val="24"/>
          <w:szCs w:val="24"/>
          <w:lang w:eastAsia="lv-LV"/>
        </w:rPr>
        <w:t xml:space="preserve"> two </w:t>
      </w:r>
      <w:r w:rsidRPr="00236568">
        <w:rPr>
          <w:rFonts w:ascii="Times New Roman" w:hAnsi="Times New Roman"/>
          <w:b/>
          <w:color w:val="000000"/>
          <w:sz w:val="24"/>
          <w:szCs w:val="24"/>
          <w:lang w:eastAsia="lv-LV"/>
        </w:rPr>
        <w:t>strategic lines of action</w:t>
      </w:r>
      <w:r w:rsidRPr="00236568">
        <w:rPr>
          <w:rFonts w:ascii="Times New Roman" w:hAnsi="Times New Roman"/>
          <w:color w:val="000000"/>
          <w:sz w:val="24"/>
          <w:szCs w:val="24"/>
          <w:lang w:eastAsia="lv-LV"/>
        </w:rPr>
        <w:t>:</w:t>
      </w:r>
    </w:p>
    <w:p w14:paraId="5837B80B" w14:textId="3FF9FC93" w:rsidR="00B60D4C" w:rsidRPr="00236568" w:rsidRDefault="00254B20" w:rsidP="00595DDE">
      <w:pPr>
        <w:pStyle w:val="ListParagraph"/>
        <w:numPr>
          <w:ilvl w:val="0"/>
          <w:numId w:val="2"/>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A</w:t>
      </w:r>
      <w:r w:rsidR="00B60D4C" w:rsidRPr="00236568">
        <w:rPr>
          <w:rFonts w:ascii="Times New Roman" w:hAnsi="Times New Roman"/>
          <w:color w:val="000000"/>
          <w:sz w:val="24"/>
          <w:szCs w:val="24"/>
          <w:lang w:val="en-GB"/>
        </w:rPr>
        <w:t>doption of national regulation on crowdfunding;</w:t>
      </w:r>
    </w:p>
    <w:p w14:paraId="48C7F18A" w14:textId="1E921B55" w:rsidR="00B60D4C" w:rsidRPr="00236568" w:rsidRDefault="00254B20" w:rsidP="00BF7917">
      <w:pPr>
        <w:pStyle w:val="ListParagraph"/>
        <w:numPr>
          <w:ilvl w:val="0"/>
          <w:numId w:val="2"/>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Development</w:t>
      </w:r>
      <w:r w:rsidR="00B60D4C" w:rsidRPr="00236568">
        <w:rPr>
          <w:rFonts w:ascii="Times New Roman" w:hAnsi="Times New Roman"/>
          <w:color w:val="000000"/>
          <w:sz w:val="24"/>
          <w:szCs w:val="24"/>
          <w:lang w:val="en-GB"/>
        </w:rPr>
        <w:t xml:space="preserve"> of innovative financial services and risk management.</w:t>
      </w:r>
    </w:p>
    <w:p w14:paraId="398A0A08" w14:textId="77777777" w:rsidR="00B60D4C" w:rsidRPr="00236568" w:rsidRDefault="00B60D4C" w:rsidP="00DE5FE5">
      <w:pPr>
        <w:spacing w:line="240" w:lineRule="auto"/>
      </w:pPr>
    </w:p>
    <w:p w14:paraId="7FAFB902" w14:textId="77777777" w:rsidR="00B60D4C" w:rsidRPr="00236568" w:rsidRDefault="00B60D4C" w:rsidP="00DE5FE5">
      <w:pPr>
        <w:spacing w:before="120" w:line="240" w:lineRule="auto"/>
        <w:jc w:val="both"/>
        <w:rPr>
          <w:rFonts w:ascii="Times New Roman" w:hAnsi="Times New Roman"/>
          <w:b/>
          <w:color w:val="000000"/>
          <w:sz w:val="24"/>
          <w:szCs w:val="24"/>
          <w:u w:val="single"/>
          <w:lang w:eastAsia="lv-LV"/>
        </w:rPr>
      </w:pPr>
      <w:r w:rsidRPr="00236568">
        <w:rPr>
          <w:rFonts w:ascii="Times New Roman" w:hAnsi="Times New Roman"/>
          <w:b/>
          <w:color w:val="000000"/>
          <w:sz w:val="24"/>
          <w:szCs w:val="24"/>
          <w:u w:val="single"/>
          <w:lang w:eastAsia="lv-LV"/>
        </w:rPr>
        <w:t>Performance indicator:</w:t>
      </w:r>
    </w:p>
    <w:p w14:paraId="13597558" w14:textId="77777777" w:rsidR="00B60D4C" w:rsidRPr="00236568" w:rsidRDefault="00B60D4C"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lastRenderedPageBreak/>
        <w:t>Access to finance for small and medium-sized enterprises by increasing the funding available by 5</w:t>
      </w:r>
      <w:proofErr w:type="gramStart"/>
      <w:r w:rsidRPr="00236568">
        <w:rPr>
          <w:rFonts w:ascii="Times New Roman" w:hAnsi="Times New Roman"/>
          <w:color w:val="000000"/>
          <w:sz w:val="24"/>
          <w:szCs w:val="24"/>
          <w:lang w:eastAsia="lv-LV"/>
        </w:rPr>
        <w:t>,25</w:t>
      </w:r>
      <w:proofErr w:type="gramEnd"/>
      <w:r w:rsidRPr="00236568">
        <w:rPr>
          <w:rFonts w:ascii="Times New Roman" w:hAnsi="Times New Roman"/>
          <w:color w:val="000000"/>
          <w:sz w:val="24"/>
          <w:szCs w:val="24"/>
          <w:lang w:eastAsia="lv-LV"/>
        </w:rPr>
        <w:t>% of GDP</w:t>
      </w:r>
      <w:r w:rsidRPr="00236568">
        <w:rPr>
          <w:rStyle w:val="FootnoteReference"/>
          <w:rFonts w:ascii="Times New Roman" w:hAnsi="Times New Roman"/>
          <w:color w:val="000000"/>
          <w:sz w:val="24"/>
          <w:szCs w:val="24"/>
          <w:lang w:eastAsia="lv-LV"/>
        </w:rPr>
        <w:footnoteReference w:id="34"/>
      </w:r>
      <w:r w:rsidRPr="00236568">
        <w:rPr>
          <w:rFonts w:ascii="Times New Roman" w:hAnsi="Times New Roman"/>
          <w:color w:val="000000"/>
          <w:sz w:val="24"/>
          <w:szCs w:val="24"/>
          <w:lang w:eastAsia="lv-LV"/>
        </w:rPr>
        <w:t xml:space="preserve"> over three years.</w:t>
      </w:r>
    </w:p>
    <w:p w14:paraId="69F76EEF" w14:textId="77777777" w:rsidR="00B60D4C" w:rsidRPr="00236568" w:rsidRDefault="00B60D4C" w:rsidP="00DE5FE5">
      <w:pPr>
        <w:spacing w:before="120" w:line="240" w:lineRule="auto"/>
        <w:jc w:val="both"/>
        <w:rPr>
          <w:rFonts w:ascii="Times New Roman" w:hAnsi="Times New Roman"/>
          <w:color w:val="000000"/>
          <w:sz w:val="24"/>
          <w:szCs w:val="24"/>
          <w:lang w:eastAsia="lv-LV"/>
        </w:rPr>
      </w:pPr>
    </w:p>
    <w:p w14:paraId="5467A8FB" w14:textId="4678C7EB" w:rsidR="00B60D4C" w:rsidRPr="00236568" w:rsidRDefault="00C824F3" w:rsidP="00DE5FE5">
      <w:pPr>
        <w:pStyle w:val="Heading3"/>
        <w:spacing w:line="240" w:lineRule="auto"/>
      </w:pPr>
      <w:bookmarkStart w:id="27" w:name="_Toc479773689"/>
      <w:bookmarkStart w:id="28" w:name="_Toc479839723"/>
      <w:r w:rsidRPr="00236568">
        <w:t>1.</w:t>
      </w:r>
      <w:r w:rsidR="00B60D4C" w:rsidRPr="00236568">
        <w:t>4.1. Adoption of national regulation on crowdfunding</w:t>
      </w:r>
      <w:bookmarkEnd w:id="27"/>
      <w:bookmarkEnd w:id="28"/>
    </w:p>
    <w:p w14:paraId="27CA7D14" w14:textId="42D6EB80" w:rsidR="00B60D4C" w:rsidRPr="00236568" w:rsidRDefault="00B60D4C" w:rsidP="00595DDE">
      <w:pPr>
        <w:spacing w:after="0" w:line="240" w:lineRule="auto"/>
        <w:jc w:val="both"/>
        <w:rPr>
          <w:rFonts w:ascii="Times New Roman" w:hAnsi="Times New Roman"/>
          <w:sz w:val="24"/>
          <w:szCs w:val="24"/>
        </w:rPr>
      </w:pPr>
      <w:r w:rsidRPr="00236568">
        <w:rPr>
          <w:rFonts w:ascii="Times New Roman" w:hAnsi="Times New Roman"/>
          <w:sz w:val="24"/>
          <w:szCs w:val="24"/>
        </w:rPr>
        <w:t xml:space="preserve">In addition to traditional forms of alternative </w:t>
      </w:r>
      <w:r w:rsidR="00C824F3" w:rsidRPr="00236568">
        <w:rPr>
          <w:rFonts w:ascii="Times New Roman" w:hAnsi="Times New Roman"/>
          <w:sz w:val="24"/>
          <w:szCs w:val="24"/>
        </w:rPr>
        <w:t xml:space="preserve">financing </w:t>
      </w:r>
      <w:r w:rsidRPr="00236568">
        <w:rPr>
          <w:rFonts w:ascii="Times New Roman" w:hAnsi="Times New Roman"/>
          <w:sz w:val="24"/>
          <w:szCs w:val="24"/>
        </w:rPr>
        <w:t xml:space="preserve">as venture capital, credit unions and financial leasing, one of </w:t>
      </w:r>
      <w:proofErr w:type="spellStart"/>
      <w:r w:rsidRPr="00236568">
        <w:rPr>
          <w:rFonts w:ascii="Times New Roman" w:hAnsi="Times New Roman"/>
          <w:sz w:val="24"/>
          <w:szCs w:val="24"/>
        </w:rPr>
        <w:t>FinTech</w:t>
      </w:r>
      <w:proofErr w:type="spellEnd"/>
      <w:r w:rsidRPr="00236568">
        <w:rPr>
          <w:rFonts w:ascii="Times New Roman" w:hAnsi="Times New Roman"/>
          <w:sz w:val="24"/>
          <w:szCs w:val="24"/>
        </w:rPr>
        <w:t xml:space="preserve"> products is a platform for crowdfunding, which also actively expanding its operations also in Latvia. </w:t>
      </w:r>
      <w:r w:rsidR="00C824F3" w:rsidRPr="00236568">
        <w:rPr>
          <w:rFonts w:ascii="Times New Roman" w:hAnsi="Times New Roman"/>
          <w:sz w:val="24"/>
          <w:szCs w:val="24"/>
        </w:rPr>
        <w:t>Crowdfunding</w:t>
      </w:r>
      <w:r w:rsidRPr="00236568">
        <w:rPr>
          <w:rFonts w:ascii="Times New Roman" w:hAnsi="Times New Roman"/>
          <w:sz w:val="24"/>
          <w:szCs w:val="24"/>
        </w:rPr>
        <w:t xml:space="preserve"> platforms in EU have increased funding </w:t>
      </w:r>
      <w:r w:rsidR="00C824F3" w:rsidRPr="00236568">
        <w:rPr>
          <w:rFonts w:ascii="Times New Roman" w:hAnsi="Times New Roman"/>
          <w:sz w:val="24"/>
          <w:szCs w:val="24"/>
        </w:rPr>
        <w:t xml:space="preserve">from </w:t>
      </w:r>
      <w:r w:rsidRPr="00236568">
        <w:rPr>
          <w:rFonts w:ascii="Times New Roman" w:hAnsi="Times New Roman"/>
          <w:sz w:val="24"/>
          <w:szCs w:val="24"/>
        </w:rPr>
        <w:t>487 million euro in 2012 to 2 957 million in 2014, with an average annual increase of 146%</w:t>
      </w:r>
      <w:r w:rsidRPr="00236568">
        <w:rPr>
          <w:rStyle w:val="FootnoteReference"/>
          <w:rFonts w:ascii="Times New Roman" w:hAnsi="Times New Roman"/>
          <w:sz w:val="24"/>
          <w:szCs w:val="24"/>
        </w:rPr>
        <w:footnoteReference w:id="35"/>
      </w:r>
      <w:r w:rsidRPr="00236568">
        <w:rPr>
          <w:rFonts w:ascii="Times New Roman" w:hAnsi="Times New Roman"/>
          <w:sz w:val="24"/>
          <w:szCs w:val="24"/>
        </w:rPr>
        <w:t>, showing rapid growth. This is one of the components of the development of small and medium-sized enterprises on the way to an alternative fundraising</w:t>
      </w:r>
      <w:r w:rsidRPr="00236568">
        <w:rPr>
          <w:rStyle w:val="FootnoteReference"/>
          <w:rFonts w:ascii="Times New Roman" w:hAnsi="Times New Roman"/>
          <w:sz w:val="24"/>
          <w:szCs w:val="24"/>
        </w:rPr>
        <w:footnoteReference w:id="36"/>
      </w:r>
      <w:r w:rsidRPr="00236568">
        <w:rPr>
          <w:rFonts w:ascii="Times New Roman" w:hAnsi="Times New Roman"/>
          <w:sz w:val="24"/>
          <w:szCs w:val="24"/>
        </w:rPr>
        <w:t xml:space="preserve">. </w:t>
      </w:r>
      <w:r w:rsidR="00C824F3" w:rsidRPr="00236568">
        <w:rPr>
          <w:rFonts w:ascii="Times New Roman" w:hAnsi="Times New Roman"/>
          <w:sz w:val="24"/>
          <w:szCs w:val="24"/>
        </w:rPr>
        <w:t>Crowdfunding</w:t>
      </w:r>
      <w:r w:rsidRPr="00236568">
        <w:rPr>
          <w:rFonts w:ascii="Times New Roman" w:hAnsi="Times New Roman"/>
          <w:sz w:val="24"/>
          <w:szCs w:val="24"/>
        </w:rPr>
        <w:t xml:space="preserve"> platform</w:t>
      </w:r>
      <w:r w:rsidR="00C824F3" w:rsidRPr="00236568">
        <w:rPr>
          <w:rFonts w:ascii="Times New Roman" w:hAnsi="Times New Roman"/>
          <w:sz w:val="24"/>
          <w:szCs w:val="24"/>
        </w:rPr>
        <w:t>s</w:t>
      </w:r>
      <w:r w:rsidRPr="00236568">
        <w:rPr>
          <w:rFonts w:ascii="Times New Roman" w:hAnsi="Times New Roman"/>
          <w:sz w:val="24"/>
          <w:szCs w:val="24"/>
        </w:rPr>
        <w:t xml:space="preserve"> can be divided into </w:t>
      </w:r>
      <w:proofErr w:type="gramStart"/>
      <w:r w:rsidRPr="00236568">
        <w:rPr>
          <w:rFonts w:ascii="Times New Roman" w:hAnsi="Times New Roman"/>
          <w:sz w:val="24"/>
          <w:szCs w:val="24"/>
        </w:rPr>
        <w:t>those which bring financial returns</w:t>
      </w:r>
      <w:proofErr w:type="gramEnd"/>
      <w:r w:rsidRPr="00236568">
        <w:rPr>
          <w:rFonts w:ascii="Times New Roman" w:hAnsi="Times New Roman"/>
          <w:sz w:val="24"/>
          <w:szCs w:val="24"/>
        </w:rPr>
        <w:t xml:space="preserve"> and those which have a social purpose. A platform with the financial return </w:t>
      </w:r>
      <w:proofErr w:type="gramStart"/>
      <w:r w:rsidRPr="00236568">
        <w:rPr>
          <w:rFonts w:ascii="Times New Roman" w:hAnsi="Times New Roman"/>
          <w:sz w:val="24"/>
          <w:szCs w:val="24"/>
        </w:rPr>
        <w:t>can be subdivided</w:t>
      </w:r>
      <w:proofErr w:type="gramEnd"/>
      <w:r w:rsidRPr="00236568">
        <w:rPr>
          <w:rFonts w:ascii="Times New Roman" w:hAnsi="Times New Roman"/>
          <w:sz w:val="24"/>
          <w:szCs w:val="24"/>
        </w:rPr>
        <w:t xml:space="preserve"> in loans </w:t>
      </w:r>
      <w:r w:rsidRPr="00236568">
        <w:rPr>
          <w:rFonts w:ascii="Times New Roman" w:hAnsi="Times New Roman"/>
          <w:i/>
          <w:sz w:val="24"/>
          <w:szCs w:val="24"/>
        </w:rPr>
        <w:t>(peer-to-peer)</w:t>
      </w:r>
      <w:r w:rsidRPr="00236568">
        <w:rPr>
          <w:rFonts w:ascii="Times New Roman" w:hAnsi="Times New Roman"/>
          <w:sz w:val="24"/>
          <w:szCs w:val="24"/>
        </w:rPr>
        <w:t xml:space="preserve"> and capital financing or collective financing of investments in various equity instruments </w:t>
      </w:r>
      <w:r w:rsidRPr="00236568">
        <w:rPr>
          <w:rFonts w:ascii="Times New Roman" w:hAnsi="Times New Roman"/>
          <w:i/>
          <w:sz w:val="24"/>
          <w:szCs w:val="24"/>
        </w:rPr>
        <w:t>(equity crowdfunding)</w:t>
      </w:r>
      <w:r w:rsidRPr="00236568">
        <w:rPr>
          <w:rFonts w:ascii="Times New Roman" w:hAnsi="Times New Roman"/>
          <w:sz w:val="24"/>
          <w:szCs w:val="24"/>
        </w:rPr>
        <w:t>. By contrast, an example of social objectives are donation platforms</w:t>
      </w:r>
      <w:r w:rsidRPr="00236568">
        <w:rPr>
          <w:rStyle w:val="FootnoteReference"/>
          <w:rFonts w:ascii="Times New Roman" w:hAnsi="Times New Roman"/>
          <w:sz w:val="24"/>
          <w:szCs w:val="24"/>
        </w:rPr>
        <w:footnoteReference w:id="37"/>
      </w:r>
      <w:r w:rsidRPr="00236568">
        <w:rPr>
          <w:rFonts w:ascii="Times New Roman" w:hAnsi="Times New Roman"/>
          <w:sz w:val="24"/>
          <w:szCs w:val="24"/>
        </w:rPr>
        <w:t xml:space="preserve">. Crowdfunding operate across both consumer and business lending, so Crowdfunding complement the more traditional role of bank lending. </w:t>
      </w:r>
      <w:r w:rsidR="00C824F3" w:rsidRPr="00236568">
        <w:rPr>
          <w:rFonts w:ascii="Times New Roman" w:hAnsi="Times New Roman"/>
          <w:sz w:val="24"/>
          <w:szCs w:val="24"/>
        </w:rPr>
        <w:t>Crowdfunding</w:t>
      </w:r>
      <w:r w:rsidRPr="00236568">
        <w:rPr>
          <w:rFonts w:ascii="Times New Roman" w:hAnsi="Times New Roman"/>
          <w:sz w:val="24"/>
          <w:szCs w:val="24"/>
        </w:rPr>
        <w:t xml:space="preserve"> development potential </w:t>
      </w:r>
      <w:proofErr w:type="gramStart"/>
      <w:r w:rsidRPr="00236568">
        <w:rPr>
          <w:rFonts w:ascii="Times New Roman" w:hAnsi="Times New Roman"/>
          <w:sz w:val="24"/>
          <w:szCs w:val="24"/>
        </w:rPr>
        <w:t>is related</w:t>
      </w:r>
      <w:proofErr w:type="gramEnd"/>
      <w:r w:rsidRPr="00236568">
        <w:rPr>
          <w:rFonts w:ascii="Times New Roman" w:hAnsi="Times New Roman"/>
          <w:sz w:val="24"/>
          <w:szCs w:val="24"/>
        </w:rPr>
        <w:t xml:space="preserve"> to economic growth, That is to say, if there is growth, demand rises also for investment. Expansion of collective financing platforms is due to the relatively high interest rate, which </w:t>
      </w:r>
      <w:proofErr w:type="gramStart"/>
      <w:r w:rsidRPr="00236568">
        <w:rPr>
          <w:rFonts w:ascii="Times New Roman" w:hAnsi="Times New Roman"/>
          <w:sz w:val="24"/>
          <w:szCs w:val="24"/>
        </w:rPr>
        <w:t>is offered</w:t>
      </w:r>
      <w:proofErr w:type="gramEnd"/>
      <w:r w:rsidRPr="00236568">
        <w:rPr>
          <w:rFonts w:ascii="Times New Roman" w:hAnsi="Times New Roman"/>
          <w:sz w:val="24"/>
          <w:szCs w:val="24"/>
        </w:rPr>
        <w:t xml:space="preserve"> to investors, ranging from 5.5% to 15%</w:t>
      </w:r>
      <w:r w:rsidRPr="00236568">
        <w:rPr>
          <w:rStyle w:val="FootnoteReference"/>
          <w:rFonts w:ascii="Times New Roman" w:hAnsi="Times New Roman"/>
          <w:sz w:val="24"/>
          <w:szCs w:val="24"/>
        </w:rPr>
        <w:footnoteReference w:id="38"/>
      </w:r>
      <w:r w:rsidRPr="00236568">
        <w:rPr>
          <w:rFonts w:ascii="Times New Roman" w:hAnsi="Times New Roman"/>
          <w:sz w:val="24"/>
          <w:szCs w:val="24"/>
        </w:rPr>
        <w:t>. By contrast, the euro deposit rate on average banks on term deposits ranged from 0.01% (non-financial corporation) to 0.47% (household)</w:t>
      </w:r>
      <w:r w:rsidRPr="00236568">
        <w:rPr>
          <w:rStyle w:val="FootnoteReference"/>
          <w:rFonts w:ascii="Times New Roman" w:hAnsi="Times New Roman"/>
          <w:sz w:val="24"/>
          <w:szCs w:val="24"/>
        </w:rPr>
        <w:footnoteReference w:id="39"/>
      </w:r>
      <w:r w:rsidRPr="00236568">
        <w:rPr>
          <w:rFonts w:ascii="Times New Roman" w:hAnsi="Times New Roman"/>
          <w:sz w:val="24"/>
          <w:szCs w:val="24"/>
        </w:rPr>
        <w:t xml:space="preserve">. In Latvian </w:t>
      </w:r>
      <w:proofErr w:type="gramStart"/>
      <w:r w:rsidRPr="00236568">
        <w:rPr>
          <w:rFonts w:ascii="Times New Roman" w:hAnsi="Times New Roman"/>
          <w:sz w:val="24"/>
          <w:szCs w:val="24"/>
        </w:rPr>
        <w:t>market</w:t>
      </w:r>
      <w:proofErr w:type="gramEnd"/>
      <w:r w:rsidRPr="00236568">
        <w:rPr>
          <w:rFonts w:ascii="Times New Roman" w:hAnsi="Times New Roman"/>
          <w:sz w:val="24"/>
          <w:szCs w:val="24"/>
        </w:rPr>
        <w:t xml:space="preserve"> crowdfunding platforms are operating, but in future also capital or investment financing platform could operate. Low administrative costs of collective financing platforms allow them operate as complementary lending instruments. Since the platform operation depends on funds raised from both domestic and foreign investors who are not necessarily professional investors, it is important to ensure that the funds raised </w:t>
      </w:r>
      <w:proofErr w:type="gramStart"/>
      <w:r w:rsidRPr="00236568">
        <w:rPr>
          <w:rFonts w:ascii="Times New Roman" w:hAnsi="Times New Roman"/>
          <w:sz w:val="24"/>
          <w:szCs w:val="24"/>
        </w:rPr>
        <w:t>are properly managed</w:t>
      </w:r>
      <w:proofErr w:type="gramEnd"/>
      <w:r w:rsidRPr="00236568">
        <w:rPr>
          <w:rFonts w:ascii="Times New Roman" w:hAnsi="Times New Roman"/>
          <w:sz w:val="24"/>
          <w:szCs w:val="24"/>
        </w:rPr>
        <w:t xml:space="preserve"> and that the investor should be aware of the risk associated with such investment nature and take proper decisions. </w:t>
      </w:r>
      <w:proofErr w:type="gramStart"/>
      <w:r w:rsidRPr="00236568">
        <w:rPr>
          <w:rFonts w:ascii="Times New Roman" w:hAnsi="Times New Roman"/>
          <w:sz w:val="24"/>
          <w:szCs w:val="24"/>
        </w:rPr>
        <w:t>Therefore</w:t>
      </w:r>
      <w:proofErr w:type="gramEnd"/>
      <w:r w:rsidRPr="00236568">
        <w:rPr>
          <w:rFonts w:ascii="Times New Roman" w:hAnsi="Times New Roman"/>
          <w:sz w:val="24"/>
          <w:szCs w:val="24"/>
        </w:rPr>
        <w:t xml:space="preserve"> a regulatory framework is being developed which cover operational issues such as licensing, capital, requirements for internal control systems and protection of investors. In addition, regulatory framework </w:t>
      </w:r>
      <w:proofErr w:type="gramStart"/>
      <w:r w:rsidRPr="00236568">
        <w:rPr>
          <w:rFonts w:ascii="Times New Roman" w:hAnsi="Times New Roman"/>
          <w:sz w:val="24"/>
          <w:szCs w:val="24"/>
        </w:rPr>
        <w:t>is being developed</w:t>
      </w:r>
      <w:proofErr w:type="gramEnd"/>
      <w:r w:rsidRPr="00236568">
        <w:rPr>
          <w:rFonts w:ascii="Times New Roman" w:hAnsi="Times New Roman"/>
          <w:sz w:val="24"/>
          <w:szCs w:val="24"/>
        </w:rPr>
        <w:t xml:space="preserve"> also for investment platforms.</w:t>
      </w:r>
    </w:p>
    <w:p w14:paraId="1E2D1E37" w14:textId="77777777" w:rsidR="00B60D4C" w:rsidRPr="00236568" w:rsidRDefault="00B60D4C" w:rsidP="00595DDE">
      <w:pPr>
        <w:spacing w:after="0" w:line="240" w:lineRule="auto"/>
        <w:jc w:val="both"/>
        <w:rPr>
          <w:rFonts w:ascii="Times New Roman" w:hAnsi="Times New Roman"/>
          <w:sz w:val="24"/>
          <w:szCs w:val="24"/>
        </w:rPr>
      </w:pPr>
    </w:p>
    <w:p w14:paraId="6ACD2A11" w14:textId="1334C1FF" w:rsidR="00B60D4C" w:rsidRPr="00236568" w:rsidRDefault="004D2377" w:rsidP="00DE5FE5">
      <w:pPr>
        <w:pStyle w:val="Heading3"/>
        <w:spacing w:line="240" w:lineRule="auto"/>
      </w:pPr>
      <w:bookmarkStart w:id="29" w:name="_Toc479773690"/>
      <w:bookmarkStart w:id="30" w:name="_Toc479839724"/>
      <w:r w:rsidRPr="00236568">
        <w:t>1.</w:t>
      </w:r>
      <w:r w:rsidR="00B60D4C" w:rsidRPr="00236568">
        <w:t>4.</w:t>
      </w:r>
      <w:r w:rsidRPr="00236568">
        <w:t>2</w:t>
      </w:r>
      <w:r w:rsidR="00B60D4C" w:rsidRPr="00236568">
        <w:t>. Innovative financial services and the development of risk management</w:t>
      </w:r>
      <w:bookmarkEnd w:id="29"/>
      <w:bookmarkEnd w:id="30"/>
    </w:p>
    <w:p w14:paraId="60E0DCB9" w14:textId="73447B04" w:rsidR="002113AF" w:rsidRPr="00236568" w:rsidRDefault="004D2377" w:rsidP="00DE5FE5">
      <w:pPr>
        <w:spacing w:after="0" w:line="240" w:lineRule="auto"/>
        <w:jc w:val="both"/>
        <w:rPr>
          <w:rFonts w:ascii="Times New Roman" w:hAnsi="Times New Roman"/>
          <w:sz w:val="24"/>
          <w:szCs w:val="24"/>
        </w:rPr>
      </w:pPr>
      <w:r w:rsidRPr="00236568">
        <w:rPr>
          <w:rFonts w:ascii="Times New Roman" w:hAnsi="Times New Roman"/>
          <w:sz w:val="24"/>
          <w:szCs w:val="24"/>
        </w:rPr>
        <w:t>According to the World Economic Forum</w:t>
      </w:r>
      <w:r w:rsidR="002113AF" w:rsidRPr="00236568">
        <w:rPr>
          <w:rFonts w:ascii="Times New Roman" w:hAnsi="Times New Roman"/>
          <w:sz w:val="24"/>
          <w:szCs w:val="24"/>
        </w:rPr>
        <w:t xml:space="preserve"> paper,</w:t>
      </w:r>
      <w:r w:rsidRPr="00236568">
        <w:rPr>
          <w:rFonts w:ascii="Times New Roman" w:hAnsi="Times New Roman"/>
          <w:sz w:val="24"/>
          <w:szCs w:val="24"/>
        </w:rPr>
        <w:t xml:space="preserve"> </w:t>
      </w:r>
      <w:r w:rsidR="002113AF" w:rsidRPr="00236568">
        <w:rPr>
          <w:rFonts w:ascii="Times New Roman" w:hAnsi="Times New Roman"/>
          <w:sz w:val="24"/>
          <w:szCs w:val="24"/>
        </w:rPr>
        <w:t xml:space="preserve">a number of innovations have emerged in the past five years leveraging mobile devices and connectivity to make payments simpler and more valuable. Examples range from digital wallets to automated machine-to-machine payments. The majority of these innovations will modify front-end processes to improve the customer and </w:t>
      </w:r>
      <w:r w:rsidR="002113AF" w:rsidRPr="00236568">
        <w:rPr>
          <w:rFonts w:ascii="Times New Roman" w:hAnsi="Times New Roman"/>
          <w:sz w:val="24"/>
          <w:szCs w:val="24"/>
        </w:rPr>
        <w:lastRenderedPageBreak/>
        <w:t>merchant experience while leaving the underlying payments infrastructure undisrupted</w:t>
      </w:r>
      <w:r w:rsidR="00F91482" w:rsidRPr="00236568">
        <w:rPr>
          <w:rFonts w:ascii="Times New Roman" w:hAnsi="Times New Roman"/>
          <w:sz w:val="24"/>
          <w:szCs w:val="24"/>
        </w:rPr>
        <w:t>.</w:t>
      </w:r>
      <w:r w:rsidR="002113AF" w:rsidRPr="00236568">
        <w:rPr>
          <w:rStyle w:val="FootnoteReference"/>
          <w:rFonts w:ascii="Times New Roman" w:hAnsi="Times New Roman"/>
          <w:sz w:val="24"/>
          <w:szCs w:val="24"/>
        </w:rPr>
        <w:footnoteReference w:id="40"/>
      </w:r>
      <w:r w:rsidR="00F91482" w:rsidRPr="00236568">
        <w:rPr>
          <w:rFonts w:ascii="Times New Roman" w:hAnsi="Times New Roman"/>
          <w:sz w:val="24"/>
          <w:szCs w:val="24"/>
        </w:rPr>
        <w:t xml:space="preserve"> In addition, decentralised and non-traditional payment schemes should be mentioned, as well as development of </w:t>
      </w:r>
      <w:r w:rsidR="00F91482" w:rsidRPr="00236568">
        <w:rPr>
          <w:rFonts w:ascii="Times New Roman" w:hAnsi="Times New Roman"/>
          <w:i/>
          <w:sz w:val="24"/>
          <w:szCs w:val="24"/>
        </w:rPr>
        <w:t>shared ledger</w:t>
      </w:r>
      <w:r w:rsidR="00F91482" w:rsidRPr="00236568">
        <w:rPr>
          <w:rFonts w:ascii="Times New Roman" w:hAnsi="Times New Roman"/>
          <w:sz w:val="24"/>
          <w:szCs w:val="24"/>
        </w:rPr>
        <w:t xml:space="preserve"> and </w:t>
      </w:r>
      <w:proofErr w:type="spellStart"/>
      <w:r w:rsidR="00F91482" w:rsidRPr="00236568">
        <w:rPr>
          <w:rFonts w:ascii="Times New Roman" w:hAnsi="Times New Roman"/>
          <w:i/>
          <w:sz w:val="24"/>
          <w:szCs w:val="24"/>
        </w:rPr>
        <w:t>blockchain</w:t>
      </w:r>
      <w:proofErr w:type="spellEnd"/>
      <w:r w:rsidR="00F91482" w:rsidRPr="00236568">
        <w:rPr>
          <w:rFonts w:ascii="Times New Roman" w:hAnsi="Times New Roman"/>
          <w:sz w:val="24"/>
          <w:szCs w:val="24"/>
        </w:rPr>
        <w:t xml:space="preserve"> technologic development, and based on the development of these systems and technologies the payment infrastructure is modernised (for example, SWIFT, Visa, MasterCard), where the future of value transfer will be more global, faster, more transparent and cheaper.</w:t>
      </w:r>
      <w:r w:rsidR="00F91482" w:rsidRPr="00236568">
        <w:rPr>
          <w:rStyle w:val="FootnoteReference"/>
          <w:rFonts w:ascii="Times New Roman" w:hAnsi="Times New Roman"/>
          <w:sz w:val="24"/>
          <w:szCs w:val="24"/>
        </w:rPr>
        <w:footnoteReference w:id="41"/>
      </w:r>
      <w:r w:rsidR="00F91482" w:rsidRPr="00236568">
        <w:rPr>
          <w:rFonts w:ascii="Times New Roman" w:hAnsi="Times New Roman"/>
          <w:sz w:val="24"/>
          <w:szCs w:val="24"/>
        </w:rPr>
        <w:t xml:space="preserve"> </w:t>
      </w:r>
    </w:p>
    <w:p w14:paraId="337E779D" w14:textId="5E124EC2" w:rsidR="00BB0675" w:rsidRPr="00236568" w:rsidRDefault="00BB0675" w:rsidP="00DE5FE5">
      <w:pPr>
        <w:spacing w:after="120" w:line="240" w:lineRule="auto"/>
        <w:jc w:val="both"/>
        <w:rPr>
          <w:rFonts w:ascii="Times New Roman" w:hAnsi="Times New Roman"/>
          <w:sz w:val="24"/>
          <w:szCs w:val="24"/>
        </w:rPr>
      </w:pPr>
      <w:r w:rsidRPr="00236568">
        <w:rPr>
          <w:rFonts w:ascii="Times New Roman" w:hAnsi="Times New Roman"/>
          <w:sz w:val="24"/>
          <w:szCs w:val="24"/>
        </w:rPr>
        <w:t xml:space="preserve">According to McKinsey </w:t>
      </w:r>
      <w:proofErr w:type="gramStart"/>
      <w:r w:rsidRPr="00236568">
        <w:rPr>
          <w:rFonts w:ascii="Times New Roman" w:hAnsi="Times New Roman"/>
          <w:sz w:val="24"/>
          <w:szCs w:val="24"/>
        </w:rPr>
        <w:t>report</w:t>
      </w:r>
      <w:proofErr w:type="gramEnd"/>
      <w:r w:rsidR="002751C1" w:rsidRPr="00236568">
        <w:rPr>
          <w:rStyle w:val="FootnoteReference"/>
          <w:rFonts w:ascii="Times New Roman" w:hAnsi="Times New Roman"/>
          <w:sz w:val="24"/>
          <w:szCs w:val="24"/>
        </w:rPr>
        <w:footnoteReference w:id="42"/>
      </w:r>
      <w:r w:rsidRPr="00236568">
        <w:rPr>
          <w:rFonts w:ascii="Times New Roman" w:hAnsi="Times New Roman"/>
          <w:sz w:val="24"/>
          <w:szCs w:val="24"/>
        </w:rPr>
        <w:t xml:space="preserve"> </w:t>
      </w:r>
      <w:proofErr w:type="spellStart"/>
      <w:r w:rsidR="002751C1" w:rsidRPr="00236568">
        <w:rPr>
          <w:rFonts w:ascii="Times New Roman" w:hAnsi="Times New Roman"/>
          <w:sz w:val="24"/>
          <w:szCs w:val="24"/>
        </w:rPr>
        <w:t>FinTech</w:t>
      </w:r>
      <w:proofErr w:type="spellEnd"/>
      <w:r w:rsidR="002751C1" w:rsidRPr="00236568">
        <w:rPr>
          <w:rFonts w:ascii="Times New Roman" w:hAnsi="Times New Roman"/>
          <w:sz w:val="24"/>
          <w:szCs w:val="24"/>
        </w:rPr>
        <w:t xml:space="preserve"> companies particularly in</w:t>
      </w:r>
      <w:r w:rsidRPr="00236568">
        <w:rPr>
          <w:rFonts w:ascii="Times New Roman" w:hAnsi="Times New Roman"/>
          <w:sz w:val="24"/>
          <w:szCs w:val="24"/>
        </w:rPr>
        <w:t xml:space="preserve"> payment service</w:t>
      </w:r>
      <w:r w:rsidR="002751C1" w:rsidRPr="00236568">
        <w:rPr>
          <w:rFonts w:ascii="Times New Roman" w:hAnsi="Times New Roman"/>
          <w:sz w:val="24"/>
          <w:szCs w:val="24"/>
        </w:rPr>
        <w:t>s</w:t>
      </w:r>
      <w:r w:rsidRPr="00236568">
        <w:rPr>
          <w:rFonts w:ascii="Times New Roman" w:hAnsi="Times New Roman"/>
          <w:sz w:val="24"/>
          <w:szCs w:val="24"/>
        </w:rPr>
        <w:t xml:space="preserve"> </w:t>
      </w:r>
      <w:r w:rsidR="002751C1" w:rsidRPr="00236568">
        <w:rPr>
          <w:rFonts w:ascii="Times New Roman" w:hAnsi="Times New Roman"/>
          <w:sz w:val="24"/>
          <w:szCs w:val="24"/>
        </w:rPr>
        <w:t>take</w:t>
      </w:r>
      <w:r w:rsidRPr="00236568">
        <w:rPr>
          <w:rFonts w:ascii="Times New Roman" w:hAnsi="Times New Roman"/>
          <w:sz w:val="24"/>
          <w:szCs w:val="24"/>
        </w:rPr>
        <w:t xml:space="preserve"> over </w:t>
      </w:r>
      <w:r w:rsidR="00371BA8" w:rsidRPr="00236568">
        <w:rPr>
          <w:rFonts w:ascii="Times New Roman" w:hAnsi="Times New Roman"/>
          <w:sz w:val="24"/>
          <w:szCs w:val="24"/>
        </w:rPr>
        <w:t xml:space="preserve">global banking revenues </w:t>
      </w:r>
      <w:r w:rsidRPr="00236568">
        <w:rPr>
          <w:rFonts w:ascii="Times New Roman" w:hAnsi="Times New Roman"/>
          <w:sz w:val="24"/>
          <w:szCs w:val="24"/>
        </w:rPr>
        <w:t xml:space="preserve">(6% of large </w:t>
      </w:r>
      <w:r w:rsidR="00371BA8" w:rsidRPr="00236568">
        <w:rPr>
          <w:rFonts w:ascii="Times New Roman" w:hAnsi="Times New Roman"/>
          <w:sz w:val="24"/>
          <w:szCs w:val="24"/>
        </w:rPr>
        <w:t>corporate</w:t>
      </w:r>
      <w:r w:rsidRPr="00236568">
        <w:rPr>
          <w:rFonts w:ascii="Times New Roman" w:hAnsi="Times New Roman"/>
          <w:sz w:val="24"/>
          <w:szCs w:val="24"/>
        </w:rPr>
        <w:t xml:space="preserve"> segment, 12% in the commercial segment and 25% of the retail banking segment). </w:t>
      </w:r>
      <w:r w:rsidR="002751C1" w:rsidRPr="00236568">
        <w:rPr>
          <w:rFonts w:ascii="Times New Roman" w:hAnsi="Times New Roman"/>
          <w:sz w:val="24"/>
          <w:szCs w:val="24"/>
        </w:rPr>
        <w:t>I</w:t>
      </w:r>
      <w:r w:rsidR="00371BA8" w:rsidRPr="00236568">
        <w:rPr>
          <w:rFonts w:ascii="Times New Roman" w:hAnsi="Times New Roman"/>
          <w:sz w:val="24"/>
          <w:szCs w:val="24"/>
        </w:rPr>
        <w:t>t</w:t>
      </w:r>
      <w:r w:rsidRPr="00236568">
        <w:rPr>
          <w:rFonts w:ascii="Times New Roman" w:hAnsi="Times New Roman"/>
          <w:sz w:val="24"/>
          <w:szCs w:val="24"/>
        </w:rPr>
        <w:t xml:space="preserve"> </w:t>
      </w:r>
      <w:r w:rsidR="002751C1" w:rsidRPr="00236568">
        <w:rPr>
          <w:rFonts w:ascii="Times New Roman" w:hAnsi="Times New Roman"/>
          <w:sz w:val="24"/>
          <w:szCs w:val="24"/>
        </w:rPr>
        <w:t xml:space="preserve">also </w:t>
      </w:r>
      <w:r w:rsidRPr="00236568">
        <w:rPr>
          <w:rFonts w:ascii="Times New Roman" w:hAnsi="Times New Roman"/>
          <w:sz w:val="24"/>
          <w:szCs w:val="24"/>
        </w:rPr>
        <w:t xml:space="preserve">shows </w:t>
      </w:r>
      <w:r w:rsidR="002751C1" w:rsidRPr="00236568">
        <w:rPr>
          <w:rFonts w:ascii="Times New Roman" w:hAnsi="Times New Roman"/>
          <w:sz w:val="24"/>
          <w:szCs w:val="24"/>
        </w:rPr>
        <w:t>the</w:t>
      </w:r>
      <w:r w:rsidR="00371BA8" w:rsidRPr="00236568">
        <w:rPr>
          <w:rFonts w:ascii="Times New Roman" w:hAnsi="Times New Roman"/>
          <w:sz w:val="24"/>
          <w:szCs w:val="24"/>
        </w:rPr>
        <w:t xml:space="preserve"> </w:t>
      </w:r>
      <w:r w:rsidRPr="00236568">
        <w:rPr>
          <w:rFonts w:ascii="Times New Roman" w:hAnsi="Times New Roman"/>
          <w:sz w:val="24"/>
          <w:szCs w:val="24"/>
        </w:rPr>
        <w:t>payment services sector</w:t>
      </w:r>
      <w:r w:rsidR="00371BA8" w:rsidRPr="00236568">
        <w:rPr>
          <w:rFonts w:ascii="Times New Roman" w:hAnsi="Times New Roman"/>
          <w:sz w:val="24"/>
          <w:szCs w:val="24"/>
        </w:rPr>
        <w:t xml:space="preserve"> has</w:t>
      </w:r>
      <w:r w:rsidRPr="00236568">
        <w:rPr>
          <w:rFonts w:ascii="Times New Roman" w:hAnsi="Times New Roman"/>
          <w:sz w:val="24"/>
          <w:szCs w:val="24"/>
        </w:rPr>
        <w:t xml:space="preserve"> rapid development </w:t>
      </w:r>
      <w:r w:rsidR="00371BA8" w:rsidRPr="00236568">
        <w:rPr>
          <w:rFonts w:ascii="Times New Roman" w:hAnsi="Times New Roman"/>
          <w:sz w:val="24"/>
          <w:szCs w:val="24"/>
        </w:rPr>
        <w:t>globally</w:t>
      </w:r>
      <w:r w:rsidRPr="00236568">
        <w:rPr>
          <w:rFonts w:ascii="Times New Roman" w:hAnsi="Times New Roman"/>
          <w:sz w:val="24"/>
          <w:szCs w:val="24"/>
        </w:rPr>
        <w:t xml:space="preserve">. It is also important to note that the time </w:t>
      </w:r>
      <w:r w:rsidR="002751C1" w:rsidRPr="00236568">
        <w:rPr>
          <w:rFonts w:ascii="Times New Roman" w:hAnsi="Times New Roman"/>
          <w:sz w:val="24"/>
          <w:szCs w:val="24"/>
        </w:rPr>
        <w:t>for introduction of new technologies and adoption</w:t>
      </w:r>
      <w:r w:rsidR="00371BA8" w:rsidRPr="00236568">
        <w:rPr>
          <w:rFonts w:ascii="Times New Roman" w:hAnsi="Times New Roman"/>
          <w:sz w:val="24"/>
          <w:szCs w:val="24"/>
        </w:rPr>
        <w:t xml:space="preserve"> </w:t>
      </w:r>
      <w:r w:rsidR="002751C1" w:rsidRPr="00236568">
        <w:rPr>
          <w:rFonts w:ascii="Times New Roman" w:hAnsi="Times New Roman"/>
          <w:sz w:val="24"/>
          <w:szCs w:val="24"/>
        </w:rPr>
        <w:t xml:space="preserve">the </w:t>
      </w:r>
      <w:r w:rsidR="006635FB" w:rsidRPr="00236568">
        <w:rPr>
          <w:rFonts w:ascii="Times New Roman" w:hAnsi="Times New Roman"/>
          <w:sz w:val="24"/>
          <w:szCs w:val="24"/>
        </w:rPr>
        <w:t>recipient</w:t>
      </w:r>
      <w:r w:rsidRPr="00236568">
        <w:rPr>
          <w:rFonts w:ascii="Times New Roman" w:hAnsi="Times New Roman"/>
          <w:sz w:val="24"/>
          <w:szCs w:val="24"/>
        </w:rPr>
        <w:t xml:space="preserve"> has significantly decreased.</w:t>
      </w:r>
    </w:p>
    <w:p w14:paraId="5F038FC3" w14:textId="420A21BB" w:rsidR="00371BA8" w:rsidRPr="00236568" w:rsidRDefault="00371BA8" w:rsidP="00DE5FE5">
      <w:pPr>
        <w:spacing w:after="0" w:line="240" w:lineRule="auto"/>
        <w:jc w:val="both"/>
        <w:rPr>
          <w:rFonts w:ascii="Times New Roman" w:hAnsi="Times New Roman"/>
          <w:sz w:val="24"/>
          <w:szCs w:val="24"/>
        </w:rPr>
      </w:pPr>
      <w:r w:rsidRPr="00236568">
        <w:rPr>
          <w:rFonts w:ascii="Times New Roman" w:hAnsi="Times New Roman"/>
          <w:sz w:val="24"/>
          <w:szCs w:val="24"/>
        </w:rPr>
        <w:t xml:space="preserve">In addition to the </w:t>
      </w:r>
      <w:r w:rsidR="006B4CC1" w:rsidRPr="00236568">
        <w:rPr>
          <w:rFonts w:ascii="Times New Roman" w:hAnsi="Times New Roman"/>
          <w:sz w:val="24"/>
          <w:szCs w:val="24"/>
        </w:rPr>
        <w:t xml:space="preserve">PricewaterhouseCoopers </w:t>
      </w:r>
      <w:r w:rsidRPr="00236568">
        <w:rPr>
          <w:rFonts w:ascii="Times New Roman" w:hAnsi="Times New Roman"/>
          <w:sz w:val="24"/>
          <w:szCs w:val="24"/>
        </w:rPr>
        <w:t xml:space="preserve">Global </w:t>
      </w:r>
      <w:proofErr w:type="spellStart"/>
      <w:proofErr w:type="gramStart"/>
      <w:r w:rsidRPr="00236568">
        <w:rPr>
          <w:rFonts w:ascii="Times New Roman" w:hAnsi="Times New Roman"/>
          <w:sz w:val="24"/>
          <w:szCs w:val="24"/>
        </w:rPr>
        <w:t>FinTech</w:t>
      </w:r>
      <w:proofErr w:type="spellEnd"/>
      <w:proofErr w:type="gramEnd"/>
      <w:r w:rsidRPr="00236568">
        <w:rPr>
          <w:rFonts w:ascii="Times New Roman" w:hAnsi="Times New Roman"/>
          <w:sz w:val="24"/>
          <w:szCs w:val="24"/>
        </w:rPr>
        <w:t xml:space="preserve"> </w:t>
      </w:r>
      <w:r w:rsidR="006B4CC1" w:rsidRPr="00236568">
        <w:rPr>
          <w:rFonts w:ascii="Times New Roman" w:hAnsi="Times New Roman"/>
          <w:sz w:val="24"/>
          <w:szCs w:val="24"/>
        </w:rPr>
        <w:t>report</w:t>
      </w:r>
      <w:r w:rsidR="006B4CC1" w:rsidRPr="00236568">
        <w:rPr>
          <w:rStyle w:val="FootnoteReference"/>
          <w:rFonts w:ascii="Times New Roman" w:hAnsi="Times New Roman"/>
          <w:sz w:val="24"/>
          <w:szCs w:val="24"/>
        </w:rPr>
        <w:footnoteReference w:id="43"/>
      </w:r>
      <w:r w:rsidRPr="00236568">
        <w:rPr>
          <w:rFonts w:ascii="Times New Roman" w:hAnsi="Times New Roman"/>
          <w:sz w:val="24"/>
          <w:szCs w:val="24"/>
        </w:rPr>
        <w:t xml:space="preserve"> notes that </w:t>
      </w:r>
      <w:r w:rsidR="006B4CC1" w:rsidRPr="00236568">
        <w:rPr>
          <w:rFonts w:ascii="Times New Roman" w:hAnsi="Times New Roman"/>
          <w:sz w:val="24"/>
          <w:szCs w:val="24"/>
        </w:rPr>
        <w:t xml:space="preserve">according to market survey </w:t>
      </w:r>
      <w:r w:rsidRPr="00236568">
        <w:rPr>
          <w:rFonts w:ascii="Times New Roman" w:hAnsi="Times New Roman"/>
          <w:sz w:val="24"/>
          <w:szCs w:val="24"/>
        </w:rPr>
        <w:t xml:space="preserve">60% of those surveyed predict that by 2020 </w:t>
      </w:r>
      <w:proofErr w:type="spellStart"/>
      <w:r w:rsidR="006B4CC1" w:rsidRPr="00236568">
        <w:rPr>
          <w:rFonts w:ascii="Times New Roman" w:hAnsi="Times New Roman"/>
          <w:sz w:val="24"/>
          <w:szCs w:val="24"/>
        </w:rPr>
        <w:t>FinTech</w:t>
      </w:r>
      <w:proofErr w:type="spellEnd"/>
      <w:r w:rsidRPr="00236568">
        <w:rPr>
          <w:rFonts w:ascii="Times New Roman" w:hAnsi="Times New Roman"/>
          <w:sz w:val="24"/>
          <w:szCs w:val="24"/>
        </w:rPr>
        <w:t xml:space="preserve"> and technologies </w:t>
      </w:r>
      <w:r w:rsidR="006B4CC1" w:rsidRPr="00236568">
        <w:rPr>
          <w:rFonts w:ascii="Times New Roman" w:hAnsi="Times New Roman"/>
          <w:sz w:val="24"/>
          <w:szCs w:val="24"/>
        </w:rPr>
        <w:t>will most affect payment sector</w:t>
      </w:r>
      <w:r w:rsidRPr="00236568">
        <w:rPr>
          <w:rFonts w:ascii="Times New Roman" w:hAnsi="Times New Roman"/>
          <w:sz w:val="24"/>
          <w:szCs w:val="24"/>
        </w:rPr>
        <w:t xml:space="preserve"> (fund transfer &amp; payment) and 80% of the respondents believe that consumer banking </w:t>
      </w:r>
      <w:r w:rsidR="006B4CC1" w:rsidRPr="00236568">
        <w:rPr>
          <w:rFonts w:ascii="Times New Roman" w:hAnsi="Times New Roman"/>
          <w:sz w:val="24"/>
          <w:szCs w:val="24"/>
        </w:rPr>
        <w:t>will be affected.</w:t>
      </w:r>
    </w:p>
    <w:p w14:paraId="79631A8F" w14:textId="311454C6" w:rsidR="00261D62" w:rsidRPr="00236568" w:rsidRDefault="00261D62" w:rsidP="00DE5FE5">
      <w:pPr>
        <w:spacing w:after="0" w:line="240" w:lineRule="auto"/>
        <w:jc w:val="both"/>
        <w:rPr>
          <w:rFonts w:ascii="Times New Roman" w:hAnsi="Times New Roman"/>
          <w:sz w:val="24"/>
          <w:szCs w:val="24"/>
        </w:rPr>
      </w:pPr>
      <w:r w:rsidRPr="00236568">
        <w:rPr>
          <w:rFonts w:ascii="Times New Roman" w:hAnsi="Times New Roman"/>
          <w:sz w:val="24"/>
          <w:szCs w:val="24"/>
        </w:rPr>
        <w:t>Since November 1, 2009, the payment services can be provided not only by banks, but also the payment institutions (in Latvia, since March 31, 2010) and according to FCMC data</w:t>
      </w:r>
      <w:r w:rsidRPr="00236568">
        <w:rPr>
          <w:rStyle w:val="FootnoteReference"/>
          <w:rFonts w:ascii="Times New Roman" w:hAnsi="Times New Roman"/>
          <w:sz w:val="24"/>
          <w:szCs w:val="24"/>
        </w:rPr>
        <w:footnoteReference w:id="44"/>
      </w:r>
      <w:r w:rsidRPr="00236568">
        <w:rPr>
          <w:rFonts w:ascii="Times New Roman" w:hAnsi="Times New Roman"/>
          <w:sz w:val="24"/>
          <w:szCs w:val="24"/>
        </w:rPr>
        <w:t xml:space="preserve"> there are 3 licensed payment institution in Latvia and 25 authorized payment institutions, as well as 3 licensed electronic money institutions and 12 authorised electronic money institutions.</w:t>
      </w:r>
    </w:p>
    <w:p w14:paraId="1AE08E46" w14:textId="77777777" w:rsidR="00261D62" w:rsidRPr="00236568" w:rsidRDefault="00261D62" w:rsidP="00DE5FE5">
      <w:pPr>
        <w:spacing w:line="240" w:lineRule="auto"/>
        <w:jc w:val="both"/>
        <w:rPr>
          <w:rFonts w:ascii="Times New Roman" w:hAnsi="Times New Roman"/>
          <w:sz w:val="24"/>
          <w:szCs w:val="24"/>
        </w:rPr>
      </w:pPr>
    </w:p>
    <w:p w14:paraId="68034F0B" w14:textId="55EFB2B6" w:rsidR="00B60D4C" w:rsidRPr="00236568" w:rsidRDefault="00C67E8E" w:rsidP="00DE5FE5">
      <w:pPr>
        <w:pStyle w:val="Heading2"/>
        <w:spacing w:line="240" w:lineRule="auto"/>
      </w:pPr>
      <w:bookmarkStart w:id="31" w:name="_Toc479773691"/>
      <w:bookmarkStart w:id="32" w:name="_Toc479839725"/>
      <w:r w:rsidRPr="00236568">
        <w:t>1.</w:t>
      </w:r>
      <w:r w:rsidR="00B60D4C" w:rsidRPr="00236568">
        <w:t>5. Insurance and reinsurance sector</w:t>
      </w:r>
      <w:bookmarkEnd w:id="31"/>
      <w:bookmarkEnd w:id="32"/>
    </w:p>
    <w:p w14:paraId="38004169" w14:textId="77777777" w:rsidR="00005F6C" w:rsidRPr="00236568" w:rsidRDefault="00005F6C" w:rsidP="00DE5FE5">
      <w:pPr>
        <w:spacing w:line="240" w:lineRule="auto"/>
      </w:pPr>
    </w:p>
    <w:p w14:paraId="4774856D" w14:textId="497D25F1" w:rsidR="00C67E8E" w:rsidRPr="00236568" w:rsidRDefault="00680BF4" w:rsidP="00DE5FE5">
      <w:pPr>
        <w:spacing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 xml:space="preserve">The </w:t>
      </w:r>
      <w:r w:rsidR="00B60D4C" w:rsidRPr="00236568">
        <w:rPr>
          <w:rFonts w:ascii="Times New Roman" w:hAnsi="Times New Roman"/>
          <w:color w:val="000000"/>
          <w:sz w:val="24"/>
          <w:szCs w:val="24"/>
          <w:lang w:eastAsia="lv-LV"/>
        </w:rPr>
        <w:t xml:space="preserve">Latvian insurance sector is one of the smallest among the </w:t>
      </w:r>
      <w:r w:rsidR="00C67E8E" w:rsidRPr="00236568">
        <w:rPr>
          <w:rFonts w:ascii="Times New Roman" w:hAnsi="Times New Roman"/>
          <w:color w:val="000000"/>
          <w:sz w:val="24"/>
          <w:szCs w:val="24"/>
          <w:lang w:eastAsia="lv-LV"/>
        </w:rPr>
        <w:t>EU member states</w:t>
      </w:r>
      <w:r w:rsidR="00B60D4C" w:rsidRPr="00236568">
        <w:rPr>
          <w:rFonts w:ascii="Times New Roman" w:hAnsi="Times New Roman"/>
          <w:color w:val="000000"/>
          <w:sz w:val="24"/>
          <w:szCs w:val="24"/>
          <w:lang w:eastAsia="lv-LV"/>
        </w:rPr>
        <w:t>, with total assets representing approximately 2.16% of GDP at the end of 2015</w:t>
      </w:r>
      <w:r w:rsidR="00B60D4C" w:rsidRPr="00236568">
        <w:rPr>
          <w:rStyle w:val="FootnoteReference"/>
          <w:rFonts w:ascii="Times New Roman" w:hAnsi="Times New Roman"/>
          <w:color w:val="000000"/>
          <w:sz w:val="24"/>
          <w:szCs w:val="24"/>
          <w:lang w:eastAsia="lv-LV"/>
        </w:rPr>
        <w:footnoteReference w:id="45"/>
      </w:r>
      <w:r w:rsidR="00B60D4C" w:rsidRPr="00236568">
        <w:rPr>
          <w:rFonts w:ascii="Times New Roman" w:hAnsi="Times New Roman"/>
          <w:color w:val="000000"/>
          <w:sz w:val="24"/>
          <w:szCs w:val="24"/>
          <w:lang w:eastAsia="lv-LV"/>
        </w:rPr>
        <w:t>. Latvian insurance companies total written premiums at the end of 2015 amounted to EUR 531 million (at the end of 2014 they were 517 million</w:t>
      </w:r>
      <w:r w:rsidR="00B60D4C" w:rsidRPr="00236568">
        <w:rPr>
          <w:rStyle w:val="FootnoteReference"/>
          <w:rFonts w:ascii="Times New Roman" w:hAnsi="Times New Roman"/>
          <w:color w:val="000000"/>
          <w:sz w:val="24"/>
          <w:szCs w:val="24"/>
          <w:lang w:eastAsia="lv-LV"/>
        </w:rPr>
        <w:footnoteReference w:id="46"/>
      </w:r>
      <w:r w:rsidR="00B60D4C" w:rsidRPr="00236568">
        <w:rPr>
          <w:rFonts w:ascii="Times New Roman" w:hAnsi="Times New Roman"/>
          <w:color w:val="000000"/>
          <w:sz w:val="24"/>
          <w:szCs w:val="24"/>
          <w:lang w:eastAsia="lv-LV"/>
        </w:rPr>
        <w:t>)</w:t>
      </w:r>
      <w:r w:rsidR="00C67E8E" w:rsidRPr="00236568">
        <w:rPr>
          <w:rFonts w:ascii="Times New Roman" w:hAnsi="Times New Roman"/>
          <w:color w:val="000000"/>
          <w:sz w:val="24"/>
          <w:szCs w:val="24"/>
          <w:lang w:eastAsia="lv-LV"/>
        </w:rPr>
        <w:t xml:space="preserve">, while </w:t>
      </w:r>
      <w:r w:rsidR="00B60D4C" w:rsidRPr="00236568">
        <w:rPr>
          <w:rFonts w:ascii="Times New Roman" w:hAnsi="Times New Roman"/>
          <w:color w:val="000000"/>
          <w:sz w:val="24"/>
          <w:szCs w:val="24"/>
          <w:lang w:eastAsia="lv-LV"/>
        </w:rPr>
        <w:t>insurance sector's profitability</w:t>
      </w:r>
      <w:r w:rsidR="00C67E8E" w:rsidRPr="00236568">
        <w:rPr>
          <w:rFonts w:ascii="Times New Roman" w:hAnsi="Times New Roman"/>
          <w:color w:val="000000"/>
          <w:sz w:val="24"/>
          <w:szCs w:val="24"/>
          <w:lang w:eastAsia="lv-LV"/>
        </w:rPr>
        <w:t xml:space="preserve"> has decreased</w:t>
      </w:r>
      <w:r w:rsidR="00B60D4C" w:rsidRPr="00236568">
        <w:rPr>
          <w:rFonts w:ascii="Times New Roman" w:hAnsi="Times New Roman"/>
          <w:color w:val="000000"/>
          <w:sz w:val="24"/>
          <w:szCs w:val="24"/>
          <w:lang w:eastAsia="lv-LV"/>
        </w:rPr>
        <w:t>, which is characterized by an insurance company losses 881 thousand euro in 2015 as opposed to 2014 profits of 9.8 million euro</w:t>
      </w:r>
      <w:r w:rsidR="00595DDE">
        <w:rPr>
          <w:rFonts w:ascii="Times New Roman" w:hAnsi="Times New Roman"/>
          <w:color w:val="000000"/>
          <w:sz w:val="24"/>
          <w:szCs w:val="24"/>
          <w:lang w:eastAsia="lv-LV"/>
        </w:rPr>
        <w:t>.</w:t>
      </w:r>
    </w:p>
    <w:p w14:paraId="2B43C594" w14:textId="54DBD601" w:rsidR="00C67E8E" w:rsidRPr="00236568" w:rsidRDefault="00B60D4C" w:rsidP="00DE5FE5">
      <w:pPr>
        <w:spacing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According to the volume of assets, the dominant instruments in the insurance market are non-life insurance types. </w:t>
      </w:r>
      <w:r w:rsidRPr="00236568">
        <w:rPr>
          <w:rStyle w:val="FootnoteReference"/>
          <w:rFonts w:ascii="Times New Roman" w:hAnsi="Times New Roman"/>
          <w:color w:val="000000"/>
          <w:sz w:val="24"/>
          <w:szCs w:val="24"/>
          <w:lang w:eastAsia="lv-LV"/>
        </w:rPr>
        <w:footnoteReference w:id="47"/>
      </w:r>
      <w:r w:rsidRPr="00236568">
        <w:rPr>
          <w:rFonts w:ascii="Times New Roman" w:hAnsi="Times New Roman"/>
          <w:color w:val="000000"/>
          <w:sz w:val="24"/>
          <w:szCs w:val="24"/>
          <w:lang w:eastAsia="lv-LV"/>
        </w:rPr>
        <w:t>The average amount of insurance premiums written per capita is 260 euro, non-life insurance sector - EUR 206, life insurance sector- 54 euro</w:t>
      </w:r>
      <w:r w:rsidRPr="00236568">
        <w:rPr>
          <w:rStyle w:val="FootnoteReference"/>
          <w:rFonts w:ascii="Times New Roman" w:hAnsi="Times New Roman"/>
          <w:color w:val="000000"/>
          <w:sz w:val="24"/>
          <w:szCs w:val="24"/>
          <w:lang w:eastAsia="lv-LV"/>
        </w:rPr>
        <w:footnoteReference w:id="48"/>
      </w:r>
      <w:r w:rsidRPr="00236568">
        <w:rPr>
          <w:rFonts w:ascii="Times New Roman" w:hAnsi="Times New Roman"/>
          <w:color w:val="000000"/>
          <w:sz w:val="24"/>
          <w:szCs w:val="24"/>
          <w:lang w:eastAsia="lv-LV"/>
        </w:rPr>
        <w:t xml:space="preserve">. This indicator </w:t>
      </w:r>
      <w:r w:rsidR="00C67E8E" w:rsidRPr="00236568">
        <w:rPr>
          <w:rFonts w:ascii="Times New Roman" w:hAnsi="Times New Roman"/>
          <w:color w:val="000000"/>
          <w:sz w:val="24"/>
          <w:szCs w:val="24"/>
          <w:lang w:eastAsia="lv-LV"/>
        </w:rPr>
        <w:t xml:space="preserve">in Latvia </w:t>
      </w:r>
      <w:r w:rsidRPr="00236568">
        <w:rPr>
          <w:rFonts w:ascii="Times New Roman" w:hAnsi="Times New Roman"/>
          <w:color w:val="000000"/>
          <w:sz w:val="24"/>
          <w:szCs w:val="24"/>
          <w:lang w:eastAsia="lv-LV"/>
        </w:rPr>
        <w:t xml:space="preserve">is lagging behind Estonia, Poland, Slovakia and Hungary, which demonstrates a higher level of written premiums per capita, despite the fact that their </w:t>
      </w:r>
      <w:r w:rsidR="00C67E8E" w:rsidRPr="00236568">
        <w:rPr>
          <w:rFonts w:ascii="Times New Roman" w:hAnsi="Times New Roman"/>
          <w:color w:val="000000"/>
          <w:sz w:val="24"/>
          <w:szCs w:val="24"/>
          <w:lang w:eastAsia="lv-LV"/>
        </w:rPr>
        <w:t xml:space="preserve">income level, as </w:t>
      </w:r>
      <w:r w:rsidRPr="00236568">
        <w:rPr>
          <w:rFonts w:ascii="Times New Roman" w:hAnsi="Times New Roman"/>
          <w:color w:val="000000"/>
          <w:sz w:val="24"/>
          <w:szCs w:val="24"/>
          <w:lang w:eastAsia="lv-LV"/>
        </w:rPr>
        <w:t>GDP per capita by purchasing power parity</w:t>
      </w:r>
      <w:r w:rsidR="00C67E8E"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is in comparable income range (Estonia 24,792 euro, Poland 22,418 euro, Slovakia 25,138 euro, Hungary 22,247 euro, Latvia 20,898 euro</w:t>
      </w:r>
      <w:r w:rsidRPr="00236568">
        <w:rPr>
          <w:rStyle w:val="FootnoteReference"/>
          <w:rFonts w:ascii="Times New Roman" w:hAnsi="Times New Roman"/>
          <w:color w:val="000000"/>
          <w:sz w:val="24"/>
          <w:szCs w:val="24"/>
          <w:lang w:eastAsia="lv-LV"/>
        </w:rPr>
        <w:footnoteReference w:id="49"/>
      </w:r>
      <w:r w:rsidRPr="00236568">
        <w:rPr>
          <w:rFonts w:ascii="Times New Roman" w:hAnsi="Times New Roman"/>
          <w:color w:val="000000"/>
          <w:sz w:val="24"/>
          <w:szCs w:val="24"/>
          <w:lang w:eastAsia="lv-LV"/>
        </w:rPr>
        <w:t>).</w:t>
      </w:r>
    </w:p>
    <w:p w14:paraId="3C169263" w14:textId="3EFEF88A" w:rsidR="00062FD9" w:rsidRPr="00236568" w:rsidRDefault="00062FD9" w:rsidP="00DE5FE5">
      <w:pPr>
        <w:spacing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lastRenderedPageBreak/>
        <w:t>Insurance is a tool that allows its users to manage risks and to secure oneself against potential losses, as well as a tool for savings for the future. It helps to promote resilience of both, individual households and businesses, and the economy in general to various shocks.</w:t>
      </w:r>
    </w:p>
    <w:p w14:paraId="011AFE4E" w14:textId="2AC51378" w:rsidR="00625763" w:rsidRPr="00236568" w:rsidRDefault="00062FD9" w:rsidP="00DE5FE5">
      <w:pPr>
        <w:spacing w:line="240" w:lineRule="auto"/>
        <w:jc w:val="both"/>
        <w:rPr>
          <w:rFonts w:ascii="Times New Roman" w:hAnsi="Times New Roman"/>
          <w:color w:val="000000"/>
          <w:sz w:val="24"/>
          <w:szCs w:val="24"/>
          <w:lang w:eastAsia="lv-LV"/>
        </w:rPr>
      </w:pPr>
      <w:proofErr w:type="gramStart"/>
      <w:r w:rsidRPr="00236568">
        <w:rPr>
          <w:rFonts w:ascii="Times New Roman" w:hAnsi="Times New Roman"/>
          <w:color w:val="000000"/>
          <w:sz w:val="24"/>
          <w:szCs w:val="24"/>
          <w:lang w:eastAsia="lv-LV"/>
        </w:rPr>
        <w:t xml:space="preserve">Thus taking into account the current level of development of the insurance sector – </w:t>
      </w:r>
      <w:r w:rsidR="0069083E" w:rsidRPr="00236568">
        <w:rPr>
          <w:rFonts w:ascii="Times New Roman" w:hAnsi="Times New Roman"/>
          <w:color w:val="000000"/>
          <w:sz w:val="24"/>
          <w:szCs w:val="24"/>
          <w:lang w:eastAsia="lv-LV"/>
        </w:rPr>
        <w:t xml:space="preserve">it </w:t>
      </w:r>
      <w:r w:rsidRPr="00236568">
        <w:rPr>
          <w:rFonts w:ascii="Times New Roman" w:hAnsi="Times New Roman"/>
          <w:color w:val="000000"/>
          <w:sz w:val="24"/>
          <w:szCs w:val="24"/>
          <w:lang w:eastAsia="lv-LV"/>
        </w:rPr>
        <w:t xml:space="preserve">is necessary to </w:t>
      </w:r>
      <w:r w:rsidR="0069083E" w:rsidRPr="00236568">
        <w:rPr>
          <w:rFonts w:ascii="Times New Roman" w:hAnsi="Times New Roman"/>
          <w:color w:val="000000"/>
          <w:sz w:val="24"/>
          <w:szCs w:val="24"/>
          <w:lang w:eastAsia="lv-LV"/>
        </w:rPr>
        <w:t>support promotion of</w:t>
      </w:r>
      <w:r w:rsidRPr="00236568">
        <w:rPr>
          <w:rFonts w:ascii="Times New Roman" w:hAnsi="Times New Roman"/>
          <w:color w:val="000000"/>
          <w:sz w:val="24"/>
          <w:szCs w:val="24"/>
          <w:lang w:eastAsia="lv-LV"/>
        </w:rPr>
        <w:t xml:space="preserve"> voluntary insurance in order to ensure increased household and corporate </w:t>
      </w:r>
      <w:r w:rsidR="0069083E" w:rsidRPr="00236568">
        <w:rPr>
          <w:rFonts w:ascii="Times New Roman" w:hAnsi="Times New Roman"/>
          <w:color w:val="000000"/>
          <w:sz w:val="24"/>
          <w:szCs w:val="24"/>
          <w:lang w:eastAsia="lv-LV"/>
        </w:rPr>
        <w:t>funding</w:t>
      </w:r>
      <w:r w:rsidRPr="00236568">
        <w:rPr>
          <w:rFonts w:ascii="Times New Roman" w:hAnsi="Times New Roman"/>
          <w:color w:val="000000"/>
          <w:sz w:val="24"/>
          <w:szCs w:val="24"/>
          <w:lang w:eastAsia="lv-LV"/>
        </w:rPr>
        <w:t xml:space="preserve"> in the insurance sector</w:t>
      </w:r>
      <w:r w:rsidR="0069083E" w:rsidRPr="00236568">
        <w:rPr>
          <w:rFonts w:ascii="Times New Roman" w:hAnsi="Times New Roman"/>
          <w:color w:val="000000"/>
          <w:sz w:val="24"/>
          <w:szCs w:val="24"/>
          <w:lang w:eastAsia="lv-LV"/>
        </w:rPr>
        <w:t xml:space="preserve"> by </w:t>
      </w:r>
      <w:r w:rsidRPr="00236568">
        <w:rPr>
          <w:rFonts w:ascii="Times New Roman" w:hAnsi="Times New Roman"/>
          <w:color w:val="000000"/>
          <w:sz w:val="24"/>
          <w:szCs w:val="24"/>
          <w:lang w:eastAsia="lv-LV"/>
        </w:rPr>
        <w:t xml:space="preserve">facilitating access to information on the types of insurance, as well as </w:t>
      </w:r>
      <w:r w:rsidR="0069083E" w:rsidRPr="00236568">
        <w:rPr>
          <w:rFonts w:ascii="Times New Roman" w:hAnsi="Times New Roman"/>
          <w:color w:val="000000"/>
          <w:sz w:val="24"/>
          <w:szCs w:val="24"/>
          <w:lang w:eastAsia="lv-LV"/>
        </w:rPr>
        <w:t xml:space="preserve">by </w:t>
      </w:r>
      <w:r w:rsidRPr="00236568">
        <w:rPr>
          <w:rFonts w:ascii="Times New Roman" w:hAnsi="Times New Roman"/>
          <w:color w:val="000000"/>
          <w:sz w:val="24"/>
          <w:szCs w:val="24"/>
          <w:lang w:eastAsia="lv-LV"/>
        </w:rPr>
        <w:t xml:space="preserve">raising </w:t>
      </w:r>
      <w:r w:rsidR="0069083E" w:rsidRPr="00236568">
        <w:rPr>
          <w:rFonts w:ascii="Times New Roman" w:hAnsi="Times New Roman"/>
          <w:color w:val="000000"/>
          <w:sz w:val="24"/>
          <w:szCs w:val="24"/>
          <w:lang w:eastAsia="lv-LV"/>
        </w:rPr>
        <w:t>youth</w:t>
      </w:r>
      <w:r w:rsidRPr="00236568">
        <w:rPr>
          <w:rFonts w:ascii="Times New Roman" w:hAnsi="Times New Roman"/>
          <w:color w:val="000000"/>
          <w:sz w:val="24"/>
          <w:szCs w:val="24"/>
          <w:lang w:eastAsia="lv-LV"/>
        </w:rPr>
        <w:t xml:space="preserve"> level of knowledge about the different types of insurance</w:t>
      </w:r>
      <w:r w:rsidR="0069083E"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and improve the compulsory insurance scheme </w:t>
      </w:r>
      <w:r w:rsidR="00B60D4C" w:rsidRPr="00236568">
        <w:rPr>
          <w:rFonts w:ascii="Times New Roman" w:hAnsi="Times New Roman"/>
          <w:color w:val="000000"/>
          <w:sz w:val="24"/>
          <w:szCs w:val="24"/>
          <w:lang w:eastAsia="lv-LV"/>
        </w:rPr>
        <w:t>by expanding the range of occupations that require compulsory civil liability, accident supplementary insurance, raising the compulsory third party liability limits in certain civil classes, raising the compulsory motor vehicle liability insurance coverage, reducing the number of vehicles participating in road traffic without compulsory motor vehicle liability insurance</w:t>
      </w:r>
      <w:r w:rsidR="00625763" w:rsidRPr="00236568">
        <w:rPr>
          <w:rFonts w:ascii="Times New Roman" w:hAnsi="Times New Roman"/>
          <w:color w:val="000000"/>
          <w:sz w:val="24"/>
          <w:szCs w:val="24"/>
          <w:lang w:eastAsia="lv-LV"/>
        </w:rPr>
        <w:t>.</w:t>
      </w:r>
      <w:proofErr w:type="gramEnd"/>
    </w:p>
    <w:p w14:paraId="61FC3F1F" w14:textId="53ACD3B6" w:rsidR="00B60D4C" w:rsidRPr="00236568" w:rsidRDefault="00595DDE" w:rsidP="00DE5FE5">
      <w:pPr>
        <w:spacing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E</w:t>
      </w:r>
      <w:r w:rsidR="00625763" w:rsidRPr="00236568">
        <w:rPr>
          <w:rFonts w:ascii="Times New Roman" w:hAnsi="Times New Roman"/>
          <w:color w:val="000000"/>
          <w:sz w:val="24"/>
          <w:szCs w:val="24"/>
          <w:lang w:eastAsia="lv-LV"/>
        </w:rPr>
        <w:t xml:space="preserve">fficiency of the insurance sector </w:t>
      </w:r>
      <w:proofErr w:type="gramStart"/>
      <w:r w:rsidR="00625763" w:rsidRPr="00236568">
        <w:rPr>
          <w:rFonts w:ascii="Times New Roman" w:hAnsi="Times New Roman"/>
          <w:color w:val="000000"/>
          <w:sz w:val="24"/>
          <w:szCs w:val="24"/>
          <w:lang w:eastAsia="lv-LV"/>
        </w:rPr>
        <w:t xml:space="preserve">can be </w:t>
      </w:r>
      <w:r w:rsidR="00B5500D">
        <w:rPr>
          <w:rFonts w:ascii="Times New Roman" w:hAnsi="Times New Roman"/>
          <w:color w:val="000000"/>
          <w:sz w:val="24"/>
          <w:szCs w:val="24"/>
          <w:lang w:eastAsia="lv-LV"/>
        </w:rPr>
        <w:t>increased</w:t>
      </w:r>
      <w:proofErr w:type="gramEnd"/>
      <w:r w:rsidR="00B5500D" w:rsidRPr="00236568">
        <w:rPr>
          <w:rFonts w:ascii="Times New Roman" w:hAnsi="Times New Roman"/>
          <w:color w:val="000000"/>
          <w:sz w:val="24"/>
          <w:szCs w:val="24"/>
          <w:lang w:eastAsia="lv-LV"/>
        </w:rPr>
        <w:t xml:space="preserve"> </w:t>
      </w:r>
      <w:r w:rsidR="00625763" w:rsidRPr="00236568">
        <w:rPr>
          <w:rFonts w:ascii="Times New Roman" w:hAnsi="Times New Roman"/>
          <w:color w:val="000000"/>
          <w:sz w:val="24"/>
          <w:szCs w:val="24"/>
          <w:lang w:eastAsia="lv-LV"/>
        </w:rPr>
        <w:t>by introducing</w:t>
      </w:r>
      <w:r w:rsidR="00B60D4C" w:rsidRPr="00236568">
        <w:rPr>
          <w:rFonts w:ascii="Times New Roman" w:hAnsi="Times New Roman"/>
          <w:color w:val="000000"/>
          <w:sz w:val="24"/>
          <w:szCs w:val="24"/>
          <w:lang w:eastAsia="lv-LV"/>
        </w:rPr>
        <w:t xml:space="preserve"> effective exchange of information (in electronic form online) with the state institutions for risk assessment and insurance commitments</w:t>
      </w:r>
      <w:r w:rsidR="0069083E" w:rsidRPr="00236568">
        <w:rPr>
          <w:rFonts w:ascii="Times New Roman" w:hAnsi="Times New Roman"/>
          <w:color w:val="000000"/>
          <w:sz w:val="24"/>
          <w:szCs w:val="24"/>
          <w:lang w:eastAsia="lv-LV"/>
        </w:rPr>
        <w:t>.</w:t>
      </w:r>
      <w:r w:rsidR="00B60D4C" w:rsidRPr="00236568">
        <w:rPr>
          <w:rFonts w:ascii="Times New Roman" w:hAnsi="Times New Roman"/>
          <w:color w:val="000000"/>
          <w:sz w:val="24"/>
          <w:szCs w:val="24"/>
          <w:lang w:eastAsia="lv-LV"/>
        </w:rPr>
        <w:t xml:space="preserve"> </w:t>
      </w:r>
    </w:p>
    <w:p w14:paraId="250E7835" w14:textId="720EC301" w:rsidR="00B60D4C" w:rsidRPr="00236568" w:rsidRDefault="003D5CD6" w:rsidP="00DE5FE5">
      <w:pPr>
        <w:spacing w:line="240" w:lineRule="auto"/>
        <w:rPr>
          <w:noProof/>
          <w:lang w:eastAsia="en-GB"/>
        </w:rPr>
      </w:pPr>
      <w:r w:rsidRPr="00236568">
        <w:rPr>
          <w:noProof/>
          <w:lang w:val="lv-LV" w:eastAsia="lv-LV"/>
        </w:rPr>
        <w:drawing>
          <wp:inline distT="0" distB="0" distL="0" distR="0" wp14:anchorId="72367B52" wp14:editId="08D95CFA">
            <wp:extent cx="5684520" cy="3027680"/>
            <wp:effectExtent l="0" t="0" r="0" b="127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4520" cy="3027680"/>
                    </a:xfrm>
                    <a:prstGeom prst="rect">
                      <a:avLst/>
                    </a:prstGeom>
                    <a:noFill/>
                    <a:ln>
                      <a:noFill/>
                    </a:ln>
                  </pic:spPr>
                </pic:pic>
              </a:graphicData>
            </a:graphic>
          </wp:inline>
        </w:drawing>
      </w:r>
    </w:p>
    <w:p w14:paraId="5316CB08" w14:textId="305BD5EA" w:rsidR="00B60D4C" w:rsidRDefault="00B60D4C" w:rsidP="00DE5FE5">
      <w:pPr>
        <w:spacing w:before="120" w:line="240" w:lineRule="auto"/>
        <w:jc w:val="both"/>
        <w:rPr>
          <w:rFonts w:ascii="Times New Roman" w:hAnsi="Times New Roman"/>
          <w:i/>
          <w:color w:val="000000"/>
          <w:sz w:val="20"/>
          <w:szCs w:val="20"/>
          <w:lang w:eastAsia="lv-LV"/>
        </w:rPr>
      </w:pPr>
      <w:r w:rsidRPr="00236568">
        <w:rPr>
          <w:rFonts w:ascii="Times New Roman" w:hAnsi="Times New Roman"/>
          <w:i/>
          <w:color w:val="000000"/>
          <w:sz w:val="20"/>
          <w:szCs w:val="20"/>
          <w:lang w:eastAsia="lv-LV"/>
        </w:rPr>
        <w:t>Fig. 5</w:t>
      </w:r>
      <w:r w:rsidR="00294E45" w:rsidRPr="00236568">
        <w:rPr>
          <w:rFonts w:ascii="Times New Roman" w:hAnsi="Times New Roman"/>
          <w:i/>
          <w:color w:val="000000"/>
          <w:sz w:val="20"/>
          <w:szCs w:val="20"/>
          <w:lang w:eastAsia="lv-LV"/>
        </w:rPr>
        <w:t xml:space="preserve"> Insurance w</w:t>
      </w:r>
      <w:r w:rsidRPr="00236568">
        <w:rPr>
          <w:rFonts w:ascii="Times New Roman" w:hAnsi="Times New Roman"/>
          <w:i/>
          <w:color w:val="000000"/>
          <w:sz w:val="20"/>
          <w:szCs w:val="20"/>
          <w:lang w:eastAsia="lv-LV"/>
        </w:rPr>
        <w:t>ritten premiums as a percentage of GDP (OECD data).</w:t>
      </w:r>
    </w:p>
    <w:p w14:paraId="4F0E9D50" w14:textId="77777777" w:rsidR="0051604C" w:rsidRPr="00236568" w:rsidRDefault="0051604C" w:rsidP="00DE5FE5">
      <w:pPr>
        <w:spacing w:before="120" w:line="240" w:lineRule="auto"/>
        <w:jc w:val="both"/>
        <w:rPr>
          <w:rFonts w:ascii="Times New Roman" w:hAnsi="Times New Roman"/>
          <w:i/>
          <w:color w:val="000000"/>
          <w:sz w:val="20"/>
          <w:szCs w:val="20"/>
          <w:lang w:eastAsia="lv-LV"/>
        </w:rPr>
      </w:pPr>
    </w:p>
    <w:p w14:paraId="2C77E1ED" w14:textId="2D0D9B75" w:rsidR="00B60D4C" w:rsidRPr="00236568" w:rsidRDefault="00B60D4C" w:rsidP="00595DDE">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The insurance sector raises the question of international competitiveness. More and more active are cross-border services. In 2014 the other EU Member </w:t>
      </w:r>
      <w:proofErr w:type="gramStart"/>
      <w:r w:rsidRPr="00236568">
        <w:rPr>
          <w:rFonts w:ascii="Times New Roman" w:hAnsi="Times New Roman"/>
          <w:color w:val="000000"/>
          <w:sz w:val="24"/>
          <w:szCs w:val="24"/>
          <w:lang w:eastAsia="lv-LV"/>
        </w:rPr>
        <w:t>States</w:t>
      </w:r>
      <w:proofErr w:type="gramEnd"/>
      <w:r w:rsidRPr="00236568">
        <w:rPr>
          <w:rFonts w:ascii="Times New Roman" w:hAnsi="Times New Roman"/>
          <w:color w:val="000000"/>
          <w:sz w:val="24"/>
          <w:szCs w:val="24"/>
          <w:lang w:eastAsia="lv-LV"/>
        </w:rPr>
        <w:t xml:space="preserve"> insurers, based on the freedom to provide services, have reached written premiums at 21.1 million euro, which is by 47.7% more than in 2011. In insurance </w:t>
      </w:r>
      <w:proofErr w:type="gramStart"/>
      <w:r w:rsidRPr="00236568">
        <w:rPr>
          <w:rFonts w:ascii="Times New Roman" w:hAnsi="Times New Roman"/>
          <w:color w:val="000000"/>
          <w:sz w:val="24"/>
          <w:szCs w:val="24"/>
          <w:lang w:eastAsia="lv-LV"/>
        </w:rPr>
        <w:t>sector</w:t>
      </w:r>
      <w:proofErr w:type="gramEnd"/>
      <w:r w:rsidRPr="00236568">
        <w:rPr>
          <w:rFonts w:ascii="Times New Roman" w:hAnsi="Times New Roman"/>
          <w:color w:val="000000"/>
          <w:sz w:val="24"/>
          <w:szCs w:val="24"/>
          <w:lang w:eastAsia="lv-LV"/>
        </w:rPr>
        <w:t xml:space="preserve"> top issue is more competitive regulatory environment. In the  first quarter of 2016, in Latvia</w:t>
      </w:r>
      <w:r w:rsidR="00625763" w:rsidRPr="00236568">
        <w:rPr>
          <w:rFonts w:ascii="Times New Roman" w:hAnsi="Times New Roman"/>
          <w:color w:val="000000"/>
          <w:sz w:val="24"/>
          <w:szCs w:val="24"/>
          <w:lang w:eastAsia="lv-LV"/>
        </w:rPr>
        <w:t>,</w:t>
      </w:r>
      <w:r w:rsidRPr="00236568">
        <w:rPr>
          <w:rFonts w:ascii="Times New Roman" w:hAnsi="Times New Roman"/>
          <w:color w:val="000000"/>
          <w:sz w:val="24"/>
          <w:szCs w:val="24"/>
          <w:lang w:eastAsia="lv-LV"/>
        </w:rPr>
        <w:t xml:space="preserve"> eight insurance companies and 14 branches of foreign insurance companies</w:t>
      </w:r>
      <w:r w:rsidR="00625763" w:rsidRPr="00236568">
        <w:rPr>
          <w:rFonts w:ascii="Times New Roman" w:hAnsi="Times New Roman"/>
          <w:color w:val="000000"/>
          <w:sz w:val="24"/>
          <w:szCs w:val="24"/>
          <w:lang w:eastAsia="lv-LV"/>
        </w:rPr>
        <w:t xml:space="preserve"> were operating</w:t>
      </w:r>
      <w:r w:rsidRPr="00236568">
        <w:rPr>
          <w:rFonts w:ascii="Times New Roman" w:hAnsi="Times New Roman"/>
          <w:color w:val="000000"/>
          <w:sz w:val="24"/>
          <w:szCs w:val="24"/>
          <w:lang w:eastAsia="lv-LV"/>
        </w:rPr>
        <w:t>, as opposed to, for example, the end of 2008, when there were 15 Latvian insurance companies and only nine foreign companies' branches.</w:t>
      </w:r>
    </w:p>
    <w:p w14:paraId="0E2309C8" w14:textId="77777777" w:rsidR="00B60D4C" w:rsidRPr="00236568" w:rsidRDefault="00B60D4C" w:rsidP="00BF7917">
      <w:pPr>
        <w:spacing w:after="0" w:line="240" w:lineRule="auto"/>
        <w:jc w:val="both"/>
        <w:rPr>
          <w:rFonts w:ascii="Times New Roman" w:hAnsi="Times New Roman"/>
          <w:color w:val="000000"/>
          <w:sz w:val="24"/>
          <w:szCs w:val="24"/>
          <w:lang w:eastAsia="lv-LV"/>
        </w:rPr>
      </w:pPr>
    </w:p>
    <w:p w14:paraId="713AF879" w14:textId="77777777"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For successful development of the </w:t>
      </w:r>
      <w:proofErr w:type="gramStart"/>
      <w:r w:rsidRPr="00236568">
        <w:rPr>
          <w:rFonts w:ascii="Times New Roman" w:hAnsi="Times New Roman"/>
          <w:color w:val="000000"/>
          <w:sz w:val="24"/>
          <w:szCs w:val="24"/>
          <w:lang w:eastAsia="lv-LV"/>
        </w:rPr>
        <w:t>industry</w:t>
      </w:r>
      <w:proofErr w:type="gramEnd"/>
      <w:r w:rsidRPr="00236568">
        <w:rPr>
          <w:rFonts w:ascii="Times New Roman" w:hAnsi="Times New Roman"/>
          <w:color w:val="000000"/>
          <w:sz w:val="24"/>
          <w:szCs w:val="24"/>
          <w:lang w:eastAsia="lv-LV"/>
        </w:rPr>
        <w:t xml:space="preserve"> it is necessary to into account the unfolding developments in financial innovation that has the potential to make insurance easier and more convenient products available to the public. The insurance business is an area where information is one of the largest values, thus the digitization opens up possibilities for more effective use of information and circulation, increasing the sector's efficiency.</w:t>
      </w:r>
    </w:p>
    <w:p w14:paraId="7E5B2A59" w14:textId="77777777" w:rsidR="00B60D4C" w:rsidRPr="00236568" w:rsidRDefault="00B60D4C">
      <w:pPr>
        <w:spacing w:after="0" w:line="240" w:lineRule="auto"/>
        <w:jc w:val="both"/>
        <w:rPr>
          <w:rFonts w:ascii="Times New Roman" w:hAnsi="Times New Roman"/>
          <w:color w:val="000000"/>
          <w:sz w:val="24"/>
          <w:szCs w:val="24"/>
          <w:lang w:eastAsia="lv-LV"/>
        </w:rPr>
      </w:pPr>
    </w:p>
    <w:p w14:paraId="0A7483DC" w14:textId="2842DB30" w:rsidR="00B60D4C" w:rsidRPr="00236568" w:rsidRDefault="00B60D4C">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In view of the </w:t>
      </w:r>
      <w:proofErr w:type="gramStart"/>
      <w:r w:rsidRPr="00236568">
        <w:rPr>
          <w:rFonts w:ascii="Times New Roman" w:hAnsi="Times New Roman"/>
          <w:color w:val="000000"/>
          <w:sz w:val="24"/>
          <w:szCs w:val="24"/>
          <w:lang w:eastAsia="lv-LV"/>
        </w:rPr>
        <w:t>above</w:t>
      </w:r>
      <w:proofErr w:type="gramEnd"/>
      <w:r w:rsidRPr="00236568">
        <w:rPr>
          <w:rFonts w:ascii="Times New Roman" w:hAnsi="Times New Roman"/>
          <w:color w:val="000000"/>
          <w:sz w:val="24"/>
          <w:szCs w:val="24"/>
          <w:lang w:eastAsia="lv-LV"/>
        </w:rPr>
        <w:t xml:space="preserve"> the insurance industry </w:t>
      </w:r>
      <w:r w:rsidR="00127D99" w:rsidRPr="00236568">
        <w:rPr>
          <w:rFonts w:ascii="Times New Roman" w:hAnsi="Times New Roman"/>
          <w:color w:val="000000"/>
          <w:sz w:val="24"/>
          <w:szCs w:val="24"/>
          <w:lang w:eastAsia="lv-LV"/>
        </w:rPr>
        <w:t xml:space="preserve">should </w:t>
      </w:r>
      <w:r w:rsidRPr="00236568">
        <w:rPr>
          <w:rFonts w:ascii="Times New Roman" w:hAnsi="Times New Roman"/>
          <w:color w:val="000000"/>
          <w:sz w:val="24"/>
          <w:szCs w:val="24"/>
          <w:lang w:eastAsia="lv-LV"/>
        </w:rPr>
        <w:t xml:space="preserve">deal with the following </w:t>
      </w:r>
      <w:r w:rsidRPr="00236568">
        <w:rPr>
          <w:rFonts w:ascii="Times New Roman" w:hAnsi="Times New Roman"/>
          <w:b/>
          <w:color w:val="000000"/>
          <w:sz w:val="24"/>
          <w:szCs w:val="24"/>
          <w:lang w:eastAsia="lv-LV"/>
        </w:rPr>
        <w:t>strategic lines of action</w:t>
      </w:r>
      <w:r w:rsidRPr="00236568">
        <w:rPr>
          <w:rFonts w:ascii="Times New Roman" w:hAnsi="Times New Roman"/>
          <w:color w:val="000000"/>
          <w:sz w:val="24"/>
          <w:szCs w:val="24"/>
          <w:lang w:eastAsia="lv-LV"/>
        </w:rPr>
        <w:t>:</w:t>
      </w:r>
    </w:p>
    <w:p w14:paraId="32F33536" w14:textId="77777777" w:rsidR="00B60D4C" w:rsidRPr="00236568" w:rsidRDefault="00B60D4C">
      <w:pPr>
        <w:pStyle w:val="ListParagraph"/>
        <w:numPr>
          <w:ilvl w:val="0"/>
          <w:numId w:val="2"/>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Expanding the use of insurance services;</w:t>
      </w:r>
    </w:p>
    <w:p w14:paraId="374D2B7D" w14:textId="77777777" w:rsidR="00B60D4C" w:rsidRPr="00236568" w:rsidRDefault="00B60D4C">
      <w:pPr>
        <w:pStyle w:val="ListParagraph"/>
        <w:numPr>
          <w:ilvl w:val="0"/>
          <w:numId w:val="2"/>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Effective exchange of information risk in assessment and obligations;</w:t>
      </w:r>
    </w:p>
    <w:p w14:paraId="268A3034" w14:textId="77777777" w:rsidR="00B60D4C" w:rsidRPr="00236568" w:rsidRDefault="00B60D4C">
      <w:pPr>
        <w:pStyle w:val="ListParagraph"/>
        <w:numPr>
          <w:ilvl w:val="0"/>
          <w:numId w:val="2"/>
        </w:numPr>
        <w:spacing w:after="0" w:line="240" w:lineRule="auto"/>
        <w:jc w:val="both"/>
        <w:rPr>
          <w:rFonts w:ascii="Times New Roman" w:hAnsi="Times New Roman"/>
          <w:color w:val="000000"/>
          <w:sz w:val="24"/>
          <w:szCs w:val="24"/>
          <w:lang w:val="en-GB"/>
        </w:rPr>
      </w:pPr>
      <w:r w:rsidRPr="00236568">
        <w:rPr>
          <w:rFonts w:ascii="Times New Roman" w:hAnsi="Times New Roman"/>
          <w:color w:val="000000"/>
          <w:sz w:val="24"/>
          <w:szCs w:val="24"/>
          <w:lang w:val="en-GB"/>
        </w:rPr>
        <w:t>Extension of services for more complete response to insurance needs.</w:t>
      </w:r>
    </w:p>
    <w:p w14:paraId="1E6813E8" w14:textId="77777777" w:rsidR="00B60D4C" w:rsidRPr="00236568" w:rsidRDefault="00B60D4C" w:rsidP="00DE5FE5">
      <w:pPr>
        <w:spacing w:line="240" w:lineRule="auto"/>
      </w:pPr>
    </w:p>
    <w:p w14:paraId="19D07D08" w14:textId="77777777" w:rsidR="00B60D4C" w:rsidRPr="00236568" w:rsidRDefault="00B60D4C" w:rsidP="00595DDE">
      <w:pPr>
        <w:spacing w:after="0" w:line="240" w:lineRule="auto"/>
        <w:jc w:val="both"/>
        <w:rPr>
          <w:rFonts w:ascii="Times New Roman" w:hAnsi="Times New Roman"/>
          <w:b/>
          <w:color w:val="000000"/>
          <w:sz w:val="24"/>
          <w:szCs w:val="24"/>
          <w:u w:val="single"/>
          <w:lang w:eastAsia="lv-LV"/>
        </w:rPr>
      </w:pPr>
      <w:r w:rsidRPr="00236568">
        <w:rPr>
          <w:rFonts w:ascii="Times New Roman" w:hAnsi="Times New Roman"/>
          <w:b/>
          <w:color w:val="000000"/>
          <w:sz w:val="24"/>
          <w:szCs w:val="24"/>
          <w:u w:val="single"/>
          <w:lang w:eastAsia="lv-LV"/>
        </w:rPr>
        <w:t>Performance indicator:</w:t>
      </w:r>
    </w:p>
    <w:p w14:paraId="74414905" w14:textId="77777777" w:rsidR="00B60D4C" w:rsidRPr="00236568" w:rsidRDefault="00B60D4C" w:rsidP="00595DDE">
      <w:pPr>
        <w:spacing w:after="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Expand voluntary insurance types use Latvian reaching insurance premiums per capita increase of 10% over three years, and the export credit guarantee scheme for the development of at least EUR 20 million</w:t>
      </w:r>
      <w:r w:rsidRPr="00236568">
        <w:rPr>
          <w:rStyle w:val="FootnoteReference"/>
          <w:rFonts w:ascii="Times New Roman" w:hAnsi="Times New Roman"/>
          <w:color w:val="000000"/>
          <w:sz w:val="24"/>
          <w:szCs w:val="24"/>
          <w:lang w:eastAsia="lv-LV"/>
        </w:rPr>
        <w:footnoteReference w:id="50"/>
      </w:r>
      <w:r w:rsidRPr="00236568">
        <w:rPr>
          <w:rFonts w:ascii="Times New Roman" w:hAnsi="Times New Roman"/>
          <w:color w:val="000000"/>
          <w:sz w:val="24"/>
          <w:szCs w:val="24"/>
          <w:lang w:eastAsia="lv-LV"/>
        </w:rPr>
        <w:t xml:space="preserve"> over three years.</w:t>
      </w:r>
    </w:p>
    <w:p w14:paraId="079B3763" w14:textId="77777777" w:rsidR="00B60D4C" w:rsidRPr="00236568" w:rsidRDefault="00B60D4C" w:rsidP="00BF7917">
      <w:pPr>
        <w:spacing w:after="0" w:line="240" w:lineRule="auto"/>
        <w:jc w:val="both"/>
        <w:rPr>
          <w:rFonts w:ascii="Times New Roman" w:hAnsi="Times New Roman"/>
          <w:color w:val="000000"/>
          <w:sz w:val="24"/>
          <w:szCs w:val="24"/>
          <w:lang w:eastAsia="lv-LV"/>
        </w:rPr>
      </w:pPr>
    </w:p>
    <w:p w14:paraId="68A87A19" w14:textId="330F18B1" w:rsidR="00B60D4C" w:rsidRPr="00236568" w:rsidRDefault="00127D99" w:rsidP="00DE5FE5">
      <w:pPr>
        <w:pStyle w:val="Heading3"/>
        <w:spacing w:line="240" w:lineRule="auto"/>
        <w:rPr>
          <w:lang w:eastAsia="lv-LV"/>
        </w:rPr>
      </w:pPr>
      <w:bookmarkStart w:id="33" w:name="_Toc479773692"/>
      <w:bookmarkStart w:id="34" w:name="_Toc479839726"/>
      <w:r w:rsidRPr="00236568">
        <w:rPr>
          <w:lang w:eastAsia="lv-LV"/>
        </w:rPr>
        <w:t>1.</w:t>
      </w:r>
      <w:r w:rsidR="00B60D4C" w:rsidRPr="00236568">
        <w:rPr>
          <w:lang w:eastAsia="lv-LV"/>
        </w:rPr>
        <w:t>5.1. Expanding the use of insurance services</w:t>
      </w:r>
      <w:bookmarkEnd w:id="33"/>
      <w:bookmarkEnd w:id="34"/>
    </w:p>
    <w:p w14:paraId="6533203B" w14:textId="756860C8" w:rsidR="00127D99" w:rsidRPr="00236568" w:rsidRDefault="00127D99"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In order to ensure more active household and company funding to the insurance sector, it is necessary to support promotion of voluntary types of insurance.</w:t>
      </w:r>
    </w:p>
    <w:p w14:paraId="4D967F38" w14:textId="68BCAA77" w:rsidR="00A25A58" w:rsidRPr="00236568" w:rsidRDefault="00127D99"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Besides i</w:t>
      </w:r>
      <w:r w:rsidR="00B60D4C" w:rsidRPr="00236568">
        <w:rPr>
          <w:rFonts w:ascii="Times New Roman" w:hAnsi="Times New Roman"/>
          <w:color w:val="000000"/>
          <w:sz w:val="24"/>
          <w:szCs w:val="24"/>
          <w:lang w:eastAsia="lv-LV"/>
        </w:rPr>
        <w:t>t is necessary to evaluate the options for expansion of life insurance services, taking into account advantage provided by long-term</w:t>
      </w:r>
      <w:r w:rsidRPr="00236568">
        <w:rPr>
          <w:rFonts w:ascii="Times New Roman" w:hAnsi="Times New Roman"/>
          <w:color w:val="000000"/>
          <w:sz w:val="24"/>
          <w:szCs w:val="24"/>
          <w:lang w:eastAsia="lv-LV"/>
        </w:rPr>
        <w:t xml:space="preserve"> saving</w:t>
      </w:r>
      <w:r w:rsidR="00A25A58" w:rsidRPr="00236568">
        <w:rPr>
          <w:rFonts w:ascii="Times New Roman" w:hAnsi="Times New Roman"/>
          <w:color w:val="000000"/>
          <w:sz w:val="24"/>
          <w:szCs w:val="24"/>
          <w:lang w:eastAsia="lv-LV"/>
        </w:rPr>
        <w:t>s</w:t>
      </w:r>
      <w:r w:rsidR="00B60D4C" w:rsidRPr="00236568">
        <w:rPr>
          <w:rFonts w:ascii="Times New Roman" w:hAnsi="Times New Roman"/>
          <w:color w:val="000000"/>
          <w:sz w:val="24"/>
          <w:szCs w:val="24"/>
          <w:lang w:eastAsia="lv-LV"/>
        </w:rPr>
        <w:t xml:space="preserve"> life insurance service usage while decreasing risks of income level reduction in case of partial loss of work capacity.</w:t>
      </w:r>
      <w:r w:rsidR="00A25A58" w:rsidRPr="00236568">
        <w:rPr>
          <w:rFonts w:ascii="Times New Roman" w:hAnsi="Times New Roman"/>
          <w:color w:val="000000"/>
          <w:sz w:val="24"/>
          <w:szCs w:val="24"/>
          <w:lang w:eastAsia="lv-LV"/>
        </w:rPr>
        <w:t xml:space="preserve"> </w:t>
      </w:r>
      <w:proofErr w:type="gramStart"/>
      <w:r w:rsidR="00A25A58" w:rsidRPr="00236568">
        <w:rPr>
          <w:rFonts w:ascii="Times New Roman" w:hAnsi="Times New Roman"/>
          <w:color w:val="000000"/>
          <w:sz w:val="24"/>
          <w:szCs w:val="24"/>
          <w:lang w:eastAsia="lv-LV"/>
        </w:rPr>
        <w:t>It should be noted, that at the moment the use of savings life insurance in large extent is supported by Personal Income tax exemption, and taking into account the negative impact of the present low interest environment in savings return, it is necessary to maintain the tax exemption</w:t>
      </w:r>
      <w:r w:rsidR="00BF729A" w:rsidRPr="00236568">
        <w:rPr>
          <w:rFonts w:ascii="Times New Roman" w:hAnsi="Times New Roman"/>
          <w:color w:val="000000"/>
          <w:sz w:val="24"/>
          <w:szCs w:val="24"/>
          <w:lang w:eastAsia="lv-LV"/>
        </w:rPr>
        <w:t>, for the further development of this market segment and promoting culture of savings in society.</w:t>
      </w:r>
      <w:proofErr w:type="gramEnd"/>
      <w:r w:rsidR="00BF729A" w:rsidRPr="00236568">
        <w:rPr>
          <w:rFonts w:ascii="Times New Roman" w:hAnsi="Times New Roman"/>
          <w:color w:val="000000"/>
          <w:sz w:val="24"/>
          <w:szCs w:val="24"/>
          <w:lang w:eastAsia="lv-LV"/>
        </w:rPr>
        <w:t xml:space="preserve"> </w:t>
      </w:r>
      <w:r w:rsidR="00A25A58" w:rsidRPr="00236568">
        <w:rPr>
          <w:rFonts w:ascii="Times New Roman" w:hAnsi="Times New Roman"/>
          <w:color w:val="000000"/>
          <w:sz w:val="24"/>
          <w:szCs w:val="24"/>
          <w:lang w:eastAsia="lv-LV"/>
        </w:rPr>
        <w:t xml:space="preserve"> </w:t>
      </w:r>
    </w:p>
    <w:p w14:paraId="22610692" w14:textId="28E47B43" w:rsidR="00B60D4C" w:rsidRPr="00236568" w:rsidRDefault="00B60D4C"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 In addition to the need to assess options for increasing the availability of information to consumers on the types of insurance,</w:t>
      </w:r>
      <w:r w:rsidR="00BF729A" w:rsidRPr="00236568">
        <w:rPr>
          <w:rFonts w:ascii="Times New Roman" w:hAnsi="Times New Roman"/>
          <w:color w:val="000000"/>
          <w:sz w:val="24"/>
          <w:szCs w:val="24"/>
          <w:lang w:eastAsia="lv-LV"/>
        </w:rPr>
        <w:t xml:space="preserve"> and</w:t>
      </w:r>
      <w:r w:rsidRPr="00236568">
        <w:rPr>
          <w:rFonts w:ascii="Times New Roman" w:hAnsi="Times New Roman"/>
          <w:color w:val="000000"/>
          <w:sz w:val="24"/>
          <w:szCs w:val="24"/>
          <w:lang w:eastAsia="lv-LV"/>
        </w:rPr>
        <w:t xml:space="preserve"> the level of knowledge of </w:t>
      </w:r>
      <w:r w:rsidR="00BF729A" w:rsidRPr="00236568">
        <w:rPr>
          <w:rFonts w:ascii="Times New Roman" w:hAnsi="Times New Roman"/>
          <w:color w:val="000000"/>
          <w:sz w:val="24"/>
          <w:szCs w:val="24"/>
          <w:lang w:eastAsia="lv-LV"/>
        </w:rPr>
        <w:t>youth</w:t>
      </w:r>
      <w:r w:rsidRPr="00236568">
        <w:rPr>
          <w:rFonts w:ascii="Times New Roman" w:hAnsi="Times New Roman"/>
          <w:color w:val="000000"/>
          <w:sz w:val="24"/>
          <w:szCs w:val="24"/>
          <w:lang w:eastAsia="lv-LV"/>
        </w:rPr>
        <w:t xml:space="preserve"> about the different types of insurance increase. </w:t>
      </w:r>
      <w:proofErr w:type="gramStart"/>
      <w:r w:rsidRPr="00236568">
        <w:rPr>
          <w:rFonts w:ascii="Times New Roman" w:hAnsi="Times New Roman"/>
          <w:color w:val="000000"/>
          <w:sz w:val="24"/>
          <w:szCs w:val="24"/>
          <w:lang w:eastAsia="lv-LV"/>
        </w:rPr>
        <w:t>Also</w:t>
      </w:r>
      <w:proofErr w:type="gramEnd"/>
      <w:r w:rsidRPr="00236568">
        <w:rPr>
          <w:rFonts w:ascii="Times New Roman" w:hAnsi="Times New Roman"/>
          <w:color w:val="000000"/>
          <w:sz w:val="24"/>
          <w:szCs w:val="24"/>
          <w:lang w:eastAsia="lv-LV"/>
        </w:rPr>
        <w:t xml:space="preserve">, to ensure efficient operation of the digital era within the need to attract </w:t>
      </w:r>
      <w:proofErr w:type="spellStart"/>
      <w:r w:rsidRPr="00236568">
        <w:rPr>
          <w:rFonts w:ascii="Times New Roman" w:hAnsi="Times New Roman"/>
          <w:color w:val="000000"/>
          <w:sz w:val="24"/>
          <w:szCs w:val="24"/>
          <w:lang w:eastAsia="lv-LV"/>
        </w:rPr>
        <w:t>FinTech</w:t>
      </w:r>
      <w:proofErr w:type="spellEnd"/>
      <w:r w:rsidRPr="00236568">
        <w:rPr>
          <w:rFonts w:ascii="Times New Roman" w:hAnsi="Times New Roman"/>
          <w:color w:val="000000"/>
          <w:sz w:val="24"/>
          <w:szCs w:val="24"/>
          <w:lang w:eastAsia="lv-LV"/>
        </w:rPr>
        <w:t xml:space="preserve"> provide service options.</w:t>
      </w:r>
    </w:p>
    <w:p w14:paraId="7F45E1AE" w14:textId="77777777" w:rsidR="00B60D4C" w:rsidRPr="00236568" w:rsidRDefault="00B60D4C" w:rsidP="00DE5FE5">
      <w:pPr>
        <w:spacing w:line="240" w:lineRule="auto"/>
      </w:pPr>
    </w:p>
    <w:p w14:paraId="36EFDDD4" w14:textId="186560DB" w:rsidR="00B60D4C" w:rsidRPr="00236568" w:rsidRDefault="00B229C0" w:rsidP="00DE5FE5">
      <w:pPr>
        <w:pStyle w:val="Heading3"/>
        <w:spacing w:line="240" w:lineRule="auto"/>
        <w:rPr>
          <w:lang w:eastAsia="lv-LV"/>
        </w:rPr>
      </w:pPr>
      <w:bookmarkStart w:id="35" w:name="_Toc479773693"/>
      <w:bookmarkStart w:id="36" w:name="_Toc479839727"/>
      <w:r w:rsidRPr="00236568">
        <w:rPr>
          <w:lang w:eastAsia="lv-LV"/>
        </w:rPr>
        <w:t>1.</w:t>
      </w:r>
      <w:r w:rsidR="00B60D4C" w:rsidRPr="00236568">
        <w:rPr>
          <w:lang w:eastAsia="lv-LV"/>
        </w:rPr>
        <w:t>5.2. Effective exchange of information for risk assessment and obligations</w:t>
      </w:r>
      <w:bookmarkEnd w:id="35"/>
      <w:bookmarkEnd w:id="36"/>
    </w:p>
    <w:p w14:paraId="2B1DCD2F" w14:textId="77777777" w:rsidR="00B60D4C" w:rsidRPr="00236568" w:rsidRDefault="00B60D4C"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Insurance sector's operational efficiency </w:t>
      </w:r>
      <w:proofErr w:type="gramStart"/>
      <w:r w:rsidRPr="00236568">
        <w:rPr>
          <w:rFonts w:ascii="Times New Roman" w:hAnsi="Times New Roman"/>
          <w:color w:val="000000"/>
          <w:sz w:val="24"/>
          <w:szCs w:val="24"/>
          <w:lang w:eastAsia="lv-LV"/>
        </w:rPr>
        <w:t>can be raised</w:t>
      </w:r>
      <w:proofErr w:type="gramEnd"/>
      <w:r w:rsidRPr="00236568">
        <w:rPr>
          <w:rFonts w:ascii="Times New Roman" w:hAnsi="Times New Roman"/>
          <w:color w:val="000000"/>
          <w:sz w:val="24"/>
          <w:szCs w:val="24"/>
          <w:lang w:eastAsia="lv-LV"/>
        </w:rPr>
        <w:t xml:space="preserve"> by continuing to work on improvements in exchange of information between insurers and government institutions both in terms the required information for insurance risk assessment and for insurance contract obligations. More efficient and speedy exchange of information, particularly in electronic form online can promote faster contractual obligations, accelerating the insurance cover, as well as promoting better risk analysis.</w:t>
      </w:r>
    </w:p>
    <w:p w14:paraId="745B575C" w14:textId="77777777" w:rsidR="00254B20" w:rsidRPr="00236568" w:rsidRDefault="00254B20" w:rsidP="00DE5FE5">
      <w:pPr>
        <w:spacing w:before="120" w:line="240" w:lineRule="auto"/>
        <w:ind w:firstLine="720"/>
        <w:rPr>
          <w:rFonts w:ascii="Times New Roman" w:eastAsia="Times New Roman" w:hAnsi="Times New Roman"/>
          <w:b/>
          <w:color w:val="000000"/>
          <w:sz w:val="28"/>
          <w:szCs w:val="28"/>
          <w:lang w:eastAsia="lv-LV"/>
        </w:rPr>
      </w:pPr>
    </w:p>
    <w:p w14:paraId="2DF605C0" w14:textId="341FD180" w:rsidR="00B60D4C" w:rsidRPr="00236568" w:rsidRDefault="00B229C0" w:rsidP="00DE5FE5">
      <w:pPr>
        <w:pStyle w:val="Heading3"/>
        <w:spacing w:line="240" w:lineRule="auto"/>
        <w:rPr>
          <w:lang w:eastAsia="lv-LV"/>
        </w:rPr>
      </w:pPr>
      <w:bookmarkStart w:id="37" w:name="_Toc479773694"/>
      <w:bookmarkStart w:id="38" w:name="_Toc479839728"/>
      <w:r w:rsidRPr="00236568">
        <w:rPr>
          <w:lang w:eastAsia="lv-LV"/>
        </w:rPr>
        <w:t>1.</w:t>
      </w:r>
      <w:r w:rsidR="00B60D4C" w:rsidRPr="00236568">
        <w:rPr>
          <w:lang w:eastAsia="lv-LV"/>
        </w:rPr>
        <w:t>5.3. Extension of services for more complete response to insurance needs</w:t>
      </w:r>
      <w:bookmarkEnd w:id="37"/>
      <w:bookmarkEnd w:id="38"/>
    </w:p>
    <w:p w14:paraId="524752B1" w14:textId="77777777" w:rsidR="00B60D4C" w:rsidRPr="00236568" w:rsidRDefault="00B60D4C" w:rsidP="00DE5FE5">
      <w:pPr>
        <w:spacing w:before="120" w:line="240" w:lineRule="auto"/>
        <w:jc w:val="both"/>
        <w:rPr>
          <w:rFonts w:ascii="Times New Roman" w:hAnsi="Times New Roman"/>
          <w:color w:val="000000"/>
          <w:sz w:val="24"/>
          <w:szCs w:val="24"/>
          <w:lang w:eastAsia="lv-LV"/>
        </w:rPr>
      </w:pPr>
      <w:r w:rsidRPr="00236568">
        <w:rPr>
          <w:rFonts w:ascii="Times New Roman" w:hAnsi="Times New Roman"/>
          <w:color w:val="000000"/>
          <w:sz w:val="24"/>
          <w:szCs w:val="24"/>
          <w:lang w:eastAsia="lv-LV"/>
        </w:rPr>
        <w:t xml:space="preserve">As one of the directions in which the insurance market could grow is increasingly more complete range of insurance products that meet the needs of society in the field of insurance, addressing topical issues. For example, natural disasters, terrorism or cyber risk insurance often are not a standard product in the insurance policy, however this risk insurance </w:t>
      </w:r>
      <w:proofErr w:type="gramStart"/>
      <w:r w:rsidRPr="00236568">
        <w:rPr>
          <w:rFonts w:ascii="Times New Roman" w:hAnsi="Times New Roman"/>
          <w:color w:val="000000"/>
          <w:sz w:val="24"/>
          <w:szCs w:val="24"/>
          <w:lang w:eastAsia="lv-LV"/>
        </w:rPr>
        <w:t>could be demanded</w:t>
      </w:r>
      <w:proofErr w:type="gramEnd"/>
      <w:r w:rsidRPr="00236568">
        <w:rPr>
          <w:rFonts w:ascii="Times New Roman" w:hAnsi="Times New Roman"/>
          <w:color w:val="000000"/>
          <w:sz w:val="24"/>
          <w:szCs w:val="24"/>
          <w:lang w:eastAsia="lv-LV"/>
        </w:rPr>
        <w:t xml:space="preserve">. Consequently, it </w:t>
      </w:r>
      <w:proofErr w:type="gramStart"/>
      <w:r w:rsidRPr="00236568">
        <w:rPr>
          <w:rFonts w:ascii="Times New Roman" w:hAnsi="Times New Roman"/>
          <w:color w:val="000000"/>
          <w:sz w:val="24"/>
          <w:szCs w:val="24"/>
          <w:lang w:eastAsia="lv-LV"/>
        </w:rPr>
        <w:t>must be assessed</w:t>
      </w:r>
      <w:proofErr w:type="gramEnd"/>
      <w:r w:rsidRPr="00236568">
        <w:rPr>
          <w:rFonts w:ascii="Times New Roman" w:hAnsi="Times New Roman"/>
          <w:color w:val="000000"/>
          <w:sz w:val="24"/>
          <w:szCs w:val="24"/>
          <w:lang w:eastAsia="lv-LV"/>
        </w:rPr>
        <w:t xml:space="preserve"> whether additional action is required in this field.</w:t>
      </w:r>
    </w:p>
    <w:p w14:paraId="38CE2A32" w14:textId="63DC65B9" w:rsidR="00C92772" w:rsidRDefault="00B60D4C" w:rsidP="00DE5FE5">
      <w:pPr>
        <w:spacing w:line="240" w:lineRule="auto"/>
        <w:rPr>
          <w:rFonts w:ascii="Times New Roman" w:hAnsi="Times New Roman"/>
          <w:color w:val="000000"/>
          <w:sz w:val="24"/>
          <w:szCs w:val="24"/>
          <w:lang w:eastAsia="lv-LV"/>
        </w:rPr>
      </w:pPr>
      <w:r w:rsidRPr="00236568">
        <w:rPr>
          <w:rFonts w:ascii="Times New Roman" w:hAnsi="Times New Roman"/>
          <w:color w:val="000000"/>
          <w:sz w:val="24"/>
          <w:szCs w:val="24"/>
          <w:lang w:eastAsia="lv-LV"/>
        </w:rPr>
        <w:lastRenderedPageBreak/>
        <w:t xml:space="preserve">For the development of export growth potential, there is an important role of </w:t>
      </w:r>
      <w:proofErr w:type="gramStart"/>
      <w:r w:rsidRPr="00236568">
        <w:rPr>
          <w:rFonts w:ascii="Times New Roman" w:hAnsi="Times New Roman"/>
          <w:color w:val="000000"/>
          <w:sz w:val="24"/>
          <w:szCs w:val="24"/>
          <w:lang w:eastAsia="lv-LV"/>
        </w:rPr>
        <w:t>export credit guarantee system development</w:t>
      </w:r>
      <w:proofErr w:type="gramEnd"/>
      <w:r w:rsidRPr="00236568">
        <w:rPr>
          <w:rFonts w:ascii="Times New Roman" w:hAnsi="Times New Roman"/>
          <w:color w:val="000000"/>
          <w:sz w:val="24"/>
          <w:szCs w:val="24"/>
          <w:lang w:eastAsia="lv-LV"/>
        </w:rPr>
        <w:t xml:space="preserve">. At present, in the private credit insurance market there is not sufficiently active operation of market -based service providers. This </w:t>
      </w:r>
      <w:proofErr w:type="gramStart"/>
      <w:r w:rsidRPr="00236568">
        <w:rPr>
          <w:rFonts w:ascii="Times New Roman" w:hAnsi="Times New Roman"/>
          <w:color w:val="000000"/>
          <w:sz w:val="24"/>
          <w:szCs w:val="24"/>
          <w:lang w:eastAsia="lv-LV"/>
        </w:rPr>
        <w:t>could be partly explained</w:t>
      </w:r>
      <w:proofErr w:type="gramEnd"/>
      <w:r w:rsidRPr="00236568">
        <w:rPr>
          <w:rFonts w:ascii="Times New Roman" w:hAnsi="Times New Roman"/>
          <w:color w:val="000000"/>
          <w:sz w:val="24"/>
          <w:szCs w:val="24"/>
          <w:lang w:eastAsia="lv-LV"/>
        </w:rPr>
        <w:t xml:space="preserve"> with the small size of Latvian export credit insurance market, which cannot provide appropriate service to requests. Particularly significant market decline </w:t>
      </w:r>
      <w:proofErr w:type="gramStart"/>
      <w:r w:rsidRPr="00236568">
        <w:rPr>
          <w:rFonts w:ascii="Times New Roman" w:hAnsi="Times New Roman"/>
          <w:color w:val="000000"/>
          <w:sz w:val="24"/>
          <w:szCs w:val="24"/>
          <w:lang w:eastAsia="lv-LV"/>
        </w:rPr>
        <w:t>was recorded</w:t>
      </w:r>
      <w:proofErr w:type="gramEnd"/>
      <w:r w:rsidRPr="00236568">
        <w:rPr>
          <w:rFonts w:ascii="Times New Roman" w:hAnsi="Times New Roman"/>
          <w:color w:val="000000"/>
          <w:sz w:val="24"/>
          <w:szCs w:val="24"/>
          <w:lang w:eastAsia="lv-LV"/>
        </w:rPr>
        <w:t xml:space="preserve"> after the financial and economic crisis in 2009. In the context of short-term export credit guarantees, the private credit insurers are selective regarding the relevant geographical areas and sensitive to transient adverse changes in the market. The estimated total amount for which the market does not cover the demand for export credit guarantee industry is estimated at around 14-26 million euro</w:t>
      </w:r>
      <w:r w:rsidRPr="00236568">
        <w:rPr>
          <w:rStyle w:val="FootnoteReference"/>
          <w:rFonts w:ascii="Times New Roman" w:hAnsi="Times New Roman"/>
          <w:color w:val="000000"/>
          <w:sz w:val="24"/>
          <w:szCs w:val="24"/>
          <w:lang w:eastAsia="lv-LV"/>
        </w:rPr>
        <w:footnoteReference w:id="51"/>
      </w:r>
      <w:r w:rsidRPr="00236568">
        <w:rPr>
          <w:rFonts w:ascii="Times New Roman" w:hAnsi="Times New Roman"/>
          <w:color w:val="000000"/>
          <w:sz w:val="24"/>
          <w:szCs w:val="24"/>
          <w:lang w:eastAsia="lv-LV"/>
        </w:rPr>
        <w:t>. Thus for export credit guarantee sector, the market should be developed for medium-term and long-term guarantees, which would cover at least 20 million euro of market failure</w:t>
      </w:r>
      <w:r w:rsidRPr="00236568">
        <w:rPr>
          <w:rStyle w:val="FootnoteReference"/>
          <w:rFonts w:ascii="Times New Roman" w:hAnsi="Times New Roman"/>
          <w:color w:val="000000"/>
          <w:sz w:val="24"/>
          <w:szCs w:val="24"/>
          <w:lang w:eastAsia="lv-LV"/>
        </w:rPr>
        <w:footnoteReference w:id="52"/>
      </w:r>
      <w:r w:rsidRPr="00236568">
        <w:rPr>
          <w:rFonts w:ascii="Times New Roman" w:hAnsi="Times New Roman"/>
          <w:color w:val="000000"/>
          <w:sz w:val="24"/>
          <w:szCs w:val="24"/>
          <w:lang w:eastAsia="lv-LV"/>
        </w:rPr>
        <w:t>.</w:t>
      </w:r>
    </w:p>
    <w:p w14:paraId="19375F9F" w14:textId="247286CE" w:rsidR="00CE6CB9" w:rsidRDefault="00CE6CB9" w:rsidP="00DE5FE5">
      <w:pPr>
        <w:spacing w:line="240" w:lineRule="auto"/>
        <w:rPr>
          <w:rFonts w:ascii="Times New Roman" w:hAnsi="Times New Roman"/>
          <w:color w:val="000000"/>
          <w:sz w:val="24"/>
          <w:szCs w:val="24"/>
          <w:lang w:eastAsia="lv-LV"/>
        </w:rPr>
      </w:pPr>
    </w:p>
    <w:p w14:paraId="58AA64CD" w14:textId="494C973D" w:rsidR="00CE6CB9" w:rsidRDefault="00CE6CB9" w:rsidP="00DE5FE5">
      <w:pPr>
        <w:spacing w:line="240" w:lineRule="auto"/>
        <w:rPr>
          <w:rFonts w:ascii="Times New Roman" w:hAnsi="Times New Roman"/>
          <w:color w:val="000000"/>
          <w:sz w:val="24"/>
          <w:szCs w:val="24"/>
          <w:lang w:eastAsia="lv-LV"/>
        </w:rPr>
      </w:pPr>
    </w:p>
    <w:p w14:paraId="1A52C8E4" w14:textId="1898C3D0" w:rsidR="00CE6CB9" w:rsidRDefault="00CE6CB9" w:rsidP="00DE5FE5">
      <w:pPr>
        <w:spacing w:line="240" w:lineRule="auto"/>
        <w:rPr>
          <w:rFonts w:ascii="Times New Roman" w:hAnsi="Times New Roman"/>
          <w:color w:val="000000"/>
          <w:sz w:val="24"/>
          <w:szCs w:val="24"/>
          <w:lang w:eastAsia="lv-LV"/>
        </w:rPr>
      </w:pPr>
    </w:p>
    <w:p w14:paraId="379CBAD6" w14:textId="36681AFD" w:rsidR="00CE6CB9" w:rsidRDefault="00CE6CB9" w:rsidP="00DE5FE5">
      <w:pPr>
        <w:spacing w:line="240" w:lineRule="auto"/>
        <w:rPr>
          <w:rFonts w:ascii="Times New Roman" w:hAnsi="Times New Roman"/>
          <w:color w:val="000000"/>
          <w:sz w:val="24"/>
          <w:szCs w:val="24"/>
          <w:lang w:eastAsia="lv-LV"/>
        </w:rPr>
      </w:pPr>
    </w:p>
    <w:p w14:paraId="52E03C92" w14:textId="58D9FA67" w:rsidR="00CE6CB9" w:rsidRDefault="00CE6CB9" w:rsidP="00DE5FE5">
      <w:pPr>
        <w:spacing w:line="240" w:lineRule="auto"/>
        <w:rPr>
          <w:rFonts w:ascii="Times New Roman" w:hAnsi="Times New Roman"/>
          <w:color w:val="000000"/>
          <w:sz w:val="24"/>
          <w:szCs w:val="24"/>
          <w:lang w:eastAsia="lv-LV"/>
        </w:rPr>
      </w:pPr>
    </w:p>
    <w:p w14:paraId="3D683183" w14:textId="667AA569" w:rsidR="00CE6CB9" w:rsidRDefault="00CE6CB9" w:rsidP="00DE5FE5">
      <w:pPr>
        <w:spacing w:line="240" w:lineRule="auto"/>
        <w:rPr>
          <w:rFonts w:ascii="Times New Roman" w:hAnsi="Times New Roman"/>
          <w:color w:val="000000"/>
          <w:sz w:val="24"/>
          <w:szCs w:val="24"/>
          <w:lang w:eastAsia="lv-LV"/>
        </w:rPr>
      </w:pPr>
    </w:p>
    <w:p w14:paraId="0A288ACF" w14:textId="2A70BD44" w:rsidR="00CE6CB9" w:rsidRDefault="00CE6CB9" w:rsidP="00DE5FE5">
      <w:pPr>
        <w:spacing w:line="240" w:lineRule="auto"/>
        <w:rPr>
          <w:rFonts w:ascii="Times New Roman" w:hAnsi="Times New Roman"/>
          <w:color w:val="000000"/>
          <w:sz w:val="24"/>
          <w:szCs w:val="24"/>
          <w:lang w:eastAsia="lv-LV"/>
        </w:rPr>
      </w:pPr>
    </w:p>
    <w:p w14:paraId="42199173" w14:textId="05252016" w:rsidR="00CE6CB9" w:rsidRDefault="00CE6CB9" w:rsidP="00DE5FE5">
      <w:pPr>
        <w:spacing w:line="240" w:lineRule="auto"/>
        <w:rPr>
          <w:rFonts w:ascii="Times New Roman" w:hAnsi="Times New Roman"/>
          <w:color w:val="000000"/>
          <w:sz w:val="24"/>
          <w:szCs w:val="24"/>
          <w:lang w:eastAsia="lv-LV"/>
        </w:rPr>
      </w:pPr>
    </w:p>
    <w:p w14:paraId="7C4CAD07" w14:textId="48A91C5B" w:rsidR="00CE6CB9" w:rsidRDefault="00CE6CB9" w:rsidP="00DE5FE5">
      <w:pPr>
        <w:spacing w:line="240" w:lineRule="auto"/>
        <w:rPr>
          <w:rFonts w:ascii="Times New Roman" w:hAnsi="Times New Roman"/>
          <w:color w:val="000000"/>
          <w:sz w:val="24"/>
          <w:szCs w:val="24"/>
          <w:lang w:eastAsia="lv-LV"/>
        </w:rPr>
      </w:pPr>
    </w:p>
    <w:p w14:paraId="1AB1B57D" w14:textId="75764BE4" w:rsidR="00CE6CB9" w:rsidRDefault="00CE6CB9" w:rsidP="00DE5FE5">
      <w:pPr>
        <w:spacing w:line="240" w:lineRule="auto"/>
        <w:rPr>
          <w:rFonts w:ascii="Times New Roman" w:hAnsi="Times New Roman"/>
          <w:color w:val="000000"/>
          <w:sz w:val="24"/>
          <w:szCs w:val="24"/>
          <w:lang w:eastAsia="lv-LV"/>
        </w:rPr>
      </w:pPr>
    </w:p>
    <w:p w14:paraId="564A6456" w14:textId="63BFF2A6" w:rsidR="00CE6CB9" w:rsidRDefault="00CE6CB9" w:rsidP="00DE5FE5">
      <w:pPr>
        <w:spacing w:line="240" w:lineRule="auto"/>
        <w:rPr>
          <w:rFonts w:ascii="Times New Roman" w:hAnsi="Times New Roman"/>
          <w:color w:val="000000"/>
          <w:sz w:val="24"/>
          <w:szCs w:val="24"/>
          <w:lang w:eastAsia="lv-LV"/>
        </w:rPr>
      </w:pPr>
    </w:p>
    <w:p w14:paraId="55CCA318" w14:textId="1BFCCCFF" w:rsidR="00CE6CB9" w:rsidRDefault="00CE6CB9" w:rsidP="00DE5FE5">
      <w:pPr>
        <w:spacing w:line="240" w:lineRule="auto"/>
        <w:rPr>
          <w:rFonts w:ascii="Times New Roman" w:hAnsi="Times New Roman"/>
          <w:color w:val="000000"/>
          <w:sz w:val="24"/>
          <w:szCs w:val="24"/>
          <w:lang w:eastAsia="lv-LV"/>
        </w:rPr>
      </w:pPr>
    </w:p>
    <w:p w14:paraId="4C51127A" w14:textId="604644A1" w:rsidR="00CE6CB9" w:rsidRDefault="00CE6CB9" w:rsidP="00DE5FE5">
      <w:pPr>
        <w:spacing w:line="240" w:lineRule="auto"/>
        <w:rPr>
          <w:rFonts w:ascii="Times New Roman" w:hAnsi="Times New Roman"/>
          <w:color w:val="000000"/>
          <w:sz w:val="24"/>
          <w:szCs w:val="24"/>
          <w:lang w:eastAsia="lv-LV"/>
        </w:rPr>
      </w:pPr>
    </w:p>
    <w:p w14:paraId="02C3C7A8" w14:textId="47175B95" w:rsidR="00CE6CB9" w:rsidRDefault="00CE6CB9" w:rsidP="00DE5FE5">
      <w:pPr>
        <w:spacing w:line="240" w:lineRule="auto"/>
        <w:rPr>
          <w:rFonts w:ascii="Times New Roman" w:hAnsi="Times New Roman"/>
          <w:color w:val="000000"/>
          <w:sz w:val="24"/>
          <w:szCs w:val="24"/>
          <w:lang w:eastAsia="lv-LV"/>
        </w:rPr>
      </w:pPr>
    </w:p>
    <w:p w14:paraId="662130E7" w14:textId="332772AA" w:rsidR="00CE6CB9" w:rsidRDefault="00CE6CB9" w:rsidP="00DE5FE5">
      <w:pPr>
        <w:spacing w:line="240" w:lineRule="auto"/>
        <w:rPr>
          <w:rFonts w:ascii="Times New Roman" w:hAnsi="Times New Roman"/>
          <w:color w:val="000000"/>
          <w:sz w:val="24"/>
          <w:szCs w:val="24"/>
          <w:lang w:eastAsia="lv-LV"/>
        </w:rPr>
      </w:pPr>
    </w:p>
    <w:p w14:paraId="0B66A39A" w14:textId="4FA3FAE5" w:rsidR="00CE6CB9" w:rsidRDefault="00CE6CB9" w:rsidP="00DE5FE5">
      <w:pPr>
        <w:spacing w:line="240" w:lineRule="auto"/>
        <w:rPr>
          <w:rFonts w:ascii="Times New Roman" w:hAnsi="Times New Roman"/>
          <w:color w:val="000000"/>
          <w:sz w:val="24"/>
          <w:szCs w:val="24"/>
          <w:lang w:eastAsia="lv-LV"/>
        </w:rPr>
      </w:pPr>
    </w:p>
    <w:p w14:paraId="60DD06FF" w14:textId="7454D7F7" w:rsidR="00CE6CB9" w:rsidRDefault="00CE6CB9" w:rsidP="00DE5FE5">
      <w:pPr>
        <w:spacing w:line="240" w:lineRule="auto"/>
        <w:rPr>
          <w:rFonts w:ascii="Times New Roman" w:hAnsi="Times New Roman"/>
          <w:color w:val="000000"/>
          <w:sz w:val="24"/>
          <w:szCs w:val="24"/>
          <w:lang w:eastAsia="lv-LV"/>
        </w:rPr>
      </w:pPr>
    </w:p>
    <w:p w14:paraId="75EE12A4" w14:textId="4762672F" w:rsidR="00CE6CB9" w:rsidRDefault="00CE6CB9" w:rsidP="00DE5FE5">
      <w:pPr>
        <w:spacing w:line="240" w:lineRule="auto"/>
        <w:rPr>
          <w:rFonts w:ascii="Times New Roman" w:hAnsi="Times New Roman"/>
          <w:color w:val="000000"/>
          <w:sz w:val="24"/>
          <w:szCs w:val="24"/>
          <w:lang w:eastAsia="lv-LV"/>
        </w:rPr>
      </w:pPr>
    </w:p>
    <w:p w14:paraId="251D3E88" w14:textId="4CD4903C" w:rsidR="00CE6CB9" w:rsidRDefault="00CE6CB9" w:rsidP="00DE5FE5">
      <w:pPr>
        <w:spacing w:line="240" w:lineRule="auto"/>
        <w:rPr>
          <w:rFonts w:ascii="Times New Roman" w:hAnsi="Times New Roman"/>
          <w:color w:val="000000"/>
          <w:sz w:val="24"/>
          <w:szCs w:val="24"/>
          <w:lang w:eastAsia="lv-LV"/>
        </w:rPr>
      </w:pPr>
    </w:p>
    <w:p w14:paraId="11AE2278" w14:textId="70EC525C" w:rsidR="00CE6CB9" w:rsidRDefault="00CE6CB9" w:rsidP="00DE5FE5">
      <w:pPr>
        <w:spacing w:line="240" w:lineRule="auto"/>
        <w:rPr>
          <w:rFonts w:ascii="Times New Roman" w:hAnsi="Times New Roman"/>
          <w:color w:val="000000"/>
          <w:sz w:val="24"/>
          <w:szCs w:val="24"/>
          <w:lang w:eastAsia="lv-LV"/>
        </w:rPr>
      </w:pPr>
    </w:p>
    <w:p w14:paraId="35208C82" w14:textId="11BE2BE4" w:rsidR="00CE6CB9" w:rsidRDefault="00CE6CB9" w:rsidP="00DE5FE5">
      <w:pPr>
        <w:spacing w:line="240" w:lineRule="auto"/>
        <w:rPr>
          <w:rFonts w:ascii="Times New Roman" w:hAnsi="Times New Roman"/>
          <w:color w:val="000000"/>
          <w:sz w:val="24"/>
          <w:szCs w:val="24"/>
          <w:lang w:eastAsia="lv-LV"/>
        </w:rPr>
      </w:pPr>
    </w:p>
    <w:p w14:paraId="47A68E16" w14:textId="4901E043" w:rsidR="00CE6CB9" w:rsidRDefault="00CE6CB9" w:rsidP="00DE5FE5">
      <w:pPr>
        <w:spacing w:line="240" w:lineRule="auto"/>
        <w:rPr>
          <w:rFonts w:ascii="Times New Roman" w:hAnsi="Times New Roman"/>
          <w:color w:val="000000"/>
          <w:sz w:val="24"/>
          <w:szCs w:val="24"/>
          <w:lang w:eastAsia="lv-LV"/>
        </w:rPr>
      </w:pPr>
    </w:p>
    <w:p w14:paraId="255FCFA5" w14:textId="77777777" w:rsidR="00CE6CB9" w:rsidRDefault="00CE6CB9" w:rsidP="00DE5FE5">
      <w:pPr>
        <w:spacing w:line="240" w:lineRule="auto"/>
        <w:rPr>
          <w:rFonts w:ascii="Times New Roman" w:hAnsi="Times New Roman"/>
          <w:color w:val="000000"/>
          <w:sz w:val="24"/>
          <w:szCs w:val="24"/>
          <w:lang w:eastAsia="lv-LV"/>
        </w:rPr>
        <w:sectPr w:rsidR="00CE6CB9" w:rsidSect="00CE6CB9">
          <w:headerReference w:type="default" r:id="rId17"/>
          <w:footerReference w:type="even" r:id="rId18"/>
          <w:footerReference w:type="default" r:id="rId19"/>
          <w:headerReference w:type="first" r:id="rId20"/>
          <w:pgSz w:w="11907" w:h="16840" w:code="9"/>
          <w:pgMar w:top="1418" w:right="1134" w:bottom="1134" w:left="1701" w:header="720" w:footer="720" w:gutter="0"/>
          <w:cols w:space="708"/>
          <w:noEndnote/>
          <w:titlePg/>
          <w:docGrid w:linePitch="299"/>
        </w:sectPr>
      </w:pPr>
    </w:p>
    <w:p w14:paraId="68053FC2" w14:textId="06A28F4A" w:rsidR="00CE6CB9" w:rsidRDefault="00CE6CB9" w:rsidP="00DE5FE5">
      <w:pPr>
        <w:spacing w:line="240" w:lineRule="auto"/>
        <w:rPr>
          <w:rFonts w:ascii="Times New Roman" w:hAnsi="Times New Roman"/>
          <w:color w:val="000000"/>
          <w:sz w:val="24"/>
          <w:szCs w:val="24"/>
          <w:lang w:eastAsia="lv-LV"/>
        </w:rPr>
      </w:pPr>
      <w:bookmarkStart w:id="39" w:name="_GoBack"/>
      <w:bookmarkEnd w:id="39"/>
    </w:p>
    <w:p w14:paraId="3B6C8971" w14:textId="77777777" w:rsidR="00CE6CB9" w:rsidRPr="00CC6B28" w:rsidRDefault="00CE6CB9" w:rsidP="00CE6CB9">
      <w:pPr>
        <w:spacing w:after="0" w:line="240" w:lineRule="auto"/>
        <w:rPr>
          <w:rFonts w:ascii="Times New Roman" w:eastAsia="Times New Roman" w:hAnsi="Times New Roman"/>
          <w:b/>
          <w:bCs/>
          <w:color w:val="000000"/>
          <w:sz w:val="24"/>
          <w:szCs w:val="24"/>
          <w:lang w:eastAsia="lv-LV"/>
        </w:rPr>
      </w:pPr>
    </w:p>
    <w:p w14:paraId="4DE19994" w14:textId="77777777" w:rsidR="00CE6CB9" w:rsidRPr="00CC6B28" w:rsidRDefault="00CE6CB9" w:rsidP="00CE6CB9">
      <w:pPr>
        <w:spacing w:after="0" w:line="240" w:lineRule="auto"/>
        <w:jc w:val="center"/>
        <w:rPr>
          <w:rFonts w:ascii="Times New Roman" w:eastAsia="Times New Roman" w:hAnsi="Times New Roman"/>
          <w:b/>
          <w:bCs/>
          <w:color w:val="000000"/>
          <w:sz w:val="28"/>
          <w:szCs w:val="28"/>
          <w:lang w:eastAsia="lv-LV"/>
        </w:rPr>
      </w:pPr>
      <w:r w:rsidRPr="00CC6B28">
        <w:rPr>
          <w:rFonts w:ascii="Times New Roman" w:eastAsia="Times New Roman" w:hAnsi="Times New Roman"/>
          <w:b/>
          <w:bCs/>
          <w:color w:val="000000"/>
          <w:sz w:val="28"/>
          <w:szCs w:val="28"/>
          <w:lang w:eastAsia="lv-LV"/>
        </w:rPr>
        <w:t>The tasks and measures of the Financial Sector Development Plan 2017 -2019</w:t>
      </w:r>
    </w:p>
    <w:p w14:paraId="62CDA153" w14:textId="77777777" w:rsidR="00CE6CB9" w:rsidRPr="00CC6B28" w:rsidRDefault="00CE6CB9" w:rsidP="00CE6CB9">
      <w:pPr>
        <w:spacing w:before="100" w:beforeAutospacing="1" w:after="100" w:afterAutospacing="1" w:line="240" w:lineRule="auto"/>
        <w:jc w:val="both"/>
        <w:rPr>
          <w:rFonts w:ascii="Times New Roman" w:hAnsi="Times New Roman"/>
          <w:b/>
          <w:sz w:val="28"/>
          <w:szCs w:val="28"/>
        </w:rPr>
      </w:pPr>
    </w:p>
    <w:p w14:paraId="05B2CFD6" w14:textId="77777777" w:rsidR="00CE6CB9" w:rsidRPr="00CC6B28" w:rsidRDefault="00CE6CB9" w:rsidP="00CE6CB9">
      <w:pPr>
        <w:spacing w:before="100" w:beforeAutospacing="1" w:after="100" w:afterAutospacing="1" w:line="240" w:lineRule="auto"/>
        <w:jc w:val="both"/>
        <w:rPr>
          <w:rFonts w:ascii="Times New Roman" w:eastAsia="Times New Roman" w:hAnsi="Times New Roman"/>
          <w:b/>
          <w:color w:val="000000"/>
          <w:sz w:val="24"/>
          <w:szCs w:val="24"/>
          <w:lang w:eastAsia="lv-LV"/>
        </w:rPr>
      </w:pPr>
      <w:r w:rsidRPr="00CC6B28">
        <w:rPr>
          <w:rFonts w:ascii="Times New Roman" w:hAnsi="Times New Roman"/>
          <w:b/>
          <w:sz w:val="24"/>
          <w:szCs w:val="24"/>
        </w:rPr>
        <w:t>Abbreviations used</w:t>
      </w:r>
    </w:p>
    <w:tbl>
      <w:tblPr>
        <w:tblW w:w="0" w:type="auto"/>
        <w:tblLook w:val="01E0" w:firstRow="1" w:lastRow="1" w:firstColumn="1" w:lastColumn="1" w:noHBand="0" w:noVBand="0"/>
      </w:tblPr>
      <w:tblGrid>
        <w:gridCol w:w="2160"/>
        <w:gridCol w:w="7127"/>
      </w:tblGrid>
      <w:tr w:rsidR="00CE6CB9" w:rsidRPr="00CC6B28" w14:paraId="6677B3A7" w14:textId="77777777" w:rsidTr="00155654">
        <w:tc>
          <w:tcPr>
            <w:tcW w:w="2160" w:type="dxa"/>
            <w:shd w:val="clear" w:color="auto" w:fill="auto"/>
          </w:tcPr>
          <w:p w14:paraId="37DC00B0" w14:textId="77777777" w:rsidR="00CE6CB9" w:rsidRPr="00CC6B28" w:rsidRDefault="00CE6CB9" w:rsidP="00155654">
            <w:pPr>
              <w:spacing w:after="0" w:line="240" w:lineRule="auto"/>
              <w:ind w:firstLine="426"/>
              <w:jc w:val="both"/>
              <w:rPr>
                <w:rFonts w:ascii="Times New Roman" w:hAnsi="Times New Roman"/>
                <w:sz w:val="24"/>
                <w:szCs w:val="24"/>
              </w:rPr>
            </w:pPr>
            <w:bookmarkStart w:id="40" w:name="_Toc468715086"/>
            <w:r w:rsidRPr="00CC6B28">
              <w:rPr>
                <w:rFonts w:ascii="Times New Roman" w:hAnsi="Times New Roman"/>
                <w:sz w:val="24"/>
                <w:szCs w:val="24"/>
              </w:rPr>
              <w:t>ALTUM</w:t>
            </w:r>
          </w:p>
          <w:p w14:paraId="0E131F6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ĀM</w:t>
            </w:r>
          </w:p>
          <w:p w14:paraId="0EA8867E"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CSDD</w:t>
            </w:r>
          </w:p>
          <w:p w14:paraId="723C3B9B"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DP</w:t>
            </w:r>
          </w:p>
          <w:p w14:paraId="0BC78D1E"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EM</w:t>
            </w:r>
          </w:p>
          <w:p w14:paraId="017D694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ES</w:t>
            </w:r>
          </w:p>
          <w:p w14:paraId="433C972B"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ĢP</w:t>
            </w:r>
          </w:p>
          <w:p w14:paraId="06802651"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FKTK</w:t>
            </w:r>
          </w:p>
          <w:p w14:paraId="7D4A9A42"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FM</w:t>
            </w:r>
          </w:p>
        </w:tc>
        <w:tc>
          <w:tcPr>
            <w:tcW w:w="7127" w:type="dxa"/>
            <w:shd w:val="clear" w:color="auto" w:fill="auto"/>
          </w:tcPr>
          <w:p w14:paraId="320CD5F5" w14:textId="77777777" w:rsidR="00CE6CB9" w:rsidRPr="00CC6B28" w:rsidRDefault="00CE6CB9" w:rsidP="00155654">
            <w:pPr>
              <w:spacing w:after="0" w:line="240" w:lineRule="auto"/>
              <w:ind w:firstLine="426"/>
              <w:jc w:val="both"/>
              <w:rPr>
                <w:rFonts w:ascii="Times New Roman" w:hAnsi="Times New Roman"/>
                <w:sz w:val="24"/>
                <w:szCs w:val="24"/>
                <w:shd w:val="clear" w:color="auto" w:fill="FEFEFE"/>
              </w:rPr>
            </w:pPr>
            <w:r w:rsidRPr="00CC6B28">
              <w:rPr>
                <w:rFonts w:ascii="Times New Roman" w:hAnsi="Times New Roman"/>
                <w:sz w:val="24"/>
                <w:szCs w:val="24"/>
                <w:shd w:val="clear" w:color="auto" w:fill="FEFEFE"/>
              </w:rPr>
              <w:t xml:space="preserve">JSC "Development of financial institution </w:t>
            </w:r>
            <w:proofErr w:type="spellStart"/>
            <w:r w:rsidRPr="00CC6B28">
              <w:rPr>
                <w:rFonts w:ascii="Times New Roman" w:hAnsi="Times New Roman"/>
                <w:sz w:val="24"/>
                <w:szCs w:val="24"/>
                <w:shd w:val="clear" w:color="auto" w:fill="FEFEFE"/>
              </w:rPr>
              <w:t>Altum</w:t>
            </w:r>
            <w:proofErr w:type="spellEnd"/>
            <w:r w:rsidRPr="00CC6B28">
              <w:rPr>
                <w:rFonts w:ascii="Times New Roman" w:hAnsi="Times New Roman"/>
                <w:sz w:val="24"/>
                <w:szCs w:val="24"/>
                <w:shd w:val="clear" w:color="auto" w:fill="FEFEFE"/>
              </w:rPr>
              <w:t>"</w:t>
            </w:r>
          </w:p>
          <w:p w14:paraId="3178D4C6" w14:textId="77777777" w:rsidR="00CE6CB9" w:rsidRPr="00CC6B28" w:rsidRDefault="00CE6CB9" w:rsidP="00155654">
            <w:pPr>
              <w:spacing w:after="0" w:line="240" w:lineRule="auto"/>
              <w:ind w:firstLine="426"/>
              <w:jc w:val="both"/>
              <w:rPr>
                <w:rFonts w:ascii="Times New Roman" w:hAnsi="Times New Roman"/>
                <w:sz w:val="24"/>
                <w:szCs w:val="24"/>
                <w:shd w:val="clear" w:color="auto" w:fill="FEFEFE"/>
              </w:rPr>
            </w:pPr>
            <w:r w:rsidRPr="00CC6B28">
              <w:rPr>
                <w:rFonts w:ascii="Times New Roman" w:hAnsi="Times New Roman"/>
                <w:sz w:val="24"/>
                <w:szCs w:val="24"/>
                <w:shd w:val="clear" w:color="auto" w:fill="FEFEFE"/>
              </w:rPr>
              <w:t>Ministry of Foreign Affairs</w:t>
            </w:r>
          </w:p>
          <w:p w14:paraId="03876F53" w14:textId="77777777" w:rsidR="00CE6CB9" w:rsidRPr="00CC6B28" w:rsidRDefault="00CE6CB9" w:rsidP="00155654">
            <w:pPr>
              <w:spacing w:after="0" w:line="240" w:lineRule="auto"/>
              <w:ind w:firstLine="426"/>
              <w:jc w:val="both"/>
              <w:rPr>
                <w:rFonts w:ascii="Times New Roman" w:hAnsi="Times New Roman"/>
                <w:sz w:val="24"/>
                <w:szCs w:val="24"/>
                <w:shd w:val="clear" w:color="auto" w:fill="FEFEFE"/>
              </w:rPr>
            </w:pPr>
            <w:r w:rsidRPr="00CC6B28">
              <w:rPr>
                <w:rFonts w:ascii="Times New Roman" w:hAnsi="Times New Roman"/>
                <w:sz w:val="24"/>
                <w:szCs w:val="24"/>
                <w:shd w:val="clear" w:color="auto" w:fill="FEFEFE"/>
              </w:rPr>
              <w:t>Joint Stock Company "Road Traffic Safety Directorate"</w:t>
            </w:r>
          </w:p>
          <w:p w14:paraId="7DC669E3" w14:textId="77777777" w:rsidR="00CE6CB9" w:rsidRPr="00CC6B28" w:rsidRDefault="00CE6CB9" w:rsidP="00155654">
            <w:pPr>
              <w:spacing w:after="0" w:line="240" w:lineRule="auto"/>
              <w:ind w:firstLine="426"/>
              <w:jc w:val="both"/>
              <w:rPr>
                <w:rFonts w:ascii="Times New Roman" w:hAnsi="Times New Roman"/>
                <w:sz w:val="24"/>
                <w:szCs w:val="24"/>
                <w:shd w:val="clear" w:color="auto" w:fill="FEFEFE"/>
              </w:rPr>
            </w:pPr>
            <w:r w:rsidRPr="00CC6B28">
              <w:rPr>
                <w:rFonts w:ascii="Times New Roman" w:hAnsi="Times New Roman"/>
                <w:sz w:val="24"/>
                <w:szCs w:val="24"/>
                <w:shd w:val="clear" w:color="auto" w:fill="FEFEFE"/>
              </w:rPr>
              <w:t>The Security Police</w:t>
            </w:r>
          </w:p>
          <w:p w14:paraId="3FD92625" w14:textId="77777777" w:rsidR="00CE6CB9" w:rsidRPr="00CC6B28" w:rsidRDefault="00CE6CB9" w:rsidP="00155654">
            <w:pPr>
              <w:spacing w:after="0" w:line="240" w:lineRule="auto"/>
              <w:ind w:firstLine="426"/>
              <w:jc w:val="both"/>
              <w:rPr>
                <w:rFonts w:ascii="Times New Roman" w:hAnsi="Times New Roman"/>
                <w:sz w:val="24"/>
                <w:szCs w:val="24"/>
                <w:shd w:val="clear" w:color="auto" w:fill="FEFEFE"/>
              </w:rPr>
            </w:pPr>
            <w:r w:rsidRPr="00CC6B28">
              <w:rPr>
                <w:rFonts w:ascii="Times New Roman" w:hAnsi="Times New Roman"/>
                <w:sz w:val="24"/>
                <w:szCs w:val="24"/>
                <w:shd w:val="clear" w:color="auto" w:fill="FEFEFE"/>
              </w:rPr>
              <w:t>Ministry of Economics</w:t>
            </w:r>
          </w:p>
          <w:p w14:paraId="08993CE0" w14:textId="77777777" w:rsidR="00CE6CB9" w:rsidRPr="00CC6B28" w:rsidRDefault="00CE6CB9" w:rsidP="00155654">
            <w:pPr>
              <w:spacing w:after="0" w:line="240" w:lineRule="auto"/>
              <w:ind w:firstLine="426"/>
              <w:jc w:val="both"/>
              <w:rPr>
                <w:rFonts w:ascii="Times New Roman" w:hAnsi="Times New Roman"/>
                <w:sz w:val="24"/>
                <w:szCs w:val="24"/>
                <w:shd w:val="clear" w:color="auto" w:fill="FEFEFE"/>
              </w:rPr>
            </w:pPr>
            <w:r w:rsidRPr="00CC6B28">
              <w:rPr>
                <w:rFonts w:ascii="Times New Roman" w:hAnsi="Times New Roman"/>
                <w:sz w:val="24"/>
                <w:szCs w:val="24"/>
                <w:shd w:val="clear" w:color="auto" w:fill="FEFEFE"/>
              </w:rPr>
              <w:t>The European Union</w:t>
            </w:r>
          </w:p>
          <w:p w14:paraId="79C11245" w14:textId="77777777" w:rsidR="00CE6CB9" w:rsidRPr="00CC6B28" w:rsidRDefault="00CE6CB9" w:rsidP="00155654">
            <w:pPr>
              <w:spacing w:after="0" w:line="240" w:lineRule="auto"/>
              <w:ind w:firstLine="426"/>
              <w:jc w:val="both"/>
              <w:rPr>
                <w:rFonts w:ascii="Times New Roman" w:hAnsi="Times New Roman"/>
                <w:sz w:val="24"/>
                <w:szCs w:val="24"/>
                <w:shd w:val="clear" w:color="auto" w:fill="FEFEFE"/>
              </w:rPr>
            </w:pPr>
            <w:r w:rsidRPr="00CC6B28">
              <w:rPr>
                <w:rFonts w:ascii="Times New Roman" w:hAnsi="Times New Roman"/>
                <w:sz w:val="24"/>
                <w:szCs w:val="24"/>
                <w:shd w:val="clear" w:color="auto" w:fill="FEFEFE"/>
              </w:rPr>
              <w:t>Prosecutor General's Office</w:t>
            </w:r>
          </w:p>
          <w:p w14:paraId="7EE6EA68" w14:textId="77777777" w:rsidR="00CE6CB9" w:rsidRPr="00CC6B28" w:rsidRDefault="00CE6CB9" w:rsidP="00155654">
            <w:pPr>
              <w:spacing w:after="0" w:line="240" w:lineRule="auto"/>
              <w:ind w:firstLine="426"/>
              <w:jc w:val="both"/>
              <w:rPr>
                <w:rFonts w:ascii="Times New Roman" w:hAnsi="Times New Roman"/>
                <w:sz w:val="24"/>
                <w:szCs w:val="24"/>
                <w:shd w:val="clear" w:color="auto" w:fill="FEFEFE"/>
              </w:rPr>
            </w:pPr>
            <w:r w:rsidRPr="00CC6B28">
              <w:rPr>
                <w:rFonts w:ascii="Times New Roman" w:hAnsi="Times New Roman"/>
                <w:sz w:val="24"/>
                <w:szCs w:val="24"/>
                <w:shd w:val="clear" w:color="auto" w:fill="FEFEFE"/>
              </w:rPr>
              <w:t>The Financial and Capital Market Commission</w:t>
            </w:r>
          </w:p>
          <w:p w14:paraId="7BBB960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shd w:val="clear" w:color="auto" w:fill="FEFEFE"/>
              </w:rPr>
              <w:t>Ministry of Finance</w:t>
            </w:r>
          </w:p>
        </w:tc>
      </w:tr>
      <w:tr w:rsidR="00CE6CB9" w:rsidRPr="00CC6B28" w14:paraId="015EA1F0" w14:textId="77777777" w:rsidTr="00155654">
        <w:tc>
          <w:tcPr>
            <w:tcW w:w="2160" w:type="dxa"/>
            <w:shd w:val="clear" w:color="auto" w:fill="auto"/>
          </w:tcPr>
          <w:p w14:paraId="19340C86"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FSAP</w:t>
            </w:r>
          </w:p>
        </w:tc>
        <w:tc>
          <w:tcPr>
            <w:tcW w:w="7127" w:type="dxa"/>
            <w:shd w:val="clear" w:color="auto" w:fill="auto"/>
          </w:tcPr>
          <w:p w14:paraId="7CD13802"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Financial Sector Development Council</w:t>
            </w:r>
          </w:p>
        </w:tc>
      </w:tr>
      <w:tr w:rsidR="00CE6CB9" w:rsidRPr="00CC6B28" w14:paraId="50645188" w14:textId="77777777" w:rsidTr="00155654">
        <w:tc>
          <w:tcPr>
            <w:tcW w:w="2160" w:type="dxa"/>
            <w:shd w:val="clear" w:color="auto" w:fill="auto"/>
          </w:tcPr>
          <w:p w14:paraId="26771562" w14:textId="77777777" w:rsidR="00CE6CB9" w:rsidRPr="00CC6B28" w:rsidRDefault="00CE6CB9" w:rsidP="00155654">
            <w:pPr>
              <w:spacing w:after="0" w:line="240" w:lineRule="auto"/>
              <w:ind w:firstLine="426"/>
              <w:jc w:val="both"/>
              <w:rPr>
                <w:rFonts w:ascii="Times New Roman" w:hAnsi="Times New Roman"/>
                <w:sz w:val="24"/>
                <w:szCs w:val="24"/>
              </w:rPr>
            </w:pPr>
            <w:proofErr w:type="spellStart"/>
            <w:r w:rsidRPr="00CC6B28">
              <w:rPr>
                <w:rFonts w:ascii="Times New Roman" w:hAnsi="Times New Roman"/>
                <w:sz w:val="24"/>
                <w:szCs w:val="24"/>
              </w:rPr>
              <w:t>IeM</w:t>
            </w:r>
            <w:proofErr w:type="spellEnd"/>
          </w:p>
        </w:tc>
        <w:tc>
          <w:tcPr>
            <w:tcW w:w="7127" w:type="dxa"/>
            <w:shd w:val="clear" w:color="auto" w:fill="auto"/>
          </w:tcPr>
          <w:p w14:paraId="417C15FD"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Ministry of Interior</w:t>
            </w:r>
          </w:p>
        </w:tc>
      </w:tr>
      <w:tr w:rsidR="00CE6CB9" w:rsidRPr="00CC6B28" w14:paraId="0A460C4A" w14:textId="77777777" w:rsidTr="00155654">
        <w:tc>
          <w:tcPr>
            <w:tcW w:w="2160" w:type="dxa"/>
            <w:shd w:val="clear" w:color="auto" w:fill="auto"/>
          </w:tcPr>
          <w:p w14:paraId="33989CA2"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IZM</w:t>
            </w:r>
          </w:p>
        </w:tc>
        <w:tc>
          <w:tcPr>
            <w:tcW w:w="7127" w:type="dxa"/>
            <w:shd w:val="clear" w:color="auto" w:fill="auto"/>
          </w:tcPr>
          <w:p w14:paraId="00BDBE9C"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 xml:space="preserve">Ministry of Science and Education </w:t>
            </w:r>
          </w:p>
        </w:tc>
      </w:tr>
      <w:tr w:rsidR="00CE6CB9" w:rsidRPr="00CC6B28" w14:paraId="42DEB4F1" w14:textId="77777777" w:rsidTr="00155654">
        <w:tc>
          <w:tcPr>
            <w:tcW w:w="2160" w:type="dxa"/>
            <w:shd w:val="clear" w:color="auto" w:fill="auto"/>
          </w:tcPr>
          <w:p w14:paraId="3C522D67"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KAA</w:t>
            </w:r>
          </w:p>
        </w:tc>
        <w:tc>
          <w:tcPr>
            <w:tcW w:w="7127" w:type="dxa"/>
            <w:shd w:val="clear" w:color="auto" w:fill="auto"/>
          </w:tcPr>
          <w:p w14:paraId="37A4A870"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Credit Union Association</w:t>
            </w:r>
          </w:p>
        </w:tc>
      </w:tr>
      <w:tr w:rsidR="00CE6CB9" w:rsidRPr="00CC6B28" w14:paraId="4574946C" w14:textId="77777777" w:rsidTr="00155654">
        <w:tc>
          <w:tcPr>
            <w:tcW w:w="2160" w:type="dxa"/>
            <w:shd w:val="clear" w:color="auto" w:fill="auto"/>
          </w:tcPr>
          <w:p w14:paraId="74D05CBC"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KD</w:t>
            </w:r>
          </w:p>
        </w:tc>
        <w:tc>
          <w:tcPr>
            <w:tcW w:w="7127" w:type="dxa"/>
            <w:shd w:val="clear" w:color="auto" w:fill="auto"/>
          </w:tcPr>
          <w:p w14:paraId="78829AAB"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 xml:space="preserve">Money Laundering Prevention Service </w:t>
            </w:r>
          </w:p>
        </w:tc>
      </w:tr>
      <w:tr w:rsidR="00CE6CB9" w:rsidRPr="00CC6B28" w14:paraId="0CCD1ECB" w14:textId="77777777" w:rsidTr="00155654">
        <w:tc>
          <w:tcPr>
            <w:tcW w:w="2160" w:type="dxa"/>
            <w:shd w:val="clear" w:color="auto" w:fill="auto"/>
          </w:tcPr>
          <w:p w14:paraId="246EC84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KNAB</w:t>
            </w:r>
          </w:p>
        </w:tc>
        <w:tc>
          <w:tcPr>
            <w:tcW w:w="7127" w:type="dxa"/>
            <w:shd w:val="clear" w:color="auto" w:fill="auto"/>
          </w:tcPr>
          <w:p w14:paraId="49062BDA"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Corruption Prevention and Combating Bureau</w:t>
            </w:r>
          </w:p>
        </w:tc>
      </w:tr>
      <w:tr w:rsidR="00CE6CB9" w:rsidRPr="00CC6B28" w14:paraId="12E30996" w14:textId="77777777" w:rsidTr="00155654">
        <w:tc>
          <w:tcPr>
            <w:tcW w:w="2160" w:type="dxa"/>
            <w:shd w:val="clear" w:color="auto" w:fill="auto"/>
          </w:tcPr>
          <w:p w14:paraId="342307FF"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LAA</w:t>
            </w:r>
          </w:p>
        </w:tc>
        <w:tc>
          <w:tcPr>
            <w:tcW w:w="7127" w:type="dxa"/>
            <w:shd w:val="clear" w:color="auto" w:fill="auto"/>
          </w:tcPr>
          <w:p w14:paraId="3EF6889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 xml:space="preserve">Latvian Association of </w:t>
            </w:r>
            <w:proofErr w:type="spellStart"/>
            <w:r w:rsidRPr="00CC6B28">
              <w:rPr>
                <w:rFonts w:ascii="Times New Roman" w:hAnsi="Times New Roman"/>
                <w:sz w:val="24"/>
                <w:szCs w:val="24"/>
              </w:rPr>
              <w:t>Insuarers</w:t>
            </w:r>
            <w:proofErr w:type="spellEnd"/>
          </w:p>
        </w:tc>
      </w:tr>
      <w:tr w:rsidR="00CE6CB9" w:rsidRPr="00CC6B28" w14:paraId="56235250" w14:textId="77777777" w:rsidTr="00155654">
        <w:tc>
          <w:tcPr>
            <w:tcW w:w="2160" w:type="dxa"/>
            <w:shd w:val="clear" w:color="auto" w:fill="auto"/>
          </w:tcPr>
          <w:p w14:paraId="2AF3753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LAFPA</w:t>
            </w:r>
          </w:p>
        </w:tc>
        <w:tc>
          <w:tcPr>
            <w:tcW w:w="7127" w:type="dxa"/>
            <w:shd w:val="clear" w:color="auto" w:fill="auto"/>
          </w:tcPr>
          <w:p w14:paraId="58E4A1E2"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Latvian Association of Alternative Financial Services</w:t>
            </w:r>
          </w:p>
        </w:tc>
      </w:tr>
      <w:tr w:rsidR="00CE6CB9" w:rsidRPr="00CC6B28" w14:paraId="00396773" w14:textId="77777777" w:rsidTr="00155654">
        <w:tc>
          <w:tcPr>
            <w:tcW w:w="2160" w:type="dxa"/>
            <w:shd w:val="clear" w:color="auto" w:fill="auto"/>
          </w:tcPr>
          <w:p w14:paraId="2419A087"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LB</w:t>
            </w:r>
          </w:p>
          <w:p w14:paraId="0630303E"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LIAA</w:t>
            </w:r>
          </w:p>
        </w:tc>
        <w:tc>
          <w:tcPr>
            <w:tcW w:w="7127" w:type="dxa"/>
            <w:shd w:val="clear" w:color="auto" w:fill="auto"/>
          </w:tcPr>
          <w:p w14:paraId="01B75BCC"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Bank of Latvia</w:t>
            </w:r>
          </w:p>
          <w:p w14:paraId="7249471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shd w:val="clear" w:color="auto" w:fill="FFFFFF"/>
              </w:rPr>
              <w:t>Latvian Investment and Development Agency</w:t>
            </w:r>
          </w:p>
        </w:tc>
      </w:tr>
      <w:tr w:rsidR="00CE6CB9" w:rsidRPr="00CC6B28" w14:paraId="609ABD73" w14:textId="77777777" w:rsidTr="00155654">
        <w:tc>
          <w:tcPr>
            <w:tcW w:w="2160" w:type="dxa"/>
            <w:shd w:val="clear" w:color="auto" w:fill="auto"/>
          </w:tcPr>
          <w:p w14:paraId="3542576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LKA</w:t>
            </w:r>
          </w:p>
        </w:tc>
        <w:tc>
          <w:tcPr>
            <w:tcW w:w="7127" w:type="dxa"/>
            <w:shd w:val="clear" w:color="auto" w:fill="auto"/>
          </w:tcPr>
          <w:p w14:paraId="4D200633"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Latvian Association of Commercial Banks</w:t>
            </w:r>
          </w:p>
        </w:tc>
      </w:tr>
      <w:tr w:rsidR="00CE6CB9" w:rsidRPr="00CC6B28" w14:paraId="794D77AA" w14:textId="77777777" w:rsidTr="00155654">
        <w:tc>
          <w:tcPr>
            <w:tcW w:w="2160" w:type="dxa"/>
            <w:shd w:val="clear" w:color="auto" w:fill="auto"/>
          </w:tcPr>
          <w:p w14:paraId="2B62C656"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LKKSS</w:t>
            </w:r>
          </w:p>
        </w:tc>
        <w:tc>
          <w:tcPr>
            <w:tcW w:w="7127" w:type="dxa"/>
            <w:shd w:val="clear" w:color="auto" w:fill="auto"/>
          </w:tcPr>
          <w:p w14:paraId="075F97C1"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Latvian Association of Cooperative Credit Unions</w:t>
            </w:r>
          </w:p>
        </w:tc>
      </w:tr>
      <w:tr w:rsidR="00CE6CB9" w:rsidRPr="00CC6B28" w14:paraId="4A6F9D8C" w14:textId="77777777" w:rsidTr="00155654">
        <w:tc>
          <w:tcPr>
            <w:tcW w:w="2160" w:type="dxa"/>
            <w:shd w:val="clear" w:color="auto" w:fill="auto"/>
          </w:tcPr>
          <w:p w14:paraId="2BF4A993"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LM</w:t>
            </w:r>
          </w:p>
          <w:p w14:paraId="641A26C5"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LMENA</w:t>
            </w:r>
          </w:p>
          <w:p w14:paraId="5A4E4083" w14:textId="77777777" w:rsidR="00CE6CB9" w:rsidRPr="00CC6B28" w:rsidRDefault="00CE6CB9" w:rsidP="00155654">
            <w:pPr>
              <w:spacing w:after="0" w:line="240" w:lineRule="auto"/>
              <w:ind w:firstLine="426"/>
              <w:jc w:val="both"/>
              <w:rPr>
                <w:rFonts w:ascii="Times New Roman" w:hAnsi="Times New Roman"/>
                <w:sz w:val="24"/>
                <w:szCs w:val="24"/>
              </w:rPr>
            </w:pPr>
          </w:p>
          <w:p w14:paraId="070DBF7B"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LTAB</w:t>
            </w:r>
          </w:p>
          <w:p w14:paraId="357775A6" w14:textId="77777777" w:rsidR="00CE6CB9" w:rsidRPr="00CC6B28" w:rsidRDefault="00CE6CB9" w:rsidP="00155654">
            <w:pPr>
              <w:spacing w:after="0" w:line="240" w:lineRule="auto"/>
              <w:ind w:firstLine="426"/>
              <w:jc w:val="both"/>
              <w:rPr>
                <w:rFonts w:ascii="Times New Roman" w:hAnsi="Times New Roman"/>
                <w:color w:val="000000"/>
                <w:sz w:val="24"/>
                <w:szCs w:val="24"/>
                <w:lang w:eastAsia="lv-LV"/>
              </w:rPr>
            </w:pPr>
            <w:r w:rsidRPr="00CC6B28">
              <w:rPr>
                <w:rFonts w:ascii="Times New Roman" w:hAnsi="Times New Roman"/>
                <w:color w:val="000000"/>
                <w:sz w:val="24"/>
                <w:szCs w:val="24"/>
                <w:lang w:eastAsia="lv-LV"/>
              </w:rPr>
              <w:t>MONEYVAL</w:t>
            </w:r>
          </w:p>
          <w:p w14:paraId="42E94256" w14:textId="77777777" w:rsidR="00CE6CB9" w:rsidRPr="00CC6B28" w:rsidRDefault="00CE6CB9" w:rsidP="00155654">
            <w:pPr>
              <w:spacing w:after="0" w:line="240" w:lineRule="auto"/>
              <w:ind w:firstLine="426"/>
              <w:jc w:val="both"/>
              <w:rPr>
                <w:rFonts w:ascii="Times New Roman" w:hAnsi="Times New Roman"/>
                <w:color w:val="000000"/>
                <w:sz w:val="24"/>
                <w:szCs w:val="24"/>
                <w:lang w:eastAsia="lv-LV"/>
              </w:rPr>
            </w:pPr>
          </w:p>
          <w:p w14:paraId="09A2BFB4" w14:textId="77777777" w:rsidR="00CE6CB9" w:rsidRPr="00CC6B28" w:rsidRDefault="00CE6CB9" w:rsidP="00155654">
            <w:pPr>
              <w:spacing w:after="0" w:line="240" w:lineRule="auto"/>
              <w:ind w:firstLine="426"/>
              <w:jc w:val="both"/>
              <w:rPr>
                <w:rFonts w:ascii="Times New Roman" w:hAnsi="Times New Roman"/>
                <w:color w:val="000000"/>
                <w:sz w:val="24"/>
                <w:szCs w:val="24"/>
                <w:lang w:eastAsia="lv-LV"/>
              </w:rPr>
            </w:pPr>
            <w:r w:rsidRPr="00CC6B28">
              <w:rPr>
                <w:rFonts w:ascii="Times New Roman" w:hAnsi="Times New Roman"/>
                <w:color w:val="000000"/>
                <w:sz w:val="24"/>
                <w:szCs w:val="24"/>
                <w:lang w:eastAsia="lv-LV"/>
              </w:rPr>
              <w:t>Nasdaq Riga</w:t>
            </w:r>
          </w:p>
          <w:p w14:paraId="43A1036E" w14:textId="77777777" w:rsidR="00CE6CB9" w:rsidRPr="00CC6B28" w:rsidRDefault="00CE6CB9" w:rsidP="00155654">
            <w:pPr>
              <w:spacing w:after="0" w:line="240" w:lineRule="auto"/>
              <w:ind w:firstLine="426"/>
              <w:jc w:val="both"/>
              <w:rPr>
                <w:rFonts w:ascii="Times New Roman" w:hAnsi="Times New Roman"/>
                <w:color w:val="000000"/>
                <w:sz w:val="24"/>
                <w:szCs w:val="24"/>
                <w:lang w:eastAsia="lv-LV"/>
              </w:rPr>
            </w:pPr>
            <w:r w:rsidRPr="00CC6B28">
              <w:rPr>
                <w:rFonts w:ascii="Times New Roman" w:hAnsi="Times New Roman"/>
                <w:color w:val="000000"/>
                <w:sz w:val="24"/>
                <w:szCs w:val="24"/>
                <w:lang w:eastAsia="lv-LV"/>
              </w:rPr>
              <w:t>NILLTFN</w:t>
            </w:r>
          </w:p>
          <w:p w14:paraId="130D5ECB" w14:textId="77777777" w:rsidR="00CE6CB9" w:rsidRPr="00CC6B28" w:rsidRDefault="00CE6CB9" w:rsidP="00155654">
            <w:pPr>
              <w:spacing w:after="0" w:line="240" w:lineRule="auto"/>
              <w:ind w:firstLine="426"/>
              <w:jc w:val="both"/>
              <w:rPr>
                <w:rFonts w:ascii="Times New Roman" w:hAnsi="Times New Roman"/>
                <w:color w:val="000000"/>
                <w:sz w:val="24"/>
                <w:szCs w:val="24"/>
                <w:lang w:eastAsia="lv-LV"/>
              </w:rPr>
            </w:pPr>
          </w:p>
          <w:p w14:paraId="02FA3E55"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NVD</w:t>
            </w:r>
          </w:p>
          <w:p w14:paraId="5535F947"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OECD</w:t>
            </w:r>
          </w:p>
        </w:tc>
        <w:tc>
          <w:tcPr>
            <w:tcW w:w="7127" w:type="dxa"/>
            <w:shd w:val="clear" w:color="auto" w:fill="auto"/>
          </w:tcPr>
          <w:p w14:paraId="12A8EDB1" w14:textId="77777777" w:rsidR="00CE6CB9" w:rsidRPr="00CC6B28" w:rsidRDefault="00CE6CB9" w:rsidP="00155654">
            <w:pPr>
              <w:spacing w:after="0" w:line="240" w:lineRule="auto"/>
              <w:ind w:firstLine="426"/>
              <w:jc w:val="both"/>
              <w:rPr>
                <w:rFonts w:ascii="Times New Roman" w:hAnsi="Times New Roman"/>
                <w:bCs/>
                <w:sz w:val="24"/>
                <w:szCs w:val="24"/>
              </w:rPr>
            </w:pPr>
            <w:r w:rsidRPr="00CC6B28">
              <w:rPr>
                <w:rFonts w:ascii="Times New Roman" w:hAnsi="Times New Roman"/>
                <w:bCs/>
                <w:sz w:val="24"/>
                <w:szCs w:val="24"/>
              </w:rPr>
              <w:t>Ministry of Welfare</w:t>
            </w:r>
          </w:p>
          <w:p w14:paraId="75B3620F" w14:textId="77777777" w:rsidR="00CE6CB9" w:rsidRPr="00CC6B28" w:rsidRDefault="00CE6CB9" w:rsidP="00155654">
            <w:pPr>
              <w:spacing w:after="0" w:line="240" w:lineRule="auto"/>
              <w:ind w:left="392"/>
              <w:jc w:val="both"/>
              <w:rPr>
                <w:rFonts w:ascii="Times New Roman" w:hAnsi="Times New Roman"/>
                <w:sz w:val="24"/>
                <w:szCs w:val="24"/>
              </w:rPr>
            </w:pPr>
            <w:r w:rsidRPr="00CC6B28">
              <w:rPr>
                <w:rFonts w:ascii="Times New Roman" w:hAnsi="Times New Roman"/>
                <w:bCs/>
                <w:sz w:val="24"/>
                <w:szCs w:val="24"/>
              </w:rPr>
              <w:t xml:space="preserve">Latvian Payment Services and Electronic Money  </w:t>
            </w:r>
            <w:proofErr w:type="spellStart"/>
            <w:r w:rsidRPr="00CC6B28">
              <w:rPr>
                <w:rFonts w:ascii="Times New Roman" w:hAnsi="Times New Roman"/>
                <w:bCs/>
                <w:sz w:val="24"/>
                <w:szCs w:val="24"/>
              </w:rPr>
              <w:t>Insitutions</w:t>
            </w:r>
            <w:proofErr w:type="spellEnd"/>
            <w:r w:rsidRPr="00CC6B28">
              <w:rPr>
                <w:rFonts w:ascii="Times New Roman" w:hAnsi="Times New Roman"/>
                <w:bCs/>
                <w:sz w:val="24"/>
                <w:szCs w:val="24"/>
              </w:rPr>
              <w:t xml:space="preserve"> Association</w:t>
            </w:r>
          </w:p>
          <w:p w14:paraId="7DC5D394" w14:textId="77777777" w:rsidR="00CE6CB9" w:rsidRPr="00CC6B28" w:rsidRDefault="00CE6CB9" w:rsidP="00155654">
            <w:pPr>
              <w:spacing w:after="0" w:line="240" w:lineRule="auto"/>
              <w:ind w:left="392"/>
              <w:jc w:val="both"/>
              <w:rPr>
                <w:rFonts w:ascii="Times New Roman" w:hAnsi="Times New Roman"/>
                <w:sz w:val="24"/>
                <w:szCs w:val="24"/>
              </w:rPr>
            </w:pPr>
            <w:r w:rsidRPr="00CC6B28">
              <w:rPr>
                <w:rFonts w:ascii="Times New Roman" w:hAnsi="Times New Roman"/>
                <w:sz w:val="24"/>
                <w:szCs w:val="24"/>
                <w:shd w:val="clear" w:color="auto" w:fill="FFFFFF"/>
              </w:rPr>
              <w:t>Latvian Motor Insurers’ Bureau</w:t>
            </w:r>
          </w:p>
          <w:p w14:paraId="2952D7F7" w14:textId="77777777" w:rsidR="00CE6CB9" w:rsidRPr="00CC6B28" w:rsidRDefault="00CE6CB9" w:rsidP="00155654">
            <w:pPr>
              <w:spacing w:after="0" w:line="240" w:lineRule="auto"/>
              <w:ind w:left="392"/>
              <w:jc w:val="both"/>
              <w:rPr>
                <w:rFonts w:ascii="Times New Roman" w:hAnsi="Times New Roman"/>
                <w:bCs/>
                <w:sz w:val="24"/>
                <w:szCs w:val="24"/>
              </w:rPr>
            </w:pPr>
            <w:r w:rsidRPr="00CC6B28">
              <w:rPr>
                <w:rFonts w:ascii="Times New Roman" w:hAnsi="Times New Roman"/>
                <w:sz w:val="24"/>
                <w:szCs w:val="24"/>
              </w:rPr>
              <w:t>Committee of experts on the evaluation of anti-money laundering measures and the financing of terrorism</w:t>
            </w:r>
          </w:p>
          <w:p w14:paraId="6A33FAAA"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lang w:eastAsia="lv-LV"/>
              </w:rPr>
              <w:t>Nasdaq Riga</w:t>
            </w:r>
          </w:p>
          <w:p w14:paraId="67244716" w14:textId="77777777" w:rsidR="00CE6CB9" w:rsidRPr="00CC6B28" w:rsidRDefault="00CE6CB9" w:rsidP="00155654">
            <w:pPr>
              <w:spacing w:after="0" w:line="240" w:lineRule="auto"/>
              <w:ind w:left="392"/>
              <w:jc w:val="both"/>
              <w:rPr>
                <w:rFonts w:ascii="Times New Roman" w:hAnsi="Times New Roman"/>
                <w:sz w:val="24"/>
                <w:szCs w:val="24"/>
              </w:rPr>
            </w:pPr>
            <w:r w:rsidRPr="00CC6B28">
              <w:rPr>
                <w:rFonts w:ascii="Times New Roman" w:hAnsi="Times New Roman"/>
                <w:sz w:val="24"/>
                <w:szCs w:val="24"/>
              </w:rPr>
              <w:t>Prevention of Money Laundering and Terrorist Financing</w:t>
            </w:r>
          </w:p>
          <w:p w14:paraId="75C81671" w14:textId="77777777" w:rsidR="00CE6CB9" w:rsidRPr="00CC6B28" w:rsidRDefault="00CE6CB9" w:rsidP="00155654">
            <w:pPr>
              <w:spacing w:after="0" w:line="240" w:lineRule="auto"/>
              <w:ind w:firstLine="426"/>
              <w:jc w:val="both"/>
              <w:rPr>
                <w:rFonts w:ascii="Times New Roman" w:hAnsi="Times New Roman"/>
                <w:sz w:val="24"/>
                <w:szCs w:val="24"/>
                <w:shd w:val="clear" w:color="auto" w:fill="FFFFFF"/>
              </w:rPr>
            </w:pPr>
          </w:p>
          <w:p w14:paraId="1811EC22"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shd w:val="clear" w:color="auto" w:fill="FFFFFF"/>
              </w:rPr>
              <w:t>National Health Service</w:t>
            </w:r>
          </w:p>
          <w:p w14:paraId="029C8A3B" w14:textId="77777777" w:rsidR="00CE6CB9" w:rsidRPr="00CC6B28" w:rsidRDefault="00CE6CB9" w:rsidP="00155654">
            <w:pPr>
              <w:spacing w:after="0" w:line="240" w:lineRule="auto"/>
              <w:ind w:firstLine="426"/>
              <w:jc w:val="both"/>
              <w:rPr>
                <w:rFonts w:ascii="Times New Roman" w:hAnsi="Times New Roman"/>
                <w:bCs/>
                <w:sz w:val="24"/>
                <w:szCs w:val="24"/>
              </w:rPr>
            </w:pPr>
            <w:r w:rsidRPr="00CC6B28">
              <w:rPr>
                <w:rFonts w:ascii="Times New Roman" w:hAnsi="Times New Roman"/>
                <w:sz w:val="24"/>
                <w:szCs w:val="24"/>
              </w:rPr>
              <w:t>Organisation for Economic Co-operation and Development</w:t>
            </w:r>
          </w:p>
        </w:tc>
      </w:tr>
      <w:tr w:rsidR="00CE6CB9" w:rsidRPr="00CC6B28" w14:paraId="58D2E2E1" w14:textId="77777777" w:rsidTr="00155654">
        <w:tc>
          <w:tcPr>
            <w:tcW w:w="2160" w:type="dxa"/>
            <w:shd w:val="clear" w:color="auto" w:fill="auto"/>
          </w:tcPr>
          <w:p w14:paraId="36FBF2D5"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PKC</w:t>
            </w:r>
          </w:p>
        </w:tc>
        <w:tc>
          <w:tcPr>
            <w:tcW w:w="7127" w:type="dxa"/>
            <w:shd w:val="clear" w:color="auto" w:fill="auto"/>
          </w:tcPr>
          <w:p w14:paraId="7A9FA03B" w14:textId="77777777" w:rsidR="00CE6CB9" w:rsidRPr="00CC6B28" w:rsidRDefault="00CE6CB9" w:rsidP="00155654">
            <w:pPr>
              <w:spacing w:after="0" w:line="240" w:lineRule="auto"/>
              <w:ind w:firstLine="426"/>
              <w:jc w:val="both"/>
              <w:rPr>
                <w:rFonts w:ascii="Times New Roman" w:hAnsi="Times New Roman"/>
                <w:sz w:val="24"/>
                <w:szCs w:val="24"/>
              </w:rPr>
            </w:pPr>
            <w:proofErr w:type="spellStart"/>
            <w:r w:rsidRPr="00CC6B28">
              <w:rPr>
                <w:rFonts w:ascii="Times New Roman" w:hAnsi="Times New Roman"/>
                <w:sz w:val="24"/>
                <w:szCs w:val="24"/>
              </w:rPr>
              <w:t>Intersevice</w:t>
            </w:r>
            <w:proofErr w:type="spellEnd"/>
            <w:r w:rsidRPr="00CC6B28">
              <w:rPr>
                <w:rFonts w:ascii="Times New Roman" w:hAnsi="Times New Roman"/>
                <w:sz w:val="24"/>
                <w:szCs w:val="24"/>
              </w:rPr>
              <w:t xml:space="preserve"> coordination centre  </w:t>
            </w:r>
          </w:p>
        </w:tc>
      </w:tr>
      <w:tr w:rsidR="00CE6CB9" w:rsidRPr="00CC6B28" w14:paraId="6E167565" w14:textId="77777777" w:rsidTr="00155654">
        <w:tc>
          <w:tcPr>
            <w:tcW w:w="2160" w:type="dxa"/>
            <w:shd w:val="clear" w:color="auto" w:fill="auto"/>
          </w:tcPr>
          <w:p w14:paraId="2D56BDDC"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PMLP</w:t>
            </w:r>
          </w:p>
        </w:tc>
        <w:tc>
          <w:tcPr>
            <w:tcW w:w="7127" w:type="dxa"/>
            <w:shd w:val="clear" w:color="auto" w:fill="auto"/>
          </w:tcPr>
          <w:p w14:paraId="73BE7EE1" w14:textId="77777777" w:rsidR="00CE6CB9" w:rsidRPr="00CC6B28" w:rsidRDefault="00CE6CB9" w:rsidP="00155654">
            <w:pPr>
              <w:spacing w:after="0" w:line="240" w:lineRule="auto"/>
              <w:ind w:firstLine="426"/>
              <w:jc w:val="both"/>
              <w:rPr>
                <w:rFonts w:ascii="Times New Roman" w:hAnsi="Times New Roman"/>
                <w:b/>
                <w:sz w:val="24"/>
                <w:szCs w:val="24"/>
              </w:rPr>
            </w:pPr>
            <w:r w:rsidRPr="00CC6B28">
              <w:rPr>
                <w:rFonts w:ascii="Times New Roman" w:hAnsi="Times New Roman"/>
                <w:bCs/>
                <w:sz w:val="24"/>
                <w:szCs w:val="24"/>
              </w:rPr>
              <w:t>Citizenship and Migration Affairs</w:t>
            </w:r>
          </w:p>
        </w:tc>
      </w:tr>
      <w:tr w:rsidR="00CE6CB9" w:rsidRPr="00CC6B28" w14:paraId="1EF28C08" w14:textId="77777777" w:rsidTr="00155654">
        <w:tc>
          <w:tcPr>
            <w:tcW w:w="2160" w:type="dxa"/>
            <w:shd w:val="clear" w:color="auto" w:fill="auto"/>
          </w:tcPr>
          <w:p w14:paraId="6EA2A70A"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PTAC</w:t>
            </w:r>
          </w:p>
        </w:tc>
        <w:tc>
          <w:tcPr>
            <w:tcW w:w="7127" w:type="dxa"/>
            <w:shd w:val="clear" w:color="auto" w:fill="auto"/>
          </w:tcPr>
          <w:p w14:paraId="70EF1481" w14:textId="77777777" w:rsidR="00CE6CB9" w:rsidRPr="00CC6B28" w:rsidRDefault="00CE6CB9" w:rsidP="00155654">
            <w:pPr>
              <w:spacing w:after="0" w:line="240" w:lineRule="auto"/>
              <w:ind w:firstLine="426"/>
              <w:jc w:val="both"/>
              <w:rPr>
                <w:rFonts w:ascii="Times New Roman" w:hAnsi="Times New Roman"/>
                <w:sz w:val="24"/>
                <w:szCs w:val="24"/>
                <w:lang w:eastAsia="lv-LV"/>
              </w:rPr>
            </w:pPr>
            <w:r w:rsidRPr="00CC6B28">
              <w:rPr>
                <w:rFonts w:ascii="Times New Roman" w:hAnsi="Times New Roman"/>
                <w:sz w:val="24"/>
                <w:szCs w:val="24"/>
                <w:lang w:eastAsia="lv-LV"/>
              </w:rPr>
              <w:t>Consumer Rights Protection Service</w:t>
            </w:r>
          </w:p>
        </w:tc>
      </w:tr>
      <w:tr w:rsidR="00CE6CB9" w:rsidRPr="00CC6B28" w14:paraId="1DEA678B" w14:textId="77777777" w:rsidTr="00155654">
        <w:tc>
          <w:tcPr>
            <w:tcW w:w="2160" w:type="dxa"/>
            <w:shd w:val="clear" w:color="auto" w:fill="auto"/>
          </w:tcPr>
          <w:p w14:paraId="59F2C96D"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SM</w:t>
            </w:r>
          </w:p>
        </w:tc>
        <w:tc>
          <w:tcPr>
            <w:tcW w:w="7127" w:type="dxa"/>
            <w:shd w:val="clear" w:color="auto" w:fill="auto"/>
          </w:tcPr>
          <w:p w14:paraId="52262F1E"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Ministry of Transport</w:t>
            </w:r>
          </w:p>
        </w:tc>
      </w:tr>
      <w:tr w:rsidR="00CE6CB9" w:rsidRPr="00CC6B28" w14:paraId="000272F1" w14:textId="77777777" w:rsidTr="00155654">
        <w:tc>
          <w:tcPr>
            <w:tcW w:w="2160" w:type="dxa"/>
            <w:shd w:val="clear" w:color="auto" w:fill="auto"/>
          </w:tcPr>
          <w:p w14:paraId="44930A93" w14:textId="77777777" w:rsidR="00CE6CB9" w:rsidRPr="00CC6B28" w:rsidRDefault="00CE6CB9" w:rsidP="00155654">
            <w:pPr>
              <w:spacing w:after="0" w:line="240" w:lineRule="auto"/>
              <w:ind w:firstLine="426"/>
              <w:jc w:val="both"/>
              <w:rPr>
                <w:rFonts w:ascii="Times New Roman" w:hAnsi="Times New Roman"/>
                <w:sz w:val="24"/>
                <w:szCs w:val="24"/>
              </w:rPr>
            </w:pPr>
            <w:proofErr w:type="spellStart"/>
            <w:r w:rsidRPr="00CC6B28">
              <w:rPr>
                <w:rFonts w:ascii="Times New Roman" w:hAnsi="Times New Roman"/>
                <w:sz w:val="24"/>
                <w:szCs w:val="24"/>
              </w:rPr>
              <w:t>STARTin</w:t>
            </w:r>
            <w:proofErr w:type="spellEnd"/>
          </w:p>
        </w:tc>
        <w:tc>
          <w:tcPr>
            <w:tcW w:w="7127" w:type="dxa"/>
            <w:shd w:val="clear" w:color="auto" w:fill="auto"/>
          </w:tcPr>
          <w:p w14:paraId="58098364"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Latvian Start-up Business Association</w:t>
            </w:r>
          </w:p>
        </w:tc>
      </w:tr>
      <w:tr w:rsidR="00CE6CB9" w:rsidRPr="00CC6B28" w14:paraId="37E822FE" w14:textId="77777777" w:rsidTr="00155654">
        <w:tc>
          <w:tcPr>
            <w:tcW w:w="2160" w:type="dxa"/>
            <w:shd w:val="clear" w:color="auto" w:fill="auto"/>
          </w:tcPr>
          <w:p w14:paraId="79003255"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TM</w:t>
            </w:r>
          </w:p>
        </w:tc>
        <w:tc>
          <w:tcPr>
            <w:tcW w:w="7127" w:type="dxa"/>
            <w:shd w:val="clear" w:color="auto" w:fill="auto"/>
          </w:tcPr>
          <w:p w14:paraId="1797DC39"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Ministry of Justice</w:t>
            </w:r>
          </w:p>
        </w:tc>
      </w:tr>
      <w:tr w:rsidR="00CE6CB9" w:rsidRPr="00CC6B28" w14:paraId="0AC9B30E" w14:textId="77777777" w:rsidTr="00155654">
        <w:tc>
          <w:tcPr>
            <w:tcW w:w="2160" w:type="dxa"/>
            <w:shd w:val="clear" w:color="auto" w:fill="auto"/>
          </w:tcPr>
          <w:p w14:paraId="5F932B29"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UR</w:t>
            </w:r>
          </w:p>
        </w:tc>
        <w:tc>
          <w:tcPr>
            <w:tcW w:w="7127" w:type="dxa"/>
            <w:shd w:val="clear" w:color="auto" w:fill="auto"/>
          </w:tcPr>
          <w:p w14:paraId="2BEBA946"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Business Register</w:t>
            </w:r>
          </w:p>
        </w:tc>
      </w:tr>
      <w:tr w:rsidR="00CE6CB9" w:rsidRPr="00CC6B28" w14:paraId="7A684827" w14:textId="77777777" w:rsidTr="00155654">
        <w:tc>
          <w:tcPr>
            <w:tcW w:w="2160" w:type="dxa"/>
            <w:shd w:val="clear" w:color="auto" w:fill="auto"/>
          </w:tcPr>
          <w:p w14:paraId="76E6E4A4"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VARAM</w:t>
            </w:r>
          </w:p>
        </w:tc>
        <w:tc>
          <w:tcPr>
            <w:tcW w:w="7127" w:type="dxa"/>
            <w:shd w:val="clear" w:color="auto" w:fill="auto"/>
          </w:tcPr>
          <w:p w14:paraId="12DE6F80"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Ministry of Environmental Protection and Regional Development</w:t>
            </w:r>
          </w:p>
        </w:tc>
      </w:tr>
      <w:tr w:rsidR="00CE6CB9" w:rsidRPr="00CC6B28" w14:paraId="51FD8822" w14:textId="77777777" w:rsidTr="00155654">
        <w:tc>
          <w:tcPr>
            <w:tcW w:w="2160" w:type="dxa"/>
            <w:shd w:val="clear" w:color="auto" w:fill="auto"/>
          </w:tcPr>
          <w:p w14:paraId="0DA50B63"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VID</w:t>
            </w:r>
          </w:p>
        </w:tc>
        <w:tc>
          <w:tcPr>
            <w:tcW w:w="7127" w:type="dxa"/>
            <w:shd w:val="clear" w:color="auto" w:fill="auto"/>
          </w:tcPr>
          <w:p w14:paraId="0FB29B53"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State Revenue Service</w:t>
            </w:r>
          </w:p>
        </w:tc>
      </w:tr>
      <w:tr w:rsidR="00CE6CB9" w:rsidRPr="00CC6B28" w14:paraId="4B189044" w14:textId="77777777" w:rsidTr="00155654">
        <w:trPr>
          <w:trHeight w:val="646"/>
        </w:trPr>
        <w:tc>
          <w:tcPr>
            <w:tcW w:w="2160" w:type="dxa"/>
            <w:shd w:val="clear" w:color="auto" w:fill="auto"/>
          </w:tcPr>
          <w:p w14:paraId="065C570C"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lastRenderedPageBreak/>
              <w:t>VP</w:t>
            </w:r>
          </w:p>
          <w:p w14:paraId="1F8420E8"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VM</w:t>
            </w:r>
          </w:p>
          <w:p w14:paraId="2AEF2AF1"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VRAA</w:t>
            </w:r>
          </w:p>
          <w:p w14:paraId="344F1E0B"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VTUA</w:t>
            </w:r>
          </w:p>
          <w:p w14:paraId="5A405234"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ZM</w:t>
            </w:r>
          </w:p>
        </w:tc>
        <w:tc>
          <w:tcPr>
            <w:tcW w:w="7127" w:type="dxa"/>
            <w:shd w:val="clear" w:color="auto" w:fill="auto"/>
          </w:tcPr>
          <w:p w14:paraId="709E764B"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State Police</w:t>
            </w:r>
          </w:p>
          <w:p w14:paraId="0A2D208C"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Ministry of Health</w:t>
            </w:r>
          </w:p>
          <w:p w14:paraId="004653BC"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shd w:val="clear" w:color="auto" w:fill="FFFFFF"/>
              </w:rPr>
              <w:t>State Regional Development Agency</w:t>
            </w:r>
          </w:p>
          <w:p w14:paraId="2507019B" w14:textId="77777777" w:rsidR="00CE6CB9" w:rsidRPr="00CC6B28" w:rsidRDefault="00CE6CB9" w:rsidP="00155654">
            <w:pPr>
              <w:spacing w:after="0" w:line="240" w:lineRule="auto"/>
              <w:ind w:firstLine="426"/>
              <w:jc w:val="both"/>
              <w:rPr>
                <w:rFonts w:ascii="Times New Roman" w:hAnsi="Times New Roman"/>
                <w:sz w:val="24"/>
                <w:szCs w:val="24"/>
                <w:shd w:val="clear" w:color="auto" w:fill="FFFFFF"/>
              </w:rPr>
            </w:pPr>
            <w:r w:rsidRPr="00CC6B28">
              <w:rPr>
                <w:rFonts w:ascii="Times New Roman" w:hAnsi="Times New Roman"/>
                <w:bCs/>
                <w:sz w:val="24"/>
                <w:szCs w:val="24"/>
              </w:rPr>
              <w:t>State Technical Supervision Agency</w:t>
            </w:r>
          </w:p>
          <w:p w14:paraId="18D55487" w14:textId="77777777" w:rsidR="00CE6CB9" w:rsidRPr="00CC6B28" w:rsidRDefault="00CE6CB9" w:rsidP="00155654">
            <w:pPr>
              <w:spacing w:after="0" w:line="240" w:lineRule="auto"/>
              <w:ind w:firstLine="426"/>
              <w:jc w:val="both"/>
              <w:rPr>
                <w:rFonts w:ascii="Times New Roman" w:hAnsi="Times New Roman"/>
                <w:sz w:val="24"/>
                <w:szCs w:val="24"/>
              </w:rPr>
            </w:pPr>
            <w:r w:rsidRPr="00CC6B28">
              <w:rPr>
                <w:rFonts w:ascii="Times New Roman" w:hAnsi="Times New Roman"/>
                <w:sz w:val="24"/>
                <w:szCs w:val="24"/>
              </w:rPr>
              <w:t>Ministry of Agriculture</w:t>
            </w:r>
          </w:p>
        </w:tc>
      </w:tr>
    </w:tbl>
    <w:p w14:paraId="086356A6" w14:textId="77777777" w:rsidR="00CE6CB9" w:rsidRPr="00CC6B28" w:rsidRDefault="00CE6CB9" w:rsidP="00CE6CB9">
      <w:pPr>
        <w:spacing w:before="100" w:beforeAutospacing="1" w:after="100" w:afterAutospacing="1" w:line="240" w:lineRule="auto"/>
        <w:jc w:val="both"/>
        <w:rPr>
          <w:rFonts w:ascii="Times New Roman" w:hAnsi="Times New Roman"/>
          <w:b/>
          <w:sz w:val="28"/>
          <w:szCs w:val="28"/>
        </w:rPr>
      </w:pPr>
    </w:p>
    <w:p w14:paraId="65FFDEE4" w14:textId="77777777" w:rsidR="00CE6CB9" w:rsidRPr="00CC6B28" w:rsidRDefault="00CE6CB9" w:rsidP="00CE6CB9">
      <w:pPr>
        <w:spacing w:before="100" w:beforeAutospacing="1" w:after="100" w:afterAutospacing="1" w:line="240" w:lineRule="auto"/>
        <w:jc w:val="both"/>
        <w:rPr>
          <w:rFonts w:ascii="Times New Roman" w:hAnsi="Times New Roman"/>
          <w:b/>
          <w:sz w:val="28"/>
          <w:szCs w:val="28"/>
        </w:rPr>
      </w:pPr>
    </w:p>
    <w:p w14:paraId="2416C0B3" w14:textId="77777777" w:rsidR="00CE6CB9" w:rsidRPr="00CC6B28" w:rsidRDefault="00CE6CB9" w:rsidP="00CE6CB9">
      <w:pPr>
        <w:spacing w:before="100" w:beforeAutospacing="1" w:after="100" w:afterAutospacing="1" w:line="240" w:lineRule="auto"/>
        <w:jc w:val="both"/>
        <w:rPr>
          <w:rFonts w:ascii="Times New Roman" w:hAnsi="Times New Roman"/>
          <w:b/>
          <w:sz w:val="28"/>
          <w:szCs w:val="28"/>
        </w:rPr>
      </w:pPr>
    </w:p>
    <w:p w14:paraId="17EB4DC6" w14:textId="77777777" w:rsidR="00CE6CB9" w:rsidRPr="00CC6B28" w:rsidRDefault="00CE6CB9" w:rsidP="00CE6CB9">
      <w:pPr>
        <w:spacing w:before="100" w:beforeAutospacing="1" w:after="100" w:afterAutospacing="1" w:line="240" w:lineRule="auto"/>
        <w:jc w:val="both"/>
        <w:rPr>
          <w:rFonts w:ascii="Times New Roman" w:hAnsi="Times New Roman"/>
          <w:b/>
          <w:sz w:val="28"/>
          <w:szCs w:val="28"/>
        </w:rPr>
      </w:pPr>
    </w:p>
    <w:p w14:paraId="391367FE" w14:textId="77777777" w:rsidR="00CE6CB9" w:rsidRPr="00CC6B28" w:rsidRDefault="00CE6CB9" w:rsidP="00CE6CB9">
      <w:pPr>
        <w:spacing w:before="100" w:beforeAutospacing="1" w:after="100" w:afterAutospacing="1" w:line="240" w:lineRule="auto"/>
        <w:jc w:val="both"/>
        <w:rPr>
          <w:rFonts w:ascii="Times New Roman" w:hAnsi="Times New Roman"/>
          <w:b/>
          <w:sz w:val="28"/>
          <w:szCs w:val="28"/>
        </w:rPr>
      </w:pPr>
    </w:p>
    <w:p w14:paraId="3889448E" w14:textId="77777777" w:rsidR="00CE6CB9" w:rsidRPr="00CC6B28" w:rsidRDefault="00CE6CB9" w:rsidP="00CE6CB9">
      <w:pPr>
        <w:spacing w:before="100" w:beforeAutospacing="1" w:after="100" w:afterAutospacing="1" w:line="240" w:lineRule="auto"/>
        <w:jc w:val="both"/>
        <w:rPr>
          <w:rFonts w:ascii="Times New Roman" w:hAnsi="Times New Roman"/>
          <w:b/>
          <w:sz w:val="28"/>
          <w:szCs w:val="28"/>
        </w:rPr>
      </w:pPr>
    </w:p>
    <w:p w14:paraId="0517C7CB" w14:textId="77777777" w:rsidR="00CE6CB9" w:rsidRPr="00CC6B28" w:rsidRDefault="00CE6CB9" w:rsidP="00CE6CB9">
      <w:pPr>
        <w:spacing w:before="100" w:beforeAutospacing="1" w:after="100" w:afterAutospacing="1" w:line="240" w:lineRule="auto"/>
        <w:jc w:val="both"/>
        <w:rPr>
          <w:rFonts w:ascii="Times New Roman" w:hAnsi="Times New Roman"/>
          <w:b/>
          <w:sz w:val="28"/>
          <w:szCs w:val="28"/>
        </w:rPr>
      </w:pPr>
    </w:p>
    <w:bookmarkEnd w:id="40"/>
    <w:p w14:paraId="7C585FCE" w14:textId="77777777" w:rsidR="00CE6CB9" w:rsidRPr="00CC6B28" w:rsidRDefault="00CE6CB9" w:rsidP="00CE6CB9">
      <w:pPr>
        <w:spacing w:after="0" w:line="240" w:lineRule="auto"/>
        <w:jc w:val="both"/>
        <w:rPr>
          <w:rFonts w:ascii="Times New Roman" w:eastAsia="Times New Roman" w:hAnsi="Times New Roman"/>
          <w:color w:val="000000"/>
          <w:sz w:val="24"/>
          <w:szCs w:val="24"/>
          <w:lang w:eastAsia="lv-LV"/>
        </w:rPr>
      </w:pPr>
    </w:p>
    <w:p w14:paraId="6560505A" w14:textId="77777777" w:rsidR="00CE6CB9" w:rsidRPr="00CC6B28" w:rsidRDefault="00CE6CB9" w:rsidP="00CE6CB9">
      <w:pPr>
        <w:spacing w:after="0" w:line="240" w:lineRule="auto"/>
        <w:jc w:val="both"/>
        <w:rPr>
          <w:rFonts w:ascii="Times New Roman" w:eastAsia="Times New Roman" w:hAnsi="Times New Roman"/>
          <w:color w:val="000000"/>
          <w:sz w:val="24"/>
          <w:szCs w:val="24"/>
          <w:lang w:eastAsia="lv-LV"/>
        </w:rPr>
      </w:pPr>
    </w:p>
    <w:p w14:paraId="3AF789E7" w14:textId="77777777" w:rsidR="00CE6CB9" w:rsidRPr="00CC6B28" w:rsidRDefault="00CE6CB9" w:rsidP="00CE6CB9">
      <w:pPr>
        <w:numPr>
          <w:ilvl w:val="0"/>
          <w:numId w:val="19"/>
        </w:numPr>
        <w:spacing w:after="0" w:line="240" w:lineRule="auto"/>
        <w:jc w:val="both"/>
        <w:rPr>
          <w:rFonts w:ascii="Times New Roman" w:eastAsia="Times New Roman" w:hAnsi="Times New Roman"/>
          <w:b/>
          <w:color w:val="000000"/>
          <w:sz w:val="28"/>
          <w:szCs w:val="28"/>
          <w:lang w:eastAsia="lv-LV"/>
        </w:rPr>
      </w:pPr>
      <w:r w:rsidRPr="00CC6B28">
        <w:rPr>
          <w:rFonts w:ascii="Times New Roman" w:hAnsi="Times New Roman"/>
          <w:b/>
          <w:sz w:val="28"/>
          <w:szCs w:val="28"/>
        </w:rPr>
        <w:t>The tasks and measures of the Plan</w:t>
      </w:r>
    </w:p>
    <w:p w14:paraId="45722A66" w14:textId="77777777" w:rsidR="00CE6CB9" w:rsidRPr="00CC6B28" w:rsidRDefault="00CE6CB9" w:rsidP="00CE6CB9">
      <w:pPr>
        <w:spacing w:after="0" w:line="240" w:lineRule="auto"/>
        <w:jc w:val="both"/>
        <w:rPr>
          <w:rFonts w:ascii="Times New Roman" w:eastAsia="Times New Roman" w:hAnsi="Times New Roman"/>
          <w:b/>
          <w:color w:val="000000"/>
          <w:sz w:val="24"/>
          <w:szCs w:val="24"/>
          <w:lang w:eastAsia="lv-LV"/>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4417"/>
        <w:gridCol w:w="2387"/>
        <w:gridCol w:w="2551"/>
        <w:gridCol w:w="1276"/>
        <w:gridCol w:w="1701"/>
        <w:gridCol w:w="1843"/>
      </w:tblGrid>
      <w:tr w:rsidR="00CE6CB9" w:rsidRPr="00CC6B28" w14:paraId="51495E5E" w14:textId="77777777" w:rsidTr="00155654">
        <w:trPr>
          <w:tblHeader/>
        </w:trPr>
        <w:tc>
          <w:tcPr>
            <w:tcW w:w="964" w:type="dxa"/>
            <w:vAlign w:val="center"/>
          </w:tcPr>
          <w:p w14:paraId="47D16FD5" w14:textId="77777777" w:rsidR="00CE6CB9" w:rsidRPr="00CC6B28" w:rsidRDefault="00CE6CB9" w:rsidP="00155654">
            <w:pPr>
              <w:jc w:val="center"/>
              <w:rPr>
                <w:rFonts w:ascii="Times New Roman" w:eastAsia="Times New Roman" w:hAnsi="Times New Roman"/>
                <w:sz w:val="24"/>
                <w:szCs w:val="24"/>
                <w:lang w:eastAsia="lv-LV"/>
              </w:rPr>
            </w:pPr>
            <w:r w:rsidRPr="00CC6B28">
              <w:rPr>
                <w:rFonts w:ascii="Times New Roman" w:eastAsia="Times New Roman" w:hAnsi="Times New Roman"/>
                <w:b/>
                <w:bCs/>
                <w:sz w:val="24"/>
                <w:szCs w:val="24"/>
                <w:lang w:eastAsia="lv-LV"/>
              </w:rPr>
              <w:t>No.</w:t>
            </w:r>
          </w:p>
        </w:tc>
        <w:tc>
          <w:tcPr>
            <w:tcW w:w="4417" w:type="dxa"/>
            <w:vAlign w:val="center"/>
          </w:tcPr>
          <w:p w14:paraId="48BC23FB" w14:textId="77777777" w:rsidR="00CE6CB9" w:rsidRPr="00CC6B28" w:rsidRDefault="00CE6CB9" w:rsidP="00155654">
            <w:pPr>
              <w:jc w:val="center"/>
              <w:rPr>
                <w:rFonts w:ascii="Times New Roman" w:eastAsia="Times New Roman" w:hAnsi="Times New Roman"/>
                <w:sz w:val="24"/>
                <w:szCs w:val="24"/>
                <w:lang w:eastAsia="lv-LV"/>
              </w:rPr>
            </w:pPr>
            <w:r w:rsidRPr="00CC6B28">
              <w:rPr>
                <w:rFonts w:ascii="Times New Roman" w:eastAsia="Times New Roman" w:hAnsi="Times New Roman"/>
                <w:b/>
                <w:bCs/>
                <w:sz w:val="24"/>
                <w:szCs w:val="24"/>
                <w:lang w:eastAsia="lv-LV"/>
              </w:rPr>
              <w:t>Tasks/Measures</w:t>
            </w:r>
          </w:p>
        </w:tc>
        <w:tc>
          <w:tcPr>
            <w:tcW w:w="2387" w:type="dxa"/>
            <w:vAlign w:val="center"/>
          </w:tcPr>
          <w:p w14:paraId="74BD39B5" w14:textId="77777777" w:rsidR="00CE6CB9" w:rsidRPr="00CC6B28" w:rsidRDefault="00CE6CB9" w:rsidP="00155654">
            <w:pPr>
              <w:jc w:val="center"/>
              <w:rPr>
                <w:rFonts w:ascii="Times New Roman" w:eastAsia="Times New Roman" w:hAnsi="Times New Roman"/>
                <w:sz w:val="24"/>
                <w:szCs w:val="24"/>
                <w:lang w:eastAsia="lv-LV"/>
              </w:rPr>
            </w:pPr>
            <w:r w:rsidRPr="00CC6B28">
              <w:rPr>
                <w:rFonts w:ascii="Times New Roman" w:eastAsia="Times New Roman" w:hAnsi="Times New Roman"/>
                <w:b/>
                <w:bCs/>
                <w:sz w:val="24"/>
                <w:szCs w:val="24"/>
                <w:lang w:eastAsia="lv-LV"/>
              </w:rPr>
              <w:t>Operating Result</w:t>
            </w:r>
          </w:p>
        </w:tc>
        <w:tc>
          <w:tcPr>
            <w:tcW w:w="2551" w:type="dxa"/>
            <w:vAlign w:val="center"/>
          </w:tcPr>
          <w:p w14:paraId="1A5BD9AE" w14:textId="77777777" w:rsidR="00CE6CB9" w:rsidRPr="00CC6B28" w:rsidRDefault="00CE6CB9" w:rsidP="00155654">
            <w:pPr>
              <w:jc w:val="center"/>
              <w:rPr>
                <w:rFonts w:ascii="Times New Roman" w:eastAsia="Times New Roman" w:hAnsi="Times New Roman"/>
                <w:sz w:val="24"/>
                <w:szCs w:val="24"/>
                <w:lang w:eastAsia="lv-LV"/>
              </w:rPr>
            </w:pPr>
            <w:r w:rsidRPr="00CC6B28">
              <w:rPr>
                <w:rFonts w:ascii="Times New Roman" w:eastAsia="Times New Roman" w:hAnsi="Times New Roman"/>
                <w:b/>
                <w:bCs/>
                <w:sz w:val="24"/>
                <w:szCs w:val="24"/>
                <w:lang w:eastAsia="lv-LV"/>
              </w:rPr>
              <w:t>Performance indicator</w:t>
            </w:r>
          </w:p>
        </w:tc>
        <w:tc>
          <w:tcPr>
            <w:tcW w:w="1276" w:type="dxa"/>
          </w:tcPr>
          <w:p w14:paraId="50BAA4AD" w14:textId="77777777" w:rsidR="00CE6CB9" w:rsidRPr="00CC6B28" w:rsidRDefault="00CE6CB9" w:rsidP="00155654">
            <w:pPr>
              <w:jc w:val="center"/>
              <w:rPr>
                <w:rFonts w:ascii="Times New Roman" w:eastAsia="Times New Roman" w:hAnsi="Times New Roman"/>
                <w:b/>
                <w:bCs/>
                <w:sz w:val="24"/>
                <w:szCs w:val="24"/>
                <w:lang w:eastAsia="lv-LV"/>
              </w:rPr>
            </w:pPr>
            <w:r w:rsidRPr="00CC6B28">
              <w:rPr>
                <w:rFonts w:ascii="Times New Roman" w:eastAsia="Times New Roman" w:hAnsi="Times New Roman"/>
                <w:b/>
                <w:bCs/>
                <w:sz w:val="24"/>
                <w:szCs w:val="24"/>
                <w:lang w:eastAsia="lv-LV"/>
              </w:rPr>
              <w:t>Responsible Body</w:t>
            </w:r>
          </w:p>
        </w:tc>
        <w:tc>
          <w:tcPr>
            <w:tcW w:w="1701" w:type="dxa"/>
            <w:vAlign w:val="center"/>
          </w:tcPr>
          <w:p w14:paraId="234C7118" w14:textId="77777777" w:rsidR="00CE6CB9" w:rsidRPr="00CC6B28" w:rsidRDefault="00CE6CB9" w:rsidP="00155654">
            <w:pPr>
              <w:jc w:val="center"/>
              <w:rPr>
                <w:rFonts w:ascii="Times New Roman" w:eastAsia="Times New Roman" w:hAnsi="Times New Roman"/>
                <w:sz w:val="24"/>
                <w:szCs w:val="24"/>
                <w:lang w:eastAsia="lv-LV"/>
              </w:rPr>
            </w:pPr>
            <w:r w:rsidRPr="00CC6B28">
              <w:rPr>
                <w:rFonts w:ascii="Times New Roman" w:eastAsia="Times New Roman" w:hAnsi="Times New Roman"/>
                <w:b/>
                <w:bCs/>
                <w:sz w:val="24"/>
                <w:szCs w:val="24"/>
                <w:lang w:eastAsia="lv-LV"/>
              </w:rPr>
              <w:t>Joint responsibility</w:t>
            </w:r>
          </w:p>
        </w:tc>
        <w:tc>
          <w:tcPr>
            <w:tcW w:w="1843" w:type="dxa"/>
            <w:vAlign w:val="center"/>
          </w:tcPr>
          <w:p w14:paraId="469B5CF1" w14:textId="77777777" w:rsidR="00CE6CB9" w:rsidRPr="00CC6B28" w:rsidRDefault="00CE6CB9" w:rsidP="00155654">
            <w:pPr>
              <w:jc w:val="center"/>
              <w:rPr>
                <w:rFonts w:ascii="Times New Roman" w:eastAsia="Times New Roman" w:hAnsi="Times New Roman"/>
                <w:sz w:val="24"/>
                <w:szCs w:val="24"/>
                <w:lang w:eastAsia="lv-LV"/>
              </w:rPr>
            </w:pPr>
            <w:r w:rsidRPr="00CC6B28">
              <w:rPr>
                <w:rFonts w:ascii="Times New Roman" w:eastAsia="Times New Roman" w:hAnsi="Times New Roman"/>
                <w:b/>
                <w:bCs/>
                <w:sz w:val="24"/>
                <w:szCs w:val="24"/>
                <w:lang w:eastAsia="lv-LV"/>
              </w:rPr>
              <w:t>Deadline</w:t>
            </w:r>
          </w:p>
        </w:tc>
      </w:tr>
      <w:tr w:rsidR="00CE6CB9" w:rsidRPr="00CC6B28" w14:paraId="1602B3B8" w14:textId="77777777" w:rsidTr="00155654">
        <w:tc>
          <w:tcPr>
            <w:tcW w:w="15139" w:type="dxa"/>
            <w:gridSpan w:val="7"/>
            <w:shd w:val="clear" w:color="auto" w:fill="BF8F00"/>
          </w:tcPr>
          <w:p w14:paraId="06B62DAB" w14:textId="77777777" w:rsidR="00CE6CB9" w:rsidRPr="00CC6B28" w:rsidRDefault="00CE6CB9" w:rsidP="00155654">
            <w:pPr>
              <w:spacing w:before="20" w:afterLines="20" w:after="48"/>
              <w:jc w:val="both"/>
              <w:rPr>
                <w:rFonts w:ascii="Times New Roman" w:eastAsia="Times New Roman" w:hAnsi="Times New Roman"/>
                <w:b/>
                <w:bCs/>
                <w:i/>
                <w:sz w:val="24"/>
                <w:szCs w:val="24"/>
                <w:u w:val="single"/>
                <w:lang w:eastAsia="lv-LV"/>
              </w:rPr>
            </w:pPr>
            <w:r w:rsidRPr="00CC6B28">
              <w:rPr>
                <w:rFonts w:ascii="Times New Roman" w:hAnsi="Times New Roman"/>
                <w:b/>
                <w:sz w:val="24"/>
                <w:szCs w:val="24"/>
                <w:u w:val="single"/>
              </w:rPr>
              <w:t>THE OVERALL OBJECTIVE: To develop a stable, safe and internationally competitive financial sector with innovative financial services designed to ensure sustainable growth of the Latvian economy</w:t>
            </w:r>
          </w:p>
        </w:tc>
      </w:tr>
      <w:tr w:rsidR="00CE6CB9" w:rsidRPr="00CC6B28" w14:paraId="46A3519E" w14:textId="77777777" w:rsidTr="00155654">
        <w:trPr>
          <w:trHeight w:val="70"/>
        </w:trPr>
        <w:tc>
          <w:tcPr>
            <w:tcW w:w="15139" w:type="dxa"/>
            <w:gridSpan w:val="7"/>
            <w:shd w:val="clear" w:color="auto" w:fill="FFD966"/>
          </w:tcPr>
          <w:p w14:paraId="00B54EF9" w14:textId="77777777" w:rsidR="00CE6CB9" w:rsidRPr="00CC6B28" w:rsidRDefault="00CE6CB9" w:rsidP="00155654">
            <w:pPr>
              <w:ind w:right="828"/>
              <w:jc w:val="both"/>
              <w:rPr>
                <w:rFonts w:ascii="Times New Roman" w:eastAsia="Times New Roman" w:hAnsi="Times New Roman"/>
                <w:b/>
                <w:bCs/>
                <w:sz w:val="24"/>
                <w:szCs w:val="24"/>
                <w:u w:val="single"/>
                <w:lang w:eastAsia="lv-LV"/>
              </w:rPr>
            </w:pPr>
            <w:r w:rsidRPr="00CC6B28">
              <w:rPr>
                <w:rFonts w:ascii="Times New Roman" w:eastAsia="Times New Roman" w:hAnsi="Times New Roman"/>
                <w:b/>
                <w:bCs/>
                <w:sz w:val="24"/>
                <w:szCs w:val="24"/>
                <w:u w:val="single"/>
                <w:lang w:eastAsia="lv-LV"/>
              </w:rPr>
              <w:t>1. HORIZONTAL ACTION DIRECTION</w:t>
            </w:r>
          </w:p>
        </w:tc>
      </w:tr>
      <w:tr w:rsidR="00CE6CB9" w:rsidRPr="00CC6B28" w14:paraId="5944BE20" w14:textId="77777777" w:rsidTr="00155654">
        <w:tc>
          <w:tcPr>
            <w:tcW w:w="15139" w:type="dxa"/>
            <w:gridSpan w:val="7"/>
            <w:shd w:val="clear" w:color="auto" w:fill="FFE599"/>
          </w:tcPr>
          <w:p w14:paraId="027EE5DB" w14:textId="77777777" w:rsidR="00CE6CB9" w:rsidRPr="00CC6B28" w:rsidRDefault="00CE6CB9" w:rsidP="00155654">
            <w:pPr>
              <w:ind w:right="828"/>
              <w:jc w:val="both"/>
              <w:rPr>
                <w:rFonts w:ascii="Times New Roman" w:eastAsia="Times New Roman" w:hAnsi="Times New Roman"/>
                <w:b/>
                <w:bCs/>
                <w:sz w:val="24"/>
                <w:szCs w:val="24"/>
                <w:lang w:eastAsia="lv-LV"/>
              </w:rPr>
            </w:pPr>
            <w:r w:rsidRPr="00CC6B28">
              <w:rPr>
                <w:rFonts w:ascii="Times New Roman" w:eastAsia="Times New Roman" w:hAnsi="Times New Roman"/>
                <w:b/>
                <w:sz w:val="24"/>
                <w:szCs w:val="24"/>
                <w:lang w:eastAsia="lv-LV"/>
              </w:rPr>
              <w:t>1.1</w:t>
            </w:r>
            <w:r w:rsidRPr="00CC6B28">
              <w:rPr>
                <w:rFonts w:ascii="Times New Roman" w:eastAsia="Times New Roman" w:hAnsi="Times New Roman"/>
                <w:b/>
                <w:sz w:val="24"/>
                <w:szCs w:val="24"/>
                <w:shd w:val="clear" w:color="auto" w:fill="FFE599"/>
                <w:lang w:eastAsia="lv-LV"/>
              </w:rPr>
              <w:t>. DIGITALIZATION AND INNOVATION</w:t>
            </w:r>
          </w:p>
        </w:tc>
      </w:tr>
      <w:tr w:rsidR="00CE6CB9" w:rsidRPr="00CC6B28" w14:paraId="548C776D" w14:textId="77777777" w:rsidTr="00155654">
        <w:tc>
          <w:tcPr>
            <w:tcW w:w="964" w:type="dxa"/>
          </w:tcPr>
          <w:p w14:paraId="3D3EBAF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1.1.1.</w:t>
            </w:r>
          </w:p>
          <w:p w14:paraId="2A97E223" w14:textId="77777777" w:rsidR="00CE6CB9" w:rsidRPr="00CC6B28" w:rsidRDefault="00CE6CB9" w:rsidP="00155654">
            <w:pPr>
              <w:spacing w:before="20" w:afterLines="20" w:after="48"/>
              <w:rPr>
                <w:rFonts w:ascii="Times New Roman" w:eastAsia="Times New Roman" w:hAnsi="Times New Roman"/>
                <w:lang w:eastAsia="lv-LV"/>
              </w:rPr>
            </w:pPr>
          </w:p>
          <w:p w14:paraId="1FCB1FF9" w14:textId="77777777" w:rsidR="00CE6CB9" w:rsidRPr="00CC6B28" w:rsidRDefault="00CE6CB9" w:rsidP="00155654">
            <w:pPr>
              <w:spacing w:before="20" w:afterLines="20" w:after="48"/>
              <w:rPr>
                <w:rFonts w:ascii="Times New Roman" w:eastAsia="Times New Roman" w:hAnsi="Times New Roman"/>
                <w:lang w:eastAsia="lv-LV"/>
              </w:rPr>
            </w:pPr>
          </w:p>
        </w:tc>
        <w:tc>
          <w:tcPr>
            <w:tcW w:w="4417" w:type="dxa"/>
          </w:tcPr>
          <w:p w14:paraId="4E966354" w14:textId="77777777" w:rsidR="00CE6CB9" w:rsidRPr="000C7A01" w:rsidRDefault="00CE6CB9" w:rsidP="00155654">
            <w:pPr>
              <w:pStyle w:val="PlainText"/>
              <w:jc w:val="both"/>
              <w:rPr>
                <w:rFonts w:ascii="Times New Roman" w:hAnsi="Times New Roman"/>
                <w:szCs w:val="22"/>
              </w:rPr>
            </w:pPr>
            <w:r w:rsidRPr="000C7A01">
              <w:rPr>
                <w:rFonts w:ascii="Times New Roman" w:hAnsi="Times New Roman"/>
                <w:szCs w:val="22"/>
              </w:rPr>
              <w:t>Create a single portal to ensure remote identification and record keeping of public benefits to households, as well as to ensure the implementation of measures for availability of incentives and rebates to specific categories of the population (by social status), and record keeping.</w:t>
            </w:r>
          </w:p>
          <w:p w14:paraId="7A6D7F7A" w14:textId="77777777" w:rsidR="00CE6CB9" w:rsidRPr="00CC6B28" w:rsidRDefault="00CE6CB9" w:rsidP="00155654">
            <w:pPr>
              <w:pStyle w:val="PlainText"/>
              <w:jc w:val="both"/>
              <w:rPr>
                <w:rFonts w:ascii="Times New Roman" w:hAnsi="Times New Roman"/>
                <w:sz w:val="24"/>
                <w:szCs w:val="24"/>
              </w:rPr>
            </w:pPr>
          </w:p>
        </w:tc>
        <w:tc>
          <w:tcPr>
            <w:tcW w:w="2387" w:type="dxa"/>
          </w:tcPr>
          <w:p w14:paraId="55C07616"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Portal created</w:t>
            </w:r>
          </w:p>
        </w:tc>
        <w:tc>
          <w:tcPr>
            <w:tcW w:w="2551" w:type="dxa"/>
          </w:tcPr>
          <w:p w14:paraId="537F131E"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Public benefits become more accessible and the record keeping of benefits become more efficient</w:t>
            </w:r>
          </w:p>
          <w:p w14:paraId="4D0D39AB" w14:textId="77777777" w:rsidR="00CE6CB9" w:rsidRPr="00CC6B28" w:rsidRDefault="00CE6CB9" w:rsidP="00155654">
            <w:pPr>
              <w:spacing w:before="20" w:afterLines="20" w:after="48"/>
              <w:rPr>
                <w:rFonts w:ascii="Times New Roman" w:hAnsi="Times New Roman"/>
              </w:rPr>
            </w:pPr>
          </w:p>
          <w:p w14:paraId="0F6A31D0" w14:textId="77777777" w:rsidR="00CE6CB9" w:rsidRPr="00CC6B28" w:rsidRDefault="00CE6CB9" w:rsidP="00155654">
            <w:pPr>
              <w:spacing w:before="20" w:afterLines="20" w:after="48"/>
              <w:rPr>
                <w:rFonts w:ascii="Times New Roman" w:hAnsi="Times New Roman"/>
              </w:rPr>
            </w:pPr>
          </w:p>
        </w:tc>
        <w:tc>
          <w:tcPr>
            <w:tcW w:w="1276" w:type="dxa"/>
          </w:tcPr>
          <w:p w14:paraId="7805A01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VARAM</w:t>
            </w:r>
          </w:p>
        </w:tc>
        <w:tc>
          <w:tcPr>
            <w:tcW w:w="1701" w:type="dxa"/>
          </w:tcPr>
          <w:p w14:paraId="0ADCC1D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 xml:space="preserve">SM, </w:t>
            </w:r>
            <w:proofErr w:type="spellStart"/>
            <w:r w:rsidRPr="00CC6B28">
              <w:rPr>
                <w:rFonts w:ascii="Times New Roman" w:hAnsi="Times New Roman"/>
              </w:rPr>
              <w:t>IeM</w:t>
            </w:r>
            <w:proofErr w:type="spellEnd"/>
            <w:r w:rsidRPr="00CC6B28">
              <w:rPr>
                <w:rFonts w:ascii="Times New Roman" w:hAnsi="Times New Roman"/>
              </w:rPr>
              <w:t>, LM, VM, PKC, FM, LKA, LTAB, LAA</w:t>
            </w:r>
          </w:p>
        </w:tc>
        <w:tc>
          <w:tcPr>
            <w:tcW w:w="1843" w:type="dxa"/>
          </w:tcPr>
          <w:p w14:paraId="52063E2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30.06.2018</w:t>
            </w:r>
          </w:p>
        </w:tc>
      </w:tr>
      <w:tr w:rsidR="00CE6CB9" w:rsidRPr="00CC6B28" w14:paraId="011BFA3C" w14:textId="77777777" w:rsidTr="00155654">
        <w:tc>
          <w:tcPr>
            <w:tcW w:w="964" w:type="dxa"/>
          </w:tcPr>
          <w:p w14:paraId="2BCE6F15" w14:textId="77777777" w:rsidR="00CE6CB9" w:rsidRPr="00CC6B28" w:rsidRDefault="00CE6CB9" w:rsidP="00155654">
            <w:pPr>
              <w:rPr>
                <w:rFonts w:ascii="Times New Roman" w:eastAsia="Times New Roman" w:hAnsi="Times New Roman"/>
                <w:lang w:eastAsia="lv-LV"/>
              </w:rPr>
            </w:pPr>
            <w:r w:rsidRPr="00CC6B28">
              <w:rPr>
                <w:rFonts w:ascii="Times New Roman" w:eastAsia="Times New Roman" w:hAnsi="Times New Roman"/>
                <w:lang w:eastAsia="lv-LV"/>
              </w:rPr>
              <w:t xml:space="preserve">1.1.2. </w:t>
            </w:r>
          </w:p>
        </w:tc>
        <w:tc>
          <w:tcPr>
            <w:tcW w:w="4417" w:type="dxa"/>
          </w:tcPr>
          <w:p w14:paraId="29885458" w14:textId="77777777" w:rsidR="00CE6CB9" w:rsidRPr="00CC6B28" w:rsidRDefault="00CE6CB9" w:rsidP="00155654">
            <w:pPr>
              <w:jc w:val="both"/>
              <w:rPr>
                <w:rFonts w:ascii="Times New Roman" w:hAnsi="Times New Roman"/>
              </w:rPr>
            </w:pPr>
            <w:r w:rsidRPr="00CC6B28">
              <w:rPr>
                <w:rFonts w:ascii="Times New Roman" w:hAnsi="Times New Roman"/>
                <w:color w:val="000000"/>
              </w:rPr>
              <w:t>Reinforcement of consumer (non-bank) lending monitoring to ensure a high level of consumer protection and solvency assessment</w:t>
            </w:r>
          </w:p>
        </w:tc>
        <w:tc>
          <w:tcPr>
            <w:tcW w:w="2387" w:type="dxa"/>
          </w:tcPr>
          <w:p w14:paraId="6E187408"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The availability of Credit Office information for more consumer credit providers is provided</w:t>
            </w:r>
          </w:p>
        </w:tc>
        <w:tc>
          <w:tcPr>
            <w:tcW w:w="2551" w:type="dxa"/>
          </w:tcPr>
          <w:p w14:paraId="3B283C5C"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 xml:space="preserve">Improved </w:t>
            </w:r>
            <w:proofErr w:type="gramStart"/>
            <w:r w:rsidRPr="00CC6B28">
              <w:rPr>
                <w:rFonts w:ascii="Times New Roman" w:eastAsia="Times New Roman" w:hAnsi="Times New Roman"/>
                <w:lang w:eastAsia="lv-LV"/>
              </w:rPr>
              <w:t>consumer lending</w:t>
            </w:r>
            <w:proofErr w:type="gramEnd"/>
            <w:r w:rsidRPr="00CC6B28">
              <w:rPr>
                <w:rFonts w:ascii="Times New Roman" w:eastAsia="Times New Roman" w:hAnsi="Times New Roman"/>
                <w:lang w:eastAsia="lv-LV"/>
              </w:rPr>
              <w:t xml:space="preserve"> solvency assessment methods, providing information of Credit Office to a wider range of credit providers.</w:t>
            </w:r>
          </w:p>
        </w:tc>
        <w:tc>
          <w:tcPr>
            <w:tcW w:w="1276" w:type="dxa"/>
          </w:tcPr>
          <w:p w14:paraId="11A06D2B"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EM</w:t>
            </w:r>
          </w:p>
        </w:tc>
        <w:tc>
          <w:tcPr>
            <w:tcW w:w="1701" w:type="dxa"/>
          </w:tcPr>
          <w:p w14:paraId="5288B2A2"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PTAC, LAFPA, LKA</w:t>
            </w:r>
          </w:p>
        </w:tc>
        <w:tc>
          <w:tcPr>
            <w:tcW w:w="1843" w:type="dxa"/>
          </w:tcPr>
          <w:p w14:paraId="6139CA8A"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Annually for 2017 until 2019</w:t>
            </w:r>
          </w:p>
        </w:tc>
      </w:tr>
      <w:tr w:rsidR="00CE6CB9" w:rsidRPr="00CC6B28" w14:paraId="2E3ABFDE" w14:textId="77777777" w:rsidTr="00155654">
        <w:tc>
          <w:tcPr>
            <w:tcW w:w="964" w:type="dxa"/>
          </w:tcPr>
          <w:p w14:paraId="295B8B11" w14:textId="77777777" w:rsidR="00CE6CB9" w:rsidRPr="00CC6B28" w:rsidRDefault="00CE6CB9" w:rsidP="00155654">
            <w:pPr>
              <w:rPr>
                <w:rFonts w:ascii="Times New Roman" w:eastAsia="Times New Roman" w:hAnsi="Times New Roman"/>
                <w:lang w:eastAsia="lv-LV"/>
              </w:rPr>
            </w:pPr>
            <w:r w:rsidRPr="00CC6B28">
              <w:rPr>
                <w:rFonts w:ascii="Times New Roman" w:eastAsia="Times New Roman" w:hAnsi="Times New Roman"/>
                <w:lang w:eastAsia="lv-LV"/>
              </w:rPr>
              <w:t xml:space="preserve">1.1.3. </w:t>
            </w:r>
          </w:p>
        </w:tc>
        <w:tc>
          <w:tcPr>
            <w:tcW w:w="4417" w:type="dxa"/>
          </w:tcPr>
          <w:p w14:paraId="37F2D8A7"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Consumer education in the field of consumer credit, particularly in matters of responsible borrowing and debt management </w:t>
            </w:r>
          </w:p>
        </w:tc>
        <w:tc>
          <w:tcPr>
            <w:tcW w:w="2387" w:type="dxa"/>
          </w:tcPr>
          <w:p w14:paraId="7A6E5CF6"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Consumer awareness is improved</w:t>
            </w:r>
          </w:p>
        </w:tc>
        <w:tc>
          <w:tcPr>
            <w:tcW w:w="2551" w:type="dxa"/>
          </w:tcPr>
          <w:p w14:paraId="76F14D3D"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 xml:space="preserve">Consumer access to information is improved </w:t>
            </w:r>
            <w:r w:rsidRPr="00CC6B28">
              <w:rPr>
                <w:rFonts w:ascii="Times New Roman" w:eastAsia="Times New Roman" w:hAnsi="Times New Roman"/>
                <w:lang w:eastAsia="lv-LV"/>
              </w:rPr>
              <w:lastRenderedPageBreak/>
              <w:t>by promoting responsible borrowing</w:t>
            </w:r>
          </w:p>
        </w:tc>
        <w:tc>
          <w:tcPr>
            <w:tcW w:w="1276" w:type="dxa"/>
          </w:tcPr>
          <w:p w14:paraId="222D1160"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lastRenderedPageBreak/>
              <w:t>EM</w:t>
            </w:r>
          </w:p>
        </w:tc>
        <w:tc>
          <w:tcPr>
            <w:tcW w:w="1701" w:type="dxa"/>
          </w:tcPr>
          <w:p w14:paraId="36005F3A"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PTAC, LAFPA, LKA</w:t>
            </w:r>
          </w:p>
        </w:tc>
        <w:tc>
          <w:tcPr>
            <w:tcW w:w="1843" w:type="dxa"/>
          </w:tcPr>
          <w:p w14:paraId="4751F542"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Annually for 2017 until 2019</w:t>
            </w:r>
          </w:p>
        </w:tc>
      </w:tr>
      <w:tr w:rsidR="00CE6CB9" w:rsidRPr="00CC6B28" w14:paraId="63EC4FF4" w14:textId="77777777" w:rsidTr="00155654">
        <w:tc>
          <w:tcPr>
            <w:tcW w:w="964" w:type="dxa"/>
          </w:tcPr>
          <w:p w14:paraId="1EDF67C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1.1.4.</w:t>
            </w:r>
          </w:p>
          <w:p w14:paraId="7B9D7670" w14:textId="77777777" w:rsidR="00CE6CB9" w:rsidRPr="00CC6B28" w:rsidRDefault="00CE6CB9" w:rsidP="00155654">
            <w:pPr>
              <w:spacing w:before="20" w:afterLines="20" w:after="48"/>
              <w:rPr>
                <w:rFonts w:ascii="Times New Roman" w:eastAsia="Times New Roman" w:hAnsi="Times New Roman"/>
                <w:color w:val="FF0000"/>
                <w:lang w:eastAsia="lv-LV"/>
              </w:rPr>
            </w:pPr>
          </w:p>
        </w:tc>
        <w:tc>
          <w:tcPr>
            <w:tcW w:w="4417" w:type="dxa"/>
            <w:shd w:val="clear" w:color="auto" w:fill="auto"/>
          </w:tcPr>
          <w:p w14:paraId="62D5A085"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Develop a regulation on client video identification framework, as client identification method, in which the customer participates in person, and assess the experience of other countries. Measure implemented in accordance with the approved 1.2.1.measure for comprehensive policy planning on anti-money laundering and financing terrorism.</w:t>
            </w:r>
          </w:p>
          <w:p w14:paraId="387BF5A5" w14:textId="77777777" w:rsidR="00CE6CB9" w:rsidRPr="00CC6B28" w:rsidRDefault="00CE6CB9" w:rsidP="00155654">
            <w:pPr>
              <w:spacing w:before="20" w:afterLines="20" w:after="48"/>
              <w:jc w:val="both"/>
              <w:rPr>
                <w:rFonts w:ascii="Times New Roman" w:hAnsi="Times New Roman"/>
              </w:rPr>
            </w:pPr>
          </w:p>
        </w:tc>
        <w:tc>
          <w:tcPr>
            <w:tcW w:w="2387" w:type="dxa"/>
          </w:tcPr>
          <w:p w14:paraId="068B80E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FCMC regulation is prepared</w:t>
            </w:r>
          </w:p>
        </w:tc>
        <w:tc>
          <w:tcPr>
            <w:tcW w:w="2551" w:type="dxa"/>
          </w:tcPr>
          <w:p w14:paraId="30DDD09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FCMC regulation prepared on project development in accordance with the Anti-Money Laundering and Financing of Terrorism Prevention Law Article 47, second subparagraph, eighth paragraph</w:t>
            </w:r>
          </w:p>
        </w:tc>
        <w:tc>
          <w:tcPr>
            <w:tcW w:w="1276" w:type="dxa"/>
          </w:tcPr>
          <w:p w14:paraId="489868E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FKTK</w:t>
            </w:r>
          </w:p>
        </w:tc>
        <w:tc>
          <w:tcPr>
            <w:tcW w:w="1701" w:type="dxa"/>
          </w:tcPr>
          <w:p w14:paraId="19FC5DC7"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LKA, LMENA, VARAM, LTRK</w:t>
            </w:r>
          </w:p>
        </w:tc>
        <w:tc>
          <w:tcPr>
            <w:tcW w:w="1843" w:type="dxa"/>
          </w:tcPr>
          <w:p w14:paraId="01A64D33"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63C2F03A" w14:textId="77777777" w:rsidTr="00155654">
        <w:trPr>
          <w:trHeight w:val="2053"/>
        </w:trPr>
        <w:tc>
          <w:tcPr>
            <w:tcW w:w="964" w:type="dxa"/>
          </w:tcPr>
          <w:p w14:paraId="7BC426D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1.1.5.</w:t>
            </w:r>
          </w:p>
          <w:p w14:paraId="2F1324A8" w14:textId="77777777" w:rsidR="00CE6CB9" w:rsidRPr="00CC6B28" w:rsidRDefault="00CE6CB9" w:rsidP="00155654">
            <w:pPr>
              <w:spacing w:before="20" w:afterLines="20" w:after="48"/>
              <w:rPr>
                <w:rFonts w:ascii="Times New Roman" w:eastAsia="Times New Roman" w:hAnsi="Times New Roman"/>
                <w:lang w:eastAsia="lv-LV"/>
              </w:rPr>
            </w:pPr>
          </w:p>
        </w:tc>
        <w:tc>
          <w:tcPr>
            <w:tcW w:w="4417" w:type="dxa"/>
          </w:tcPr>
          <w:p w14:paraId="0C7201FF"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Evaluate options using customer biometric data for customer identification, authentication and authorization processes</w:t>
            </w:r>
            <w:proofErr w:type="gramStart"/>
            <w:r w:rsidRPr="00CC6B28">
              <w:rPr>
                <w:rFonts w:ascii="Times New Roman" w:hAnsi="Times New Roman"/>
              </w:rPr>
              <w:t>;</w:t>
            </w:r>
            <w:proofErr w:type="gramEnd"/>
            <w:r w:rsidRPr="00CC6B28">
              <w:rPr>
                <w:rFonts w:ascii="Times New Roman" w:hAnsi="Times New Roman"/>
              </w:rPr>
              <w:t xml:space="preserve"> as well as evaluation of feasibility of public service of person's identity or restricted access to biometric data processing systems and its use. Measure implemented in accordance with the approved 1.2.1.measure for comprehensive policy planning documents of anti-money laundering and financing terrorism.</w:t>
            </w:r>
          </w:p>
          <w:p w14:paraId="0CC359A0" w14:textId="77777777" w:rsidR="00CE6CB9" w:rsidRPr="00CC6B28" w:rsidRDefault="00CE6CB9" w:rsidP="00155654">
            <w:pPr>
              <w:spacing w:before="20" w:afterLines="20" w:after="48"/>
              <w:jc w:val="both"/>
              <w:rPr>
                <w:rFonts w:ascii="Times New Roman" w:hAnsi="Times New Roman"/>
              </w:rPr>
            </w:pPr>
          </w:p>
        </w:tc>
        <w:tc>
          <w:tcPr>
            <w:tcW w:w="2387" w:type="dxa"/>
          </w:tcPr>
          <w:p w14:paraId="3D51F544"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The options for the necessary amendments to the legal framework are evaluated</w:t>
            </w:r>
          </w:p>
        </w:tc>
        <w:tc>
          <w:tcPr>
            <w:tcW w:w="2551" w:type="dxa"/>
          </w:tcPr>
          <w:p w14:paraId="0C3AF6A4"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The options for the necessary amendments to the legal framework are evaluated</w:t>
            </w:r>
          </w:p>
        </w:tc>
        <w:tc>
          <w:tcPr>
            <w:tcW w:w="1276" w:type="dxa"/>
          </w:tcPr>
          <w:p w14:paraId="4D14A940"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FM</w:t>
            </w:r>
          </w:p>
        </w:tc>
        <w:tc>
          <w:tcPr>
            <w:tcW w:w="1701" w:type="dxa"/>
          </w:tcPr>
          <w:p w14:paraId="2CADD484"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FKTK, LKA, LMENA, VARAM</w:t>
            </w:r>
          </w:p>
        </w:tc>
        <w:tc>
          <w:tcPr>
            <w:tcW w:w="1843" w:type="dxa"/>
          </w:tcPr>
          <w:p w14:paraId="23BEA4B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2E5460EC" w14:textId="77777777" w:rsidTr="00155654">
        <w:tc>
          <w:tcPr>
            <w:tcW w:w="964" w:type="dxa"/>
          </w:tcPr>
          <w:p w14:paraId="4886CDC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1.1.6.</w:t>
            </w:r>
          </w:p>
        </w:tc>
        <w:tc>
          <w:tcPr>
            <w:tcW w:w="4417" w:type="dxa"/>
          </w:tcPr>
          <w:p w14:paraId="7691ADB9" w14:textId="77777777" w:rsidR="00CE6CB9" w:rsidRPr="00CC6B28" w:rsidRDefault="00CE6CB9" w:rsidP="00155654">
            <w:pPr>
              <w:spacing w:before="120"/>
              <w:jc w:val="both"/>
              <w:rPr>
                <w:rFonts w:ascii="Times New Roman" w:hAnsi="Times New Roman"/>
              </w:rPr>
            </w:pPr>
            <w:r w:rsidRPr="00CC6B28">
              <w:rPr>
                <w:rFonts w:ascii="Times New Roman" w:hAnsi="Times New Roman"/>
              </w:rPr>
              <w:t>Introduce regulatory sandbox solution. Measure implemented in accordance with the approved 1.2.1.measure for comprehensive policy planning documents of anti-money laundering and financing terrorism.</w:t>
            </w:r>
          </w:p>
        </w:tc>
        <w:tc>
          <w:tcPr>
            <w:tcW w:w="2387" w:type="dxa"/>
          </w:tcPr>
          <w:p w14:paraId="4DC28F43"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hAnsi="Times New Roman"/>
              </w:rPr>
              <w:t>The environment for development of innovative financial services is improved</w:t>
            </w:r>
          </w:p>
        </w:tc>
        <w:tc>
          <w:tcPr>
            <w:tcW w:w="2551" w:type="dxa"/>
          </w:tcPr>
          <w:p w14:paraId="3BFEDD53"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A regulatory sandbox solution to support innovative financial services and international competitiveness of the FINTECH industry is introduced</w:t>
            </w:r>
          </w:p>
          <w:p w14:paraId="3B7D86C7" w14:textId="77777777" w:rsidR="00CE6CB9" w:rsidRPr="00CC6B28" w:rsidRDefault="00CE6CB9" w:rsidP="00155654">
            <w:pPr>
              <w:spacing w:before="20" w:afterLines="20" w:after="48"/>
              <w:rPr>
                <w:rFonts w:ascii="Times New Roman" w:eastAsia="Times New Roman" w:hAnsi="Times New Roman"/>
                <w:color w:val="000000"/>
                <w:lang w:eastAsia="lv-LV"/>
              </w:rPr>
            </w:pPr>
          </w:p>
        </w:tc>
        <w:tc>
          <w:tcPr>
            <w:tcW w:w="1276" w:type="dxa"/>
          </w:tcPr>
          <w:p w14:paraId="59A86106" w14:textId="77777777" w:rsidR="00CE6CB9" w:rsidRPr="00CC6B28" w:rsidRDefault="00CE6CB9" w:rsidP="00155654">
            <w:pPr>
              <w:spacing w:before="20" w:afterLines="20" w:after="48"/>
              <w:jc w:val="both"/>
              <w:rPr>
                <w:rFonts w:ascii="Times New Roman" w:hAnsi="Times New Roman"/>
              </w:rPr>
            </w:pPr>
            <w:r w:rsidRPr="00CC6B28">
              <w:rPr>
                <w:rFonts w:ascii="Times New Roman" w:eastAsia="Times New Roman" w:hAnsi="Times New Roman"/>
                <w:color w:val="000000"/>
                <w:lang w:eastAsia="lv-LV"/>
              </w:rPr>
              <w:t>FM</w:t>
            </w:r>
          </w:p>
        </w:tc>
        <w:tc>
          <w:tcPr>
            <w:tcW w:w="1701" w:type="dxa"/>
          </w:tcPr>
          <w:p w14:paraId="2B9F1021"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color w:val="000000"/>
                <w:lang w:eastAsia="lv-LV"/>
              </w:rPr>
              <w:t xml:space="preserve">FKTK, PTAC, </w:t>
            </w:r>
            <w:r w:rsidRPr="00CC6B28">
              <w:rPr>
                <w:rFonts w:ascii="Times New Roman" w:hAnsi="Times New Roman"/>
              </w:rPr>
              <w:t xml:space="preserve">LAFPA, LKA, LMENA, </w:t>
            </w:r>
            <w:proofErr w:type="spellStart"/>
            <w:r w:rsidRPr="00CC6B28">
              <w:rPr>
                <w:rFonts w:ascii="Times New Roman" w:hAnsi="Times New Roman"/>
              </w:rPr>
              <w:t>STARTin</w:t>
            </w:r>
            <w:proofErr w:type="spellEnd"/>
          </w:p>
        </w:tc>
        <w:tc>
          <w:tcPr>
            <w:tcW w:w="1843" w:type="dxa"/>
          </w:tcPr>
          <w:p w14:paraId="103A7983"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5D9E83ED" w14:textId="77777777" w:rsidTr="00155654">
        <w:tc>
          <w:tcPr>
            <w:tcW w:w="15139" w:type="dxa"/>
            <w:gridSpan w:val="7"/>
            <w:shd w:val="clear" w:color="auto" w:fill="FFF2CC"/>
          </w:tcPr>
          <w:p w14:paraId="7616F866"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rPr>
              <w:t>1.2. SECURITY AND REPUTATION</w:t>
            </w:r>
          </w:p>
          <w:p w14:paraId="6A4469DF"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u w:val="single"/>
              </w:rPr>
              <w:t>Attainable sub-goals: A substantial improvement of international reputation of Latvian financial sector</w:t>
            </w:r>
          </w:p>
        </w:tc>
      </w:tr>
      <w:tr w:rsidR="00CE6CB9" w:rsidRPr="00CC6B28" w14:paraId="0635B468" w14:textId="77777777" w:rsidTr="00155654">
        <w:tc>
          <w:tcPr>
            <w:tcW w:w="964" w:type="dxa"/>
          </w:tcPr>
          <w:p w14:paraId="2537F4DD"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1.2.1.</w:t>
            </w:r>
          </w:p>
        </w:tc>
        <w:tc>
          <w:tcPr>
            <w:tcW w:w="4417" w:type="dxa"/>
          </w:tcPr>
          <w:p w14:paraId="6EB98CFC"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The anti-money laundering and terrorist financing risk management system developed in accordance to international standards and best practices and introduced public and private structures.</w:t>
            </w:r>
          </w:p>
          <w:p w14:paraId="5F62A36B" w14:textId="77777777" w:rsidR="00CE6CB9" w:rsidRPr="00CC6B28" w:rsidRDefault="00CE6CB9" w:rsidP="00155654">
            <w:pPr>
              <w:spacing w:before="20" w:afterLines="20" w:after="48"/>
              <w:jc w:val="both"/>
              <w:rPr>
                <w:rFonts w:ascii="Times New Roman" w:hAnsi="Times New Roman"/>
              </w:rPr>
            </w:pPr>
          </w:p>
        </w:tc>
        <w:tc>
          <w:tcPr>
            <w:tcW w:w="2387" w:type="dxa"/>
          </w:tcPr>
          <w:p w14:paraId="66243415" w14:textId="77777777" w:rsidR="00CE6CB9" w:rsidRPr="00CC6B28" w:rsidRDefault="00CE6CB9" w:rsidP="00CE6CB9">
            <w:pPr>
              <w:pStyle w:val="ListParagraph"/>
              <w:numPr>
                <w:ilvl w:val="0"/>
                <w:numId w:val="20"/>
              </w:numPr>
              <w:spacing w:after="0" w:line="240" w:lineRule="auto"/>
              <w:ind w:left="0" w:firstLine="0"/>
              <w:jc w:val="both"/>
              <w:rPr>
                <w:rFonts w:ascii="Times New Roman" w:hAnsi="Times New Roman"/>
              </w:rPr>
            </w:pPr>
            <w:proofErr w:type="spellStart"/>
            <w:r w:rsidRPr="00CC6B28">
              <w:rPr>
                <w:rFonts w:ascii="Times New Roman" w:hAnsi="Times New Roman"/>
              </w:rPr>
              <w:t>Implementation</w:t>
            </w:r>
            <w:proofErr w:type="spellEnd"/>
            <w:r w:rsidRPr="00CC6B28">
              <w:rPr>
                <w:rFonts w:ascii="Times New Roman" w:hAnsi="Times New Roman"/>
              </w:rPr>
              <w:t xml:space="preserve"> </w:t>
            </w:r>
            <w:proofErr w:type="spellStart"/>
            <w:r w:rsidRPr="00CC6B28">
              <w:rPr>
                <w:rFonts w:ascii="Times New Roman" w:hAnsi="Times New Roman"/>
              </w:rPr>
              <w:t>of</w:t>
            </w:r>
            <w:proofErr w:type="spellEnd"/>
            <w:r w:rsidRPr="00CC6B28">
              <w:rPr>
                <w:rFonts w:ascii="Times New Roman" w:hAnsi="Times New Roman"/>
              </w:rPr>
              <w:t xml:space="preserve"> a </w:t>
            </w:r>
            <w:proofErr w:type="spellStart"/>
            <w:r w:rsidRPr="00CC6B28">
              <w:rPr>
                <w:rFonts w:ascii="Times New Roman" w:hAnsi="Times New Roman"/>
              </w:rPr>
              <w:t>comprehensive</w:t>
            </w:r>
            <w:proofErr w:type="spellEnd"/>
            <w:r w:rsidRPr="00CC6B28">
              <w:rPr>
                <w:rFonts w:ascii="Times New Roman" w:hAnsi="Times New Roman"/>
              </w:rPr>
              <w:t xml:space="preserve"> </w:t>
            </w:r>
            <w:proofErr w:type="spellStart"/>
            <w:r w:rsidRPr="00CC6B28">
              <w:rPr>
                <w:rFonts w:ascii="Times New Roman" w:hAnsi="Times New Roman"/>
              </w:rPr>
              <w:t>policy</w:t>
            </w:r>
            <w:proofErr w:type="spellEnd"/>
            <w:r w:rsidRPr="00CC6B28">
              <w:rPr>
                <w:rFonts w:ascii="Times New Roman" w:hAnsi="Times New Roman"/>
              </w:rPr>
              <w:t xml:space="preserve"> </w:t>
            </w:r>
            <w:proofErr w:type="spellStart"/>
            <w:r w:rsidRPr="00CC6B28">
              <w:rPr>
                <w:rFonts w:ascii="Times New Roman" w:hAnsi="Times New Roman"/>
              </w:rPr>
              <w:t>planning</w:t>
            </w:r>
            <w:proofErr w:type="spellEnd"/>
            <w:r w:rsidRPr="00CC6B28">
              <w:rPr>
                <w:rFonts w:ascii="Times New Roman" w:hAnsi="Times New Roman"/>
              </w:rPr>
              <w:t xml:space="preserve"> </w:t>
            </w:r>
            <w:proofErr w:type="spellStart"/>
            <w:r w:rsidRPr="00CC6B28">
              <w:rPr>
                <w:rFonts w:ascii="Times New Roman" w:hAnsi="Times New Roman"/>
              </w:rPr>
              <w:t>documents</w:t>
            </w:r>
            <w:proofErr w:type="spellEnd"/>
            <w:r w:rsidRPr="00CC6B28">
              <w:rPr>
                <w:rFonts w:ascii="Times New Roman" w:hAnsi="Times New Roman"/>
              </w:rPr>
              <w:t xml:space="preserve"> </w:t>
            </w:r>
            <w:proofErr w:type="spellStart"/>
            <w:r w:rsidRPr="00CC6B28">
              <w:rPr>
                <w:rFonts w:ascii="Times New Roman" w:hAnsi="Times New Roman"/>
              </w:rPr>
              <w:t>of</w:t>
            </w:r>
            <w:proofErr w:type="spellEnd"/>
            <w:r w:rsidRPr="00CC6B28">
              <w:rPr>
                <w:rFonts w:ascii="Times New Roman" w:hAnsi="Times New Roman"/>
              </w:rPr>
              <w:t xml:space="preserve"> anti-</w:t>
            </w:r>
            <w:proofErr w:type="spellStart"/>
            <w:r w:rsidRPr="00CC6B28">
              <w:rPr>
                <w:rFonts w:ascii="Times New Roman" w:hAnsi="Times New Roman"/>
              </w:rPr>
              <w:t>money</w:t>
            </w:r>
            <w:proofErr w:type="spellEnd"/>
            <w:r w:rsidRPr="00CC6B28">
              <w:rPr>
                <w:rFonts w:ascii="Times New Roman" w:hAnsi="Times New Roman"/>
              </w:rPr>
              <w:t xml:space="preserve"> </w:t>
            </w:r>
            <w:proofErr w:type="spellStart"/>
            <w:r w:rsidRPr="00CC6B28">
              <w:rPr>
                <w:rFonts w:ascii="Times New Roman" w:hAnsi="Times New Roman"/>
              </w:rPr>
              <w:t>laundering</w:t>
            </w:r>
            <w:proofErr w:type="spellEnd"/>
            <w:r w:rsidRPr="00CC6B28">
              <w:rPr>
                <w:rFonts w:ascii="Times New Roman" w:hAnsi="Times New Roman"/>
              </w:rPr>
              <w:t xml:space="preserve"> </w:t>
            </w:r>
            <w:proofErr w:type="spellStart"/>
            <w:r w:rsidRPr="00CC6B28">
              <w:rPr>
                <w:rFonts w:ascii="Times New Roman" w:hAnsi="Times New Roman"/>
              </w:rPr>
              <w:t>and</w:t>
            </w:r>
            <w:proofErr w:type="spellEnd"/>
            <w:r w:rsidRPr="00CC6B28">
              <w:rPr>
                <w:rFonts w:ascii="Times New Roman" w:hAnsi="Times New Roman"/>
              </w:rPr>
              <w:t xml:space="preserve"> </w:t>
            </w:r>
            <w:proofErr w:type="spellStart"/>
            <w:r w:rsidRPr="00CC6B28">
              <w:rPr>
                <w:rFonts w:ascii="Times New Roman" w:hAnsi="Times New Roman"/>
              </w:rPr>
              <w:t>financing</w:t>
            </w:r>
            <w:proofErr w:type="spellEnd"/>
            <w:r w:rsidRPr="00CC6B28">
              <w:rPr>
                <w:rFonts w:ascii="Times New Roman" w:hAnsi="Times New Roman"/>
              </w:rPr>
              <w:t xml:space="preserve"> </w:t>
            </w:r>
            <w:proofErr w:type="spellStart"/>
            <w:r w:rsidRPr="00CC6B28">
              <w:rPr>
                <w:rFonts w:ascii="Times New Roman" w:hAnsi="Times New Roman"/>
              </w:rPr>
              <w:t>terrorism</w:t>
            </w:r>
            <w:proofErr w:type="spellEnd"/>
            <w:r w:rsidRPr="00CC6B28">
              <w:rPr>
                <w:rFonts w:ascii="Times New Roman" w:hAnsi="Times New Roman"/>
              </w:rPr>
              <w:t xml:space="preserve"> </w:t>
            </w:r>
            <w:proofErr w:type="spellStart"/>
            <w:r w:rsidRPr="00CC6B28">
              <w:rPr>
                <w:rFonts w:ascii="Times New Roman" w:hAnsi="Times New Roman"/>
              </w:rPr>
              <w:t>started</w:t>
            </w:r>
            <w:proofErr w:type="spellEnd"/>
            <w:r w:rsidRPr="00CC6B28">
              <w:rPr>
                <w:rFonts w:ascii="Times New Roman" w:hAnsi="Times New Roman"/>
              </w:rPr>
              <w:t>;</w:t>
            </w:r>
            <w:r w:rsidRPr="00CC6B28">
              <w:rPr>
                <w:rFonts w:ascii="Times New Roman" w:hAnsi="Times New Roman"/>
              </w:rPr>
              <w:br/>
              <w:t xml:space="preserve">2. A </w:t>
            </w:r>
            <w:proofErr w:type="spellStart"/>
            <w:r w:rsidRPr="00CC6B28">
              <w:rPr>
                <w:rFonts w:ascii="Times New Roman" w:hAnsi="Times New Roman"/>
              </w:rPr>
              <w:t>report</w:t>
            </w:r>
            <w:proofErr w:type="spellEnd"/>
            <w:r w:rsidRPr="00CC6B28">
              <w:rPr>
                <w:rFonts w:ascii="Times New Roman" w:hAnsi="Times New Roman"/>
              </w:rPr>
              <w:t xml:space="preserve"> </w:t>
            </w:r>
            <w:proofErr w:type="spellStart"/>
            <w:r w:rsidRPr="00CC6B28">
              <w:rPr>
                <w:rFonts w:ascii="Times New Roman" w:hAnsi="Times New Roman"/>
              </w:rPr>
              <w:t>sumbitted</w:t>
            </w:r>
            <w:proofErr w:type="spellEnd"/>
            <w:r w:rsidRPr="00CC6B28">
              <w:rPr>
                <w:rFonts w:ascii="Times New Roman" w:hAnsi="Times New Roman"/>
              </w:rPr>
              <w:t xml:space="preserve"> to </w:t>
            </w:r>
            <w:proofErr w:type="spellStart"/>
            <w:r w:rsidRPr="00CC6B28">
              <w:rPr>
                <w:rFonts w:ascii="Times New Roman" w:hAnsi="Times New Roman"/>
              </w:rPr>
              <w:t>the</w:t>
            </w:r>
            <w:proofErr w:type="spellEnd"/>
            <w:r w:rsidRPr="00CC6B28">
              <w:rPr>
                <w:rFonts w:ascii="Times New Roman" w:hAnsi="Times New Roman"/>
              </w:rPr>
              <w:t xml:space="preserve"> </w:t>
            </w:r>
            <w:proofErr w:type="spellStart"/>
            <w:r w:rsidRPr="00CC6B28">
              <w:rPr>
                <w:rFonts w:ascii="Times New Roman" w:hAnsi="Times New Roman"/>
              </w:rPr>
              <w:t>cabinet</w:t>
            </w:r>
            <w:proofErr w:type="spellEnd"/>
            <w:r w:rsidRPr="00CC6B28">
              <w:rPr>
                <w:rFonts w:ascii="Times New Roman" w:hAnsi="Times New Roman"/>
              </w:rPr>
              <w:t xml:space="preserve"> </w:t>
            </w:r>
            <w:proofErr w:type="spellStart"/>
            <w:r w:rsidRPr="00CC6B28">
              <w:rPr>
                <w:rFonts w:ascii="Times New Roman" w:hAnsi="Times New Roman"/>
              </w:rPr>
              <w:t>of</w:t>
            </w:r>
            <w:proofErr w:type="spellEnd"/>
            <w:r w:rsidRPr="00CC6B28">
              <w:rPr>
                <w:rFonts w:ascii="Times New Roman" w:hAnsi="Times New Roman"/>
              </w:rPr>
              <w:t xml:space="preserve"> </w:t>
            </w:r>
            <w:proofErr w:type="spellStart"/>
            <w:r w:rsidRPr="00CC6B28">
              <w:rPr>
                <w:rFonts w:ascii="Times New Roman" w:hAnsi="Times New Roman"/>
              </w:rPr>
              <w:t>ministers</w:t>
            </w:r>
            <w:proofErr w:type="spellEnd"/>
            <w:r w:rsidRPr="00CC6B28">
              <w:rPr>
                <w:rFonts w:ascii="Times New Roman" w:hAnsi="Times New Roman"/>
              </w:rPr>
              <w:t xml:space="preserve"> </w:t>
            </w:r>
            <w:proofErr w:type="spellStart"/>
            <w:r w:rsidRPr="00CC6B28">
              <w:rPr>
                <w:rFonts w:ascii="Times New Roman" w:hAnsi="Times New Roman"/>
              </w:rPr>
              <w:t>on</w:t>
            </w:r>
            <w:proofErr w:type="spellEnd"/>
            <w:r w:rsidRPr="00CC6B28">
              <w:rPr>
                <w:rFonts w:ascii="Times New Roman" w:hAnsi="Times New Roman"/>
              </w:rPr>
              <w:t xml:space="preserve"> </w:t>
            </w:r>
            <w:proofErr w:type="spellStart"/>
            <w:r w:rsidRPr="00CC6B28">
              <w:rPr>
                <w:rFonts w:ascii="Times New Roman" w:hAnsi="Times New Roman"/>
              </w:rPr>
              <w:t>implementation</w:t>
            </w:r>
            <w:proofErr w:type="spellEnd"/>
            <w:r w:rsidRPr="00CC6B28">
              <w:rPr>
                <w:rFonts w:ascii="Times New Roman" w:hAnsi="Times New Roman"/>
              </w:rPr>
              <w:t xml:space="preserve"> </w:t>
            </w:r>
            <w:proofErr w:type="spellStart"/>
            <w:r w:rsidRPr="00CC6B28">
              <w:rPr>
                <w:rFonts w:ascii="Times New Roman" w:hAnsi="Times New Roman"/>
              </w:rPr>
              <w:t>of</w:t>
            </w:r>
            <w:proofErr w:type="spellEnd"/>
            <w:r w:rsidRPr="00CC6B28">
              <w:rPr>
                <w:rFonts w:ascii="Times New Roman" w:hAnsi="Times New Roman"/>
              </w:rPr>
              <w:t xml:space="preserve"> anti-</w:t>
            </w:r>
            <w:proofErr w:type="spellStart"/>
            <w:r w:rsidRPr="00CC6B28">
              <w:rPr>
                <w:rFonts w:ascii="Times New Roman" w:hAnsi="Times New Roman"/>
              </w:rPr>
              <w:t>money</w:t>
            </w:r>
            <w:proofErr w:type="spellEnd"/>
            <w:r w:rsidRPr="00CC6B28">
              <w:rPr>
                <w:rFonts w:ascii="Times New Roman" w:hAnsi="Times New Roman"/>
              </w:rPr>
              <w:t xml:space="preserve"> </w:t>
            </w:r>
            <w:proofErr w:type="spellStart"/>
            <w:r w:rsidRPr="00CC6B28">
              <w:rPr>
                <w:rFonts w:ascii="Times New Roman" w:hAnsi="Times New Roman"/>
              </w:rPr>
              <w:t>laundering</w:t>
            </w:r>
            <w:proofErr w:type="spellEnd"/>
            <w:r w:rsidRPr="00CC6B28">
              <w:rPr>
                <w:rFonts w:ascii="Times New Roman" w:hAnsi="Times New Roman"/>
              </w:rPr>
              <w:t xml:space="preserve"> </w:t>
            </w:r>
            <w:proofErr w:type="spellStart"/>
            <w:r w:rsidRPr="00CC6B28">
              <w:rPr>
                <w:rFonts w:ascii="Times New Roman" w:hAnsi="Times New Roman"/>
              </w:rPr>
              <w:t>and</w:t>
            </w:r>
            <w:proofErr w:type="spellEnd"/>
            <w:r w:rsidRPr="00CC6B28">
              <w:rPr>
                <w:rFonts w:ascii="Times New Roman" w:hAnsi="Times New Roman"/>
              </w:rPr>
              <w:t xml:space="preserve"> </w:t>
            </w:r>
            <w:proofErr w:type="spellStart"/>
            <w:r w:rsidRPr="00CC6B28">
              <w:rPr>
                <w:rFonts w:ascii="Times New Roman" w:hAnsi="Times New Roman"/>
              </w:rPr>
              <w:t>terrorism</w:t>
            </w:r>
            <w:proofErr w:type="spellEnd"/>
            <w:r w:rsidRPr="00CC6B28">
              <w:rPr>
                <w:rFonts w:ascii="Times New Roman" w:hAnsi="Times New Roman"/>
              </w:rPr>
              <w:t xml:space="preserve"> </w:t>
            </w:r>
            <w:proofErr w:type="spellStart"/>
            <w:r w:rsidRPr="00CC6B28">
              <w:rPr>
                <w:rFonts w:ascii="Times New Roman" w:hAnsi="Times New Roman"/>
              </w:rPr>
              <w:t>financing</w:t>
            </w:r>
            <w:proofErr w:type="spellEnd"/>
            <w:r w:rsidRPr="00CC6B28">
              <w:rPr>
                <w:rFonts w:ascii="Times New Roman" w:hAnsi="Times New Roman"/>
              </w:rPr>
              <w:t xml:space="preserve"> risk </w:t>
            </w:r>
            <w:proofErr w:type="spellStart"/>
            <w:r w:rsidRPr="00CC6B28">
              <w:rPr>
                <w:rFonts w:ascii="Times New Roman" w:hAnsi="Times New Roman"/>
              </w:rPr>
              <w:t>prevention</w:t>
            </w:r>
            <w:proofErr w:type="spellEnd"/>
            <w:r w:rsidRPr="00CC6B28">
              <w:rPr>
                <w:rFonts w:ascii="Times New Roman" w:hAnsi="Times New Roman"/>
              </w:rPr>
              <w:t xml:space="preserve"> </w:t>
            </w:r>
            <w:proofErr w:type="spellStart"/>
            <w:r w:rsidRPr="00CC6B28">
              <w:rPr>
                <w:rFonts w:ascii="Times New Roman" w:hAnsi="Times New Roman"/>
              </w:rPr>
              <w:t>measures</w:t>
            </w:r>
            <w:proofErr w:type="spellEnd"/>
            <w:r w:rsidRPr="00CC6B28">
              <w:rPr>
                <w:rFonts w:ascii="Times New Roman" w:hAnsi="Times New Roman"/>
              </w:rPr>
              <w:t xml:space="preserve"> </w:t>
            </w:r>
            <w:proofErr w:type="spellStart"/>
            <w:r w:rsidRPr="00CC6B28">
              <w:rPr>
                <w:rFonts w:ascii="Times New Roman" w:hAnsi="Times New Roman"/>
              </w:rPr>
              <w:t>plan</w:t>
            </w:r>
            <w:proofErr w:type="spellEnd"/>
          </w:p>
          <w:p w14:paraId="15EEFF45" w14:textId="77777777" w:rsidR="00CE6CB9" w:rsidRPr="00CC6B28" w:rsidRDefault="00CE6CB9" w:rsidP="00155654">
            <w:pPr>
              <w:pStyle w:val="ListParagraph"/>
              <w:spacing w:after="0" w:line="240" w:lineRule="auto"/>
              <w:ind w:left="0"/>
              <w:jc w:val="both"/>
              <w:rPr>
                <w:rFonts w:ascii="Times New Roman" w:hAnsi="Times New Roman"/>
                <w:sz w:val="24"/>
                <w:szCs w:val="24"/>
              </w:rPr>
            </w:pPr>
          </w:p>
        </w:tc>
        <w:tc>
          <w:tcPr>
            <w:tcW w:w="2551" w:type="dxa"/>
          </w:tcPr>
          <w:p w14:paraId="0CC3B44A" w14:textId="77777777" w:rsidR="00CE6CB9" w:rsidRPr="00CC6B28" w:rsidRDefault="00CE6CB9" w:rsidP="00155654">
            <w:pPr>
              <w:pStyle w:val="ListParagraph"/>
              <w:spacing w:after="0" w:line="240" w:lineRule="auto"/>
              <w:ind w:left="28"/>
              <w:jc w:val="both"/>
              <w:rPr>
                <w:rFonts w:ascii="Times New Roman" w:hAnsi="Times New Roman"/>
              </w:rPr>
            </w:pPr>
            <w:r w:rsidRPr="00CC6B28">
              <w:rPr>
                <w:rFonts w:ascii="Times New Roman" w:hAnsi="Times New Roman"/>
              </w:rPr>
              <w:t xml:space="preserve">1. A </w:t>
            </w:r>
            <w:proofErr w:type="spellStart"/>
            <w:r w:rsidRPr="00CC6B28">
              <w:rPr>
                <w:rFonts w:ascii="Times New Roman" w:hAnsi="Times New Roman"/>
              </w:rPr>
              <w:t>comprehensive</w:t>
            </w:r>
            <w:proofErr w:type="spellEnd"/>
            <w:r w:rsidRPr="00CC6B28">
              <w:rPr>
                <w:rFonts w:ascii="Times New Roman" w:hAnsi="Times New Roman"/>
              </w:rPr>
              <w:t xml:space="preserve"> </w:t>
            </w:r>
            <w:proofErr w:type="spellStart"/>
            <w:r w:rsidRPr="00CC6B28">
              <w:rPr>
                <w:rFonts w:ascii="Times New Roman" w:hAnsi="Times New Roman"/>
              </w:rPr>
              <w:t>policy</w:t>
            </w:r>
            <w:proofErr w:type="spellEnd"/>
            <w:r w:rsidRPr="00CC6B28">
              <w:rPr>
                <w:rFonts w:ascii="Times New Roman" w:hAnsi="Times New Roman"/>
              </w:rPr>
              <w:t xml:space="preserve"> </w:t>
            </w:r>
            <w:proofErr w:type="spellStart"/>
            <w:r w:rsidRPr="00CC6B28">
              <w:rPr>
                <w:rFonts w:ascii="Times New Roman" w:hAnsi="Times New Roman"/>
              </w:rPr>
              <w:t>planning</w:t>
            </w:r>
            <w:proofErr w:type="spellEnd"/>
            <w:r w:rsidRPr="00CC6B28">
              <w:rPr>
                <w:rFonts w:ascii="Times New Roman" w:hAnsi="Times New Roman"/>
              </w:rPr>
              <w:t xml:space="preserve"> </w:t>
            </w:r>
            <w:proofErr w:type="spellStart"/>
            <w:r w:rsidRPr="00CC6B28">
              <w:rPr>
                <w:rFonts w:ascii="Times New Roman" w:hAnsi="Times New Roman"/>
              </w:rPr>
              <w:t>documents</w:t>
            </w:r>
            <w:proofErr w:type="spellEnd"/>
            <w:r w:rsidRPr="00CC6B28">
              <w:rPr>
                <w:rFonts w:ascii="Times New Roman" w:hAnsi="Times New Roman"/>
              </w:rPr>
              <w:t xml:space="preserve"> </w:t>
            </w:r>
            <w:proofErr w:type="spellStart"/>
            <w:r w:rsidRPr="00CC6B28">
              <w:rPr>
                <w:rFonts w:ascii="Times New Roman" w:hAnsi="Times New Roman"/>
              </w:rPr>
              <w:t>of</w:t>
            </w:r>
            <w:proofErr w:type="spellEnd"/>
            <w:r w:rsidRPr="00CC6B28">
              <w:rPr>
                <w:rFonts w:ascii="Times New Roman" w:hAnsi="Times New Roman"/>
              </w:rPr>
              <w:t xml:space="preserve"> anti-</w:t>
            </w:r>
            <w:proofErr w:type="spellStart"/>
            <w:r w:rsidRPr="00CC6B28">
              <w:rPr>
                <w:rFonts w:ascii="Times New Roman" w:hAnsi="Times New Roman"/>
              </w:rPr>
              <w:t>money</w:t>
            </w:r>
            <w:proofErr w:type="spellEnd"/>
            <w:r w:rsidRPr="00CC6B28">
              <w:rPr>
                <w:rFonts w:ascii="Times New Roman" w:hAnsi="Times New Roman"/>
              </w:rPr>
              <w:t xml:space="preserve"> </w:t>
            </w:r>
            <w:proofErr w:type="spellStart"/>
            <w:r w:rsidRPr="00CC6B28">
              <w:rPr>
                <w:rFonts w:ascii="Times New Roman" w:hAnsi="Times New Roman"/>
              </w:rPr>
              <w:t>laundering</w:t>
            </w:r>
            <w:proofErr w:type="spellEnd"/>
            <w:r w:rsidRPr="00CC6B28">
              <w:rPr>
                <w:rFonts w:ascii="Times New Roman" w:hAnsi="Times New Roman"/>
              </w:rPr>
              <w:t xml:space="preserve"> </w:t>
            </w:r>
            <w:proofErr w:type="spellStart"/>
            <w:r w:rsidRPr="00CC6B28">
              <w:rPr>
                <w:rFonts w:ascii="Times New Roman" w:hAnsi="Times New Roman"/>
              </w:rPr>
              <w:t>and</w:t>
            </w:r>
            <w:proofErr w:type="spellEnd"/>
            <w:r w:rsidRPr="00CC6B28">
              <w:rPr>
                <w:rFonts w:ascii="Times New Roman" w:hAnsi="Times New Roman"/>
              </w:rPr>
              <w:t xml:space="preserve"> </w:t>
            </w:r>
            <w:proofErr w:type="spellStart"/>
            <w:r w:rsidRPr="00CC6B28">
              <w:rPr>
                <w:rFonts w:ascii="Times New Roman" w:hAnsi="Times New Roman"/>
              </w:rPr>
              <w:t>financing</w:t>
            </w:r>
            <w:proofErr w:type="spellEnd"/>
            <w:r w:rsidRPr="00CC6B28">
              <w:rPr>
                <w:rFonts w:ascii="Times New Roman" w:hAnsi="Times New Roman"/>
              </w:rPr>
              <w:t xml:space="preserve"> </w:t>
            </w:r>
            <w:proofErr w:type="spellStart"/>
            <w:r w:rsidRPr="00CC6B28">
              <w:rPr>
                <w:rFonts w:ascii="Times New Roman" w:hAnsi="Times New Roman"/>
              </w:rPr>
              <w:t>terrorism</w:t>
            </w:r>
            <w:proofErr w:type="spellEnd"/>
            <w:r w:rsidRPr="00CC6B28">
              <w:rPr>
                <w:rFonts w:ascii="Times New Roman" w:hAnsi="Times New Roman"/>
              </w:rPr>
              <w:t xml:space="preserve"> </w:t>
            </w:r>
            <w:proofErr w:type="spellStart"/>
            <w:r w:rsidRPr="00CC6B28">
              <w:rPr>
                <w:rFonts w:ascii="Times New Roman" w:hAnsi="Times New Roman"/>
              </w:rPr>
              <w:t>is</w:t>
            </w:r>
            <w:proofErr w:type="spellEnd"/>
            <w:r w:rsidRPr="00CC6B28">
              <w:rPr>
                <w:rFonts w:ascii="Times New Roman" w:hAnsi="Times New Roman"/>
              </w:rPr>
              <w:t xml:space="preserve"> </w:t>
            </w:r>
            <w:proofErr w:type="spellStart"/>
            <w:r w:rsidRPr="00CC6B28">
              <w:rPr>
                <w:rFonts w:ascii="Times New Roman" w:hAnsi="Times New Roman"/>
              </w:rPr>
              <w:t>developed</w:t>
            </w:r>
            <w:proofErr w:type="spellEnd"/>
            <w:r w:rsidRPr="00CC6B28">
              <w:rPr>
                <w:rFonts w:ascii="Times New Roman" w:hAnsi="Times New Roman"/>
              </w:rPr>
              <w:t xml:space="preserve"> </w:t>
            </w:r>
            <w:proofErr w:type="spellStart"/>
            <w:r w:rsidRPr="00CC6B28">
              <w:rPr>
                <w:rFonts w:ascii="Times New Roman" w:hAnsi="Times New Roman"/>
              </w:rPr>
              <w:t>and</w:t>
            </w:r>
            <w:proofErr w:type="spellEnd"/>
            <w:r w:rsidRPr="00CC6B28">
              <w:rPr>
                <w:rFonts w:ascii="Times New Roman" w:hAnsi="Times New Roman"/>
              </w:rPr>
              <w:t xml:space="preserve"> </w:t>
            </w:r>
            <w:proofErr w:type="spellStart"/>
            <w:r w:rsidRPr="00CC6B28">
              <w:rPr>
                <w:rFonts w:ascii="Times New Roman" w:hAnsi="Times New Roman"/>
              </w:rPr>
              <w:t>introduced</w:t>
            </w:r>
            <w:proofErr w:type="spellEnd"/>
            <w:r w:rsidRPr="00CC6B28">
              <w:rPr>
                <w:rFonts w:ascii="Times New Roman" w:hAnsi="Times New Roman"/>
              </w:rPr>
              <w:t xml:space="preserve">;  </w:t>
            </w:r>
            <w:r w:rsidRPr="00CC6B28">
              <w:rPr>
                <w:rFonts w:ascii="Times New Roman" w:hAnsi="Times New Roman"/>
              </w:rPr>
              <w:br/>
              <w:t xml:space="preserve">2. An </w:t>
            </w:r>
            <w:proofErr w:type="spellStart"/>
            <w:r w:rsidRPr="00CC6B28">
              <w:rPr>
                <w:rFonts w:ascii="Times New Roman" w:hAnsi="Times New Roman"/>
              </w:rPr>
              <w:t>Evaluation</w:t>
            </w:r>
            <w:proofErr w:type="spellEnd"/>
            <w:r w:rsidRPr="00CC6B28">
              <w:rPr>
                <w:rFonts w:ascii="Times New Roman" w:hAnsi="Times New Roman"/>
              </w:rPr>
              <w:t xml:space="preserve"> </w:t>
            </w:r>
            <w:proofErr w:type="spellStart"/>
            <w:r w:rsidRPr="00CC6B28">
              <w:rPr>
                <w:rFonts w:ascii="Times New Roman" w:hAnsi="Times New Roman"/>
              </w:rPr>
              <w:t>is</w:t>
            </w:r>
            <w:proofErr w:type="spellEnd"/>
            <w:r w:rsidRPr="00CC6B28">
              <w:rPr>
                <w:rFonts w:ascii="Times New Roman" w:hAnsi="Times New Roman"/>
              </w:rPr>
              <w:t xml:space="preserve"> </w:t>
            </w:r>
            <w:proofErr w:type="spellStart"/>
            <w:r w:rsidRPr="00CC6B28">
              <w:rPr>
                <w:rFonts w:ascii="Times New Roman" w:hAnsi="Times New Roman"/>
              </w:rPr>
              <w:t>prepared</w:t>
            </w:r>
            <w:proofErr w:type="spellEnd"/>
            <w:r w:rsidRPr="00CC6B28">
              <w:rPr>
                <w:rFonts w:ascii="Times New Roman" w:hAnsi="Times New Roman"/>
              </w:rPr>
              <w:t xml:space="preserve"> </w:t>
            </w:r>
            <w:proofErr w:type="spellStart"/>
            <w:r w:rsidRPr="00CC6B28">
              <w:rPr>
                <w:rFonts w:ascii="Times New Roman" w:hAnsi="Times New Roman"/>
              </w:rPr>
              <w:t>on</w:t>
            </w:r>
            <w:proofErr w:type="spellEnd"/>
            <w:r w:rsidRPr="00CC6B28">
              <w:rPr>
                <w:rFonts w:ascii="Times New Roman" w:hAnsi="Times New Roman"/>
              </w:rPr>
              <w:t xml:space="preserve"> </w:t>
            </w:r>
            <w:proofErr w:type="spellStart"/>
            <w:r w:rsidRPr="00CC6B28">
              <w:rPr>
                <w:rFonts w:ascii="Times New Roman" w:hAnsi="Times New Roman"/>
              </w:rPr>
              <w:t>implementation</w:t>
            </w:r>
            <w:proofErr w:type="spellEnd"/>
            <w:r w:rsidRPr="00CC6B28">
              <w:rPr>
                <w:rFonts w:ascii="Times New Roman" w:hAnsi="Times New Roman"/>
              </w:rPr>
              <w:t xml:space="preserve"> </w:t>
            </w:r>
            <w:proofErr w:type="spellStart"/>
            <w:r w:rsidRPr="00CC6B28">
              <w:rPr>
                <w:rFonts w:ascii="Times New Roman" w:hAnsi="Times New Roman"/>
              </w:rPr>
              <w:t>of</w:t>
            </w:r>
            <w:proofErr w:type="spellEnd"/>
            <w:r w:rsidRPr="00CC6B28">
              <w:rPr>
                <w:rFonts w:ascii="Times New Roman" w:hAnsi="Times New Roman"/>
              </w:rPr>
              <w:t xml:space="preserve"> </w:t>
            </w:r>
            <w:proofErr w:type="spellStart"/>
            <w:r w:rsidRPr="00CC6B28">
              <w:rPr>
                <w:rFonts w:ascii="Times New Roman" w:hAnsi="Times New Roman"/>
              </w:rPr>
              <w:t>the</w:t>
            </w:r>
            <w:proofErr w:type="spellEnd"/>
            <w:r w:rsidRPr="00CC6B28">
              <w:rPr>
                <w:rFonts w:ascii="Times New Roman" w:hAnsi="Times New Roman"/>
              </w:rPr>
              <w:t xml:space="preserve"> anti-</w:t>
            </w:r>
            <w:proofErr w:type="spellStart"/>
            <w:r w:rsidRPr="00CC6B28">
              <w:rPr>
                <w:rFonts w:ascii="Times New Roman" w:hAnsi="Times New Roman"/>
              </w:rPr>
              <w:t>money</w:t>
            </w:r>
            <w:proofErr w:type="spellEnd"/>
            <w:r w:rsidRPr="00CC6B28">
              <w:rPr>
                <w:rFonts w:ascii="Times New Roman" w:hAnsi="Times New Roman"/>
              </w:rPr>
              <w:t xml:space="preserve"> </w:t>
            </w:r>
            <w:proofErr w:type="spellStart"/>
            <w:r w:rsidRPr="00CC6B28">
              <w:rPr>
                <w:rFonts w:ascii="Times New Roman" w:hAnsi="Times New Roman"/>
              </w:rPr>
              <w:t>laundering</w:t>
            </w:r>
            <w:proofErr w:type="spellEnd"/>
            <w:r w:rsidRPr="00CC6B28">
              <w:rPr>
                <w:rFonts w:ascii="Times New Roman" w:hAnsi="Times New Roman"/>
              </w:rPr>
              <w:t xml:space="preserve"> </w:t>
            </w:r>
            <w:proofErr w:type="spellStart"/>
            <w:r w:rsidRPr="00CC6B28">
              <w:rPr>
                <w:rFonts w:ascii="Times New Roman" w:hAnsi="Times New Roman"/>
              </w:rPr>
              <w:t>and</w:t>
            </w:r>
            <w:proofErr w:type="spellEnd"/>
            <w:r w:rsidRPr="00CC6B28">
              <w:rPr>
                <w:rFonts w:ascii="Times New Roman" w:hAnsi="Times New Roman"/>
              </w:rPr>
              <w:t xml:space="preserve"> </w:t>
            </w:r>
            <w:proofErr w:type="spellStart"/>
            <w:r w:rsidRPr="00CC6B28">
              <w:rPr>
                <w:rFonts w:ascii="Times New Roman" w:hAnsi="Times New Roman"/>
              </w:rPr>
              <w:t>terrorist</w:t>
            </w:r>
            <w:proofErr w:type="spellEnd"/>
            <w:r w:rsidRPr="00CC6B28">
              <w:rPr>
                <w:rFonts w:ascii="Times New Roman" w:hAnsi="Times New Roman"/>
              </w:rPr>
              <w:t xml:space="preserve"> </w:t>
            </w:r>
            <w:proofErr w:type="spellStart"/>
            <w:r w:rsidRPr="00CC6B28">
              <w:rPr>
                <w:rFonts w:ascii="Times New Roman" w:hAnsi="Times New Roman"/>
              </w:rPr>
              <w:t>financing</w:t>
            </w:r>
            <w:proofErr w:type="spellEnd"/>
            <w:r w:rsidRPr="00CC6B28">
              <w:rPr>
                <w:rFonts w:ascii="Times New Roman" w:hAnsi="Times New Roman"/>
              </w:rPr>
              <w:t xml:space="preserve"> risk </w:t>
            </w:r>
            <w:proofErr w:type="spellStart"/>
            <w:r w:rsidRPr="00CC6B28">
              <w:rPr>
                <w:rFonts w:ascii="Times New Roman" w:hAnsi="Times New Roman"/>
              </w:rPr>
              <w:t>prevention</w:t>
            </w:r>
            <w:proofErr w:type="spellEnd"/>
            <w:r w:rsidRPr="00CC6B28">
              <w:rPr>
                <w:rFonts w:ascii="Times New Roman" w:hAnsi="Times New Roman"/>
              </w:rPr>
              <w:t xml:space="preserve"> </w:t>
            </w:r>
            <w:proofErr w:type="spellStart"/>
            <w:r w:rsidRPr="00CC6B28">
              <w:rPr>
                <w:rFonts w:ascii="Times New Roman" w:hAnsi="Times New Roman"/>
              </w:rPr>
              <w:t>measures</w:t>
            </w:r>
            <w:proofErr w:type="spellEnd"/>
            <w:r w:rsidRPr="00CC6B28">
              <w:rPr>
                <w:rFonts w:ascii="Times New Roman" w:hAnsi="Times New Roman"/>
              </w:rPr>
              <w:t xml:space="preserve"> </w:t>
            </w:r>
            <w:proofErr w:type="spellStart"/>
            <w:r w:rsidRPr="00CC6B28">
              <w:rPr>
                <w:rFonts w:ascii="Times New Roman" w:hAnsi="Times New Roman"/>
              </w:rPr>
              <w:t>plan</w:t>
            </w:r>
            <w:proofErr w:type="spellEnd"/>
          </w:p>
          <w:p w14:paraId="4AE83387" w14:textId="77777777" w:rsidR="00CE6CB9" w:rsidRPr="00CC6B28" w:rsidRDefault="00CE6CB9" w:rsidP="00155654">
            <w:pPr>
              <w:pStyle w:val="ListParagraph"/>
              <w:spacing w:after="0" w:line="240" w:lineRule="auto"/>
              <w:ind w:left="0"/>
              <w:jc w:val="both"/>
              <w:rPr>
                <w:rFonts w:ascii="Times New Roman" w:hAnsi="Times New Roman"/>
                <w:sz w:val="24"/>
                <w:szCs w:val="24"/>
              </w:rPr>
            </w:pPr>
          </w:p>
        </w:tc>
        <w:tc>
          <w:tcPr>
            <w:tcW w:w="1276" w:type="dxa"/>
          </w:tcPr>
          <w:p w14:paraId="490DA82C" w14:textId="77777777" w:rsidR="00CE6CB9" w:rsidRPr="00CC6B28" w:rsidRDefault="00CE6CB9" w:rsidP="00155654">
            <w:pPr>
              <w:pStyle w:val="ListParagraph"/>
              <w:spacing w:before="20" w:afterLines="20" w:after="48"/>
              <w:ind w:left="0"/>
              <w:jc w:val="both"/>
              <w:rPr>
                <w:rFonts w:ascii="Times New Roman" w:hAnsi="Times New Roman"/>
                <w:sz w:val="24"/>
                <w:szCs w:val="24"/>
              </w:rPr>
            </w:pPr>
            <w:r w:rsidRPr="00CC6B28">
              <w:rPr>
                <w:rFonts w:ascii="Times New Roman" w:hAnsi="Times New Roman"/>
              </w:rPr>
              <w:t>FM</w:t>
            </w:r>
          </w:p>
        </w:tc>
        <w:tc>
          <w:tcPr>
            <w:tcW w:w="1701" w:type="dxa"/>
          </w:tcPr>
          <w:p w14:paraId="2BF96991" w14:textId="77777777" w:rsidR="00CE6CB9" w:rsidRPr="00CC6B28" w:rsidRDefault="00CE6CB9" w:rsidP="00155654">
            <w:pPr>
              <w:pStyle w:val="ListParagraph"/>
              <w:spacing w:before="20" w:afterLines="20" w:after="48" w:line="276" w:lineRule="auto"/>
              <w:ind w:left="0"/>
              <w:jc w:val="both"/>
              <w:rPr>
                <w:rFonts w:ascii="Times New Roman" w:hAnsi="Times New Roman"/>
                <w:sz w:val="24"/>
                <w:szCs w:val="24"/>
              </w:rPr>
            </w:pPr>
            <w:r w:rsidRPr="00CC6B28">
              <w:rPr>
                <w:rFonts w:ascii="Times New Roman" w:hAnsi="Times New Roman"/>
              </w:rPr>
              <w:t>ĀM, FSAP, TM, FKTK, KD, ĢP, VP, VID, KNAB, DP, LKA, LAFPA</w:t>
            </w:r>
          </w:p>
        </w:tc>
        <w:tc>
          <w:tcPr>
            <w:tcW w:w="1843" w:type="dxa"/>
          </w:tcPr>
          <w:p w14:paraId="1A53A164" w14:textId="77777777" w:rsidR="00CE6CB9" w:rsidRPr="00CC6B28" w:rsidRDefault="00CE6CB9" w:rsidP="00155654">
            <w:pPr>
              <w:pStyle w:val="ListParagraph"/>
              <w:spacing w:before="20" w:afterLines="20" w:after="48"/>
              <w:ind w:left="0"/>
              <w:jc w:val="both"/>
              <w:rPr>
                <w:rFonts w:ascii="Times New Roman" w:hAnsi="Times New Roman"/>
                <w:sz w:val="24"/>
                <w:szCs w:val="24"/>
              </w:rPr>
            </w:pPr>
            <w:r w:rsidRPr="00CC6B28">
              <w:rPr>
                <w:rFonts w:ascii="Times New Roman" w:hAnsi="Times New Roman"/>
                <w:sz w:val="24"/>
                <w:szCs w:val="24"/>
              </w:rPr>
              <w:t>1.01.03.2017</w:t>
            </w:r>
          </w:p>
          <w:p w14:paraId="15633845" w14:textId="77777777" w:rsidR="00CE6CB9" w:rsidRPr="00CC6B28" w:rsidRDefault="00CE6CB9" w:rsidP="00155654">
            <w:pPr>
              <w:pStyle w:val="ListParagraph"/>
              <w:spacing w:before="20" w:afterLines="20" w:after="48"/>
              <w:ind w:left="46"/>
              <w:jc w:val="both"/>
              <w:rPr>
                <w:rFonts w:ascii="Times New Roman" w:hAnsi="Times New Roman"/>
                <w:sz w:val="24"/>
                <w:szCs w:val="24"/>
              </w:rPr>
            </w:pPr>
          </w:p>
          <w:p w14:paraId="1A7278B9" w14:textId="77777777" w:rsidR="00CE6CB9" w:rsidRPr="00CC6B28" w:rsidRDefault="00CE6CB9" w:rsidP="00155654">
            <w:pPr>
              <w:pStyle w:val="ListParagraph"/>
              <w:spacing w:before="20" w:afterLines="20" w:after="48"/>
              <w:ind w:left="46"/>
              <w:jc w:val="both"/>
              <w:rPr>
                <w:rFonts w:ascii="Times New Roman" w:hAnsi="Times New Roman"/>
                <w:sz w:val="24"/>
                <w:szCs w:val="24"/>
              </w:rPr>
            </w:pPr>
          </w:p>
          <w:p w14:paraId="348E19E3" w14:textId="77777777" w:rsidR="00CE6CB9" w:rsidRPr="00CC6B28" w:rsidRDefault="00CE6CB9" w:rsidP="00155654">
            <w:pPr>
              <w:pStyle w:val="ListParagraph"/>
              <w:spacing w:before="20" w:afterLines="20" w:after="48"/>
              <w:ind w:left="46"/>
              <w:jc w:val="both"/>
              <w:rPr>
                <w:rFonts w:ascii="Times New Roman" w:hAnsi="Times New Roman"/>
                <w:sz w:val="24"/>
                <w:szCs w:val="24"/>
              </w:rPr>
            </w:pPr>
          </w:p>
          <w:p w14:paraId="4A83FAA6" w14:textId="77777777" w:rsidR="00CE6CB9" w:rsidRPr="00CC6B28" w:rsidRDefault="00CE6CB9" w:rsidP="00155654">
            <w:pPr>
              <w:pStyle w:val="ListParagraph"/>
              <w:spacing w:before="20" w:afterLines="20" w:after="48"/>
              <w:ind w:left="0"/>
              <w:jc w:val="both"/>
              <w:rPr>
                <w:rFonts w:ascii="Times New Roman" w:hAnsi="Times New Roman"/>
                <w:sz w:val="24"/>
                <w:szCs w:val="24"/>
              </w:rPr>
            </w:pPr>
          </w:p>
          <w:p w14:paraId="44337C55" w14:textId="77777777" w:rsidR="00CE6CB9" w:rsidRPr="00CC6B28" w:rsidRDefault="00CE6CB9" w:rsidP="00155654">
            <w:pPr>
              <w:pStyle w:val="ListParagraph"/>
              <w:spacing w:before="20" w:afterLines="20" w:after="48"/>
              <w:ind w:left="0"/>
              <w:jc w:val="both"/>
              <w:rPr>
                <w:rFonts w:ascii="Times New Roman" w:hAnsi="Times New Roman"/>
                <w:sz w:val="24"/>
                <w:szCs w:val="24"/>
              </w:rPr>
            </w:pPr>
            <w:r w:rsidRPr="00CC6B28">
              <w:rPr>
                <w:rFonts w:ascii="Times New Roman" w:hAnsi="Times New Roman"/>
                <w:sz w:val="24"/>
                <w:szCs w:val="24"/>
              </w:rPr>
              <w:t>2.30.09.2017</w:t>
            </w:r>
          </w:p>
        </w:tc>
      </w:tr>
      <w:tr w:rsidR="00CE6CB9" w:rsidRPr="00CC6B28" w14:paraId="66AD326E" w14:textId="77777777" w:rsidTr="00155654">
        <w:tc>
          <w:tcPr>
            <w:tcW w:w="964" w:type="dxa"/>
          </w:tcPr>
          <w:p w14:paraId="55569FF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1.2.2.</w:t>
            </w:r>
          </w:p>
        </w:tc>
        <w:tc>
          <w:tcPr>
            <w:tcW w:w="4417" w:type="dxa"/>
          </w:tcPr>
          <w:p w14:paraId="7744C589"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In cooperation with the European Commission's Structural Reform </w:t>
            </w:r>
            <w:proofErr w:type="spellStart"/>
            <w:r w:rsidRPr="00CC6B28">
              <w:rPr>
                <w:rFonts w:ascii="Times New Roman" w:hAnsi="Times New Roman"/>
              </w:rPr>
              <w:t>Suport</w:t>
            </w:r>
            <w:proofErr w:type="spellEnd"/>
            <w:r w:rsidRPr="00CC6B28">
              <w:rPr>
                <w:rFonts w:ascii="Times New Roman" w:hAnsi="Times New Roman"/>
              </w:rPr>
              <w:t xml:space="preserve"> Service a comprehensive training program developed to strengthen the capacity of anti-money </w:t>
            </w:r>
            <w:r w:rsidRPr="00CC6B28">
              <w:rPr>
                <w:rFonts w:ascii="Times New Roman" w:hAnsi="Times New Roman"/>
              </w:rPr>
              <w:lastRenderedPageBreak/>
              <w:t>laundering and terrorist financing risk management of public and private bodies</w:t>
            </w:r>
          </w:p>
        </w:tc>
        <w:tc>
          <w:tcPr>
            <w:tcW w:w="2387" w:type="dxa"/>
          </w:tcPr>
          <w:p w14:paraId="245B190C"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lastRenderedPageBreak/>
              <w:t>Provided capacity building in line with the international standards and best practices appropriate on anti-</w:t>
            </w:r>
            <w:r w:rsidRPr="00CC6B28">
              <w:rPr>
                <w:rFonts w:ascii="Times New Roman" w:hAnsi="Times New Roman"/>
              </w:rPr>
              <w:lastRenderedPageBreak/>
              <w:t>money laundering and financing terrorism</w:t>
            </w:r>
          </w:p>
        </w:tc>
        <w:tc>
          <w:tcPr>
            <w:tcW w:w="2551" w:type="dxa"/>
          </w:tcPr>
          <w:p w14:paraId="55DCBA00"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lastRenderedPageBreak/>
              <w:t xml:space="preserve">Provided capacity building to international standards and best practices on appropriate </w:t>
            </w:r>
            <w:r w:rsidRPr="00CC6B28">
              <w:rPr>
                <w:rFonts w:ascii="Times New Roman" w:hAnsi="Times New Roman"/>
              </w:rPr>
              <w:lastRenderedPageBreak/>
              <w:t>anti-money laundering and financing terrorism</w:t>
            </w:r>
          </w:p>
        </w:tc>
        <w:tc>
          <w:tcPr>
            <w:tcW w:w="1276" w:type="dxa"/>
          </w:tcPr>
          <w:p w14:paraId="0FD86746"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lastRenderedPageBreak/>
              <w:t>FM</w:t>
            </w:r>
          </w:p>
        </w:tc>
        <w:tc>
          <w:tcPr>
            <w:tcW w:w="1701" w:type="dxa"/>
          </w:tcPr>
          <w:p w14:paraId="7BFE90AA"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TM, KD, FKTK, LKA, LAFPA</w:t>
            </w:r>
          </w:p>
        </w:tc>
        <w:tc>
          <w:tcPr>
            <w:tcW w:w="1843" w:type="dxa"/>
          </w:tcPr>
          <w:p w14:paraId="7000B859"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7041244A" w14:textId="77777777" w:rsidTr="00155654">
        <w:tc>
          <w:tcPr>
            <w:tcW w:w="964" w:type="dxa"/>
          </w:tcPr>
          <w:p w14:paraId="1D7488C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1.2.3.</w:t>
            </w:r>
          </w:p>
        </w:tc>
        <w:tc>
          <w:tcPr>
            <w:tcW w:w="4417" w:type="dxa"/>
          </w:tcPr>
          <w:p w14:paraId="1AB09DA1"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Full implementation of identified recommendations in OECD Combating Bribery in International Business Transactions Phase 2 Assessment report </w:t>
            </w:r>
          </w:p>
          <w:p w14:paraId="049BE0B7" w14:textId="77777777" w:rsidR="00CE6CB9" w:rsidRPr="00CC6B28" w:rsidRDefault="00CE6CB9" w:rsidP="00155654">
            <w:pPr>
              <w:spacing w:before="20" w:afterLines="20" w:after="48"/>
              <w:jc w:val="both"/>
              <w:rPr>
                <w:rFonts w:ascii="Times New Roman" w:hAnsi="Times New Roman"/>
              </w:rPr>
            </w:pPr>
          </w:p>
        </w:tc>
        <w:tc>
          <w:tcPr>
            <w:tcW w:w="2387" w:type="dxa"/>
          </w:tcPr>
          <w:p w14:paraId="6B087AE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Improved compliance with anti-money laundering and the financing of terrorism with the law and urgent measures taken to facilitate the prosecution of money laundering</w:t>
            </w:r>
          </w:p>
        </w:tc>
        <w:tc>
          <w:tcPr>
            <w:tcW w:w="2551" w:type="dxa"/>
          </w:tcPr>
          <w:p w14:paraId="3F611457"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 xml:space="preserve">Improved compliance  with the law on anti-money laundering and the financing of terrorism  and </w:t>
            </w:r>
            <w:proofErr w:type="spellStart"/>
            <w:r w:rsidRPr="00CC6B28">
              <w:rPr>
                <w:rFonts w:ascii="Times New Roman" w:hAnsi="Times New Roman"/>
              </w:rPr>
              <w:t>and</w:t>
            </w:r>
            <w:proofErr w:type="spellEnd"/>
            <w:r w:rsidRPr="00CC6B28">
              <w:rPr>
                <w:rFonts w:ascii="Times New Roman" w:hAnsi="Times New Roman"/>
              </w:rPr>
              <w:t xml:space="preserve"> urgent measures </w:t>
            </w:r>
            <w:proofErr w:type="spellStart"/>
            <w:r w:rsidRPr="00CC6B28">
              <w:rPr>
                <w:rFonts w:ascii="Times New Roman" w:hAnsi="Times New Roman"/>
              </w:rPr>
              <w:t>takento</w:t>
            </w:r>
            <w:proofErr w:type="spellEnd"/>
            <w:r w:rsidRPr="00CC6B28">
              <w:rPr>
                <w:rFonts w:ascii="Times New Roman" w:hAnsi="Times New Roman"/>
              </w:rPr>
              <w:t xml:space="preserve"> facilitate the prosecution of money laundering</w:t>
            </w:r>
          </w:p>
        </w:tc>
        <w:tc>
          <w:tcPr>
            <w:tcW w:w="1276" w:type="dxa"/>
          </w:tcPr>
          <w:p w14:paraId="0A562EA4"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FM, TM</w:t>
            </w:r>
          </w:p>
        </w:tc>
        <w:tc>
          <w:tcPr>
            <w:tcW w:w="1701" w:type="dxa"/>
          </w:tcPr>
          <w:p w14:paraId="274805AC"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FKTK, KD</w:t>
            </w:r>
          </w:p>
        </w:tc>
        <w:tc>
          <w:tcPr>
            <w:tcW w:w="1843" w:type="dxa"/>
          </w:tcPr>
          <w:p w14:paraId="110E64E3"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01.10.2017</w:t>
            </w:r>
            <w:r w:rsidRPr="00CC6B28">
              <w:rPr>
                <w:rStyle w:val="FootnoteReference"/>
                <w:rFonts w:ascii="Times New Roman" w:hAnsi="Times New Roman"/>
              </w:rPr>
              <w:footnoteReference w:id="53"/>
            </w:r>
          </w:p>
        </w:tc>
      </w:tr>
      <w:tr w:rsidR="00CE6CB9" w:rsidRPr="00CC6B28" w14:paraId="27D41B71" w14:textId="77777777" w:rsidTr="00155654">
        <w:tc>
          <w:tcPr>
            <w:tcW w:w="964" w:type="dxa"/>
          </w:tcPr>
          <w:p w14:paraId="0E1A2432"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1.2.4.</w:t>
            </w:r>
          </w:p>
        </w:tc>
        <w:tc>
          <w:tcPr>
            <w:tcW w:w="4417" w:type="dxa"/>
          </w:tcPr>
          <w:p w14:paraId="1BEB48A4"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Ensure the credit institutions comply with the anti-money laundering and terrorism financing prevention best international practices</w:t>
            </w:r>
          </w:p>
        </w:tc>
        <w:tc>
          <w:tcPr>
            <w:tcW w:w="2387" w:type="dxa"/>
          </w:tcPr>
          <w:p w14:paraId="2C4E7114"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Credit institutions have complied with the 2016's compliance with international anti-money laundering and terrorism financing prevention requirements inspections received recommendations</w:t>
            </w:r>
          </w:p>
        </w:tc>
        <w:tc>
          <w:tcPr>
            <w:tcW w:w="2551" w:type="dxa"/>
          </w:tcPr>
          <w:p w14:paraId="5854DA44"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 xml:space="preserve">Credit institutions have complied with received recommendations of 2016's compliance inspections on international anti-money laundering and terrorism financing prevention </w:t>
            </w:r>
          </w:p>
        </w:tc>
        <w:tc>
          <w:tcPr>
            <w:tcW w:w="1276" w:type="dxa"/>
          </w:tcPr>
          <w:p w14:paraId="4A463FEA"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FKTK </w:t>
            </w:r>
          </w:p>
        </w:tc>
        <w:tc>
          <w:tcPr>
            <w:tcW w:w="1701" w:type="dxa"/>
          </w:tcPr>
          <w:p w14:paraId="040ECC5A"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LKA</w:t>
            </w:r>
          </w:p>
        </w:tc>
        <w:tc>
          <w:tcPr>
            <w:tcW w:w="1843" w:type="dxa"/>
          </w:tcPr>
          <w:p w14:paraId="46C25217"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31.12.2017</w:t>
            </w:r>
          </w:p>
        </w:tc>
      </w:tr>
      <w:tr w:rsidR="00CE6CB9" w:rsidRPr="00CC6B28" w14:paraId="179AC45F" w14:textId="77777777" w:rsidTr="00155654">
        <w:tc>
          <w:tcPr>
            <w:tcW w:w="964" w:type="dxa"/>
          </w:tcPr>
          <w:p w14:paraId="0F2D84C9"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1.2.5.</w:t>
            </w:r>
          </w:p>
        </w:tc>
        <w:tc>
          <w:tcPr>
            <w:tcW w:w="4417" w:type="dxa"/>
          </w:tcPr>
          <w:p w14:paraId="604BD87A"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To improve the regulatory framework on misuse of the financial system for anti-money laundering and financing of terrorism reasons</w:t>
            </w:r>
          </w:p>
          <w:p w14:paraId="58BCA8C5" w14:textId="77777777" w:rsidR="00CE6CB9" w:rsidRPr="00CC6B28" w:rsidRDefault="00CE6CB9" w:rsidP="00155654">
            <w:pPr>
              <w:spacing w:before="20" w:afterLines="20" w:after="48"/>
              <w:jc w:val="both"/>
              <w:rPr>
                <w:rFonts w:ascii="Times New Roman" w:hAnsi="Times New Roman"/>
              </w:rPr>
            </w:pPr>
          </w:p>
        </w:tc>
        <w:tc>
          <w:tcPr>
            <w:tcW w:w="2387" w:type="dxa"/>
          </w:tcPr>
          <w:p w14:paraId="58A36F59"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The Directive of European Parliament and of the Council (EU) 2015/849 (20 May 2015) on the prevention of the use of financial system for money laundering or terrorist financing, and to the European Parliament and Council Regulation (EU) No. 684/2012 and repealing European Parliament and Council Directive 2005/60 / EC and Commission Directive 2006/70 / EC is transposed in  the national law</w:t>
            </w:r>
          </w:p>
        </w:tc>
        <w:tc>
          <w:tcPr>
            <w:tcW w:w="2551" w:type="dxa"/>
          </w:tcPr>
          <w:p w14:paraId="10F384BF"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The Directive of European Parliament and of the Council (EU) 2015/849 (20 May 2015) on the prevention of the use of financial system for money laundering or terrorist financing, and to the European Parliament and Council Regulation (EU) No. 684/2012 and repealing European Parliament and Council Directive 2005/60 / EC and Commission Directive 2006/70 / EC is transposed in  the national law</w:t>
            </w:r>
          </w:p>
        </w:tc>
        <w:tc>
          <w:tcPr>
            <w:tcW w:w="1276" w:type="dxa"/>
          </w:tcPr>
          <w:p w14:paraId="69385DF0"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FM</w:t>
            </w:r>
          </w:p>
        </w:tc>
        <w:tc>
          <w:tcPr>
            <w:tcW w:w="1701" w:type="dxa"/>
          </w:tcPr>
          <w:p w14:paraId="3278B620"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TM, KD, UR, FKTK, LB, LKA, LAFPA</w:t>
            </w:r>
          </w:p>
        </w:tc>
        <w:tc>
          <w:tcPr>
            <w:tcW w:w="1843" w:type="dxa"/>
          </w:tcPr>
          <w:p w14:paraId="5BEFBFB7"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26.06.2017</w:t>
            </w:r>
          </w:p>
        </w:tc>
      </w:tr>
      <w:tr w:rsidR="00CE6CB9" w:rsidRPr="00CC6B28" w14:paraId="1F85AAC6" w14:textId="77777777" w:rsidTr="00155654">
        <w:tc>
          <w:tcPr>
            <w:tcW w:w="964" w:type="dxa"/>
          </w:tcPr>
          <w:p w14:paraId="276C31C7"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1.2.6.</w:t>
            </w:r>
          </w:p>
        </w:tc>
        <w:tc>
          <w:tcPr>
            <w:tcW w:w="4417" w:type="dxa"/>
          </w:tcPr>
          <w:p w14:paraId="7CBE5AC8"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To inform on progress international public and private sector partners on the Latvian financial sector's compliance with international anti-money laundering and terrorist financing prevention requirements standards </w:t>
            </w:r>
          </w:p>
        </w:tc>
        <w:tc>
          <w:tcPr>
            <w:tcW w:w="2387" w:type="dxa"/>
          </w:tcPr>
          <w:p w14:paraId="2DADB367"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The reputation of the financial sector </w:t>
            </w:r>
            <w:proofErr w:type="gramStart"/>
            <w:r w:rsidRPr="00CC6B28">
              <w:rPr>
                <w:rFonts w:ascii="Times New Roman" w:hAnsi="Times New Roman"/>
              </w:rPr>
              <w:t xml:space="preserve">is restored and maintained, that ensures the renewal </w:t>
            </w:r>
            <w:r w:rsidRPr="00CC6B28">
              <w:rPr>
                <w:rFonts w:ascii="Times New Roman" w:hAnsi="Times New Roman"/>
              </w:rPr>
              <w:lastRenderedPageBreak/>
              <w:t>of cooperation with correspondent banks</w:t>
            </w:r>
            <w:proofErr w:type="gramEnd"/>
            <w:r w:rsidRPr="00CC6B28">
              <w:rPr>
                <w:rFonts w:ascii="Times New Roman" w:hAnsi="Times New Roman"/>
              </w:rPr>
              <w:t>.</w:t>
            </w:r>
          </w:p>
          <w:p w14:paraId="7BC83CEC"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By December 31, 2019 to set up cooperation with one of the banks that provide correspondent services in US dollars</w:t>
            </w:r>
          </w:p>
        </w:tc>
        <w:tc>
          <w:tcPr>
            <w:tcW w:w="2551" w:type="dxa"/>
          </w:tcPr>
          <w:p w14:paraId="4BD62704"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lastRenderedPageBreak/>
              <w:t xml:space="preserve">The reputation of the financial sector </w:t>
            </w:r>
            <w:proofErr w:type="gramStart"/>
            <w:r w:rsidRPr="00CC6B28">
              <w:rPr>
                <w:rFonts w:ascii="Times New Roman" w:hAnsi="Times New Roman"/>
              </w:rPr>
              <w:t xml:space="preserve">is restored and maintained, that ensures the renewal of </w:t>
            </w:r>
            <w:r w:rsidRPr="00CC6B28">
              <w:rPr>
                <w:rFonts w:ascii="Times New Roman" w:hAnsi="Times New Roman"/>
              </w:rPr>
              <w:lastRenderedPageBreak/>
              <w:t>cooperation with correspondent banks</w:t>
            </w:r>
            <w:proofErr w:type="gramEnd"/>
            <w:r w:rsidRPr="00CC6B28">
              <w:rPr>
                <w:rFonts w:ascii="Times New Roman" w:hAnsi="Times New Roman"/>
              </w:rPr>
              <w:t>.</w:t>
            </w:r>
          </w:p>
          <w:p w14:paraId="71A392E6"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By December 31, 2019 to set up cooperation with one of the banks that provide correspondent services in US dollars</w:t>
            </w:r>
          </w:p>
        </w:tc>
        <w:tc>
          <w:tcPr>
            <w:tcW w:w="1276" w:type="dxa"/>
          </w:tcPr>
          <w:p w14:paraId="2B478894"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lastRenderedPageBreak/>
              <w:t xml:space="preserve">LKA </w:t>
            </w:r>
          </w:p>
        </w:tc>
        <w:tc>
          <w:tcPr>
            <w:tcW w:w="1701" w:type="dxa"/>
          </w:tcPr>
          <w:p w14:paraId="724F5587"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FKTK, LB, FM, ĀM</w:t>
            </w:r>
          </w:p>
        </w:tc>
        <w:tc>
          <w:tcPr>
            <w:tcW w:w="1843" w:type="dxa"/>
          </w:tcPr>
          <w:p w14:paraId="68910BFC"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Biannually</w:t>
            </w:r>
          </w:p>
        </w:tc>
      </w:tr>
    </w:tbl>
    <w:p w14:paraId="65F53ACE" w14:textId="77777777" w:rsidR="00CE6CB9" w:rsidRPr="00CC6B28" w:rsidRDefault="00CE6CB9" w:rsidP="00CE6CB9">
      <w:r w:rsidRPr="00CC6B28">
        <w:br w:type="page"/>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4417"/>
        <w:gridCol w:w="2387"/>
        <w:gridCol w:w="2410"/>
        <w:gridCol w:w="1275"/>
        <w:gridCol w:w="1701"/>
        <w:gridCol w:w="1985"/>
      </w:tblGrid>
      <w:tr w:rsidR="00CE6CB9" w:rsidRPr="00CC6B28" w14:paraId="58CBC877" w14:textId="77777777" w:rsidTr="00155654">
        <w:tc>
          <w:tcPr>
            <w:tcW w:w="15139" w:type="dxa"/>
            <w:gridSpan w:val="7"/>
            <w:shd w:val="clear" w:color="auto" w:fill="FFE599"/>
          </w:tcPr>
          <w:p w14:paraId="0BDDD89D" w14:textId="77777777" w:rsidR="00CE6CB9" w:rsidRPr="00CC6B28" w:rsidRDefault="00CE6CB9" w:rsidP="00155654">
            <w:pPr>
              <w:spacing w:before="20" w:afterLines="20" w:after="48"/>
              <w:rPr>
                <w:rFonts w:ascii="Times New Roman" w:hAnsi="Times New Roman"/>
                <w:b/>
                <w:u w:val="single"/>
              </w:rPr>
            </w:pPr>
            <w:r w:rsidRPr="00CC6B28">
              <w:rPr>
                <w:rFonts w:ascii="Times New Roman" w:hAnsi="Times New Roman"/>
                <w:b/>
                <w:u w:val="single"/>
              </w:rPr>
              <w:lastRenderedPageBreak/>
              <w:t>2.  SECTORAL ACTION DIRECTION  Banking Sector</w:t>
            </w:r>
          </w:p>
        </w:tc>
      </w:tr>
      <w:tr w:rsidR="00CE6CB9" w:rsidRPr="00CC6B28" w14:paraId="65E29EB1" w14:textId="77777777" w:rsidTr="00155654">
        <w:tc>
          <w:tcPr>
            <w:tcW w:w="15139" w:type="dxa"/>
            <w:gridSpan w:val="7"/>
            <w:shd w:val="clear" w:color="auto" w:fill="FFE599"/>
          </w:tcPr>
          <w:p w14:paraId="1CD6575F"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rPr>
              <w:t xml:space="preserve">2.1. Banking Sector </w:t>
            </w:r>
          </w:p>
        </w:tc>
      </w:tr>
      <w:tr w:rsidR="00CE6CB9" w:rsidRPr="00CC6B28" w14:paraId="036A3FC4" w14:textId="77777777" w:rsidTr="00155654">
        <w:tc>
          <w:tcPr>
            <w:tcW w:w="15139" w:type="dxa"/>
            <w:gridSpan w:val="7"/>
            <w:shd w:val="clear" w:color="auto" w:fill="FFE599"/>
          </w:tcPr>
          <w:p w14:paraId="41EEDB92"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u w:val="single"/>
              </w:rPr>
              <w:t xml:space="preserve">2.1.1. </w:t>
            </w:r>
            <w:r w:rsidRPr="00CC6B28">
              <w:rPr>
                <w:rFonts w:ascii="Times New Roman" w:eastAsia="Times New Roman" w:hAnsi="Times New Roman"/>
                <w:b/>
                <w:color w:val="000000"/>
                <w:u w:val="single"/>
                <w:lang w:eastAsia="lv-LV"/>
              </w:rPr>
              <w:t>Attainable sub-goals:</w:t>
            </w:r>
            <w:r w:rsidRPr="00CC6B28">
              <w:rPr>
                <w:rFonts w:ascii="Times New Roman" w:eastAsia="Times New Roman" w:hAnsi="Times New Roman"/>
                <w:b/>
                <w:color w:val="000000"/>
                <w:lang w:eastAsia="lv-LV"/>
              </w:rPr>
              <w:t xml:space="preserve"> ensuring the availability of financing, increasing the pace of lending in line with GDP growth, increasing </w:t>
            </w:r>
            <w:r>
              <w:rPr>
                <w:rFonts w:ascii="Times New Roman" w:eastAsia="Times New Roman" w:hAnsi="Times New Roman"/>
                <w:b/>
                <w:color w:val="000000"/>
                <w:lang w:eastAsia="lv-LV"/>
              </w:rPr>
              <w:t>domestic</w:t>
            </w:r>
            <w:r w:rsidRPr="00CC6B28">
              <w:rPr>
                <w:rFonts w:ascii="Times New Roman" w:eastAsia="Times New Roman" w:hAnsi="Times New Roman"/>
                <w:b/>
                <w:color w:val="000000"/>
                <w:lang w:eastAsia="lv-LV"/>
              </w:rPr>
              <w:t xml:space="preserve"> household and corporate loan portfolio by at least 10%</w:t>
            </w:r>
            <w:r>
              <w:rPr>
                <w:rStyle w:val="FootnoteReference"/>
                <w:rFonts w:ascii="Times New Roman" w:eastAsia="Times New Roman" w:hAnsi="Times New Roman"/>
                <w:b/>
                <w:color w:val="000000"/>
                <w:lang w:eastAsia="lv-LV"/>
              </w:rPr>
              <w:footnoteReference w:id="54"/>
            </w:r>
            <w:r w:rsidRPr="00CC6B28">
              <w:rPr>
                <w:rFonts w:ascii="Times New Roman" w:eastAsia="Times New Roman" w:hAnsi="Times New Roman"/>
                <w:b/>
                <w:color w:val="000000"/>
                <w:lang w:eastAsia="lv-LV"/>
              </w:rPr>
              <w:t xml:space="preserve"> over three years</w:t>
            </w:r>
          </w:p>
        </w:tc>
      </w:tr>
      <w:tr w:rsidR="00CE6CB9" w:rsidRPr="00CC6B28" w14:paraId="5990D44B" w14:textId="77777777" w:rsidTr="00155654">
        <w:tc>
          <w:tcPr>
            <w:tcW w:w="15139" w:type="dxa"/>
            <w:gridSpan w:val="7"/>
            <w:shd w:val="clear" w:color="auto" w:fill="FFE599"/>
          </w:tcPr>
          <w:p w14:paraId="1E1CFFDF"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u w:val="single"/>
              </w:rPr>
              <w:t>Eligible outcomes: Lending rate increase</w:t>
            </w:r>
          </w:p>
        </w:tc>
      </w:tr>
      <w:tr w:rsidR="00CE6CB9" w:rsidRPr="00CC6B28" w14:paraId="285152CE" w14:textId="77777777" w:rsidTr="00155654">
        <w:tc>
          <w:tcPr>
            <w:tcW w:w="964" w:type="dxa"/>
          </w:tcPr>
          <w:p w14:paraId="242D29A0"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2.1.1.1</w:t>
            </w:r>
          </w:p>
          <w:p w14:paraId="73A29392" w14:textId="77777777" w:rsidR="00CE6CB9" w:rsidRPr="00CC6B28" w:rsidRDefault="00CE6CB9" w:rsidP="00155654">
            <w:pPr>
              <w:spacing w:before="20" w:afterLines="20" w:after="48"/>
              <w:rPr>
                <w:rFonts w:ascii="Times New Roman" w:eastAsia="Times New Roman" w:hAnsi="Times New Roman"/>
                <w:lang w:eastAsia="lv-LV"/>
              </w:rPr>
            </w:pPr>
          </w:p>
        </w:tc>
        <w:tc>
          <w:tcPr>
            <w:tcW w:w="4417" w:type="dxa"/>
          </w:tcPr>
          <w:p w14:paraId="3F044DF0"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Extension range of beneficiaries on State Aid programs for the first housing purchase guarantee beyond families with children, also to young professionals for housing purchase</w:t>
            </w:r>
          </w:p>
          <w:p w14:paraId="232EBA72" w14:textId="77777777" w:rsidR="00CE6CB9" w:rsidRPr="00CC6B28" w:rsidRDefault="00CE6CB9" w:rsidP="00155654">
            <w:pPr>
              <w:spacing w:before="20" w:afterLines="20" w:after="48"/>
              <w:jc w:val="both"/>
              <w:rPr>
                <w:rFonts w:ascii="Times New Roman" w:hAnsi="Times New Roman"/>
              </w:rPr>
            </w:pPr>
          </w:p>
        </w:tc>
        <w:tc>
          <w:tcPr>
            <w:tcW w:w="2387" w:type="dxa"/>
          </w:tcPr>
          <w:p w14:paraId="52B35B1D" w14:textId="77777777" w:rsidR="00CE6CB9" w:rsidRPr="00CC6B28" w:rsidRDefault="00CE6CB9" w:rsidP="00155654">
            <w:pPr>
              <w:spacing w:before="20" w:afterLines="20" w:after="48"/>
              <w:rPr>
                <w:rFonts w:ascii="Times New Roman" w:hAnsi="Times New Roman"/>
              </w:rPr>
            </w:pPr>
            <w:r w:rsidRPr="00CC6B28">
              <w:rPr>
                <w:rFonts w:ascii="Times New Roman" w:eastAsia="Times New Roman" w:hAnsi="Times New Roman"/>
                <w:lang w:eastAsia="lv-LV"/>
              </w:rPr>
              <w:t>Support is provided to 1200 families per year</w:t>
            </w:r>
          </w:p>
        </w:tc>
        <w:tc>
          <w:tcPr>
            <w:tcW w:w="2410" w:type="dxa"/>
          </w:tcPr>
          <w:p w14:paraId="45BB4E1D" w14:textId="77777777" w:rsidR="00CE6CB9" w:rsidRPr="00CC6B28" w:rsidRDefault="00CE6CB9" w:rsidP="00155654">
            <w:pPr>
              <w:spacing w:before="20" w:afterLines="20" w:after="48"/>
              <w:rPr>
                <w:rFonts w:ascii="Times New Roman" w:hAnsi="Times New Roman"/>
              </w:rPr>
            </w:pPr>
            <w:r w:rsidRPr="00CC6B28">
              <w:rPr>
                <w:rFonts w:ascii="Times New Roman" w:eastAsia="Times New Roman" w:hAnsi="Times New Roman"/>
                <w:lang w:eastAsia="lv-LV"/>
              </w:rPr>
              <w:t>Support is provided to 1200 families per year</w:t>
            </w:r>
          </w:p>
        </w:tc>
        <w:tc>
          <w:tcPr>
            <w:tcW w:w="1275" w:type="dxa"/>
          </w:tcPr>
          <w:p w14:paraId="3DB07B90"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EM</w:t>
            </w:r>
          </w:p>
        </w:tc>
        <w:tc>
          <w:tcPr>
            <w:tcW w:w="1701" w:type="dxa"/>
          </w:tcPr>
          <w:p w14:paraId="368112AA"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FM, ALTUM</w:t>
            </w:r>
          </w:p>
        </w:tc>
        <w:tc>
          <w:tcPr>
            <w:tcW w:w="1985" w:type="dxa"/>
          </w:tcPr>
          <w:p w14:paraId="10B5C4F3"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01.01.2018</w:t>
            </w:r>
          </w:p>
        </w:tc>
      </w:tr>
      <w:tr w:rsidR="00CE6CB9" w:rsidRPr="00CC6B28" w14:paraId="065A77D9" w14:textId="77777777" w:rsidTr="00155654">
        <w:tc>
          <w:tcPr>
            <w:tcW w:w="964" w:type="dxa"/>
          </w:tcPr>
          <w:p w14:paraId="52E268F9"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2.1.1.2.</w:t>
            </w:r>
          </w:p>
        </w:tc>
        <w:tc>
          <w:tcPr>
            <w:tcW w:w="4417" w:type="dxa"/>
          </w:tcPr>
          <w:p w14:paraId="52E204E1" w14:textId="77777777" w:rsidR="00CE6CB9" w:rsidRPr="00CC6B28" w:rsidRDefault="00CE6CB9" w:rsidP="00155654">
            <w:pPr>
              <w:spacing w:before="20" w:afterLines="20" w:after="48"/>
              <w:jc w:val="both"/>
              <w:rPr>
                <w:rFonts w:ascii="Times New Roman" w:hAnsi="Times New Roman"/>
                <w:sz w:val="24"/>
                <w:szCs w:val="24"/>
              </w:rPr>
            </w:pPr>
            <w:r w:rsidRPr="00CC6B28">
              <w:rPr>
                <w:rFonts w:ascii="Times New Roman" w:hAnsi="Times New Roman"/>
                <w:sz w:val="24"/>
                <w:szCs w:val="24"/>
              </w:rPr>
              <w:t>State aid program Guarantee instrument broadened including introduction of portfolio guarantees</w:t>
            </w:r>
          </w:p>
        </w:tc>
        <w:tc>
          <w:tcPr>
            <w:tcW w:w="2387" w:type="dxa"/>
          </w:tcPr>
          <w:p w14:paraId="43E1FF35" w14:textId="77777777" w:rsidR="00CE6CB9" w:rsidRPr="00CC6B28" w:rsidRDefault="00CE6CB9" w:rsidP="00155654">
            <w:pPr>
              <w:spacing w:before="20" w:afterLines="20" w:after="48"/>
              <w:rPr>
                <w:rFonts w:ascii="Times New Roman" w:hAnsi="Times New Roman"/>
                <w:sz w:val="24"/>
                <w:szCs w:val="24"/>
              </w:rPr>
            </w:pPr>
            <w:r w:rsidRPr="00CC6B28">
              <w:rPr>
                <w:rFonts w:ascii="Times New Roman" w:hAnsi="Times New Roman"/>
                <w:sz w:val="24"/>
                <w:szCs w:val="24"/>
              </w:rPr>
              <w:t>Access to guarantee instruments is diversified</w:t>
            </w:r>
          </w:p>
        </w:tc>
        <w:tc>
          <w:tcPr>
            <w:tcW w:w="2410" w:type="dxa"/>
          </w:tcPr>
          <w:p w14:paraId="50087B6E" w14:textId="77777777" w:rsidR="00CE6CB9" w:rsidRPr="00CC6B28" w:rsidRDefault="00CE6CB9" w:rsidP="00155654">
            <w:pPr>
              <w:spacing w:before="20" w:afterLines="20" w:after="48"/>
              <w:jc w:val="both"/>
              <w:rPr>
                <w:rFonts w:ascii="Times New Roman" w:hAnsi="Times New Roman"/>
              </w:rPr>
            </w:pPr>
            <w:r w:rsidRPr="00CC6B28">
              <w:rPr>
                <w:rFonts w:ascii="Times New Roman" w:eastAsia="Times New Roman" w:hAnsi="Times New Roman"/>
                <w:lang w:eastAsia="lv-LV"/>
              </w:rPr>
              <w:t xml:space="preserve">Financial accessibility is provided by increasing the lending rate </w:t>
            </w:r>
          </w:p>
        </w:tc>
        <w:tc>
          <w:tcPr>
            <w:tcW w:w="1275" w:type="dxa"/>
          </w:tcPr>
          <w:p w14:paraId="7074095E"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EM</w:t>
            </w:r>
          </w:p>
        </w:tc>
        <w:tc>
          <w:tcPr>
            <w:tcW w:w="1701" w:type="dxa"/>
          </w:tcPr>
          <w:p w14:paraId="2E985642"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FM, ALTUM</w:t>
            </w:r>
          </w:p>
        </w:tc>
        <w:tc>
          <w:tcPr>
            <w:tcW w:w="1985" w:type="dxa"/>
          </w:tcPr>
          <w:p w14:paraId="2531E63D"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30.12.2017</w:t>
            </w:r>
          </w:p>
        </w:tc>
      </w:tr>
      <w:tr w:rsidR="00CE6CB9" w:rsidRPr="00CC6B28" w14:paraId="657F58CE" w14:textId="77777777" w:rsidTr="00155654">
        <w:tc>
          <w:tcPr>
            <w:tcW w:w="964" w:type="dxa"/>
          </w:tcPr>
          <w:p w14:paraId="57B4707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2.1.1.3.</w:t>
            </w:r>
          </w:p>
        </w:tc>
        <w:tc>
          <w:tcPr>
            <w:tcW w:w="4417" w:type="dxa"/>
          </w:tcPr>
          <w:p w14:paraId="404B3449"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Increase the availability of housing by the development of new residential tenancy regimes.</w:t>
            </w:r>
          </w:p>
        </w:tc>
        <w:tc>
          <w:tcPr>
            <w:tcW w:w="2387" w:type="dxa"/>
          </w:tcPr>
          <w:p w14:paraId="2021B10F"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 xml:space="preserve">The effectiveness of residential tenancy relations framework is improved, ensuring a balanced tenant and </w:t>
            </w:r>
            <w:proofErr w:type="gramStart"/>
            <w:r w:rsidRPr="00CC6B28">
              <w:rPr>
                <w:rFonts w:ascii="Times New Roman" w:eastAsia="Times New Roman" w:hAnsi="Times New Roman"/>
                <w:lang w:eastAsia="lv-LV"/>
              </w:rPr>
              <w:t>landlord</w:t>
            </w:r>
            <w:proofErr w:type="gramEnd"/>
            <w:r w:rsidRPr="00CC6B28">
              <w:rPr>
                <w:rFonts w:ascii="Times New Roman" w:eastAsia="Times New Roman" w:hAnsi="Times New Roman"/>
                <w:lang w:eastAsia="lv-LV"/>
              </w:rPr>
              <w:t xml:space="preserve"> rights and obligations.</w:t>
            </w:r>
          </w:p>
        </w:tc>
        <w:tc>
          <w:tcPr>
            <w:tcW w:w="2410" w:type="dxa"/>
          </w:tcPr>
          <w:p w14:paraId="47924C70"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 xml:space="preserve">The effectiveness of residential tenancy relations framework is improved, ensuring a balanced tenant and </w:t>
            </w:r>
            <w:proofErr w:type="gramStart"/>
            <w:r w:rsidRPr="00CC6B28">
              <w:rPr>
                <w:rFonts w:ascii="Times New Roman" w:eastAsia="Times New Roman" w:hAnsi="Times New Roman"/>
                <w:lang w:eastAsia="lv-LV"/>
              </w:rPr>
              <w:t>landlord</w:t>
            </w:r>
            <w:proofErr w:type="gramEnd"/>
            <w:r w:rsidRPr="00CC6B28">
              <w:rPr>
                <w:rFonts w:ascii="Times New Roman" w:eastAsia="Times New Roman" w:hAnsi="Times New Roman"/>
                <w:lang w:eastAsia="lv-LV"/>
              </w:rPr>
              <w:t xml:space="preserve"> rights and obligations.</w:t>
            </w:r>
          </w:p>
        </w:tc>
        <w:tc>
          <w:tcPr>
            <w:tcW w:w="1275" w:type="dxa"/>
          </w:tcPr>
          <w:p w14:paraId="528B432C"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EM</w:t>
            </w:r>
          </w:p>
        </w:tc>
        <w:tc>
          <w:tcPr>
            <w:tcW w:w="1701" w:type="dxa"/>
          </w:tcPr>
          <w:p w14:paraId="439CCAB2"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LKA</w:t>
            </w:r>
          </w:p>
        </w:tc>
        <w:tc>
          <w:tcPr>
            <w:tcW w:w="1985" w:type="dxa"/>
          </w:tcPr>
          <w:p w14:paraId="7118F517"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01.04.2017</w:t>
            </w:r>
          </w:p>
        </w:tc>
      </w:tr>
      <w:tr w:rsidR="00CE6CB9" w:rsidRPr="00CC6B28" w14:paraId="66FCFD61" w14:textId="77777777" w:rsidTr="00155654">
        <w:tc>
          <w:tcPr>
            <w:tcW w:w="964" w:type="dxa"/>
          </w:tcPr>
          <w:p w14:paraId="617ED4F0"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2.1.1.4.</w:t>
            </w:r>
          </w:p>
        </w:tc>
        <w:tc>
          <w:tcPr>
            <w:tcW w:w="4417" w:type="dxa"/>
          </w:tcPr>
          <w:p w14:paraId="59BBEFED"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To draw up proposals for the establishment of a single contact point of investment projects, including PPP development</w:t>
            </w:r>
          </w:p>
        </w:tc>
        <w:tc>
          <w:tcPr>
            <w:tcW w:w="2387" w:type="dxa"/>
          </w:tcPr>
          <w:p w14:paraId="19F030CA"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The quality of investment projects is improved and the amount of financing for investment projects is increased.</w:t>
            </w:r>
          </w:p>
        </w:tc>
        <w:tc>
          <w:tcPr>
            <w:tcW w:w="2410" w:type="dxa"/>
          </w:tcPr>
          <w:p w14:paraId="2E8C791F"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The quality of investment projects is improved and the amount of financing for investment projects is increased.</w:t>
            </w:r>
          </w:p>
        </w:tc>
        <w:tc>
          <w:tcPr>
            <w:tcW w:w="1275" w:type="dxa"/>
          </w:tcPr>
          <w:p w14:paraId="5E0F5587"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FM</w:t>
            </w:r>
          </w:p>
        </w:tc>
        <w:tc>
          <w:tcPr>
            <w:tcW w:w="1701" w:type="dxa"/>
          </w:tcPr>
          <w:p w14:paraId="0D510FE3"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ALTUM, EM, VARAM</w:t>
            </w:r>
          </w:p>
        </w:tc>
        <w:tc>
          <w:tcPr>
            <w:tcW w:w="1985" w:type="dxa"/>
          </w:tcPr>
          <w:p w14:paraId="79DB23E5"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01.09.2017</w:t>
            </w:r>
          </w:p>
        </w:tc>
      </w:tr>
      <w:tr w:rsidR="00CE6CB9" w:rsidRPr="00CC6B28" w14:paraId="61A8272E" w14:textId="77777777" w:rsidTr="00155654">
        <w:tc>
          <w:tcPr>
            <w:tcW w:w="964" w:type="dxa"/>
          </w:tcPr>
          <w:p w14:paraId="12914F61" w14:textId="77777777" w:rsidR="00CE6CB9" w:rsidRPr="000C7A01" w:rsidRDefault="00CE6CB9" w:rsidP="00155654">
            <w:pPr>
              <w:spacing w:before="20" w:afterLines="20" w:after="48"/>
              <w:rPr>
                <w:rFonts w:ascii="Times New Roman" w:eastAsia="Times New Roman" w:hAnsi="Times New Roman"/>
                <w:lang w:eastAsia="lv-LV"/>
              </w:rPr>
            </w:pPr>
            <w:r w:rsidRPr="000C7A01">
              <w:rPr>
                <w:rFonts w:ascii="Times New Roman" w:eastAsia="Times New Roman" w:hAnsi="Times New Roman"/>
                <w:lang w:eastAsia="lv-LV"/>
              </w:rPr>
              <w:t>2.1.1.5.</w:t>
            </w:r>
          </w:p>
        </w:tc>
        <w:tc>
          <w:tcPr>
            <w:tcW w:w="4417" w:type="dxa"/>
          </w:tcPr>
          <w:p w14:paraId="6B9EE73F" w14:textId="77777777" w:rsidR="00CE6CB9" w:rsidRPr="000C7A01" w:rsidRDefault="00CE6CB9" w:rsidP="00155654">
            <w:pPr>
              <w:spacing w:before="20" w:afterLines="20" w:after="48"/>
              <w:jc w:val="both"/>
              <w:rPr>
                <w:rFonts w:ascii="Times New Roman" w:hAnsi="Times New Roman"/>
              </w:rPr>
            </w:pPr>
            <w:r w:rsidRPr="000C7A01">
              <w:rPr>
                <w:rFonts w:ascii="Times New Roman" w:hAnsi="Times New Roman"/>
              </w:rPr>
              <w:t>Effective co-operation between credit institutions of the State Revenue Service and other institutions in the provision of information and its re-use, reducing operating costs and extending the digital solution implementation.</w:t>
            </w:r>
          </w:p>
        </w:tc>
        <w:tc>
          <w:tcPr>
            <w:tcW w:w="2387" w:type="dxa"/>
          </w:tcPr>
          <w:p w14:paraId="4A1A3FC4" w14:textId="77777777" w:rsidR="00CE6CB9" w:rsidRPr="000C7A01" w:rsidRDefault="00CE6CB9" w:rsidP="00155654">
            <w:pPr>
              <w:spacing w:before="20" w:afterLines="20" w:after="48"/>
              <w:jc w:val="both"/>
              <w:rPr>
                <w:rFonts w:ascii="Times New Roman" w:eastAsia="Times New Roman" w:hAnsi="Times New Roman"/>
                <w:lang w:eastAsia="lv-LV"/>
              </w:rPr>
            </w:pPr>
            <w:r w:rsidRPr="000C7A01">
              <w:rPr>
                <w:rFonts w:ascii="Times New Roman" w:eastAsia="Times New Roman" w:hAnsi="Times New Roman"/>
                <w:lang w:eastAsia="lv-LV"/>
              </w:rPr>
              <w:t>Review of possibilities to develop co-operation in between banks, State Revenue Service and other institutions in the provision of information and its re-use.</w:t>
            </w:r>
          </w:p>
        </w:tc>
        <w:tc>
          <w:tcPr>
            <w:tcW w:w="2410" w:type="dxa"/>
          </w:tcPr>
          <w:p w14:paraId="6C0D20FC" w14:textId="77777777" w:rsidR="00CE6CB9" w:rsidRPr="000C7A01" w:rsidRDefault="00CE6CB9" w:rsidP="00155654">
            <w:pPr>
              <w:spacing w:before="20" w:afterLines="20" w:after="48"/>
              <w:jc w:val="both"/>
              <w:rPr>
                <w:rFonts w:ascii="Times New Roman" w:eastAsia="Times New Roman" w:hAnsi="Times New Roman"/>
                <w:lang w:eastAsia="lv-LV"/>
              </w:rPr>
            </w:pPr>
            <w:r w:rsidRPr="000C7A01">
              <w:rPr>
                <w:rFonts w:ascii="Times New Roman" w:eastAsia="Times New Roman" w:hAnsi="Times New Roman"/>
                <w:lang w:eastAsia="lv-LV"/>
              </w:rPr>
              <w:t>Review of possibilities to develop co-operation in between banks, State Revenue Service and other institutions in the provision of information and its re-use.</w:t>
            </w:r>
          </w:p>
        </w:tc>
        <w:tc>
          <w:tcPr>
            <w:tcW w:w="1275" w:type="dxa"/>
          </w:tcPr>
          <w:p w14:paraId="4EB75B22" w14:textId="77777777" w:rsidR="00CE6CB9" w:rsidRPr="000C7A01" w:rsidRDefault="00CE6CB9" w:rsidP="00155654">
            <w:pPr>
              <w:spacing w:before="20" w:afterLines="20" w:after="48"/>
              <w:jc w:val="both"/>
              <w:rPr>
                <w:rFonts w:ascii="Times New Roman" w:hAnsi="Times New Roman"/>
              </w:rPr>
            </w:pPr>
            <w:r w:rsidRPr="000C7A01">
              <w:rPr>
                <w:rFonts w:ascii="Times New Roman" w:hAnsi="Times New Roman"/>
              </w:rPr>
              <w:t>FM</w:t>
            </w:r>
          </w:p>
        </w:tc>
        <w:tc>
          <w:tcPr>
            <w:tcW w:w="1701" w:type="dxa"/>
          </w:tcPr>
          <w:p w14:paraId="6B2FFD4B" w14:textId="77777777" w:rsidR="00CE6CB9" w:rsidRPr="000C7A01" w:rsidRDefault="00CE6CB9" w:rsidP="00155654">
            <w:pPr>
              <w:spacing w:before="20" w:afterLines="20" w:after="48"/>
              <w:jc w:val="both"/>
              <w:rPr>
                <w:rFonts w:ascii="Times New Roman" w:hAnsi="Times New Roman"/>
              </w:rPr>
            </w:pPr>
            <w:r w:rsidRPr="000C7A01">
              <w:rPr>
                <w:rFonts w:ascii="Times New Roman" w:hAnsi="Times New Roman"/>
              </w:rPr>
              <w:t>LKA, FKTK</w:t>
            </w:r>
          </w:p>
        </w:tc>
        <w:tc>
          <w:tcPr>
            <w:tcW w:w="1985" w:type="dxa"/>
          </w:tcPr>
          <w:p w14:paraId="2B150D33" w14:textId="77777777" w:rsidR="00CE6CB9" w:rsidRPr="000C7A01" w:rsidRDefault="00CE6CB9" w:rsidP="00155654">
            <w:pPr>
              <w:spacing w:before="20" w:afterLines="20" w:after="48"/>
              <w:jc w:val="both"/>
              <w:rPr>
                <w:rFonts w:ascii="Times New Roman" w:hAnsi="Times New Roman"/>
              </w:rPr>
            </w:pPr>
            <w:r w:rsidRPr="000C7A01">
              <w:rPr>
                <w:rFonts w:ascii="Times New Roman" w:hAnsi="Times New Roman"/>
              </w:rPr>
              <w:t>30.12.2019</w:t>
            </w:r>
          </w:p>
        </w:tc>
      </w:tr>
      <w:tr w:rsidR="00CE6CB9" w:rsidRPr="00CC6B28" w14:paraId="385BCB50" w14:textId="77777777" w:rsidTr="00155654">
        <w:tc>
          <w:tcPr>
            <w:tcW w:w="15139" w:type="dxa"/>
            <w:gridSpan w:val="7"/>
            <w:shd w:val="clear" w:color="auto" w:fill="FFD966"/>
          </w:tcPr>
          <w:p w14:paraId="0AF3FEC2" w14:textId="77777777" w:rsidR="00CE6CB9" w:rsidRPr="00CC6B28" w:rsidRDefault="00CE6CB9" w:rsidP="00155654">
            <w:pPr>
              <w:spacing w:before="20" w:afterLines="20" w:after="48"/>
              <w:rPr>
                <w:rFonts w:ascii="Times New Roman" w:hAnsi="Times New Roman"/>
                <w:b/>
                <w:u w:val="single"/>
              </w:rPr>
            </w:pPr>
            <w:r w:rsidRPr="00CC6B28">
              <w:rPr>
                <w:rFonts w:ascii="Times New Roman" w:hAnsi="Times New Roman"/>
                <w:b/>
                <w:u w:val="single"/>
              </w:rPr>
              <w:t xml:space="preserve">2.1.2. Attainable sub-goals: From the perspective of benefits and risks, a balanced share of </w:t>
            </w:r>
            <w:r>
              <w:rPr>
                <w:rFonts w:ascii="Times New Roman" w:hAnsi="Times New Roman"/>
                <w:b/>
                <w:u w:val="single"/>
              </w:rPr>
              <w:t>foreign client</w:t>
            </w:r>
            <w:r w:rsidRPr="00CC6B28">
              <w:rPr>
                <w:rFonts w:ascii="Times New Roman" w:hAnsi="Times New Roman"/>
                <w:b/>
                <w:u w:val="single"/>
              </w:rPr>
              <w:t xml:space="preserve"> deposits in the financial sector</w:t>
            </w:r>
          </w:p>
          <w:p w14:paraId="4D81134B" w14:textId="77777777" w:rsidR="00CE6CB9" w:rsidRPr="00CC6B28" w:rsidRDefault="00CE6CB9" w:rsidP="00155654">
            <w:pPr>
              <w:spacing w:before="20" w:afterLines="20" w:after="48"/>
              <w:rPr>
                <w:rFonts w:ascii="Times New Roman" w:hAnsi="Times New Roman"/>
                <w:b/>
                <w:u w:val="single"/>
              </w:rPr>
            </w:pPr>
            <w:r w:rsidRPr="00CC6B28">
              <w:rPr>
                <w:rFonts w:ascii="Times New Roman" w:hAnsi="Times New Roman"/>
                <w:b/>
                <w:u w:val="single"/>
              </w:rPr>
              <w:t>Eligible outcomes:</w:t>
            </w:r>
          </w:p>
          <w:p w14:paraId="6BCE14A3"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rPr>
              <w:t>Asset management service development</w:t>
            </w:r>
          </w:p>
          <w:p w14:paraId="5BFA9CBC"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rPr>
              <w:t xml:space="preserve">Promotion of Latvian business environment to support Business Process Outsourcing (BPO) / Shared Services </w:t>
            </w:r>
            <w:proofErr w:type="spellStart"/>
            <w:r w:rsidRPr="00CC6B28">
              <w:rPr>
                <w:rFonts w:ascii="Times New Roman" w:hAnsi="Times New Roman"/>
                <w:b/>
              </w:rPr>
              <w:t>Center</w:t>
            </w:r>
            <w:proofErr w:type="spellEnd"/>
            <w:r w:rsidRPr="00CC6B28">
              <w:rPr>
                <w:rFonts w:ascii="Times New Roman" w:hAnsi="Times New Roman"/>
                <w:b/>
              </w:rPr>
              <w:t xml:space="preserve"> (SSC) service providing in financial and related IT areas</w:t>
            </w:r>
          </w:p>
        </w:tc>
      </w:tr>
      <w:tr w:rsidR="00CE6CB9" w:rsidRPr="00CC6B28" w14:paraId="41E67794" w14:textId="77777777" w:rsidTr="00155654">
        <w:tc>
          <w:tcPr>
            <w:tcW w:w="964" w:type="dxa"/>
            <w:shd w:val="clear" w:color="auto" w:fill="FFFFFF"/>
          </w:tcPr>
          <w:p w14:paraId="34938EE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2.1.2.1.</w:t>
            </w:r>
          </w:p>
        </w:tc>
        <w:tc>
          <w:tcPr>
            <w:tcW w:w="4417" w:type="dxa"/>
            <w:shd w:val="clear" w:color="auto" w:fill="FFFFFF"/>
          </w:tcPr>
          <w:p w14:paraId="1BDF3C9F"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Define attraction of investments in the financial and IT-related services (SSC / BPO) and FINTECH field as a priority area of investment attraction and implementation of appropriate measures</w:t>
            </w:r>
          </w:p>
        </w:tc>
        <w:tc>
          <w:tcPr>
            <w:tcW w:w="2387" w:type="dxa"/>
            <w:shd w:val="clear" w:color="auto" w:fill="FFFFFF"/>
          </w:tcPr>
          <w:p w14:paraId="5E255269"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1,000 jobs annually over three years are created</w:t>
            </w:r>
          </w:p>
        </w:tc>
        <w:tc>
          <w:tcPr>
            <w:tcW w:w="2410" w:type="dxa"/>
            <w:shd w:val="clear" w:color="auto" w:fill="FFFFFF"/>
          </w:tcPr>
          <w:p w14:paraId="58D77E41"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Present situation (in Q3 2016) as the basis for operating result: 14 SSCs and ~ 25 BPOs, employing 7,600 employees.</w:t>
            </w:r>
          </w:p>
          <w:p w14:paraId="5E1363F8"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lastRenderedPageBreak/>
              <w:t>The achievement of performance indicators depends on the A and B + class office space and staff availability</w:t>
            </w:r>
          </w:p>
        </w:tc>
        <w:tc>
          <w:tcPr>
            <w:tcW w:w="1275" w:type="dxa"/>
            <w:shd w:val="clear" w:color="auto" w:fill="FFFFFF"/>
          </w:tcPr>
          <w:p w14:paraId="28EF1190"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lastRenderedPageBreak/>
              <w:t>LIAA</w:t>
            </w:r>
          </w:p>
        </w:tc>
        <w:tc>
          <w:tcPr>
            <w:tcW w:w="1701" w:type="dxa"/>
            <w:shd w:val="clear" w:color="auto" w:fill="FFFFFF"/>
          </w:tcPr>
          <w:p w14:paraId="76818D70"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FM, EM,  LKA, FKTK, LAFPA</w:t>
            </w:r>
          </w:p>
        </w:tc>
        <w:tc>
          <w:tcPr>
            <w:tcW w:w="1985" w:type="dxa"/>
            <w:shd w:val="clear" w:color="auto" w:fill="FFFFFF"/>
          </w:tcPr>
          <w:p w14:paraId="631BF081"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Annually from 2017 to 2019</w:t>
            </w:r>
          </w:p>
        </w:tc>
      </w:tr>
      <w:tr w:rsidR="00CE6CB9" w:rsidRPr="00CC6B28" w14:paraId="10E23882" w14:textId="77777777" w:rsidTr="00155654">
        <w:tc>
          <w:tcPr>
            <w:tcW w:w="964" w:type="dxa"/>
            <w:shd w:val="clear" w:color="auto" w:fill="FFFFFF"/>
          </w:tcPr>
          <w:p w14:paraId="41864620"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2.1.2.2.</w:t>
            </w:r>
          </w:p>
        </w:tc>
        <w:tc>
          <w:tcPr>
            <w:tcW w:w="4417" w:type="dxa"/>
            <w:shd w:val="clear" w:color="auto" w:fill="FFFFFF"/>
          </w:tcPr>
          <w:p w14:paraId="573D1FE7"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In cooperation with international experts to prepare proposals on the risks and benefits of affordable international financial services future development, based on international best practices appropriate risk management and compliance principles</w:t>
            </w:r>
          </w:p>
        </w:tc>
        <w:tc>
          <w:tcPr>
            <w:tcW w:w="2387" w:type="dxa"/>
            <w:shd w:val="clear" w:color="auto" w:fill="FFFFFF"/>
          </w:tcPr>
          <w:p w14:paraId="5EFDB86F"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A report on the development of financial services opportunities is submitted to the Cabinet of Ministers and further proposals are prepared </w:t>
            </w:r>
          </w:p>
        </w:tc>
        <w:tc>
          <w:tcPr>
            <w:tcW w:w="2410" w:type="dxa"/>
            <w:shd w:val="clear" w:color="auto" w:fill="FFFFFF"/>
          </w:tcPr>
          <w:p w14:paraId="46995A28"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The development opportunities financial services </w:t>
            </w:r>
            <w:proofErr w:type="gramStart"/>
            <w:r w:rsidRPr="00CC6B28">
              <w:rPr>
                <w:rFonts w:ascii="Times New Roman" w:hAnsi="Times New Roman"/>
              </w:rPr>
              <w:t>are evaluated</w:t>
            </w:r>
            <w:proofErr w:type="gramEnd"/>
            <w:r w:rsidRPr="00CC6B28">
              <w:rPr>
                <w:rFonts w:ascii="Times New Roman" w:hAnsi="Times New Roman"/>
              </w:rPr>
              <w:t xml:space="preserve"> and further proposals are prepared based on international best practices appropriate risk management and compliance principles.</w:t>
            </w:r>
          </w:p>
        </w:tc>
        <w:tc>
          <w:tcPr>
            <w:tcW w:w="1275" w:type="dxa"/>
            <w:shd w:val="clear" w:color="auto" w:fill="FFFFFF"/>
          </w:tcPr>
          <w:p w14:paraId="04249696"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 xml:space="preserve">LKA </w:t>
            </w:r>
          </w:p>
        </w:tc>
        <w:tc>
          <w:tcPr>
            <w:tcW w:w="1701" w:type="dxa"/>
            <w:shd w:val="clear" w:color="auto" w:fill="FFFFFF"/>
          </w:tcPr>
          <w:p w14:paraId="0AB1BB1B"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FM, FKTK, LB</w:t>
            </w:r>
          </w:p>
        </w:tc>
        <w:tc>
          <w:tcPr>
            <w:tcW w:w="1985" w:type="dxa"/>
            <w:shd w:val="clear" w:color="auto" w:fill="FFFFFF"/>
          </w:tcPr>
          <w:p w14:paraId="5F63C0A4"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30.09.2017</w:t>
            </w:r>
          </w:p>
        </w:tc>
      </w:tr>
    </w:tbl>
    <w:p w14:paraId="519EA067" w14:textId="77777777" w:rsidR="00CE6CB9" w:rsidRPr="00CC6B28" w:rsidRDefault="00CE6CB9" w:rsidP="00CE6CB9">
      <w:r w:rsidRPr="00CC6B28">
        <w:br w:type="page"/>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4417"/>
        <w:gridCol w:w="2387"/>
        <w:gridCol w:w="2410"/>
        <w:gridCol w:w="1275"/>
        <w:gridCol w:w="1701"/>
        <w:gridCol w:w="1985"/>
      </w:tblGrid>
      <w:tr w:rsidR="00CE6CB9" w:rsidRPr="00CC6B28" w14:paraId="396314B3" w14:textId="77777777" w:rsidTr="00155654">
        <w:tc>
          <w:tcPr>
            <w:tcW w:w="15139" w:type="dxa"/>
            <w:gridSpan w:val="7"/>
            <w:shd w:val="clear" w:color="auto" w:fill="FFD966"/>
          </w:tcPr>
          <w:p w14:paraId="4D7C6CB4" w14:textId="77777777" w:rsidR="00CE6CB9" w:rsidRPr="00CC6B28" w:rsidRDefault="00CE6CB9" w:rsidP="00155654">
            <w:pPr>
              <w:ind w:right="828"/>
              <w:jc w:val="both"/>
              <w:rPr>
                <w:rFonts w:ascii="Times New Roman" w:eastAsia="Times New Roman" w:hAnsi="Times New Roman"/>
                <w:b/>
                <w:bCs/>
                <w:lang w:eastAsia="lv-LV"/>
              </w:rPr>
            </w:pPr>
            <w:r w:rsidRPr="00CC6B28">
              <w:rPr>
                <w:rFonts w:ascii="Times New Roman" w:eastAsia="Times New Roman" w:hAnsi="Times New Roman"/>
                <w:b/>
                <w:bCs/>
                <w:u w:val="single"/>
                <w:lang w:eastAsia="lv-LV"/>
              </w:rPr>
              <w:lastRenderedPageBreak/>
              <w:t>3. SECTORAL ACTION DIRECTION:</w:t>
            </w:r>
            <w:r w:rsidRPr="00CC6B28">
              <w:rPr>
                <w:rFonts w:ascii="Times New Roman" w:eastAsia="Times New Roman" w:hAnsi="Times New Roman"/>
                <w:b/>
                <w:bCs/>
                <w:lang w:eastAsia="lv-LV"/>
              </w:rPr>
              <w:t xml:space="preserve"> </w:t>
            </w:r>
            <w:r w:rsidRPr="00CC6B28">
              <w:rPr>
                <w:rFonts w:ascii="Times New Roman" w:hAnsi="Times New Roman"/>
                <w:b/>
              </w:rPr>
              <w:t>Capital Market</w:t>
            </w:r>
          </w:p>
        </w:tc>
      </w:tr>
      <w:tr w:rsidR="00CE6CB9" w:rsidRPr="00CC6B28" w14:paraId="1B667E8F" w14:textId="77777777" w:rsidTr="00155654">
        <w:tc>
          <w:tcPr>
            <w:tcW w:w="15139" w:type="dxa"/>
            <w:gridSpan w:val="7"/>
            <w:shd w:val="clear" w:color="auto" w:fill="FFE599"/>
          </w:tcPr>
          <w:p w14:paraId="291DF2AB" w14:textId="77777777" w:rsidR="00CE6CB9" w:rsidRPr="00CC6B28" w:rsidRDefault="00CE6CB9" w:rsidP="00155654">
            <w:pPr>
              <w:shd w:val="clear" w:color="auto" w:fill="FFE599"/>
              <w:spacing w:after="0" w:line="240" w:lineRule="auto"/>
              <w:rPr>
                <w:rFonts w:ascii="Times New Roman" w:hAnsi="Times New Roman"/>
                <w:b/>
                <w:u w:val="single"/>
              </w:rPr>
            </w:pPr>
            <w:r w:rsidRPr="00CC6B28">
              <w:rPr>
                <w:rFonts w:ascii="Times New Roman" w:hAnsi="Times New Roman"/>
                <w:b/>
                <w:u w:val="single"/>
              </w:rPr>
              <w:t>Attainable sub-goals:</w:t>
            </w:r>
          </w:p>
          <w:p w14:paraId="7CF34337" w14:textId="77777777" w:rsidR="00CE6CB9" w:rsidRPr="00CC6B28" w:rsidRDefault="00CE6CB9" w:rsidP="00155654">
            <w:pPr>
              <w:shd w:val="clear" w:color="auto" w:fill="FFE599"/>
              <w:spacing w:after="0" w:line="240" w:lineRule="auto"/>
              <w:rPr>
                <w:rFonts w:ascii="Times New Roman" w:hAnsi="Times New Roman"/>
              </w:rPr>
            </w:pPr>
            <w:r w:rsidRPr="00CC6B28">
              <w:rPr>
                <w:rFonts w:ascii="Times New Roman" w:hAnsi="Times New Roman"/>
                <w:b/>
              </w:rPr>
              <w:t>Total equity market capitalization volume increase of 2.2% of GDP</w:t>
            </w:r>
            <w:r>
              <w:rPr>
                <w:rStyle w:val="FootnoteReference"/>
                <w:rFonts w:ascii="Times New Roman" w:hAnsi="Times New Roman"/>
                <w:b/>
              </w:rPr>
              <w:footnoteReference w:id="55"/>
            </w:r>
            <w:r w:rsidRPr="00CC6B28">
              <w:rPr>
                <w:rFonts w:ascii="Times New Roman" w:hAnsi="Times New Roman"/>
                <w:b/>
              </w:rPr>
              <w:t xml:space="preserve"> over three years, expanding the availability of equity instruments to </w:t>
            </w:r>
            <w:r>
              <w:rPr>
                <w:rFonts w:ascii="Times New Roman" w:hAnsi="Times New Roman"/>
                <w:b/>
              </w:rPr>
              <w:t>domestic</w:t>
            </w:r>
            <w:r w:rsidRPr="00CC6B28">
              <w:rPr>
                <w:rFonts w:ascii="Times New Roman" w:hAnsi="Times New Roman"/>
                <w:b/>
              </w:rPr>
              <w:t xml:space="preserve"> non-financial companies</w:t>
            </w:r>
          </w:p>
        </w:tc>
      </w:tr>
      <w:tr w:rsidR="00CE6CB9" w:rsidRPr="00CC6B28" w14:paraId="3D645E19" w14:textId="77777777" w:rsidTr="00155654">
        <w:tc>
          <w:tcPr>
            <w:tcW w:w="15139" w:type="dxa"/>
            <w:gridSpan w:val="7"/>
            <w:shd w:val="clear" w:color="auto" w:fill="FFE599"/>
          </w:tcPr>
          <w:p w14:paraId="4611E4E1" w14:textId="77777777" w:rsidR="00CE6CB9" w:rsidRPr="00CC6B28" w:rsidRDefault="00CE6CB9" w:rsidP="00155654">
            <w:pPr>
              <w:shd w:val="clear" w:color="auto" w:fill="FFE599"/>
              <w:spacing w:before="20" w:afterLines="20" w:after="48"/>
              <w:rPr>
                <w:rFonts w:ascii="Times New Roman" w:hAnsi="Times New Roman"/>
                <w:b/>
                <w:u w:val="single"/>
              </w:rPr>
            </w:pPr>
            <w:r w:rsidRPr="00CC6B28">
              <w:rPr>
                <w:rFonts w:ascii="Times New Roman" w:hAnsi="Times New Roman"/>
                <w:b/>
                <w:u w:val="single"/>
              </w:rPr>
              <w:t>Eligible outcomes:</w:t>
            </w:r>
          </w:p>
          <w:p w14:paraId="378656AB" w14:textId="77777777" w:rsidR="00CE6CB9" w:rsidRPr="00CC6B28" w:rsidRDefault="00CE6CB9" w:rsidP="00155654">
            <w:pPr>
              <w:shd w:val="clear" w:color="auto" w:fill="FFE599"/>
              <w:spacing w:before="20" w:afterLines="20" w:after="48"/>
              <w:rPr>
                <w:rFonts w:ascii="Times New Roman" w:hAnsi="Times New Roman"/>
                <w:b/>
              </w:rPr>
            </w:pPr>
            <w:r w:rsidRPr="00CC6B28">
              <w:rPr>
                <w:rFonts w:ascii="Times New Roman" w:hAnsi="Times New Roman"/>
                <w:b/>
              </w:rPr>
              <w:t>Increase the number of companies using equity instruments funding;</w:t>
            </w:r>
          </w:p>
          <w:p w14:paraId="37B7AA2D" w14:textId="77777777" w:rsidR="00CE6CB9" w:rsidRPr="00CC6B28" w:rsidRDefault="00CE6CB9" w:rsidP="00155654">
            <w:pPr>
              <w:shd w:val="clear" w:color="auto" w:fill="FFE599"/>
              <w:spacing w:before="20" w:afterLines="20" w:after="48"/>
              <w:rPr>
                <w:rFonts w:ascii="Times New Roman" w:hAnsi="Times New Roman"/>
                <w:b/>
              </w:rPr>
            </w:pPr>
            <w:r w:rsidRPr="00CC6B28">
              <w:rPr>
                <w:rFonts w:ascii="Times New Roman" w:hAnsi="Times New Roman"/>
                <w:b/>
              </w:rPr>
              <w:t>Develop capital instruments to attract funding and investment opportunities expansion;</w:t>
            </w:r>
          </w:p>
          <w:p w14:paraId="1C0841D6" w14:textId="77777777" w:rsidR="00CE6CB9" w:rsidRPr="00CC6B28" w:rsidRDefault="00CE6CB9" w:rsidP="00155654">
            <w:pPr>
              <w:shd w:val="clear" w:color="auto" w:fill="FFE599"/>
              <w:spacing w:before="20" w:afterLines="20" w:after="48"/>
              <w:rPr>
                <w:rFonts w:ascii="Times New Roman" w:hAnsi="Times New Roman"/>
                <w:b/>
              </w:rPr>
            </w:pPr>
            <w:r w:rsidRPr="00CC6B28">
              <w:rPr>
                <w:rFonts w:ascii="Times New Roman" w:hAnsi="Times New Roman"/>
                <w:b/>
              </w:rPr>
              <w:t>Increase institutional and private investors' activity in the domestic capital market.</w:t>
            </w:r>
          </w:p>
          <w:p w14:paraId="03D27F25" w14:textId="77777777" w:rsidR="00CE6CB9" w:rsidRPr="00CC6B28" w:rsidRDefault="00CE6CB9" w:rsidP="00155654">
            <w:pPr>
              <w:shd w:val="clear" w:color="auto" w:fill="FFE599"/>
              <w:spacing w:before="20" w:afterLines="20" w:after="48"/>
              <w:rPr>
                <w:rFonts w:ascii="Times New Roman" w:hAnsi="Times New Roman"/>
                <w:b/>
              </w:rPr>
            </w:pPr>
          </w:p>
        </w:tc>
      </w:tr>
      <w:tr w:rsidR="00CE6CB9" w:rsidRPr="00CC6B28" w14:paraId="533DD4F6" w14:textId="77777777" w:rsidTr="00155654">
        <w:tc>
          <w:tcPr>
            <w:tcW w:w="15139" w:type="dxa"/>
            <w:gridSpan w:val="7"/>
            <w:shd w:val="clear" w:color="auto" w:fill="FFE599"/>
          </w:tcPr>
          <w:p w14:paraId="4E7AACA3" w14:textId="77777777" w:rsidR="00CE6CB9" w:rsidRPr="00CC6B28" w:rsidRDefault="00CE6CB9" w:rsidP="00155654">
            <w:pPr>
              <w:spacing w:before="20" w:afterLines="20" w:after="48"/>
              <w:jc w:val="both"/>
              <w:rPr>
                <w:rFonts w:ascii="Times New Roman" w:hAnsi="Times New Roman"/>
                <w:b/>
              </w:rPr>
            </w:pPr>
            <w:r w:rsidRPr="00CC6B28">
              <w:rPr>
                <w:rFonts w:ascii="Times New Roman" w:hAnsi="Times New Roman"/>
                <w:b/>
              </w:rPr>
              <w:t>3.1. Increase the number of companies using equity instruments to attract financing</w:t>
            </w:r>
          </w:p>
        </w:tc>
      </w:tr>
      <w:tr w:rsidR="00CE6CB9" w:rsidRPr="00CC6B28" w14:paraId="1BCC0774" w14:textId="77777777" w:rsidTr="00155654">
        <w:tc>
          <w:tcPr>
            <w:tcW w:w="964" w:type="dxa"/>
          </w:tcPr>
          <w:p w14:paraId="061FC2D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3.1.1.</w:t>
            </w:r>
          </w:p>
        </w:tc>
        <w:tc>
          <w:tcPr>
            <w:tcW w:w="4417" w:type="dxa"/>
          </w:tcPr>
          <w:p w14:paraId="0B82E4BD" w14:textId="77777777" w:rsidR="00CE6CB9" w:rsidRPr="00CC6B28" w:rsidRDefault="00CE6CB9" w:rsidP="00155654">
            <w:pPr>
              <w:spacing w:after="120"/>
              <w:jc w:val="both"/>
              <w:rPr>
                <w:rFonts w:ascii="Times New Roman" w:hAnsi="Times New Roman"/>
              </w:rPr>
            </w:pPr>
            <w:r w:rsidRPr="00CC6B28">
              <w:rPr>
                <w:rFonts w:ascii="Times New Roman" w:hAnsi="Times New Roman"/>
              </w:rPr>
              <w:t>Create a long-term (at least 3-5 years) national support programs that promote and expand access to finance for small or medium companies through equity and / or debt securities issue further stock exchange quotations, national or EU funds; Support program should include co-financing shares and / or debt issuance, fully or partially covering the related costs: costs related to the organization of offering (issuance consultants, emission drafting documents, legal advice):</w:t>
            </w:r>
          </w:p>
          <w:p w14:paraId="378DDB56" w14:textId="77777777" w:rsidR="00CE6CB9" w:rsidRPr="00CC6B28" w:rsidRDefault="00CE6CB9" w:rsidP="00155654">
            <w:pPr>
              <w:spacing w:after="120"/>
              <w:jc w:val="both"/>
              <w:rPr>
                <w:rFonts w:ascii="Times New Roman" w:hAnsi="Times New Roman"/>
              </w:rPr>
            </w:pPr>
            <w:r w:rsidRPr="00CC6B28">
              <w:rPr>
                <w:rFonts w:ascii="Times New Roman" w:hAnsi="Times New Roman"/>
              </w:rPr>
              <w:t>o costs associated with the attraction of investors (issuance agent, marketing activities organization);</w:t>
            </w:r>
          </w:p>
          <w:p w14:paraId="58244051" w14:textId="77777777" w:rsidR="00CE6CB9" w:rsidRPr="00CC6B28" w:rsidRDefault="00CE6CB9" w:rsidP="00155654">
            <w:pPr>
              <w:spacing w:after="120"/>
              <w:jc w:val="both"/>
              <w:rPr>
                <w:rFonts w:ascii="Times New Roman" w:hAnsi="Times New Roman"/>
              </w:rPr>
            </w:pPr>
            <w:r w:rsidRPr="00CC6B28">
              <w:rPr>
                <w:rFonts w:ascii="Times New Roman" w:hAnsi="Times New Roman"/>
              </w:rPr>
              <w:t>o costs associated with shares and / or debt issuance record keeping of the original registry services, servicing of securities events and a list of shareholders / debt holders receive a list of JSC "Latvian Central Depository";</w:t>
            </w:r>
          </w:p>
          <w:p w14:paraId="01C4479C" w14:textId="77777777" w:rsidR="00CE6CB9" w:rsidRPr="00CC6B28" w:rsidRDefault="00CE6CB9" w:rsidP="00155654">
            <w:pPr>
              <w:spacing w:after="120"/>
              <w:jc w:val="both"/>
              <w:rPr>
                <w:rFonts w:ascii="Times New Roman" w:hAnsi="Times New Roman"/>
              </w:rPr>
            </w:pPr>
            <w:proofErr w:type="gramStart"/>
            <w:r w:rsidRPr="00CC6B28">
              <w:rPr>
                <w:rFonts w:ascii="Times New Roman" w:hAnsi="Times New Roman"/>
              </w:rPr>
              <w:t>o</w:t>
            </w:r>
            <w:proofErr w:type="gramEnd"/>
            <w:r w:rsidRPr="00CC6B28">
              <w:rPr>
                <w:rFonts w:ascii="Times New Roman" w:hAnsi="Times New Roman"/>
              </w:rPr>
              <w:t xml:space="preserve"> inclusion fee, an annual fee on the regulated and alternative market, as well as consultancy fees in the alternative market (stock exchange payments certified consultant). </w:t>
            </w:r>
          </w:p>
        </w:tc>
        <w:tc>
          <w:tcPr>
            <w:tcW w:w="2387" w:type="dxa"/>
          </w:tcPr>
          <w:p w14:paraId="61FBD987" w14:textId="77777777" w:rsidR="00CE6CB9" w:rsidRPr="00CC6B28" w:rsidRDefault="00CE6CB9" w:rsidP="00155654">
            <w:pPr>
              <w:spacing w:before="20" w:afterLines="20" w:after="48"/>
              <w:rPr>
                <w:rFonts w:ascii="Times New Roman" w:hAnsi="Times New Roman"/>
              </w:rPr>
            </w:pPr>
            <w:r w:rsidRPr="00CC6B28">
              <w:rPr>
                <w:rFonts w:ascii="Times New Roman" w:eastAsia="Times New Roman" w:hAnsi="Times New Roman"/>
                <w:lang w:eastAsia="lv-LV"/>
              </w:rPr>
              <w:t>A support program for companies quotation in the stock exchange is developed</w:t>
            </w:r>
          </w:p>
        </w:tc>
        <w:tc>
          <w:tcPr>
            <w:tcW w:w="2410" w:type="dxa"/>
          </w:tcPr>
          <w:p w14:paraId="15D4F02E" w14:textId="77777777" w:rsidR="00CE6CB9" w:rsidRPr="00CC6B28" w:rsidRDefault="00CE6CB9" w:rsidP="00155654">
            <w:pPr>
              <w:spacing w:before="20" w:afterLines="20" w:after="48"/>
              <w:rPr>
                <w:rFonts w:ascii="Times New Roman" w:hAnsi="Times New Roman"/>
              </w:rPr>
            </w:pPr>
            <w:r w:rsidRPr="00CC6B28">
              <w:rPr>
                <w:rFonts w:ascii="Times New Roman" w:eastAsia="Times New Roman" w:hAnsi="Times New Roman"/>
                <w:lang w:eastAsia="lv-LV"/>
              </w:rPr>
              <w:t>A support program for companies quotation in the stock exchange is developed</w:t>
            </w:r>
          </w:p>
        </w:tc>
        <w:tc>
          <w:tcPr>
            <w:tcW w:w="1275" w:type="dxa"/>
          </w:tcPr>
          <w:p w14:paraId="250EE0E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EM</w:t>
            </w:r>
          </w:p>
        </w:tc>
        <w:tc>
          <w:tcPr>
            <w:tcW w:w="1701" w:type="dxa"/>
          </w:tcPr>
          <w:p w14:paraId="46D7406F"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FM, NASDAQ Riga </w:t>
            </w:r>
          </w:p>
        </w:tc>
        <w:tc>
          <w:tcPr>
            <w:tcW w:w="1985" w:type="dxa"/>
          </w:tcPr>
          <w:p w14:paraId="4ACFAA7B"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7C3A0EE0" w14:textId="77777777" w:rsidTr="00155654">
        <w:tc>
          <w:tcPr>
            <w:tcW w:w="964" w:type="dxa"/>
          </w:tcPr>
          <w:p w14:paraId="7D46ADA7" w14:textId="77777777" w:rsidR="00CE6CB9" w:rsidRPr="00CC6B28" w:rsidRDefault="00CE6CB9" w:rsidP="00155654">
            <w:pPr>
              <w:rPr>
                <w:rFonts w:ascii="Times New Roman" w:hAnsi="Times New Roman"/>
              </w:rPr>
            </w:pPr>
            <w:r w:rsidRPr="00CC6B28">
              <w:rPr>
                <w:rFonts w:ascii="Times New Roman" w:eastAsia="Times New Roman" w:hAnsi="Times New Roman"/>
                <w:lang w:eastAsia="lv-LV"/>
              </w:rPr>
              <w:t>3.1.2.</w:t>
            </w:r>
          </w:p>
        </w:tc>
        <w:tc>
          <w:tcPr>
            <w:tcW w:w="4417" w:type="dxa"/>
          </w:tcPr>
          <w:p w14:paraId="1B80C892" w14:textId="77777777" w:rsidR="00CE6CB9" w:rsidRPr="00CC6B28" w:rsidRDefault="00CE6CB9" w:rsidP="00155654">
            <w:pPr>
              <w:jc w:val="both"/>
              <w:rPr>
                <w:rFonts w:ascii="Times New Roman" w:hAnsi="Times New Roman"/>
              </w:rPr>
            </w:pPr>
            <w:r w:rsidRPr="00CC6B28">
              <w:rPr>
                <w:rFonts w:ascii="Times New Roman" w:hAnsi="Times New Roman"/>
              </w:rPr>
              <w:t>Prepare proposals for administrative burden reduction in the market listed companies, including the preparation of the prospectus requirements of small and medium-sized enterprises when launching the stock exchange quotations, also taking into account the Prospectus Directive review the timing of capital market in the context of Union initiatives</w:t>
            </w:r>
          </w:p>
        </w:tc>
        <w:tc>
          <w:tcPr>
            <w:tcW w:w="2387" w:type="dxa"/>
          </w:tcPr>
          <w:p w14:paraId="369B47E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More active involvement of enterprises in the capital markets</w:t>
            </w:r>
          </w:p>
        </w:tc>
        <w:tc>
          <w:tcPr>
            <w:tcW w:w="2410" w:type="dxa"/>
          </w:tcPr>
          <w:p w14:paraId="7E2251F7"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More active involvement of enterprises in the capital markets</w:t>
            </w:r>
          </w:p>
        </w:tc>
        <w:tc>
          <w:tcPr>
            <w:tcW w:w="1275" w:type="dxa"/>
          </w:tcPr>
          <w:p w14:paraId="05AF63E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FM</w:t>
            </w:r>
          </w:p>
        </w:tc>
        <w:tc>
          <w:tcPr>
            <w:tcW w:w="1701" w:type="dxa"/>
          </w:tcPr>
          <w:p w14:paraId="34982913"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FKTK, NASDAQ Riga</w:t>
            </w:r>
          </w:p>
        </w:tc>
        <w:tc>
          <w:tcPr>
            <w:tcW w:w="1985" w:type="dxa"/>
          </w:tcPr>
          <w:p w14:paraId="4C6C926C"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29F2700D" w14:textId="77777777" w:rsidTr="00155654">
        <w:tc>
          <w:tcPr>
            <w:tcW w:w="964" w:type="dxa"/>
          </w:tcPr>
          <w:p w14:paraId="5A5998D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3.1.3.</w:t>
            </w:r>
          </w:p>
          <w:p w14:paraId="3A486411" w14:textId="77777777" w:rsidR="00CE6CB9" w:rsidRPr="00CC6B28" w:rsidRDefault="00CE6CB9" w:rsidP="00155654">
            <w:pPr>
              <w:spacing w:before="20" w:afterLines="20" w:after="48"/>
              <w:rPr>
                <w:rFonts w:ascii="Times New Roman" w:eastAsia="Times New Roman" w:hAnsi="Times New Roman"/>
                <w:lang w:eastAsia="lv-LV"/>
              </w:rPr>
            </w:pPr>
          </w:p>
        </w:tc>
        <w:tc>
          <w:tcPr>
            <w:tcW w:w="4417" w:type="dxa"/>
          </w:tcPr>
          <w:p w14:paraId="0633A75D" w14:textId="77777777" w:rsidR="00CE6CB9" w:rsidRPr="00CC6B28" w:rsidRDefault="00CE6CB9" w:rsidP="00155654">
            <w:pPr>
              <w:spacing w:after="120"/>
              <w:jc w:val="both"/>
              <w:rPr>
                <w:rFonts w:ascii="Times New Roman" w:hAnsi="Times New Roman"/>
              </w:rPr>
            </w:pPr>
            <w:r w:rsidRPr="00CC6B28">
              <w:rPr>
                <w:rFonts w:ascii="Times New Roman" w:hAnsi="Times New Roman"/>
              </w:rPr>
              <w:t xml:space="preserve">Develop and explain to the public a clear strategy and plan for the private equity shares to increase the state-owned assets, as well as </w:t>
            </w:r>
            <w:r w:rsidRPr="00CC6B28">
              <w:rPr>
                <w:rFonts w:ascii="Times New Roman" w:hAnsi="Times New Roman"/>
              </w:rPr>
              <w:lastRenderedPageBreak/>
              <w:t>attracting additional funding on the capital market.</w:t>
            </w:r>
          </w:p>
          <w:p w14:paraId="06A83D55" w14:textId="77777777" w:rsidR="00CE6CB9" w:rsidRPr="00CC6B28" w:rsidRDefault="00CE6CB9" w:rsidP="00155654">
            <w:pPr>
              <w:spacing w:after="120"/>
              <w:jc w:val="both"/>
              <w:rPr>
                <w:rFonts w:ascii="Times New Roman" w:hAnsi="Times New Roman"/>
              </w:rPr>
            </w:pPr>
            <w:r w:rsidRPr="00CC6B28">
              <w:rPr>
                <w:rFonts w:ascii="Times New Roman" w:hAnsi="Times New Roman"/>
              </w:rPr>
              <w:t>Create a list of state-owned assets, with experts, to identify potential companies covered by the strategy and plan.</w:t>
            </w:r>
          </w:p>
          <w:p w14:paraId="7F458F3C" w14:textId="77777777" w:rsidR="00CE6CB9" w:rsidRPr="00CC6B28" w:rsidRDefault="00CE6CB9" w:rsidP="00155654">
            <w:pPr>
              <w:spacing w:after="120"/>
              <w:jc w:val="both"/>
              <w:rPr>
                <w:rFonts w:ascii="Times New Roman" w:hAnsi="Times New Roman"/>
              </w:rPr>
            </w:pPr>
            <w:r w:rsidRPr="00CC6B28">
              <w:rPr>
                <w:rFonts w:ascii="Times New Roman" w:hAnsi="Times New Roman"/>
              </w:rPr>
              <w:t>Within the strategy all investment the state-owned enterprises should be provided by international initial public offering method (IPO), providing a broad circle of investors' attraction and offering concrete 10-15% of the sale for cash to pension and investment funds, individuals and other investors. In addition to raising funds, use the bond issue, allowing retention of ownership, but at the same time provides an opportunity to raise capital on the basis of the company's own defined conditions;</w:t>
            </w:r>
          </w:p>
          <w:p w14:paraId="2A94FB31" w14:textId="77777777" w:rsidR="00CE6CB9" w:rsidRPr="00CC6B28" w:rsidRDefault="00CE6CB9" w:rsidP="00155654">
            <w:pPr>
              <w:spacing w:after="120"/>
              <w:jc w:val="both"/>
              <w:rPr>
                <w:rFonts w:ascii="Times New Roman" w:hAnsi="Times New Roman"/>
              </w:rPr>
            </w:pPr>
            <w:r w:rsidRPr="00CC6B28">
              <w:rPr>
                <w:rFonts w:ascii="Times New Roman" w:hAnsi="Times New Roman"/>
              </w:rPr>
              <w:t xml:space="preserve">Assess the possibility of completing the privatization through the public offer in securities market such companies as </w:t>
            </w:r>
            <w:proofErr w:type="spellStart"/>
            <w:r w:rsidRPr="00CC6B28">
              <w:rPr>
                <w:rFonts w:ascii="Times New Roman" w:hAnsi="Times New Roman"/>
              </w:rPr>
              <w:t>Lattelecom</w:t>
            </w:r>
            <w:proofErr w:type="spellEnd"/>
            <w:r w:rsidRPr="00CC6B28">
              <w:rPr>
                <w:rFonts w:ascii="Times New Roman" w:hAnsi="Times New Roman"/>
              </w:rPr>
              <w:t>, LMT, Latvian Shipping Company.</w:t>
            </w:r>
          </w:p>
          <w:p w14:paraId="30754D29" w14:textId="77777777" w:rsidR="00CE6CB9" w:rsidRPr="00CC6B28" w:rsidRDefault="00CE6CB9" w:rsidP="00155654">
            <w:pPr>
              <w:spacing w:after="120"/>
              <w:jc w:val="both"/>
              <w:rPr>
                <w:rFonts w:ascii="Times New Roman" w:hAnsi="Times New Roman"/>
              </w:rPr>
            </w:pPr>
          </w:p>
        </w:tc>
        <w:tc>
          <w:tcPr>
            <w:tcW w:w="2387" w:type="dxa"/>
          </w:tcPr>
          <w:p w14:paraId="1F1DE6E1"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lastRenderedPageBreak/>
              <w:t>A more active participation of state owned companies in the capital market</w:t>
            </w:r>
          </w:p>
        </w:tc>
        <w:tc>
          <w:tcPr>
            <w:tcW w:w="2410" w:type="dxa"/>
          </w:tcPr>
          <w:p w14:paraId="592EF611"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A more active participation of state owned companies in the capital market</w:t>
            </w:r>
          </w:p>
        </w:tc>
        <w:tc>
          <w:tcPr>
            <w:tcW w:w="1275" w:type="dxa"/>
          </w:tcPr>
          <w:p w14:paraId="79A2CA15"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color w:val="000000"/>
                <w:lang w:eastAsia="lv-LV"/>
              </w:rPr>
              <w:t>PKC</w:t>
            </w:r>
          </w:p>
        </w:tc>
        <w:tc>
          <w:tcPr>
            <w:tcW w:w="1701" w:type="dxa"/>
          </w:tcPr>
          <w:p w14:paraId="752F74A6"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color w:val="000000"/>
                <w:lang w:eastAsia="lv-LV"/>
              </w:rPr>
              <w:t>NASDAQ Riga</w:t>
            </w:r>
          </w:p>
        </w:tc>
        <w:tc>
          <w:tcPr>
            <w:tcW w:w="1985" w:type="dxa"/>
          </w:tcPr>
          <w:p w14:paraId="389AE93C"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rPr>
              <w:t>31.12.2017</w:t>
            </w:r>
          </w:p>
        </w:tc>
      </w:tr>
      <w:tr w:rsidR="00CE6CB9" w:rsidRPr="00CC6B28" w14:paraId="19A4423A" w14:textId="77777777" w:rsidTr="00155654">
        <w:tc>
          <w:tcPr>
            <w:tcW w:w="15139" w:type="dxa"/>
            <w:gridSpan w:val="7"/>
            <w:shd w:val="clear" w:color="auto" w:fill="FFE599"/>
          </w:tcPr>
          <w:p w14:paraId="54C1609D" w14:textId="77777777" w:rsidR="00CE6CB9" w:rsidRPr="00CC6B28" w:rsidRDefault="00CE6CB9" w:rsidP="00155654">
            <w:pPr>
              <w:spacing w:before="20" w:afterLines="20" w:after="48"/>
              <w:rPr>
                <w:rFonts w:ascii="Times New Roman" w:eastAsia="Times New Roman" w:hAnsi="Times New Roman"/>
                <w:b/>
                <w:lang w:eastAsia="lv-LV"/>
              </w:rPr>
            </w:pPr>
            <w:r w:rsidRPr="00CC6B28">
              <w:rPr>
                <w:rFonts w:ascii="Times New Roman" w:eastAsia="Times New Roman" w:hAnsi="Times New Roman"/>
                <w:b/>
                <w:lang w:eastAsia="lv-LV"/>
              </w:rPr>
              <w:t xml:space="preserve">3.2. </w:t>
            </w:r>
            <w:r w:rsidRPr="00CC6B28">
              <w:rPr>
                <w:rFonts w:ascii="Times New Roman" w:hAnsi="Times New Roman"/>
                <w:b/>
              </w:rPr>
              <w:t xml:space="preserve">Develop capital instruments to attract funding and to broaden investment opportunities </w:t>
            </w:r>
          </w:p>
        </w:tc>
      </w:tr>
      <w:tr w:rsidR="00CE6CB9" w:rsidRPr="00CC6B28" w14:paraId="69593A76" w14:textId="77777777" w:rsidTr="00155654">
        <w:tc>
          <w:tcPr>
            <w:tcW w:w="964" w:type="dxa"/>
          </w:tcPr>
          <w:p w14:paraId="4D8D60B8" w14:textId="77777777" w:rsidR="00CE6CB9" w:rsidRPr="00CC6B28" w:rsidRDefault="00CE6CB9" w:rsidP="00155654">
            <w:pPr>
              <w:rPr>
                <w:rFonts w:ascii="Times New Roman" w:eastAsia="Times New Roman" w:hAnsi="Times New Roman"/>
                <w:lang w:eastAsia="lv-LV"/>
              </w:rPr>
            </w:pPr>
            <w:r w:rsidRPr="00CC6B28">
              <w:rPr>
                <w:rFonts w:ascii="Times New Roman" w:eastAsia="Times New Roman" w:hAnsi="Times New Roman"/>
                <w:lang w:eastAsia="lv-LV"/>
              </w:rPr>
              <w:t>3.2.1.</w:t>
            </w:r>
          </w:p>
        </w:tc>
        <w:tc>
          <w:tcPr>
            <w:tcW w:w="4417" w:type="dxa"/>
          </w:tcPr>
          <w:p w14:paraId="43C44EC8" w14:textId="77777777" w:rsidR="00CE6CB9" w:rsidRPr="00CC6B28" w:rsidRDefault="00CE6CB9" w:rsidP="00155654">
            <w:pPr>
              <w:jc w:val="both"/>
              <w:rPr>
                <w:rFonts w:ascii="Times New Roman" w:hAnsi="Times New Roman"/>
              </w:rPr>
            </w:pPr>
            <w:r w:rsidRPr="00CC6B28">
              <w:rPr>
                <w:rFonts w:ascii="Times New Roman" w:hAnsi="Times New Roman"/>
              </w:rPr>
              <w:t xml:space="preserve">Develop instruments for enhancing the investment opportunities for Latvian state-funded pension investment </w:t>
            </w:r>
          </w:p>
          <w:p w14:paraId="5D0F23A0" w14:textId="77777777" w:rsidR="00CE6CB9" w:rsidRPr="00CC6B28" w:rsidRDefault="00CE6CB9" w:rsidP="00155654">
            <w:pPr>
              <w:jc w:val="both"/>
              <w:rPr>
                <w:rFonts w:ascii="Times New Roman" w:hAnsi="Times New Roman"/>
              </w:rPr>
            </w:pPr>
          </w:p>
        </w:tc>
        <w:tc>
          <w:tcPr>
            <w:tcW w:w="2387" w:type="dxa"/>
          </w:tcPr>
          <w:p w14:paraId="28D68A37"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1. A working group on State-funded pensions to broaden eligible investments is established.</w:t>
            </w:r>
          </w:p>
          <w:p w14:paraId="498138B2"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2. The opportunities for state-funded pension investment in Latvia </w:t>
            </w:r>
            <w:proofErr w:type="gramStart"/>
            <w:r w:rsidRPr="00CC6B28">
              <w:rPr>
                <w:rFonts w:ascii="Times New Roman" w:eastAsia="Times New Roman" w:hAnsi="Times New Roman"/>
                <w:lang w:eastAsia="lv-LV"/>
              </w:rPr>
              <w:t>are enhanced</w:t>
            </w:r>
            <w:proofErr w:type="gramEnd"/>
            <w:r w:rsidRPr="00CC6B28">
              <w:rPr>
                <w:rFonts w:ascii="Times New Roman" w:eastAsia="Times New Roman" w:hAnsi="Times New Roman"/>
                <w:lang w:eastAsia="lv-LV"/>
              </w:rPr>
              <w:t>.</w:t>
            </w:r>
          </w:p>
        </w:tc>
        <w:tc>
          <w:tcPr>
            <w:tcW w:w="2410" w:type="dxa"/>
          </w:tcPr>
          <w:p w14:paraId="7D68E0E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Instruments introduced for state funded pension investment in Latvia</w:t>
            </w:r>
          </w:p>
          <w:p w14:paraId="3B88C866" w14:textId="77777777" w:rsidR="00CE6CB9" w:rsidRPr="00CC6B28" w:rsidRDefault="00CE6CB9" w:rsidP="00155654">
            <w:pPr>
              <w:spacing w:before="20" w:afterLines="20" w:after="48"/>
              <w:rPr>
                <w:rFonts w:ascii="Times New Roman" w:eastAsia="Times New Roman" w:hAnsi="Times New Roman"/>
                <w:lang w:eastAsia="lv-LV"/>
              </w:rPr>
            </w:pPr>
          </w:p>
          <w:p w14:paraId="097CB9D0" w14:textId="77777777" w:rsidR="00CE6CB9" w:rsidRPr="00CC6B28" w:rsidRDefault="00CE6CB9" w:rsidP="00155654">
            <w:pPr>
              <w:spacing w:before="20" w:afterLines="20" w:after="48"/>
              <w:rPr>
                <w:rFonts w:ascii="Times New Roman" w:eastAsia="Times New Roman" w:hAnsi="Times New Roman"/>
                <w:lang w:eastAsia="lv-LV"/>
              </w:rPr>
            </w:pPr>
          </w:p>
        </w:tc>
        <w:tc>
          <w:tcPr>
            <w:tcW w:w="1275" w:type="dxa"/>
          </w:tcPr>
          <w:p w14:paraId="10F1225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FM</w:t>
            </w:r>
          </w:p>
        </w:tc>
        <w:tc>
          <w:tcPr>
            <w:tcW w:w="1701" w:type="dxa"/>
          </w:tcPr>
          <w:p w14:paraId="0DBF9C9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NASDAQ Riga, LKA</w:t>
            </w:r>
          </w:p>
        </w:tc>
        <w:tc>
          <w:tcPr>
            <w:tcW w:w="1985" w:type="dxa"/>
          </w:tcPr>
          <w:p w14:paraId="0AE7ABD8"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1.31.12.2017</w:t>
            </w:r>
          </w:p>
          <w:p w14:paraId="74B84685" w14:textId="77777777" w:rsidR="00CE6CB9" w:rsidRPr="00CC6B28" w:rsidRDefault="00CE6CB9" w:rsidP="00155654">
            <w:pPr>
              <w:spacing w:before="20" w:afterLines="20" w:after="48"/>
              <w:rPr>
                <w:rFonts w:ascii="Times New Roman" w:hAnsi="Times New Roman"/>
              </w:rPr>
            </w:pPr>
          </w:p>
          <w:p w14:paraId="5C766057" w14:textId="77777777" w:rsidR="00CE6CB9" w:rsidRPr="00CC6B28" w:rsidRDefault="00CE6CB9" w:rsidP="00155654">
            <w:pPr>
              <w:spacing w:before="20" w:afterLines="20" w:after="48"/>
              <w:rPr>
                <w:rFonts w:ascii="Times New Roman" w:hAnsi="Times New Roman"/>
              </w:rPr>
            </w:pPr>
          </w:p>
          <w:p w14:paraId="445AC58B"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2.31.12.2019</w:t>
            </w:r>
          </w:p>
        </w:tc>
      </w:tr>
      <w:tr w:rsidR="00CE6CB9" w:rsidRPr="00CC6B28" w14:paraId="664B8CEF" w14:textId="77777777" w:rsidTr="00155654">
        <w:tc>
          <w:tcPr>
            <w:tcW w:w="964" w:type="dxa"/>
          </w:tcPr>
          <w:p w14:paraId="1F24C053"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3.2.2.</w:t>
            </w:r>
          </w:p>
        </w:tc>
        <w:tc>
          <w:tcPr>
            <w:tcW w:w="4417" w:type="dxa"/>
          </w:tcPr>
          <w:p w14:paraId="5FF2E281" w14:textId="77777777" w:rsidR="00CE6CB9" w:rsidRPr="00CC6B28" w:rsidRDefault="00CE6CB9" w:rsidP="00155654">
            <w:pPr>
              <w:spacing w:after="120"/>
              <w:jc w:val="both"/>
              <w:rPr>
                <w:rFonts w:ascii="Times New Roman" w:hAnsi="Times New Roman"/>
              </w:rPr>
            </w:pPr>
            <w:r w:rsidRPr="00CC6B28">
              <w:rPr>
                <w:rFonts w:ascii="Times New Roman" w:hAnsi="Times New Roman"/>
              </w:rPr>
              <w:t xml:space="preserve">Review the regulations for </w:t>
            </w:r>
            <w:proofErr w:type="gramStart"/>
            <w:r w:rsidRPr="00CC6B28">
              <w:rPr>
                <w:rFonts w:ascii="Times New Roman" w:hAnsi="Times New Roman"/>
              </w:rPr>
              <w:t>asset backed</w:t>
            </w:r>
            <w:proofErr w:type="gramEnd"/>
            <w:r w:rsidRPr="00CC6B28">
              <w:rPr>
                <w:rFonts w:ascii="Times New Roman" w:hAnsi="Times New Roman"/>
              </w:rPr>
              <w:t xml:space="preserve"> securities and assess if it is up to date and corresponding to securities market development potential.</w:t>
            </w:r>
          </w:p>
          <w:p w14:paraId="03E84B1B" w14:textId="77777777" w:rsidR="00CE6CB9" w:rsidRPr="00CC6B28" w:rsidRDefault="00CE6CB9" w:rsidP="00155654">
            <w:pPr>
              <w:spacing w:after="120"/>
              <w:jc w:val="both"/>
              <w:rPr>
                <w:rFonts w:ascii="Times New Roman" w:hAnsi="Times New Roman"/>
              </w:rPr>
            </w:pPr>
          </w:p>
        </w:tc>
        <w:tc>
          <w:tcPr>
            <w:tcW w:w="2387" w:type="dxa"/>
          </w:tcPr>
          <w:p w14:paraId="0195EEE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A report is submitted to the Cabinet of Ministers </w:t>
            </w:r>
          </w:p>
        </w:tc>
        <w:tc>
          <w:tcPr>
            <w:tcW w:w="2410" w:type="dxa"/>
          </w:tcPr>
          <w:p w14:paraId="6FFBC2B3"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Prepare an assessment of obstacles encountered, difficulties in the application, as well appropriate regulation for asset backed securities market development potential.</w:t>
            </w:r>
          </w:p>
          <w:p w14:paraId="28694D9B" w14:textId="77777777" w:rsidR="00CE6CB9" w:rsidRPr="00CC6B28" w:rsidRDefault="00CE6CB9" w:rsidP="00155654">
            <w:pPr>
              <w:spacing w:before="20" w:afterLines="20" w:after="48"/>
              <w:rPr>
                <w:rFonts w:ascii="Times New Roman" w:eastAsia="Times New Roman" w:hAnsi="Times New Roman"/>
                <w:lang w:eastAsia="lv-LV"/>
              </w:rPr>
            </w:pPr>
          </w:p>
        </w:tc>
        <w:tc>
          <w:tcPr>
            <w:tcW w:w="1275" w:type="dxa"/>
          </w:tcPr>
          <w:p w14:paraId="6AD30CFF"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FM</w:t>
            </w:r>
          </w:p>
        </w:tc>
        <w:tc>
          <w:tcPr>
            <w:tcW w:w="1701" w:type="dxa"/>
          </w:tcPr>
          <w:p w14:paraId="3DA67CBC"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FKTK, LKA, NASDAQ Riga, ALTUM</w:t>
            </w:r>
          </w:p>
        </w:tc>
        <w:tc>
          <w:tcPr>
            <w:tcW w:w="1985" w:type="dxa"/>
          </w:tcPr>
          <w:p w14:paraId="370C19EE"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01.07.2017</w:t>
            </w:r>
          </w:p>
        </w:tc>
      </w:tr>
      <w:tr w:rsidR="00CE6CB9" w:rsidRPr="00CC6B28" w14:paraId="77D40935" w14:textId="77777777" w:rsidTr="00155654">
        <w:tc>
          <w:tcPr>
            <w:tcW w:w="964" w:type="dxa"/>
          </w:tcPr>
          <w:p w14:paraId="7B6AA5F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3.2.3.</w:t>
            </w:r>
          </w:p>
        </w:tc>
        <w:tc>
          <w:tcPr>
            <w:tcW w:w="4417" w:type="dxa"/>
          </w:tcPr>
          <w:p w14:paraId="456E835F" w14:textId="77777777" w:rsidR="00CE6CB9" w:rsidRPr="00CC6B28" w:rsidRDefault="00CE6CB9" w:rsidP="00155654">
            <w:pPr>
              <w:spacing w:after="120"/>
              <w:jc w:val="both"/>
              <w:rPr>
                <w:rFonts w:ascii="Times New Roman" w:hAnsi="Times New Roman"/>
              </w:rPr>
            </w:pPr>
            <w:r w:rsidRPr="00CC6B28">
              <w:rPr>
                <w:rFonts w:ascii="Times New Roman" w:hAnsi="Times New Roman"/>
              </w:rPr>
              <w:t>To improve the regulatory framework in order to remove existing obstacles to the development of securitization</w:t>
            </w:r>
          </w:p>
        </w:tc>
        <w:tc>
          <w:tcPr>
            <w:tcW w:w="2387" w:type="dxa"/>
          </w:tcPr>
          <w:p w14:paraId="3BB2B0A6"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Proposals are prepared for improving the regulation.</w:t>
            </w:r>
          </w:p>
        </w:tc>
        <w:tc>
          <w:tcPr>
            <w:tcW w:w="2410" w:type="dxa"/>
          </w:tcPr>
          <w:p w14:paraId="512FA1AD"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 xml:space="preserve">The use of securitization as a financial instrument </w:t>
            </w:r>
            <w:proofErr w:type="gramStart"/>
            <w:r w:rsidRPr="00CC6B28">
              <w:rPr>
                <w:rFonts w:ascii="Times New Roman" w:eastAsia="Times New Roman" w:hAnsi="Times New Roman"/>
                <w:lang w:eastAsia="lv-LV"/>
              </w:rPr>
              <w:t>is activated</w:t>
            </w:r>
            <w:proofErr w:type="gramEnd"/>
            <w:r w:rsidRPr="00CC6B28">
              <w:rPr>
                <w:rFonts w:ascii="Times New Roman" w:eastAsia="Times New Roman" w:hAnsi="Times New Roman"/>
                <w:lang w:eastAsia="lv-LV"/>
              </w:rPr>
              <w:t>.</w:t>
            </w:r>
          </w:p>
        </w:tc>
        <w:tc>
          <w:tcPr>
            <w:tcW w:w="1275" w:type="dxa"/>
          </w:tcPr>
          <w:p w14:paraId="2B5A4DB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FM</w:t>
            </w:r>
          </w:p>
        </w:tc>
        <w:tc>
          <w:tcPr>
            <w:tcW w:w="1701" w:type="dxa"/>
          </w:tcPr>
          <w:p w14:paraId="4264B748" w14:textId="77777777" w:rsidR="00CE6CB9" w:rsidRPr="00CC6B28" w:rsidRDefault="00CE6CB9" w:rsidP="00155654">
            <w:pPr>
              <w:spacing w:before="20" w:afterLines="20" w:after="48"/>
              <w:rPr>
                <w:rFonts w:ascii="Times New Roman" w:eastAsia="Times New Roman" w:hAnsi="Times New Roman"/>
                <w:lang w:eastAsia="lv-LV"/>
              </w:rPr>
            </w:pPr>
          </w:p>
        </w:tc>
        <w:tc>
          <w:tcPr>
            <w:tcW w:w="1985" w:type="dxa"/>
          </w:tcPr>
          <w:p w14:paraId="2CD80F69"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01.07.2018</w:t>
            </w:r>
          </w:p>
        </w:tc>
      </w:tr>
      <w:tr w:rsidR="00CE6CB9" w:rsidRPr="00CC6B28" w14:paraId="19C35C54" w14:textId="77777777" w:rsidTr="00155654">
        <w:tc>
          <w:tcPr>
            <w:tcW w:w="964" w:type="dxa"/>
          </w:tcPr>
          <w:p w14:paraId="1C721CD5"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3.2.4.</w:t>
            </w:r>
          </w:p>
        </w:tc>
        <w:tc>
          <w:tcPr>
            <w:tcW w:w="4417" w:type="dxa"/>
          </w:tcPr>
          <w:p w14:paraId="60C8E47A" w14:textId="77777777" w:rsidR="00CE6CB9" w:rsidRPr="00CC6B28" w:rsidRDefault="00CE6CB9" w:rsidP="00155654">
            <w:pPr>
              <w:spacing w:after="120"/>
              <w:jc w:val="both"/>
              <w:rPr>
                <w:rFonts w:ascii="Times New Roman" w:hAnsi="Times New Roman"/>
              </w:rPr>
            </w:pPr>
            <w:r w:rsidRPr="00CC6B28">
              <w:rPr>
                <w:rFonts w:ascii="Times New Roman" w:hAnsi="Times New Roman"/>
              </w:rPr>
              <w:t>Create support tools for the management buy- out finance</w:t>
            </w:r>
          </w:p>
        </w:tc>
        <w:tc>
          <w:tcPr>
            <w:tcW w:w="2387" w:type="dxa"/>
          </w:tcPr>
          <w:p w14:paraId="15F2190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Proposals for possible aid instruments are prepared</w:t>
            </w:r>
          </w:p>
        </w:tc>
        <w:tc>
          <w:tcPr>
            <w:tcW w:w="2410" w:type="dxa"/>
          </w:tcPr>
          <w:p w14:paraId="03B5F86F"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The range of equity instruments is expanded</w:t>
            </w:r>
          </w:p>
        </w:tc>
        <w:tc>
          <w:tcPr>
            <w:tcW w:w="1275" w:type="dxa"/>
          </w:tcPr>
          <w:p w14:paraId="77086F38"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color w:val="000000"/>
                <w:lang w:eastAsia="lv-LV"/>
              </w:rPr>
              <w:t>FM</w:t>
            </w:r>
          </w:p>
        </w:tc>
        <w:tc>
          <w:tcPr>
            <w:tcW w:w="1701" w:type="dxa"/>
          </w:tcPr>
          <w:p w14:paraId="199FC0B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ALTUM</w:t>
            </w:r>
          </w:p>
        </w:tc>
        <w:tc>
          <w:tcPr>
            <w:tcW w:w="1985" w:type="dxa"/>
          </w:tcPr>
          <w:p w14:paraId="20AFF7D5"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6CA0345E" w14:textId="77777777" w:rsidTr="00155654">
        <w:tc>
          <w:tcPr>
            <w:tcW w:w="964" w:type="dxa"/>
          </w:tcPr>
          <w:p w14:paraId="76B9D3F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lastRenderedPageBreak/>
              <w:t>3.2.5.</w:t>
            </w:r>
          </w:p>
        </w:tc>
        <w:tc>
          <w:tcPr>
            <w:tcW w:w="4417" w:type="dxa"/>
          </w:tcPr>
          <w:p w14:paraId="52056F37" w14:textId="77777777" w:rsidR="00CE6CB9" w:rsidRPr="00CC6B28" w:rsidRDefault="00CE6CB9" w:rsidP="00155654">
            <w:pPr>
              <w:spacing w:after="120"/>
              <w:jc w:val="both"/>
              <w:rPr>
                <w:rFonts w:ascii="Times New Roman" w:hAnsi="Times New Roman"/>
              </w:rPr>
            </w:pPr>
            <w:r w:rsidRPr="00CC6B28">
              <w:rPr>
                <w:rFonts w:ascii="Times New Roman" w:hAnsi="Times New Roman"/>
              </w:rPr>
              <w:t>Promote the availability of information on the possibilities to raise funds on the capital market</w:t>
            </w:r>
          </w:p>
        </w:tc>
        <w:tc>
          <w:tcPr>
            <w:tcW w:w="2387" w:type="dxa"/>
          </w:tcPr>
          <w:p w14:paraId="35886BB8"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The awareness of companies on opportunities to raise funds in the capital market is improved</w:t>
            </w:r>
          </w:p>
        </w:tc>
        <w:tc>
          <w:tcPr>
            <w:tcW w:w="2410" w:type="dxa"/>
          </w:tcPr>
          <w:p w14:paraId="4D994A69"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The awareness of companies on opportunities to raise funds in the capital market is improved</w:t>
            </w:r>
          </w:p>
        </w:tc>
        <w:tc>
          <w:tcPr>
            <w:tcW w:w="1275" w:type="dxa"/>
          </w:tcPr>
          <w:p w14:paraId="0CC86C73"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NASDAQ Riga</w:t>
            </w:r>
          </w:p>
        </w:tc>
        <w:tc>
          <w:tcPr>
            <w:tcW w:w="1701" w:type="dxa"/>
          </w:tcPr>
          <w:p w14:paraId="7FF52422"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EM, ALTUM</w:t>
            </w:r>
          </w:p>
        </w:tc>
        <w:tc>
          <w:tcPr>
            <w:tcW w:w="1985" w:type="dxa"/>
          </w:tcPr>
          <w:p w14:paraId="7A781A91"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31.12.2019</w:t>
            </w:r>
          </w:p>
        </w:tc>
      </w:tr>
      <w:tr w:rsidR="00CE6CB9" w:rsidRPr="00CC6B28" w14:paraId="551D238C" w14:textId="77777777" w:rsidTr="00155654">
        <w:tc>
          <w:tcPr>
            <w:tcW w:w="15139" w:type="dxa"/>
            <w:gridSpan w:val="7"/>
            <w:shd w:val="clear" w:color="auto" w:fill="FFE599"/>
          </w:tcPr>
          <w:p w14:paraId="5905F88D" w14:textId="77777777" w:rsidR="00CE6CB9" w:rsidRPr="00CC6B28" w:rsidRDefault="00CE6CB9" w:rsidP="00155654">
            <w:pPr>
              <w:spacing w:before="20" w:afterLines="20" w:after="48"/>
              <w:rPr>
                <w:rFonts w:ascii="Times New Roman" w:eastAsia="Times New Roman" w:hAnsi="Times New Roman"/>
                <w:b/>
                <w:lang w:eastAsia="lv-LV"/>
              </w:rPr>
            </w:pPr>
            <w:r w:rsidRPr="00CC6B28">
              <w:rPr>
                <w:rFonts w:ascii="Times New Roman" w:eastAsia="Times New Roman" w:hAnsi="Times New Roman"/>
                <w:b/>
                <w:lang w:eastAsia="lv-LV"/>
              </w:rPr>
              <w:t xml:space="preserve">3.3. </w:t>
            </w:r>
            <w:r w:rsidRPr="00CC6B28">
              <w:rPr>
                <w:rFonts w:ascii="Times New Roman" w:hAnsi="Times New Roman"/>
                <w:b/>
              </w:rPr>
              <w:t xml:space="preserve">Increase activity of institutional and private investors in the domestic capital market </w:t>
            </w:r>
          </w:p>
        </w:tc>
      </w:tr>
      <w:tr w:rsidR="00CE6CB9" w:rsidRPr="00CC6B28" w14:paraId="2A862356" w14:textId="77777777" w:rsidTr="00155654">
        <w:tc>
          <w:tcPr>
            <w:tcW w:w="964" w:type="dxa"/>
          </w:tcPr>
          <w:p w14:paraId="59E9820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3.3.1.</w:t>
            </w:r>
            <w:r w:rsidRPr="00CC6B28">
              <w:rPr>
                <w:rFonts w:ascii="Times New Roman" w:eastAsia="Times New Roman" w:hAnsi="Times New Roman"/>
                <w:color w:val="000000"/>
                <w:lang w:eastAsia="lv-LV"/>
              </w:rPr>
              <w:t xml:space="preserve"> </w:t>
            </w:r>
          </w:p>
        </w:tc>
        <w:tc>
          <w:tcPr>
            <w:tcW w:w="4417" w:type="dxa"/>
          </w:tcPr>
          <w:p w14:paraId="6E2E5461" w14:textId="77777777" w:rsidR="00CE6CB9" w:rsidRPr="00CC6B28" w:rsidRDefault="00CE6CB9" w:rsidP="00155654">
            <w:pPr>
              <w:spacing w:after="120"/>
              <w:jc w:val="both"/>
              <w:rPr>
                <w:rFonts w:ascii="Times New Roman" w:hAnsi="Times New Roman"/>
                <w:i/>
              </w:rPr>
            </w:pPr>
            <w:r w:rsidRPr="00CC6B28">
              <w:rPr>
                <w:rFonts w:ascii="Times New Roman" w:hAnsi="Times New Roman"/>
              </w:rPr>
              <w:t>Review the educational program by providing more comprehensive amount of information on the capital markets, the importance and benefits of investors and listed companies</w:t>
            </w:r>
          </w:p>
        </w:tc>
        <w:tc>
          <w:tcPr>
            <w:tcW w:w="2387" w:type="dxa"/>
          </w:tcPr>
          <w:p w14:paraId="02680786"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The public awareness of capital market opportunities in attracting financial resources and investment is enhanced</w:t>
            </w:r>
          </w:p>
        </w:tc>
        <w:tc>
          <w:tcPr>
            <w:tcW w:w="2410" w:type="dxa"/>
          </w:tcPr>
          <w:p w14:paraId="6BF563F0"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The public awareness of capital market opportunities in attracting financial resources and investment is enhanced</w:t>
            </w:r>
          </w:p>
        </w:tc>
        <w:tc>
          <w:tcPr>
            <w:tcW w:w="1275" w:type="dxa"/>
          </w:tcPr>
          <w:p w14:paraId="4007DA3D"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 xml:space="preserve">NASDAQ Riga </w:t>
            </w:r>
          </w:p>
        </w:tc>
        <w:tc>
          <w:tcPr>
            <w:tcW w:w="1701" w:type="dxa"/>
          </w:tcPr>
          <w:p w14:paraId="084C1DDF"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FKTK, IZM</w:t>
            </w:r>
          </w:p>
        </w:tc>
        <w:tc>
          <w:tcPr>
            <w:tcW w:w="1985" w:type="dxa"/>
          </w:tcPr>
          <w:p w14:paraId="6B22A0F7"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31.12.2019</w:t>
            </w:r>
          </w:p>
        </w:tc>
      </w:tr>
      <w:tr w:rsidR="00CE6CB9" w:rsidRPr="00CC6B28" w14:paraId="5AF96AB5" w14:textId="77777777" w:rsidTr="00155654">
        <w:tc>
          <w:tcPr>
            <w:tcW w:w="964" w:type="dxa"/>
          </w:tcPr>
          <w:p w14:paraId="77065A9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3.3.</w:t>
            </w:r>
            <w:r w:rsidRPr="00CC6B28">
              <w:rPr>
                <w:rFonts w:ascii="Times New Roman" w:eastAsia="Times New Roman" w:hAnsi="Times New Roman"/>
                <w:color w:val="000000"/>
                <w:lang w:eastAsia="lv-LV"/>
              </w:rPr>
              <w:t>2.</w:t>
            </w:r>
          </w:p>
        </w:tc>
        <w:tc>
          <w:tcPr>
            <w:tcW w:w="4417" w:type="dxa"/>
          </w:tcPr>
          <w:p w14:paraId="49CEC745" w14:textId="77777777" w:rsidR="00CE6CB9" w:rsidRPr="00CC6B28" w:rsidRDefault="00CE6CB9" w:rsidP="00155654">
            <w:pPr>
              <w:spacing w:after="120"/>
              <w:jc w:val="both"/>
              <w:rPr>
                <w:rFonts w:ascii="Times New Roman" w:hAnsi="Times New Roman"/>
              </w:rPr>
            </w:pPr>
            <w:r w:rsidRPr="00CC6B28">
              <w:rPr>
                <w:rFonts w:ascii="Times New Roman" w:hAnsi="Times New Roman"/>
              </w:rPr>
              <w:t>For the purposes of tax calculation and collection needs to introduce "an investment account" for individuals, which would allow to invest more actively and to facilitate investment-related tax administration to individuals</w:t>
            </w:r>
          </w:p>
        </w:tc>
        <w:tc>
          <w:tcPr>
            <w:tcW w:w="2387" w:type="dxa"/>
          </w:tcPr>
          <w:p w14:paraId="1CBF8FB0"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The awareness of private individuals is enhanced</w:t>
            </w:r>
          </w:p>
        </w:tc>
        <w:tc>
          <w:tcPr>
            <w:tcW w:w="2410" w:type="dxa"/>
          </w:tcPr>
          <w:p w14:paraId="7BF822CF"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lang w:eastAsia="lv-LV"/>
              </w:rPr>
              <w:t>More active involvement of individuals in the capital market</w:t>
            </w:r>
          </w:p>
        </w:tc>
        <w:tc>
          <w:tcPr>
            <w:tcW w:w="1275" w:type="dxa"/>
          </w:tcPr>
          <w:p w14:paraId="795C5129"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FM</w:t>
            </w:r>
          </w:p>
          <w:p w14:paraId="65A29CBC" w14:textId="77777777" w:rsidR="00CE6CB9" w:rsidRPr="00CC6B28" w:rsidRDefault="00CE6CB9" w:rsidP="00155654">
            <w:pPr>
              <w:spacing w:before="20" w:afterLines="20" w:after="48"/>
              <w:rPr>
                <w:rFonts w:ascii="Times New Roman" w:eastAsia="Times New Roman" w:hAnsi="Times New Roman"/>
                <w:lang w:eastAsia="lv-LV"/>
              </w:rPr>
            </w:pPr>
          </w:p>
        </w:tc>
        <w:tc>
          <w:tcPr>
            <w:tcW w:w="1701" w:type="dxa"/>
          </w:tcPr>
          <w:p w14:paraId="2A63C877"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color w:val="000000"/>
                <w:lang w:eastAsia="lv-LV"/>
              </w:rPr>
              <w:t xml:space="preserve">LKA, </w:t>
            </w:r>
          </w:p>
          <w:p w14:paraId="510E53D9"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 xml:space="preserve">NASDAQ Riga, </w:t>
            </w:r>
            <w:r w:rsidRPr="00CC6B28">
              <w:rPr>
                <w:rFonts w:ascii="Times New Roman" w:hAnsi="Times New Roman"/>
              </w:rPr>
              <w:t>LAFPA</w:t>
            </w:r>
          </w:p>
        </w:tc>
        <w:tc>
          <w:tcPr>
            <w:tcW w:w="1985" w:type="dxa"/>
          </w:tcPr>
          <w:p w14:paraId="2DB384C6"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333B23F5" w14:textId="77777777" w:rsidTr="00155654">
        <w:tc>
          <w:tcPr>
            <w:tcW w:w="964" w:type="dxa"/>
          </w:tcPr>
          <w:p w14:paraId="2D7F863C" w14:textId="77777777" w:rsidR="00CE6CB9" w:rsidRPr="00CC6B28" w:rsidRDefault="00CE6CB9" w:rsidP="00155654">
            <w:pPr>
              <w:rPr>
                <w:rFonts w:ascii="Times New Roman" w:eastAsia="Times New Roman" w:hAnsi="Times New Roman"/>
                <w:lang w:eastAsia="lv-LV"/>
              </w:rPr>
            </w:pPr>
            <w:r w:rsidRPr="00CC6B28">
              <w:rPr>
                <w:rFonts w:ascii="Times New Roman" w:eastAsia="Times New Roman" w:hAnsi="Times New Roman"/>
                <w:lang w:eastAsia="lv-LV"/>
              </w:rPr>
              <w:t xml:space="preserve">3.3.3. </w:t>
            </w:r>
          </w:p>
        </w:tc>
        <w:tc>
          <w:tcPr>
            <w:tcW w:w="4417" w:type="dxa"/>
          </w:tcPr>
          <w:p w14:paraId="104D7588" w14:textId="77777777" w:rsidR="00CE6CB9" w:rsidRPr="00CC6B28" w:rsidRDefault="00CE6CB9" w:rsidP="00155654">
            <w:pPr>
              <w:jc w:val="both"/>
              <w:rPr>
                <w:rFonts w:ascii="Times New Roman" w:hAnsi="Times New Roman"/>
              </w:rPr>
            </w:pPr>
            <w:r w:rsidRPr="00CC6B28">
              <w:rPr>
                <w:rFonts w:ascii="Times New Roman" w:hAnsi="Times New Roman"/>
              </w:rPr>
              <w:t>To assess the possibilities for review of the state funded pension regulations in order to encourage investment in the capital market, including for pension fund investment limits, the plan change frequency, manager fees</w:t>
            </w:r>
          </w:p>
        </w:tc>
        <w:tc>
          <w:tcPr>
            <w:tcW w:w="2387" w:type="dxa"/>
          </w:tcPr>
          <w:p w14:paraId="06A28BB2"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Review is prepared</w:t>
            </w:r>
          </w:p>
        </w:tc>
        <w:tc>
          <w:tcPr>
            <w:tcW w:w="2410" w:type="dxa"/>
          </w:tcPr>
          <w:p w14:paraId="24D5E25D"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More effective use of state-funded pension investment policy and ensuring pension plan participants interests </w:t>
            </w:r>
          </w:p>
        </w:tc>
        <w:tc>
          <w:tcPr>
            <w:tcW w:w="1275" w:type="dxa"/>
          </w:tcPr>
          <w:p w14:paraId="3C59D43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FM</w:t>
            </w:r>
          </w:p>
        </w:tc>
        <w:tc>
          <w:tcPr>
            <w:tcW w:w="1701" w:type="dxa"/>
          </w:tcPr>
          <w:p w14:paraId="5D2E1D70"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LM, FKTK, LKA, </w:t>
            </w:r>
            <w:r w:rsidRPr="00CC6B28">
              <w:rPr>
                <w:rFonts w:ascii="Times New Roman" w:hAnsi="Times New Roman"/>
              </w:rPr>
              <w:t>LPRKA</w:t>
            </w:r>
          </w:p>
        </w:tc>
        <w:tc>
          <w:tcPr>
            <w:tcW w:w="1985" w:type="dxa"/>
          </w:tcPr>
          <w:p w14:paraId="4D2C3006"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7A4326B9" w14:textId="77777777" w:rsidTr="00155654">
        <w:tc>
          <w:tcPr>
            <w:tcW w:w="964" w:type="dxa"/>
          </w:tcPr>
          <w:p w14:paraId="7EDF364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3.3.4.</w:t>
            </w:r>
          </w:p>
        </w:tc>
        <w:tc>
          <w:tcPr>
            <w:tcW w:w="4417" w:type="dxa"/>
          </w:tcPr>
          <w:p w14:paraId="54335967" w14:textId="77777777" w:rsidR="00CE6CB9" w:rsidRPr="000C7A01" w:rsidRDefault="00CE6CB9" w:rsidP="00155654">
            <w:pPr>
              <w:pStyle w:val="PlainText"/>
              <w:jc w:val="both"/>
              <w:rPr>
                <w:rFonts w:ascii="Times New Roman" w:hAnsi="Times New Roman"/>
                <w:szCs w:val="22"/>
              </w:rPr>
            </w:pPr>
            <w:r w:rsidRPr="000C7A01">
              <w:rPr>
                <w:rFonts w:ascii="Times New Roman" w:hAnsi="Times New Roman"/>
                <w:szCs w:val="22"/>
              </w:rPr>
              <w:t>Eliminate the existing barriers in regulations to introduce the electronic voting system</w:t>
            </w:r>
          </w:p>
        </w:tc>
        <w:tc>
          <w:tcPr>
            <w:tcW w:w="2387" w:type="dxa"/>
          </w:tcPr>
          <w:p w14:paraId="50F9A30D"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Proposals are prepared for improvement of regulations</w:t>
            </w:r>
          </w:p>
          <w:p w14:paraId="13F11360" w14:textId="77777777" w:rsidR="00CE6CB9" w:rsidRPr="00CC6B28" w:rsidRDefault="00CE6CB9" w:rsidP="00155654">
            <w:pPr>
              <w:spacing w:before="20" w:afterLines="20" w:after="48"/>
              <w:rPr>
                <w:rFonts w:ascii="Times New Roman" w:hAnsi="Times New Roman"/>
              </w:rPr>
            </w:pPr>
          </w:p>
        </w:tc>
        <w:tc>
          <w:tcPr>
            <w:tcW w:w="2410" w:type="dxa"/>
          </w:tcPr>
          <w:p w14:paraId="228101B3"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More active involvement of private investors in the capital market</w:t>
            </w:r>
          </w:p>
        </w:tc>
        <w:tc>
          <w:tcPr>
            <w:tcW w:w="1275" w:type="dxa"/>
          </w:tcPr>
          <w:p w14:paraId="4A2AEFDE"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FM</w:t>
            </w:r>
          </w:p>
        </w:tc>
        <w:tc>
          <w:tcPr>
            <w:tcW w:w="1701" w:type="dxa"/>
          </w:tcPr>
          <w:p w14:paraId="6C40E832" w14:textId="77777777" w:rsidR="00CE6CB9" w:rsidRPr="00CC6B28" w:rsidRDefault="00CE6CB9" w:rsidP="00155654">
            <w:pPr>
              <w:spacing w:before="20" w:afterLines="20" w:after="48"/>
              <w:rPr>
                <w:rFonts w:ascii="Times New Roman" w:hAnsi="Times New Roman"/>
              </w:rPr>
            </w:pPr>
            <w:r w:rsidRPr="00CC6B28">
              <w:rPr>
                <w:rFonts w:ascii="Times New Roman" w:eastAsia="Times New Roman" w:hAnsi="Times New Roman"/>
                <w:color w:val="000000"/>
                <w:lang w:eastAsia="lv-LV"/>
              </w:rPr>
              <w:t>NASDAQ Riga</w:t>
            </w:r>
          </w:p>
        </w:tc>
        <w:tc>
          <w:tcPr>
            <w:tcW w:w="1985" w:type="dxa"/>
          </w:tcPr>
          <w:p w14:paraId="1118AA1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31.12.2018</w:t>
            </w:r>
          </w:p>
        </w:tc>
      </w:tr>
    </w:tbl>
    <w:p w14:paraId="7D3181A3" w14:textId="77777777" w:rsidR="00CE6CB9" w:rsidRPr="00CC6B28" w:rsidRDefault="00CE6CB9" w:rsidP="00CE6CB9">
      <w:r w:rsidRPr="00CC6B28">
        <w:br w:type="page"/>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
        <w:gridCol w:w="964"/>
        <w:gridCol w:w="4252"/>
        <w:gridCol w:w="2552"/>
        <w:gridCol w:w="2410"/>
        <w:gridCol w:w="1275"/>
        <w:gridCol w:w="1701"/>
        <w:gridCol w:w="1985"/>
      </w:tblGrid>
      <w:tr w:rsidR="00CE6CB9" w:rsidRPr="00CC6B28" w14:paraId="1BDF498E" w14:textId="77777777" w:rsidTr="00155654">
        <w:trPr>
          <w:gridBefore w:val="1"/>
          <w:wBefore w:w="29" w:type="dxa"/>
        </w:trPr>
        <w:tc>
          <w:tcPr>
            <w:tcW w:w="15139" w:type="dxa"/>
            <w:gridSpan w:val="7"/>
            <w:shd w:val="clear" w:color="auto" w:fill="FFD966"/>
          </w:tcPr>
          <w:p w14:paraId="6F4742EC" w14:textId="77777777" w:rsidR="00CE6CB9" w:rsidRPr="00CC6B28" w:rsidRDefault="00CE6CB9" w:rsidP="00155654">
            <w:pPr>
              <w:ind w:right="828"/>
              <w:jc w:val="both"/>
              <w:rPr>
                <w:rFonts w:ascii="Times New Roman" w:eastAsia="Times New Roman" w:hAnsi="Times New Roman"/>
                <w:b/>
                <w:lang w:eastAsia="lv-LV"/>
              </w:rPr>
            </w:pPr>
            <w:r w:rsidRPr="00CC6B28">
              <w:rPr>
                <w:rFonts w:ascii="Times New Roman" w:hAnsi="Times New Roman"/>
                <w:b/>
                <w:u w:val="single"/>
              </w:rPr>
              <w:lastRenderedPageBreak/>
              <w:t>4. SECTORAL ACTION DIRECTION</w:t>
            </w:r>
            <w:r w:rsidRPr="00CC6B28">
              <w:rPr>
                <w:rFonts w:ascii="Times New Roman" w:hAnsi="Times New Roman"/>
                <w:b/>
              </w:rPr>
              <w:t xml:space="preserve">   Alternative financial services sector </w:t>
            </w:r>
          </w:p>
        </w:tc>
      </w:tr>
      <w:tr w:rsidR="00CE6CB9" w:rsidRPr="00CC6B28" w14:paraId="0E17B640" w14:textId="77777777" w:rsidTr="00155654">
        <w:trPr>
          <w:gridBefore w:val="1"/>
          <w:wBefore w:w="29" w:type="dxa"/>
        </w:trPr>
        <w:tc>
          <w:tcPr>
            <w:tcW w:w="15139" w:type="dxa"/>
            <w:gridSpan w:val="7"/>
            <w:shd w:val="clear" w:color="auto" w:fill="FFE599"/>
          </w:tcPr>
          <w:p w14:paraId="60157CC3" w14:textId="77777777" w:rsidR="00CE6CB9" w:rsidRPr="00CC6B28" w:rsidRDefault="00CE6CB9" w:rsidP="00155654">
            <w:pPr>
              <w:spacing w:before="20" w:afterLines="20" w:after="48"/>
              <w:rPr>
                <w:rFonts w:ascii="Times New Roman" w:hAnsi="Times New Roman"/>
                <w:b/>
                <w:u w:val="single"/>
              </w:rPr>
            </w:pPr>
            <w:r w:rsidRPr="00CC6B28">
              <w:rPr>
                <w:rFonts w:ascii="Times New Roman" w:hAnsi="Times New Roman"/>
                <w:b/>
                <w:u w:val="single"/>
              </w:rPr>
              <w:t>Attainable sub-goals:</w:t>
            </w:r>
          </w:p>
          <w:p w14:paraId="33603D2D"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b/>
              </w:rPr>
              <w:t>Ensuring the availability of funding, complementing financing opportunities provided by credit institutions, especially for small and medium-sized enterprises, in accordance with common Latvian economic development objectives by increasing the availability of financing for 5.25% of GDP over three years</w:t>
            </w:r>
          </w:p>
        </w:tc>
      </w:tr>
      <w:tr w:rsidR="00CE6CB9" w:rsidRPr="00CC6B28" w14:paraId="26B88304" w14:textId="77777777" w:rsidTr="00155654">
        <w:trPr>
          <w:gridBefore w:val="1"/>
          <w:wBefore w:w="29" w:type="dxa"/>
        </w:trPr>
        <w:tc>
          <w:tcPr>
            <w:tcW w:w="15139" w:type="dxa"/>
            <w:gridSpan w:val="7"/>
            <w:shd w:val="clear" w:color="auto" w:fill="FFE599"/>
          </w:tcPr>
          <w:p w14:paraId="3EB772FE" w14:textId="77777777" w:rsidR="00CE6CB9" w:rsidRPr="00CC6B28" w:rsidRDefault="00CE6CB9" w:rsidP="00155654">
            <w:pPr>
              <w:spacing w:before="20" w:afterLines="20" w:after="48"/>
              <w:rPr>
                <w:rFonts w:ascii="Times New Roman" w:eastAsia="Times New Roman" w:hAnsi="Times New Roman"/>
                <w:b/>
                <w:u w:val="single"/>
                <w:lang w:eastAsia="lv-LV"/>
              </w:rPr>
            </w:pPr>
            <w:r w:rsidRPr="00CC6B28">
              <w:rPr>
                <w:rFonts w:ascii="Times New Roman" w:eastAsia="Times New Roman" w:hAnsi="Times New Roman"/>
                <w:b/>
                <w:u w:val="single"/>
                <w:lang w:eastAsia="lv-LV"/>
              </w:rPr>
              <w:t>Eligible outcomes:</w:t>
            </w:r>
          </w:p>
          <w:p w14:paraId="1EC34787" w14:textId="77777777" w:rsidR="00CE6CB9" w:rsidRPr="00CC6B28" w:rsidRDefault="00CE6CB9" w:rsidP="00155654">
            <w:pPr>
              <w:spacing w:before="20" w:afterLines="20" w:after="48"/>
              <w:rPr>
                <w:rFonts w:ascii="Times New Roman" w:eastAsia="Times New Roman" w:hAnsi="Times New Roman"/>
                <w:b/>
                <w:lang w:eastAsia="lv-LV"/>
              </w:rPr>
            </w:pPr>
            <w:r w:rsidRPr="00CC6B28">
              <w:rPr>
                <w:rFonts w:ascii="Times New Roman" w:eastAsia="Times New Roman" w:hAnsi="Times New Roman"/>
                <w:b/>
                <w:lang w:eastAsia="lv-LV"/>
              </w:rPr>
              <w:t>Adoption of collective financing platform of regulation;</w:t>
            </w:r>
          </w:p>
          <w:p w14:paraId="449BC3EF" w14:textId="77777777" w:rsidR="00CE6CB9" w:rsidRPr="00CC6B28" w:rsidRDefault="00CE6CB9" w:rsidP="00155654">
            <w:pPr>
              <w:spacing w:before="20" w:afterLines="20" w:after="48"/>
              <w:rPr>
                <w:rFonts w:ascii="Times New Roman" w:hAnsi="Times New Roman"/>
                <w:b/>
              </w:rPr>
            </w:pPr>
            <w:r w:rsidRPr="00CC6B28">
              <w:rPr>
                <w:rFonts w:ascii="Times New Roman" w:eastAsia="Times New Roman" w:hAnsi="Times New Roman"/>
                <w:b/>
                <w:lang w:eastAsia="lv-LV"/>
              </w:rPr>
              <w:t>Development of innovative financial services and risk management.</w:t>
            </w:r>
          </w:p>
        </w:tc>
      </w:tr>
      <w:tr w:rsidR="00CE6CB9" w:rsidRPr="00CC6B28" w14:paraId="5474F53D" w14:textId="77777777" w:rsidTr="00155654">
        <w:trPr>
          <w:gridBefore w:val="1"/>
          <w:wBefore w:w="29" w:type="dxa"/>
        </w:trPr>
        <w:tc>
          <w:tcPr>
            <w:tcW w:w="964" w:type="dxa"/>
          </w:tcPr>
          <w:p w14:paraId="0F86E61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4.1.</w:t>
            </w:r>
          </w:p>
        </w:tc>
        <w:tc>
          <w:tcPr>
            <w:tcW w:w="4252" w:type="dxa"/>
          </w:tcPr>
          <w:p w14:paraId="45364F62"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Review of legal acts on Credit unions, review specific requirements for operation of credit unions, which are currently included in the Cooperative Societies Act, and incorporating those in Law on Credit Unions </w:t>
            </w:r>
          </w:p>
          <w:p w14:paraId="4F903792" w14:textId="77777777" w:rsidR="00CE6CB9" w:rsidRPr="00CC6B28" w:rsidRDefault="00CE6CB9" w:rsidP="00155654">
            <w:pPr>
              <w:spacing w:before="20" w:afterLines="20" w:after="48"/>
              <w:jc w:val="both"/>
              <w:rPr>
                <w:rFonts w:ascii="Times New Roman" w:hAnsi="Times New Roman"/>
              </w:rPr>
            </w:pPr>
          </w:p>
        </w:tc>
        <w:tc>
          <w:tcPr>
            <w:tcW w:w="2552" w:type="dxa"/>
          </w:tcPr>
          <w:p w14:paraId="6AB0B520" w14:textId="77777777" w:rsidR="00CE6CB9" w:rsidRPr="00CC6B28" w:rsidRDefault="00CE6CB9" w:rsidP="00155654">
            <w:pPr>
              <w:spacing w:before="20" w:afterLines="20" w:after="48"/>
              <w:rPr>
                <w:rFonts w:ascii="Times New Roman" w:hAnsi="Times New Roman"/>
              </w:rPr>
            </w:pPr>
            <w:r w:rsidRPr="00CC6B28">
              <w:rPr>
                <w:rFonts w:ascii="Times New Roman" w:eastAsia="Times New Roman" w:hAnsi="Times New Roman"/>
                <w:lang w:eastAsia="lv-LV"/>
              </w:rPr>
              <w:t>Evaluation is prepared</w:t>
            </w:r>
          </w:p>
        </w:tc>
        <w:tc>
          <w:tcPr>
            <w:tcW w:w="2410" w:type="dxa"/>
          </w:tcPr>
          <w:p w14:paraId="18218BB5" w14:textId="77777777" w:rsidR="00CE6CB9" w:rsidRPr="00CC6B28" w:rsidRDefault="00CE6CB9" w:rsidP="00155654">
            <w:pPr>
              <w:spacing w:before="20" w:afterLines="20" w:after="48"/>
              <w:rPr>
                <w:rFonts w:ascii="Times New Roman" w:hAnsi="Times New Roman"/>
              </w:rPr>
            </w:pPr>
            <w:r w:rsidRPr="00CC6B28">
              <w:rPr>
                <w:rFonts w:ascii="Times New Roman" w:eastAsia="Times New Roman" w:hAnsi="Times New Roman"/>
                <w:lang w:eastAsia="lv-LV"/>
              </w:rPr>
              <w:t>Revised credit unions operating framework, which provides specific terms for the operation of credit unions, and is now included in the Cooperative Societies Law</w:t>
            </w:r>
          </w:p>
        </w:tc>
        <w:tc>
          <w:tcPr>
            <w:tcW w:w="1275" w:type="dxa"/>
          </w:tcPr>
          <w:p w14:paraId="59F954A0"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FM</w:t>
            </w:r>
          </w:p>
        </w:tc>
        <w:tc>
          <w:tcPr>
            <w:tcW w:w="1701" w:type="dxa"/>
          </w:tcPr>
          <w:p w14:paraId="4D306EF7"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FKTK, KAA, LKKSS</w:t>
            </w:r>
          </w:p>
        </w:tc>
        <w:tc>
          <w:tcPr>
            <w:tcW w:w="1985" w:type="dxa"/>
          </w:tcPr>
          <w:p w14:paraId="561DE8B3"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31.12.2017</w:t>
            </w:r>
          </w:p>
        </w:tc>
      </w:tr>
      <w:tr w:rsidR="00CE6CB9" w:rsidRPr="00CC6B28" w14:paraId="4D219AD0" w14:textId="77777777" w:rsidTr="00155654">
        <w:trPr>
          <w:gridBefore w:val="1"/>
          <w:wBefore w:w="29" w:type="dxa"/>
        </w:trPr>
        <w:tc>
          <w:tcPr>
            <w:tcW w:w="964" w:type="dxa"/>
          </w:tcPr>
          <w:p w14:paraId="25F119AD"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4.2.</w:t>
            </w:r>
          </w:p>
        </w:tc>
        <w:tc>
          <w:tcPr>
            <w:tcW w:w="4252" w:type="dxa"/>
          </w:tcPr>
          <w:p w14:paraId="2D72C6A2"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Explore ways to develop opportunities for credit unions to lend to legal persons</w:t>
            </w:r>
          </w:p>
          <w:p w14:paraId="273B04F4" w14:textId="77777777" w:rsidR="00CE6CB9" w:rsidRPr="00CC6B28" w:rsidRDefault="00CE6CB9" w:rsidP="00155654">
            <w:pPr>
              <w:spacing w:before="20" w:afterLines="20" w:after="48"/>
              <w:jc w:val="both"/>
              <w:rPr>
                <w:rFonts w:ascii="Times New Roman" w:hAnsi="Times New Roman"/>
              </w:rPr>
            </w:pPr>
          </w:p>
        </w:tc>
        <w:tc>
          <w:tcPr>
            <w:tcW w:w="2552" w:type="dxa"/>
          </w:tcPr>
          <w:p w14:paraId="1E39BEC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Evaluation and proposal for legal act is prepared</w:t>
            </w:r>
          </w:p>
          <w:p w14:paraId="2858FD10" w14:textId="77777777" w:rsidR="00CE6CB9" w:rsidRPr="00CC6B28" w:rsidRDefault="00CE6CB9" w:rsidP="00155654">
            <w:pPr>
              <w:spacing w:before="20" w:afterLines="20" w:after="48"/>
              <w:rPr>
                <w:rFonts w:ascii="Times New Roman" w:hAnsi="Times New Roman"/>
              </w:rPr>
            </w:pPr>
          </w:p>
        </w:tc>
        <w:tc>
          <w:tcPr>
            <w:tcW w:w="2410" w:type="dxa"/>
          </w:tcPr>
          <w:p w14:paraId="78F112B2"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A review is  prepared of the optimal solution for credit unions lending to legal persons</w:t>
            </w:r>
          </w:p>
        </w:tc>
        <w:tc>
          <w:tcPr>
            <w:tcW w:w="1275" w:type="dxa"/>
          </w:tcPr>
          <w:p w14:paraId="5367263B"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FM</w:t>
            </w:r>
          </w:p>
        </w:tc>
        <w:tc>
          <w:tcPr>
            <w:tcW w:w="1701" w:type="dxa"/>
          </w:tcPr>
          <w:p w14:paraId="3732911B"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FKTK, KAA, LKKSS</w:t>
            </w:r>
          </w:p>
        </w:tc>
        <w:tc>
          <w:tcPr>
            <w:tcW w:w="1985" w:type="dxa"/>
          </w:tcPr>
          <w:p w14:paraId="29F59353"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30.10.2017</w:t>
            </w:r>
          </w:p>
        </w:tc>
      </w:tr>
      <w:tr w:rsidR="00CE6CB9" w:rsidRPr="00CC6B28" w14:paraId="5086C475" w14:textId="77777777" w:rsidTr="00155654">
        <w:trPr>
          <w:gridBefore w:val="1"/>
          <w:wBefore w:w="29" w:type="dxa"/>
        </w:trPr>
        <w:tc>
          <w:tcPr>
            <w:tcW w:w="964" w:type="dxa"/>
          </w:tcPr>
          <w:p w14:paraId="1D3CF83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4.3.</w:t>
            </w:r>
          </w:p>
        </w:tc>
        <w:tc>
          <w:tcPr>
            <w:tcW w:w="4252" w:type="dxa"/>
          </w:tcPr>
          <w:p w14:paraId="470B9AAB" w14:textId="77777777" w:rsidR="00CE6CB9" w:rsidRPr="00CC6B28" w:rsidRDefault="00CE6CB9" w:rsidP="00155654">
            <w:pPr>
              <w:ind w:left="-19"/>
              <w:jc w:val="both"/>
              <w:rPr>
                <w:rFonts w:ascii="Times New Roman" w:hAnsi="Times New Roman"/>
              </w:rPr>
            </w:pPr>
            <w:r w:rsidRPr="00CC6B28">
              <w:rPr>
                <w:rFonts w:ascii="Times New Roman" w:hAnsi="Times New Roman"/>
              </w:rPr>
              <w:t>To evaluate the second level credit union operation</w:t>
            </w:r>
          </w:p>
        </w:tc>
        <w:tc>
          <w:tcPr>
            <w:tcW w:w="2552" w:type="dxa"/>
          </w:tcPr>
          <w:p w14:paraId="2339648B"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 xml:space="preserve">Evaluation is prepared on the second level credit union operating model implementation </w:t>
            </w:r>
          </w:p>
        </w:tc>
        <w:tc>
          <w:tcPr>
            <w:tcW w:w="2410" w:type="dxa"/>
          </w:tcPr>
          <w:p w14:paraId="6BD2FAD7"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Evaluation is prepared on the second level credit union operation</w:t>
            </w:r>
          </w:p>
          <w:p w14:paraId="17EDFBD9" w14:textId="77777777" w:rsidR="00CE6CB9" w:rsidRPr="00CC6B28" w:rsidRDefault="00CE6CB9" w:rsidP="00155654">
            <w:pPr>
              <w:spacing w:before="20" w:afterLines="20" w:after="48"/>
              <w:rPr>
                <w:rFonts w:ascii="Times New Roman" w:hAnsi="Times New Roman"/>
              </w:rPr>
            </w:pPr>
          </w:p>
        </w:tc>
        <w:tc>
          <w:tcPr>
            <w:tcW w:w="1275" w:type="dxa"/>
          </w:tcPr>
          <w:p w14:paraId="1FE3837C"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FM</w:t>
            </w:r>
          </w:p>
        </w:tc>
        <w:tc>
          <w:tcPr>
            <w:tcW w:w="1701" w:type="dxa"/>
          </w:tcPr>
          <w:p w14:paraId="7637E2B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FKTK, </w:t>
            </w:r>
            <w:r w:rsidRPr="00CC6B28">
              <w:rPr>
                <w:rFonts w:ascii="Times New Roman" w:hAnsi="Times New Roman"/>
              </w:rPr>
              <w:t>KAA, LKKSS</w:t>
            </w:r>
          </w:p>
        </w:tc>
        <w:tc>
          <w:tcPr>
            <w:tcW w:w="1985" w:type="dxa"/>
          </w:tcPr>
          <w:p w14:paraId="590283CA"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30.10.2017</w:t>
            </w:r>
          </w:p>
        </w:tc>
      </w:tr>
      <w:tr w:rsidR="00CE6CB9" w:rsidRPr="00CC6B28" w14:paraId="0A5FF59A" w14:textId="77777777" w:rsidTr="00155654">
        <w:trPr>
          <w:gridBefore w:val="1"/>
          <w:wBefore w:w="29" w:type="dxa"/>
        </w:trPr>
        <w:tc>
          <w:tcPr>
            <w:tcW w:w="964" w:type="dxa"/>
          </w:tcPr>
          <w:p w14:paraId="5D2BA1C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4.4.</w:t>
            </w:r>
          </w:p>
        </w:tc>
        <w:tc>
          <w:tcPr>
            <w:tcW w:w="4252" w:type="dxa"/>
          </w:tcPr>
          <w:p w14:paraId="6DEB4BDA"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Legal acts on Crowdfunding lending platform submitted for approval to the Cabinet of Ministers and Parliament</w:t>
            </w:r>
          </w:p>
          <w:p w14:paraId="76C9D93C" w14:textId="77777777" w:rsidR="00CE6CB9" w:rsidRPr="00CC6B28" w:rsidRDefault="00CE6CB9" w:rsidP="00155654">
            <w:pPr>
              <w:spacing w:before="20" w:afterLines="20" w:after="48"/>
              <w:jc w:val="both"/>
              <w:rPr>
                <w:rFonts w:ascii="Times New Roman" w:hAnsi="Times New Roman"/>
              </w:rPr>
            </w:pPr>
          </w:p>
        </w:tc>
        <w:tc>
          <w:tcPr>
            <w:tcW w:w="2552" w:type="dxa"/>
          </w:tcPr>
          <w:p w14:paraId="389FDA7E"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 xml:space="preserve">Draft Law on Crowdfunding lending platform is submitted to the Cabinet of Ministers </w:t>
            </w:r>
          </w:p>
        </w:tc>
        <w:tc>
          <w:tcPr>
            <w:tcW w:w="2410" w:type="dxa"/>
          </w:tcPr>
          <w:p w14:paraId="678DEBD0"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Draft Law on Crowdfunding lending platform is prepared</w:t>
            </w:r>
          </w:p>
          <w:p w14:paraId="4A9C74CF" w14:textId="77777777" w:rsidR="00CE6CB9" w:rsidRPr="00CC6B28" w:rsidRDefault="00CE6CB9" w:rsidP="00155654">
            <w:pPr>
              <w:spacing w:before="20" w:afterLines="20" w:after="48"/>
              <w:jc w:val="both"/>
              <w:rPr>
                <w:rFonts w:ascii="Times New Roman" w:eastAsia="Times New Roman" w:hAnsi="Times New Roman"/>
                <w:lang w:eastAsia="lv-LV"/>
              </w:rPr>
            </w:pPr>
          </w:p>
        </w:tc>
        <w:tc>
          <w:tcPr>
            <w:tcW w:w="1275" w:type="dxa"/>
          </w:tcPr>
          <w:p w14:paraId="6F3A18C4"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FM</w:t>
            </w:r>
          </w:p>
        </w:tc>
        <w:tc>
          <w:tcPr>
            <w:tcW w:w="1701" w:type="dxa"/>
          </w:tcPr>
          <w:p w14:paraId="22D502CD"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FKTK, PTAC, LB, LAFPA</w:t>
            </w:r>
          </w:p>
        </w:tc>
        <w:tc>
          <w:tcPr>
            <w:tcW w:w="1985" w:type="dxa"/>
          </w:tcPr>
          <w:p w14:paraId="60D94604"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30.10.2017</w:t>
            </w:r>
          </w:p>
        </w:tc>
      </w:tr>
      <w:tr w:rsidR="00CE6CB9" w:rsidRPr="00CC6B28" w14:paraId="01B41C44" w14:textId="77777777" w:rsidTr="00155654">
        <w:trPr>
          <w:gridBefore w:val="1"/>
          <w:wBefore w:w="29" w:type="dxa"/>
        </w:trPr>
        <w:tc>
          <w:tcPr>
            <w:tcW w:w="964" w:type="dxa"/>
          </w:tcPr>
          <w:p w14:paraId="1E5DC8DF" w14:textId="77777777" w:rsidR="00CE6CB9" w:rsidRPr="00CC6B28" w:rsidRDefault="00CE6CB9" w:rsidP="00155654">
            <w:pPr>
              <w:rPr>
                <w:rFonts w:ascii="Times New Roman" w:eastAsia="Times New Roman" w:hAnsi="Times New Roman"/>
                <w:lang w:eastAsia="lv-LV"/>
              </w:rPr>
            </w:pPr>
            <w:r w:rsidRPr="00CC6B28">
              <w:rPr>
                <w:rFonts w:ascii="Times New Roman" w:eastAsia="Times New Roman" w:hAnsi="Times New Roman"/>
                <w:lang w:eastAsia="lv-LV"/>
              </w:rPr>
              <w:t>4.5.</w:t>
            </w:r>
          </w:p>
        </w:tc>
        <w:tc>
          <w:tcPr>
            <w:tcW w:w="4252" w:type="dxa"/>
          </w:tcPr>
          <w:p w14:paraId="0EEFE822"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Legal acts on Crowdfunding investment platform submitted for approval to the Cabinet of Ministers and Parliament</w:t>
            </w:r>
          </w:p>
          <w:p w14:paraId="24A92104" w14:textId="77777777" w:rsidR="00CE6CB9" w:rsidRPr="00CC6B28" w:rsidRDefault="00CE6CB9" w:rsidP="00155654">
            <w:pPr>
              <w:spacing w:before="20" w:afterLines="20" w:after="48"/>
              <w:jc w:val="both"/>
              <w:rPr>
                <w:rFonts w:ascii="Times New Roman" w:hAnsi="Times New Roman"/>
              </w:rPr>
            </w:pPr>
          </w:p>
        </w:tc>
        <w:tc>
          <w:tcPr>
            <w:tcW w:w="2552" w:type="dxa"/>
          </w:tcPr>
          <w:p w14:paraId="076466EE"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Draft Law on Crowdfunding investment platform is submitted to the Cabinet of Ministers</w:t>
            </w:r>
          </w:p>
          <w:p w14:paraId="31CD6F16" w14:textId="77777777" w:rsidR="00CE6CB9" w:rsidRPr="00CC6B28" w:rsidRDefault="00CE6CB9" w:rsidP="00155654">
            <w:pPr>
              <w:spacing w:before="20" w:afterLines="20" w:after="48"/>
              <w:jc w:val="both"/>
              <w:rPr>
                <w:rFonts w:ascii="Times New Roman" w:eastAsia="Times New Roman" w:hAnsi="Times New Roman"/>
                <w:lang w:eastAsia="lv-LV"/>
              </w:rPr>
            </w:pPr>
          </w:p>
        </w:tc>
        <w:tc>
          <w:tcPr>
            <w:tcW w:w="2410" w:type="dxa"/>
          </w:tcPr>
          <w:p w14:paraId="312B626E"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Draft Law on Crowdfunding investment platform is prepared</w:t>
            </w:r>
          </w:p>
        </w:tc>
        <w:tc>
          <w:tcPr>
            <w:tcW w:w="1275" w:type="dxa"/>
          </w:tcPr>
          <w:p w14:paraId="686BDBB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hAnsi="Times New Roman"/>
              </w:rPr>
              <w:t>FM</w:t>
            </w:r>
          </w:p>
        </w:tc>
        <w:tc>
          <w:tcPr>
            <w:tcW w:w="1701" w:type="dxa"/>
          </w:tcPr>
          <w:p w14:paraId="0CD8FFCF"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FKTK, LAFPA</w:t>
            </w:r>
          </w:p>
        </w:tc>
        <w:tc>
          <w:tcPr>
            <w:tcW w:w="1985" w:type="dxa"/>
          </w:tcPr>
          <w:p w14:paraId="7BDA5321"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01.07.2017</w:t>
            </w:r>
          </w:p>
        </w:tc>
      </w:tr>
      <w:tr w:rsidR="00CE6CB9" w:rsidRPr="00CC6B28" w14:paraId="280C888A" w14:textId="77777777" w:rsidTr="00155654">
        <w:trPr>
          <w:gridBefore w:val="1"/>
          <w:wBefore w:w="29" w:type="dxa"/>
        </w:trPr>
        <w:tc>
          <w:tcPr>
            <w:tcW w:w="964" w:type="dxa"/>
          </w:tcPr>
          <w:p w14:paraId="75AD192B" w14:textId="77777777" w:rsidR="00CE6CB9" w:rsidRPr="00CC6B28" w:rsidRDefault="00CE6CB9" w:rsidP="00155654">
            <w:pPr>
              <w:rPr>
                <w:rFonts w:ascii="Times New Roman" w:eastAsia="Times New Roman" w:hAnsi="Times New Roman"/>
                <w:lang w:eastAsia="lv-LV"/>
              </w:rPr>
            </w:pPr>
            <w:r w:rsidRPr="00CC6B28">
              <w:rPr>
                <w:rFonts w:ascii="Times New Roman" w:eastAsia="Times New Roman" w:hAnsi="Times New Roman"/>
                <w:lang w:eastAsia="lv-LV"/>
              </w:rPr>
              <w:t>4.6.</w:t>
            </w:r>
          </w:p>
        </w:tc>
        <w:tc>
          <w:tcPr>
            <w:tcW w:w="4252" w:type="dxa"/>
          </w:tcPr>
          <w:p w14:paraId="0CAB76DF"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According to the European Parliament and Council Directive Nr.2014 / 17 / EU on consumer credit agreements relating to residential immovable property and amending Directive 2008/48 / EC and 2013/36 / EU and Regulation (EU) No. 1093/2010 to establish a regulatory framework for credit intermediaries that offer loans whose repayments secured by a mortgage on immovable property or whose purpose is to acquire or retain rights to immovable property and ensure its implementation and annual monitoring</w:t>
            </w:r>
          </w:p>
        </w:tc>
        <w:tc>
          <w:tcPr>
            <w:tcW w:w="2552" w:type="dxa"/>
          </w:tcPr>
          <w:p w14:paraId="28FBF0F3"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Draft Legal Act is submitted to the Cabinet of Ministers</w:t>
            </w:r>
          </w:p>
          <w:p w14:paraId="64576CFF" w14:textId="77777777" w:rsidR="00CE6CB9" w:rsidRPr="00CC6B28" w:rsidRDefault="00CE6CB9" w:rsidP="00155654">
            <w:pPr>
              <w:spacing w:before="20" w:afterLines="20" w:after="48"/>
              <w:jc w:val="both"/>
              <w:rPr>
                <w:rFonts w:ascii="Times New Roman" w:eastAsia="Times New Roman" w:hAnsi="Times New Roman"/>
                <w:lang w:eastAsia="lv-LV"/>
              </w:rPr>
            </w:pPr>
          </w:p>
        </w:tc>
        <w:tc>
          <w:tcPr>
            <w:tcW w:w="2410" w:type="dxa"/>
          </w:tcPr>
          <w:p w14:paraId="08FD60DC"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A regulatory framework is established for credit intermediaries that offer loans whose repayments secured by a mortgage on immovable property or whose purpose is to acquire or retain rights to real estate</w:t>
            </w:r>
          </w:p>
        </w:tc>
        <w:tc>
          <w:tcPr>
            <w:tcW w:w="1275" w:type="dxa"/>
          </w:tcPr>
          <w:p w14:paraId="7B7992D0"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EM</w:t>
            </w:r>
          </w:p>
        </w:tc>
        <w:tc>
          <w:tcPr>
            <w:tcW w:w="1701" w:type="dxa"/>
          </w:tcPr>
          <w:p w14:paraId="02022CED"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PTAC, FKTK, LAFPA</w:t>
            </w:r>
          </w:p>
        </w:tc>
        <w:tc>
          <w:tcPr>
            <w:tcW w:w="1985" w:type="dxa"/>
          </w:tcPr>
          <w:p w14:paraId="28824136"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01.07.2017</w:t>
            </w:r>
          </w:p>
        </w:tc>
      </w:tr>
      <w:tr w:rsidR="00CE6CB9" w:rsidRPr="00CC6B28" w14:paraId="66F1895E" w14:textId="77777777" w:rsidTr="00155654">
        <w:trPr>
          <w:gridBefore w:val="1"/>
          <w:wBefore w:w="29" w:type="dxa"/>
        </w:trPr>
        <w:tc>
          <w:tcPr>
            <w:tcW w:w="964" w:type="dxa"/>
          </w:tcPr>
          <w:p w14:paraId="03DEF166" w14:textId="77777777" w:rsidR="00CE6CB9" w:rsidRPr="00CC6B28" w:rsidRDefault="00CE6CB9" w:rsidP="00155654">
            <w:pPr>
              <w:rPr>
                <w:rFonts w:ascii="Times New Roman" w:eastAsia="Times New Roman" w:hAnsi="Times New Roman"/>
                <w:lang w:eastAsia="lv-LV"/>
              </w:rPr>
            </w:pPr>
            <w:r w:rsidRPr="00CC6B28">
              <w:rPr>
                <w:rFonts w:ascii="Times New Roman" w:eastAsia="Times New Roman" w:hAnsi="Times New Roman"/>
                <w:lang w:eastAsia="lv-LV"/>
              </w:rPr>
              <w:lastRenderedPageBreak/>
              <w:t xml:space="preserve">4.7. </w:t>
            </w:r>
          </w:p>
        </w:tc>
        <w:tc>
          <w:tcPr>
            <w:tcW w:w="4252" w:type="dxa"/>
          </w:tcPr>
          <w:p w14:paraId="1ADF92AD" w14:textId="77777777" w:rsidR="00CE6CB9" w:rsidRPr="00CC6B28" w:rsidRDefault="00CE6CB9" w:rsidP="00155654">
            <w:pPr>
              <w:spacing w:before="20" w:afterLines="20" w:after="48"/>
              <w:jc w:val="both"/>
              <w:rPr>
                <w:rFonts w:ascii="Times New Roman" w:hAnsi="Times New Roman"/>
              </w:rPr>
            </w:pPr>
            <w:r w:rsidRPr="00CC6B28">
              <w:rPr>
                <w:rFonts w:ascii="Times New Roman" w:eastAsia="Times New Roman" w:hAnsi="Times New Roman"/>
                <w:lang w:eastAsia="lv-LV"/>
              </w:rPr>
              <w:t xml:space="preserve">Oversight of knowledge and expertise requirements for the lender and credit intermediaries that offer loans whose repayments secured by a mortgage on immovable property or whose purpose is to acquire or retain rights to real estate personnel </w:t>
            </w:r>
          </w:p>
        </w:tc>
        <w:tc>
          <w:tcPr>
            <w:tcW w:w="2552" w:type="dxa"/>
          </w:tcPr>
          <w:p w14:paraId="0E0AA84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Oversight of knowledge and expertise requirements is provided</w:t>
            </w:r>
          </w:p>
        </w:tc>
        <w:tc>
          <w:tcPr>
            <w:tcW w:w="2410" w:type="dxa"/>
          </w:tcPr>
          <w:p w14:paraId="49E7675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Knowledge and expertise requirements are increased for lenders and credit intermediaries </w:t>
            </w:r>
          </w:p>
        </w:tc>
        <w:tc>
          <w:tcPr>
            <w:tcW w:w="1275" w:type="dxa"/>
          </w:tcPr>
          <w:p w14:paraId="4D7363F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hAnsi="Times New Roman"/>
              </w:rPr>
              <w:t>PTAC</w:t>
            </w:r>
          </w:p>
        </w:tc>
        <w:tc>
          <w:tcPr>
            <w:tcW w:w="1701" w:type="dxa"/>
          </w:tcPr>
          <w:p w14:paraId="5ECFF1BF"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hAnsi="Times New Roman"/>
              </w:rPr>
              <w:t>FKTK, LAFPA, LKA</w:t>
            </w:r>
          </w:p>
        </w:tc>
        <w:tc>
          <w:tcPr>
            <w:tcW w:w="1985" w:type="dxa"/>
          </w:tcPr>
          <w:p w14:paraId="6A7A0A7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Annually from 2017 to 2019</w:t>
            </w:r>
          </w:p>
        </w:tc>
      </w:tr>
      <w:tr w:rsidR="00CE6CB9" w:rsidRPr="00CC6B28" w14:paraId="374005CD" w14:textId="77777777" w:rsidTr="00155654">
        <w:trPr>
          <w:gridBefore w:val="1"/>
          <w:wBefore w:w="29" w:type="dxa"/>
        </w:trPr>
        <w:tc>
          <w:tcPr>
            <w:tcW w:w="964" w:type="dxa"/>
          </w:tcPr>
          <w:p w14:paraId="5B2FD62E"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4.8.</w:t>
            </w:r>
          </w:p>
          <w:p w14:paraId="5538864A" w14:textId="77777777" w:rsidR="00CE6CB9" w:rsidRPr="00CC6B28" w:rsidRDefault="00CE6CB9" w:rsidP="00155654">
            <w:pPr>
              <w:spacing w:before="20" w:afterLines="20" w:after="48"/>
              <w:rPr>
                <w:rFonts w:ascii="Times New Roman" w:eastAsia="Times New Roman" w:hAnsi="Times New Roman"/>
                <w:lang w:eastAsia="lv-LV"/>
              </w:rPr>
            </w:pPr>
          </w:p>
        </w:tc>
        <w:tc>
          <w:tcPr>
            <w:tcW w:w="4252" w:type="dxa"/>
          </w:tcPr>
          <w:p w14:paraId="7484AE14"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Digital passport / ID design and ready-made solutions to extend the capabilities of the payment service recipients simplified identification process. Measure implemented in accordance with the approved 1.2.1. measure for comprehensive policy planning documents of anti-money laundering and financing terrorism</w:t>
            </w:r>
          </w:p>
        </w:tc>
        <w:tc>
          <w:tcPr>
            <w:tcW w:w="2552" w:type="dxa"/>
          </w:tcPr>
          <w:p w14:paraId="2117365F"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Evaluation is prepared</w:t>
            </w:r>
          </w:p>
        </w:tc>
        <w:tc>
          <w:tcPr>
            <w:tcW w:w="2410" w:type="dxa"/>
          </w:tcPr>
          <w:p w14:paraId="128D8CC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The approach is identified to make changes in the regulatory framework related to the simplified payment service beneficiary identification process</w:t>
            </w:r>
          </w:p>
          <w:p w14:paraId="5B5EF6A6" w14:textId="77777777" w:rsidR="00CE6CB9" w:rsidRPr="00CC6B28" w:rsidRDefault="00CE6CB9" w:rsidP="00155654">
            <w:pPr>
              <w:spacing w:before="20" w:afterLines="20" w:after="48"/>
              <w:rPr>
                <w:rFonts w:ascii="Times New Roman" w:eastAsia="Times New Roman" w:hAnsi="Times New Roman"/>
                <w:lang w:eastAsia="lv-LV"/>
              </w:rPr>
            </w:pPr>
          </w:p>
        </w:tc>
        <w:tc>
          <w:tcPr>
            <w:tcW w:w="1275" w:type="dxa"/>
          </w:tcPr>
          <w:p w14:paraId="65293344"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color w:val="000000"/>
                <w:lang w:eastAsia="lv-LV"/>
              </w:rPr>
              <w:t>FKTK</w:t>
            </w:r>
          </w:p>
        </w:tc>
        <w:tc>
          <w:tcPr>
            <w:tcW w:w="1701" w:type="dxa"/>
          </w:tcPr>
          <w:p w14:paraId="78A0A64B"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color w:val="000000"/>
                <w:lang w:eastAsia="lv-LV"/>
              </w:rPr>
              <w:t>LKA, LMENA, VARAM</w:t>
            </w:r>
          </w:p>
        </w:tc>
        <w:tc>
          <w:tcPr>
            <w:tcW w:w="1985" w:type="dxa"/>
          </w:tcPr>
          <w:p w14:paraId="46188F58"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01.01.2018</w:t>
            </w:r>
          </w:p>
        </w:tc>
      </w:tr>
      <w:tr w:rsidR="00CE6CB9" w:rsidRPr="00CC6B28" w14:paraId="0B3D2735" w14:textId="77777777" w:rsidTr="00155654">
        <w:trPr>
          <w:gridBefore w:val="1"/>
          <w:wBefore w:w="29" w:type="dxa"/>
        </w:trPr>
        <w:tc>
          <w:tcPr>
            <w:tcW w:w="964" w:type="dxa"/>
          </w:tcPr>
          <w:p w14:paraId="2E2B535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4.9.</w:t>
            </w:r>
          </w:p>
          <w:p w14:paraId="4F298148" w14:textId="77777777" w:rsidR="00CE6CB9" w:rsidRPr="00CC6B28" w:rsidRDefault="00CE6CB9" w:rsidP="00155654">
            <w:pPr>
              <w:spacing w:before="20" w:afterLines="20" w:after="48"/>
              <w:rPr>
                <w:rFonts w:ascii="Times New Roman" w:eastAsia="Times New Roman" w:hAnsi="Times New Roman"/>
                <w:lang w:eastAsia="lv-LV"/>
              </w:rPr>
            </w:pPr>
          </w:p>
        </w:tc>
        <w:tc>
          <w:tcPr>
            <w:tcW w:w="4252" w:type="dxa"/>
          </w:tcPr>
          <w:p w14:paraId="06517BFB" w14:textId="77777777" w:rsidR="00CE6CB9" w:rsidRPr="00CC6B28" w:rsidRDefault="00CE6CB9" w:rsidP="00155654">
            <w:pPr>
              <w:spacing w:before="120"/>
              <w:jc w:val="both"/>
              <w:rPr>
                <w:rFonts w:ascii="Times New Roman" w:hAnsi="Times New Roman"/>
              </w:rPr>
            </w:pPr>
            <w:r w:rsidRPr="00CC6B28">
              <w:rPr>
                <w:rFonts w:ascii="Times New Roman" w:hAnsi="Times New Roman"/>
              </w:rPr>
              <w:t>Extend payment service and electronic money services institutions access opportunities to SEPA</w:t>
            </w:r>
          </w:p>
        </w:tc>
        <w:tc>
          <w:tcPr>
            <w:tcW w:w="2552" w:type="dxa"/>
          </w:tcPr>
          <w:p w14:paraId="7F0DF0F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Draft legal act is prepared  </w:t>
            </w:r>
          </w:p>
        </w:tc>
        <w:tc>
          <w:tcPr>
            <w:tcW w:w="2410" w:type="dxa"/>
          </w:tcPr>
          <w:p w14:paraId="54E2616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Legal act is adopted</w:t>
            </w:r>
          </w:p>
        </w:tc>
        <w:tc>
          <w:tcPr>
            <w:tcW w:w="1275" w:type="dxa"/>
          </w:tcPr>
          <w:p w14:paraId="0BBFFB26"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color w:val="000000"/>
                <w:lang w:eastAsia="lv-LV"/>
              </w:rPr>
              <w:t>LB</w:t>
            </w:r>
          </w:p>
        </w:tc>
        <w:tc>
          <w:tcPr>
            <w:tcW w:w="1701" w:type="dxa"/>
          </w:tcPr>
          <w:p w14:paraId="5F1299E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color w:val="000000"/>
                <w:lang w:eastAsia="lv-LV"/>
              </w:rPr>
              <w:t>FKTK, LMENA</w:t>
            </w:r>
          </w:p>
        </w:tc>
        <w:tc>
          <w:tcPr>
            <w:tcW w:w="1985" w:type="dxa"/>
          </w:tcPr>
          <w:p w14:paraId="67A6F620"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01.07.2017</w:t>
            </w:r>
          </w:p>
        </w:tc>
      </w:tr>
      <w:tr w:rsidR="00CE6CB9" w:rsidRPr="00CC6B28" w14:paraId="0D4883A7" w14:textId="77777777" w:rsidTr="00155654">
        <w:trPr>
          <w:gridBefore w:val="1"/>
          <w:wBefore w:w="29" w:type="dxa"/>
        </w:trPr>
        <w:tc>
          <w:tcPr>
            <w:tcW w:w="964" w:type="dxa"/>
          </w:tcPr>
          <w:p w14:paraId="4415E037"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4.10.</w:t>
            </w:r>
          </w:p>
          <w:p w14:paraId="16476E28" w14:textId="77777777" w:rsidR="00CE6CB9" w:rsidRPr="00CC6B28" w:rsidRDefault="00CE6CB9" w:rsidP="00155654">
            <w:pPr>
              <w:spacing w:before="20" w:afterLines="20" w:after="48"/>
              <w:rPr>
                <w:rFonts w:ascii="Times New Roman" w:eastAsia="Times New Roman" w:hAnsi="Times New Roman"/>
                <w:lang w:eastAsia="lv-LV"/>
              </w:rPr>
            </w:pPr>
          </w:p>
        </w:tc>
        <w:tc>
          <w:tcPr>
            <w:tcW w:w="4252" w:type="dxa"/>
          </w:tcPr>
          <w:p w14:paraId="4D59B5A5" w14:textId="77777777" w:rsidR="00CE6CB9" w:rsidRPr="00CC6B28" w:rsidRDefault="00CE6CB9" w:rsidP="00155654">
            <w:pPr>
              <w:spacing w:before="120"/>
              <w:jc w:val="both"/>
              <w:rPr>
                <w:rFonts w:ascii="Times New Roman" w:hAnsi="Times New Roman"/>
              </w:rPr>
            </w:pPr>
            <w:r w:rsidRPr="00CC6B28">
              <w:rPr>
                <w:rFonts w:ascii="Times New Roman" w:hAnsi="Times New Roman"/>
              </w:rPr>
              <w:t>Elaboration of a separate regulation for Latvian payment service and electronic money services institutions, money laundering and financing of terrorism, according to their nature, scale and related risks. Measure implemented in accordance with the approved 1.2.1.pasākumā for comprehensive policy planning documents of money laundering and financing terrorism</w:t>
            </w:r>
          </w:p>
          <w:p w14:paraId="059A4EDD" w14:textId="77777777" w:rsidR="00CE6CB9" w:rsidRPr="00CC6B28" w:rsidRDefault="00CE6CB9" w:rsidP="00155654">
            <w:pPr>
              <w:spacing w:before="120"/>
              <w:jc w:val="both"/>
              <w:rPr>
                <w:rFonts w:ascii="Times New Roman" w:hAnsi="Times New Roman"/>
              </w:rPr>
            </w:pPr>
          </w:p>
        </w:tc>
        <w:tc>
          <w:tcPr>
            <w:tcW w:w="2552" w:type="dxa"/>
          </w:tcPr>
          <w:p w14:paraId="0BD0388C"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 xml:space="preserve">Draft FCMC legal act is prepared </w:t>
            </w:r>
          </w:p>
        </w:tc>
        <w:tc>
          <w:tcPr>
            <w:tcW w:w="2410" w:type="dxa"/>
          </w:tcPr>
          <w:p w14:paraId="4E16188B"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t xml:space="preserve">Taking into account the different risks, and payment services and electronic money services and the particularities of products, to define for  payment service providers specific risk NILLTFN models and  to develop FCMC Regulations on project </w:t>
            </w:r>
          </w:p>
        </w:tc>
        <w:tc>
          <w:tcPr>
            <w:tcW w:w="1275" w:type="dxa"/>
          </w:tcPr>
          <w:p w14:paraId="40B8637D"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color w:val="000000"/>
                <w:lang w:eastAsia="lv-LV"/>
              </w:rPr>
              <w:t>FKTK</w:t>
            </w:r>
          </w:p>
        </w:tc>
        <w:tc>
          <w:tcPr>
            <w:tcW w:w="1701" w:type="dxa"/>
          </w:tcPr>
          <w:p w14:paraId="7CCD87D3"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color w:val="000000"/>
                <w:lang w:eastAsia="lv-LV"/>
              </w:rPr>
              <w:t>LMENA</w:t>
            </w:r>
          </w:p>
        </w:tc>
        <w:tc>
          <w:tcPr>
            <w:tcW w:w="1985" w:type="dxa"/>
          </w:tcPr>
          <w:p w14:paraId="73E0AC8D"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30.09.2017</w:t>
            </w:r>
          </w:p>
        </w:tc>
      </w:tr>
      <w:tr w:rsidR="00CE6CB9" w:rsidRPr="00CC6B28" w14:paraId="1AE0FE35" w14:textId="77777777" w:rsidTr="00155654">
        <w:trPr>
          <w:trHeight w:val="1284"/>
        </w:trPr>
        <w:tc>
          <w:tcPr>
            <w:tcW w:w="993" w:type="dxa"/>
            <w:gridSpan w:val="2"/>
          </w:tcPr>
          <w:p w14:paraId="31EF5CD5"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4.11.</w:t>
            </w:r>
          </w:p>
          <w:p w14:paraId="46C935F0" w14:textId="77777777" w:rsidR="00CE6CB9" w:rsidRPr="00CC6B28" w:rsidRDefault="00CE6CB9" w:rsidP="00155654">
            <w:pPr>
              <w:spacing w:before="20" w:afterLines="20" w:after="48"/>
              <w:rPr>
                <w:rFonts w:ascii="Times New Roman" w:eastAsia="Times New Roman" w:hAnsi="Times New Roman"/>
                <w:lang w:eastAsia="lv-LV"/>
              </w:rPr>
            </w:pPr>
          </w:p>
        </w:tc>
        <w:tc>
          <w:tcPr>
            <w:tcW w:w="4252" w:type="dxa"/>
          </w:tcPr>
          <w:p w14:paraId="30271ADF" w14:textId="77777777" w:rsidR="00CE6CB9" w:rsidRPr="00CC6B28" w:rsidRDefault="00CE6CB9" w:rsidP="00155654">
            <w:pPr>
              <w:spacing w:before="120"/>
              <w:jc w:val="both"/>
              <w:rPr>
                <w:rFonts w:ascii="Times New Roman" w:hAnsi="Times New Roman"/>
              </w:rPr>
            </w:pPr>
            <w:r w:rsidRPr="00CC6B28">
              <w:rPr>
                <w:rFonts w:ascii="Times New Roman" w:hAnsi="Times New Roman"/>
              </w:rPr>
              <w:t>Ensure access to information in order to comply with the Anti- money laundering and financing of terrorism law for payment service providers, electronic money institutions, credit unions and consumer lenders. Measure implemented in accordance with the approved 1.2.1.measure for comprehensive policy planning documents of anti-money laundering and financing terrorism</w:t>
            </w:r>
          </w:p>
          <w:p w14:paraId="673E98F4" w14:textId="77777777" w:rsidR="00CE6CB9" w:rsidRPr="00CC6B28" w:rsidRDefault="00CE6CB9" w:rsidP="00155654">
            <w:pPr>
              <w:spacing w:before="120"/>
              <w:jc w:val="both"/>
              <w:rPr>
                <w:rFonts w:ascii="Times New Roman" w:hAnsi="Times New Roman"/>
              </w:rPr>
            </w:pPr>
          </w:p>
        </w:tc>
        <w:tc>
          <w:tcPr>
            <w:tcW w:w="2552" w:type="dxa"/>
          </w:tcPr>
          <w:p w14:paraId="677EAE77"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 xml:space="preserve">Draft legal act is prepared </w:t>
            </w:r>
          </w:p>
        </w:tc>
        <w:tc>
          <w:tcPr>
            <w:tcW w:w="2410" w:type="dxa"/>
          </w:tcPr>
          <w:p w14:paraId="01F805AB"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lang w:eastAsia="lv-LV"/>
              </w:rPr>
              <w:t xml:space="preserve">Regulation is </w:t>
            </w:r>
            <w:proofErr w:type="spellStart"/>
            <w:r w:rsidRPr="00CC6B28">
              <w:rPr>
                <w:rFonts w:ascii="Times New Roman" w:eastAsia="Times New Roman" w:hAnsi="Times New Roman"/>
                <w:lang w:eastAsia="lv-LV"/>
              </w:rPr>
              <w:t>reviewd</w:t>
            </w:r>
            <w:proofErr w:type="spellEnd"/>
            <w:r w:rsidRPr="00CC6B28">
              <w:rPr>
                <w:rFonts w:ascii="Times New Roman" w:eastAsia="Times New Roman" w:hAnsi="Times New Roman"/>
                <w:lang w:eastAsia="lv-LV"/>
              </w:rPr>
              <w:t xml:space="preserve"> in Anti-Money Laundering and Financing of Terrorism Prevention Law Article 41, second paragraph of, adding to payment service providers and electronic money institutions (through Article 41 of the rights free of charge to receive information from the state to keep a register)</w:t>
            </w:r>
          </w:p>
        </w:tc>
        <w:tc>
          <w:tcPr>
            <w:tcW w:w="1275" w:type="dxa"/>
          </w:tcPr>
          <w:p w14:paraId="22FE1CF5"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eastAsia="Times New Roman" w:hAnsi="Times New Roman"/>
                <w:color w:val="000000"/>
                <w:lang w:eastAsia="lv-LV"/>
              </w:rPr>
              <w:t>FM</w:t>
            </w:r>
          </w:p>
        </w:tc>
        <w:tc>
          <w:tcPr>
            <w:tcW w:w="1701" w:type="dxa"/>
          </w:tcPr>
          <w:p w14:paraId="09A9A073"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eastAsia="Times New Roman" w:hAnsi="Times New Roman"/>
                <w:color w:val="000000"/>
                <w:lang w:eastAsia="lv-LV"/>
              </w:rPr>
              <w:t>FKTK</w:t>
            </w:r>
          </w:p>
        </w:tc>
        <w:tc>
          <w:tcPr>
            <w:tcW w:w="1985" w:type="dxa"/>
          </w:tcPr>
          <w:p w14:paraId="4B7D2428"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01.09.2017</w:t>
            </w:r>
          </w:p>
        </w:tc>
      </w:tr>
      <w:tr w:rsidR="00CE6CB9" w:rsidRPr="00CC6B28" w14:paraId="0D3403B1" w14:textId="77777777" w:rsidTr="00155654">
        <w:trPr>
          <w:trHeight w:val="1284"/>
        </w:trPr>
        <w:tc>
          <w:tcPr>
            <w:tcW w:w="993" w:type="dxa"/>
            <w:gridSpan w:val="2"/>
          </w:tcPr>
          <w:p w14:paraId="4484EB67"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4.12.</w:t>
            </w:r>
          </w:p>
        </w:tc>
        <w:tc>
          <w:tcPr>
            <w:tcW w:w="4252" w:type="dxa"/>
          </w:tcPr>
          <w:p w14:paraId="3A47B871" w14:textId="77777777" w:rsidR="00CE6CB9" w:rsidRPr="00CC6B28" w:rsidRDefault="00CE6CB9" w:rsidP="00155654">
            <w:pPr>
              <w:spacing w:before="120"/>
              <w:jc w:val="both"/>
              <w:rPr>
                <w:rFonts w:ascii="Times New Roman" w:eastAsia="Times New Roman" w:hAnsi="Times New Roman"/>
                <w:lang w:eastAsia="lv-LV"/>
              </w:rPr>
            </w:pPr>
            <w:r w:rsidRPr="00CC6B28">
              <w:rPr>
                <w:rFonts w:ascii="Times New Roman" w:eastAsia="Times New Roman" w:hAnsi="Times New Roman"/>
                <w:lang w:eastAsia="lv-LV"/>
              </w:rPr>
              <w:t xml:space="preserve">To improve the regulatory framework in respect of transactions with emission allowances/quota (and their derivatives) and emission allowance market-related persons </w:t>
            </w:r>
            <w:r w:rsidRPr="00CC6B28">
              <w:rPr>
                <w:rFonts w:ascii="Times New Roman" w:eastAsia="Times New Roman" w:hAnsi="Times New Roman"/>
                <w:lang w:eastAsia="lv-LV"/>
              </w:rPr>
              <w:lastRenderedPageBreak/>
              <w:t>and entities obligations emission allowances becoming a financial instrument</w:t>
            </w:r>
          </w:p>
          <w:p w14:paraId="6C7BA1B6" w14:textId="77777777" w:rsidR="00CE6CB9" w:rsidRPr="00CC6B28" w:rsidRDefault="00CE6CB9" w:rsidP="00155654">
            <w:pPr>
              <w:spacing w:before="120"/>
              <w:jc w:val="both"/>
              <w:rPr>
                <w:rFonts w:ascii="Times New Roman" w:hAnsi="Times New Roman"/>
              </w:rPr>
            </w:pPr>
          </w:p>
        </w:tc>
        <w:tc>
          <w:tcPr>
            <w:tcW w:w="2552" w:type="dxa"/>
          </w:tcPr>
          <w:p w14:paraId="5DF7BB13" w14:textId="77777777" w:rsidR="00CE6CB9" w:rsidRPr="00CC6B28" w:rsidRDefault="00CE6CB9" w:rsidP="00155654">
            <w:pPr>
              <w:spacing w:before="20" w:afterLines="20" w:after="48"/>
              <w:jc w:val="both"/>
              <w:rPr>
                <w:rFonts w:ascii="Times New Roman" w:eastAsia="Times New Roman" w:hAnsi="Times New Roman"/>
                <w:lang w:eastAsia="lv-LV"/>
              </w:rPr>
            </w:pPr>
            <w:r w:rsidRPr="00CC6B28">
              <w:rPr>
                <w:rFonts w:ascii="Times New Roman" w:hAnsi="Times New Roman"/>
              </w:rPr>
              <w:lastRenderedPageBreak/>
              <w:t xml:space="preserve">The current regulation is  </w:t>
            </w:r>
            <w:proofErr w:type="spellStart"/>
            <w:r w:rsidRPr="00CC6B28">
              <w:rPr>
                <w:rFonts w:ascii="Times New Roman" w:hAnsi="Times New Roman"/>
              </w:rPr>
              <w:t>ammended</w:t>
            </w:r>
            <w:proofErr w:type="spellEnd"/>
          </w:p>
        </w:tc>
        <w:tc>
          <w:tcPr>
            <w:tcW w:w="2410" w:type="dxa"/>
          </w:tcPr>
          <w:p w14:paraId="03D0C0C4"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 xml:space="preserve">The norms concerning emission allowances in European Parliament and Council Directive 2014/65 / EU on markets </w:t>
            </w:r>
            <w:r w:rsidRPr="00CC6B28">
              <w:rPr>
                <w:rFonts w:ascii="Times New Roman" w:hAnsi="Times New Roman"/>
              </w:rPr>
              <w:lastRenderedPageBreak/>
              <w:t xml:space="preserve">in financial instruments and amending Directive 2002/92 / EU and Directive 2011/61 / EU </w:t>
            </w:r>
            <w:proofErr w:type="gramStart"/>
            <w:r w:rsidRPr="00CC6B28">
              <w:rPr>
                <w:rFonts w:ascii="Times New Roman" w:hAnsi="Times New Roman"/>
              </w:rPr>
              <w:t>are transposed</w:t>
            </w:r>
            <w:proofErr w:type="gramEnd"/>
            <w:r w:rsidRPr="00CC6B28">
              <w:rPr>
                <w:rFonts w:ascii="Times New Roman" w:hAnsi="Times New Roman"/>
              </w:rPr>
              <w:t xml:space="preserve"> in national regulations.</w:t>
            </w:r>
          </w:p>
          <w:p w14:paraId="7A7FD227" w14:textId="77777777" w:rsidR="00CE6CB9" w:rsidRPr="00CC6B28" w:rsidRDefault="00CE6CB9" w:rsidP="00155654">
            <w:pPr>
              <w:spacing w:before="20" w:afterLines="20" w:after="48"/>
              <w:jc w:val="both"/>
              <w:rPr>
                <w:rFonts w:ascii="Times New Roman" w:eastAsia="Times New Roman" w:hAnsi="Times New Roman"/>
                <w:lang w:eastAsia="lv-LV"/>
              </w:rPr>
            </w:pPr>
          </w:p>
        </w:tc>
        <w:tc>
          <w:tcPr>
            <w:tcW w:w="1275" w:type="dxa"/>
          </w:tcPr>
          <w:p w14:paraId="14AE0FCB" w14:textId="77777777" w:rsidR="00CE6CB9" w:rsidRPr="00CC6B28" w:rsidRDefault="00CE6CB9" w:rsidP="00155654">
            <w:pPr>
              <w:spacing w:before="20" w:afterLines="20" w:after="48"/>
              <w:rPr>
                <w:rFonts w:ascii="Times New Roman" w:eastAsia="Times New Roman" w:hAnsi="Times New Roman"/>
                <w:color w:val="000000"/>
                <w:lang w:eastAsia="lv-LV"/>
              </w:rPr>
            </w:pPr>
            <w:r w:rsidRPr="00CC6B28">
              <w:rPr>
                <w:rFonts w:ascii="Times New Roman" w:hAnsi="Times New Roman"/>
              </w:rPr>
              <w:lastRenderedPageBreak/>
              <w:t>FM</w:t>
            </w:r>
          </w:p>
        </w:tc>
        <w:tc>
          <w:tcPr>
            <w:tcW w:w="1701" w:type="dxa"/>
          </w:tcPr>
          <w:p w14:paraId="74A08854" w14:textId="77777777" w:rsidR="00CE6CB9" w:rsidRPr="00CC6B28" w:rsidRDefault="00CE6CB9" w:rsidP="00155654">
            <w:pPr>
              <w:jc w:val="center"/>
              <w:rPr>
                <w:rFonts w:ascii="Times New Roman" w:hAnsi="Times New Roman"/>
              </w:rPr>
            </w:pPr>
            <w:r w:rsidRPr="00CC6B28">
              <w:rPr>
                <w:rFonts w:ascii="Times New Roman" w:hAnsi="Times New Roman"/>
              </w:rPr>
              <w:t>FKTK</w:t>
            </w:r>
          </w:p>
          <w:p w14:paraId="4D9AF773" w14:textId="77777777" w:rsidR="00CE6CB9" w:rsidRPr="00CC6B28" w:rsidRDefault="00CE6CB9" w:rsidP="00155654">
            <w:pPr>
              <w:spacing w:before="20" w:afterLines="20" w:after="48"/>
              <w:jc w:val="both"/>
              <w:rPr>
                <w:rFonts w:ascii="Times New Roman" w:eastAsia="Times New Roman" w:hAnsi="Times New Roman"/>
                <w:color w:val="000000"/>
                <w:lang w:eastAsia="lv-LV"/>
              </w:rPr>
            </w:pPr>
          </w:p>
        </w:tc>
        <w:tc>
          <w:tcPr>
            <w:tcW w:w="1985" w:type="dxa"/>
          </w:tcPr>
          <w:p w14:paraId="4D13D736"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03.07.2017</w:t>
            </w:r>
          </w:p>
        </w:tc>
      </w:tr>
    </w:tbl>
    <w:p w14:paraId="1F7E654F" w14:textId="77777777" w:rsidR="00CE6CB9" w:rsidRPr="00CC6B28" w:rsidRDefault="00CE6CB9" w:rsidP="00CE6CB9">
      <w:r w:rsidRPr="00CC6B28">
        <w:br w:type="page"/>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4252"/>
        <w:gridCol w:w="2552"/>
        <w:gridCol w:w="2410"/>
        <w:gridCol w:w="1275"/>
        <w:gridCol w:w="1701"/>
        <w:gridCol w:w="1985"/>
      </w:tblGrid>
      <w:tr w:rsidR="00CE6CB9" w:rsidRPr="00CC6B28" w14:paraId="007B3A2A" w14:textId="77777777" w:rsidTr="00155654">
        <w:tc>
          <w:tcPr>
            <w:tcW w:w="15139" w:type="dxa"/>
            <w:gridSpan w:val="7"/>
            <w:shd w:val="clear" w:color="auto" w:fill="FFD966"/>
          </w:tcPr>
          <w:p w14:paraId="4F015087" w14:textId="77777777" w:rsidR="00CE6CB9" w:rsidRPr="00CC6B28" w:rsidRDefault="00CE6CB9" w:rsidP="00155654">
            <w:pPr>
              <w:ind w:right="828"/>
              <w:jc w:val="both"/>
              <w:rPr>
                <w:rFonts w:ascii="Times New Roman" w:eastAsia="Times New Roman" w:hAnsi="Times New Roman"/>
                <w:b/>
                <w:lang w:eastAsia="lv-LV"/>
              </w:rPr>
            </w:pPr>
            <w:r w:rsidRPr="00CC6B28">
              <w:rPr>
                <w:rFonts w:ascii="Times New Roman" w:eastAsia="Times New Roman" w:hAnsi="Times New Roman"/>
                <w:b/>
                <w:bCs/>
                <w:u w:val="single"/>
                <w:lang w:eastAsia="lv-LV"/>
              </w:rPr>
              <w:lastRenderedPageBreak/>
              <w:t>5. SECTORAL ACTION DIRECTION:</w:t>
            </w:r>
            <w:r w:rsidRPr="00CC6B28">
              <w:rPr>
                <w:rFonts w:ascii="Times New Roman" w:eastAsia="Times New Roman" w:hAnsi="Times New Roman"/>
                <w:b/>
                <w:bCs/>
                <w:lang w:eastAsia="lv-LV"/>
              </w:rPr>
              <w:t xml:space="preserve"> </w:t>
            </w:r>
            <w:r w:rsidRPr="00CC6B28">
              <w:rPr>
                <w:rFonts w:ascii="Times New Roman" w:hAnsi="Times New Roman"/>
                <w:b/>
              </w:rPr>
              <w:t xml:space="preserve"> Insurance sector</w:t>
            </w:r>
          </w:p>
        </w:tc>
      </w:tr>
      <w:tr w:rsidR="00CE6CB9" w:rsidRPr="00CC6B28" w14:paraId="3454891A" w14:textId="77777777" w:rsidTr="00155654">
        <w:tc>
          <w:tcPr>
            <w:tcW w:w="15139" w:type="dxa"/>
            <w:gridSpan w:val="7"/>
            <w:shd w:val="clear" w:color="auto" w:fill="FFE599"/>
          </w:tcPr>
          <w:p w14:paraId="12731F0C" w14:textId="77777777" w:rsidR="00CE6CB9" w:rsidRPr="00CC6B28" w:rsidRDefault="00CE6CB9" w:rsidP="00155654">
            <w:pPr>
              <w:spacing w:before="20" w:afterLines="20" w:after="48"/>
              <w:rPr>
                <w:rFonts w:ascii="Times New Roman" w:eastAsia="Times New Roman" w:hAnsi="Times New Roman"/>
                <w:b/>
                <w:u w:val="single"/>
                <w:lang w:eastAsia="lv-LV"/>
              </w:rPr>
            </w:pPr>
            <w:r w:rsidRPr="00CC6B28">
              <w:rPr>
                <w:rFonts w:ascii="Times New Roman" w:eastAsia="Times New Roman" w:hAnsi="Times New Roman"/>
                <w:b/>
                <w:u w:val="single"/>
                <w:lang w:eastAsia="lv-LV"/>
              </w:rPr>
              <w:t>Attainable sub-goals:</w:t>
            </w:r>
          </w:p>
          <w:p w14:paraId="657AD544" w14:textId="77777777" w:rsidR="00CE6CB9" w:rsidRPr="00CC6B28" w:rsidRDefault="00CE6CB9" w:rsidP="00155654">
            <w:pPr>
              <w:spacing w:before="20" w:afterLines="20" w:after="48"/>
              <w:rPr>
                <w:rFonts w:ascii="Times New Roman" w:hAnsi="Times New Roman"/>
              </w:rPr>
            </w:pPr>
            <w:r w:rsidRPr="00CC6B28">
              <w:rPr>
                <w:rFonts w:ascii="Times New Roman" w:eastAsia="Times New Roman" w:hAnsi="Times New Roman"/>
                <w:b/>
                <w:lang w:eastAsia="lv-LV"/>
              </w:rPr>
              <w:t xml:space="preserve">Expand voluntary insurance use in Latvia reaching insurance premiums per capita increase of 10%, and the development of export credit guarantee scheme for the of at least EUR 20 million </w:t>
            </w:r>
            <w:r>
              <w:rPr>
                <w:rStyle w:val="FootnoteReference"/>
                <w:rFonts w:ascii="Times New Roman" w:eastAsia="Times New Roman" w:hAnsi="Times New Roman"/>
                <w:b/>
                <w:lang w:eastAsia="lv-LV"/>
              </w:rPr>
              <w:footnoteReference w:id="56"/>
            </w:r>
            <w:r w:rsidRPr="00CC6B28">
              <w:rPr>
                <w:rFonts w:ascii="Times New Roman" w:eastAsia="Times New Roman" w:hAnsi="Times New Roman"/>
                <w:b/>
                <w:lang w:eastAsia="lv-LV"/>
              </w:rPr>
              <w:t>over three years</w:t>
            </w:r>
          </w:p>
        </w:tc>
      </w:tr>
      <w:tr w:rsidR="00CE6CB9" w:rsidRPr="00CC6B28" w14:paraId="403D4798" w14:textId="77777777" w:rsidTr="00155654">
        <w:tc>
          <w:tcPr>
            <w:tcW w:w="15139" w:type="dxa"/>
            <w:gridSpan w:val="7"/>
            <w:shd w:val="clear" w:color="auto" w:fill="FFE599"/>
          </w:tcPr>
          <w:p w14:paraId="2A1C821D" w14:textId="77777777" w:rsidR="00CE6CB9" w:rsidRPr="00CC6B28" w:rsidRDefault="00CE6CB9" w:rsidP="00155654">
            <w:pPr>
              <w:spacing w:before="20" w:afterLines="20" w:after="48"/>
              <w:rPr>
                <w:rFonts w:ascii="Times New Roman" w:eastAsia="Times New Roman" w:hAnsi="Times New Roman"/>
                <w:b/>
                <w:u w:val="single"/>
                <w:lang w:eastAsia="lv-LV"/>
              </w:rPr>
            </w:pPr>
            <w:r w:rsidRPr="00CC6B28">
              <w:rPr>
                <w:rFonts w:ascii="Times New Roman" w:eastAsia="Times New Roman" w:hAnsi="Times New Roman"/>
                <w:b/>
                <w:u w:val="single"/>
                <w:lang w:eastAsia="lv-LV"/>
              </w:rPr>
              <w:t>Eligible outcomes:</w:t>
            </w:r>
          </w:p>
          <w:p w14:paraId="22B859F2" w14:textId="77777777" w:rsidR="00CE6CB9" w:rsidRPr="00CC6B28" w:rsidRDefault="00CE6CB9" w:rsidP="00155654">
            <w:pPr>
              <w:spacing w:before="20" w:afterLines="20" w:after="48"/>
              <w:rPr>
                <w:rFonts w:ascii="Times New Roman" w:eastAsia="Times New Roman" w:hAnsi="Times New Roman"/>
                <w:b/>
                <w:lang w:eastAsia="lv-LV"/>
              </w:rPr>
            </w:pPr>
            <w:r w:rsidRPr="00CC6B28">
              <w:rPr>
                <w:rFonts w:ascii="Times New Roman" w:eastAsia="Times New Roman" w:hAnsi="Times New Roman"/>
                <w:b/>
                <w:lang w:eastAsia="lv-LV"/>
              </w:rPr>
              <w:t>Expanding the use of insurance services;</w:t>
            </w:r>
          </w:p>
          <w:p w14:paraId="155F505D" w14:textId="77777777" w:rsidR="00CE6CB9" w:rsidRPr="00CC6B28" w:rsidRDefault="00CE6CB9" w:rsidP="00155654">
            <w:pPr>
              <w:spacing w:before="20" w:afterLines="20" w:after="48"/>
              <w:rPr>
                <w:rFonts w:ascii="Times New Roman" w:eastAsia="Times New Roman" w:hAnsi="Times New Roman"/>
                <w:b/>
                <w:lang w:eastAsia="lv-LV"/>
              </w:rPr>
            </w:pPr>
            <w:r w:rsidRPr="00CC6B28">
              <w:rPr>
                <w:rFonts w:ascii="Times New Roman" w:eastAsia="Times New Roman" w:hAnsi="Times New Roman"/>
                <w:b/>
                <w:lang w:eastAsia="lv-LV"/>
              </w:rPr>
              <w:t>Effective exchange of information on risk assessment and obligations;</w:t>
            </w:r>
          </w:p>
          <w:p w14:paraId="049AC326" w14:textId="77777777" w:rsidR="00CE6CB9" w:rsidRPr="00CC6B28" w:rsidRDefault="00CE6CB9" w:rsidP="00155654">
            <w:pPr>
              <w:spacing w:before="20" w:afterLines="20" w:after="48"/>
              <w:rPr>
                <w:rFonts w:ascii="Times New Roman" w:hAnsi="Times New Roman"/>
                <w:b/>
              </w:rPr>
            </w:pPr>
            <w:r w:rsidRPr="00CC6B28">
              <w:rPr>
                <w:rFonts w:ascii="Times New Roman" w:eastAsia="Times New Roman" w:hAnsi="Times New Roman"/>
                <w:b/>
                <w:lang w:eastAsia="lv-LV"/>
              </w:rPr>
              <w:t xml:space="preserve">Expanding insurance </w:t>
            </w:r>
            <w:proofErr w:type="spellStart"/>
            <w:r w:rsidRPr="00CC6B28">
              <w:rPr>
                <w:rFonts w:ascii="Times New Roman" w:eastAsia="Times New Roman" w:hAnsi="Times New Roman"/>
                <w:b/>
                <w:lang w:eastAsia="lv-LV"/>
              </w:rPr>
              <w:t>pruduct</w:t>
            </w:r>
            <w:proofErr w:type="spellEnd"/>
            <w:r w:rsidRPr="00CC6B28">
              <w:rPr>
                <w:rFonts w:ascii="Times New Roman" w:eastAsia="Times New Roman" w:hAnsi="Times New Roman"/>
                <w:b/>
                <w:lang w:eastAsia="lv-LV"/>
              </w:rPr>
              <w:t xml:space="preserve"> supply for more complete insurance needs</w:t>
            </w:r>
          </w:p>
        </w:tc>
      </w:tr>
      <w:tr w:rsidR="00CE6CB9" w:rsidRPr="00CC6B28" w14:paraId="68AA7EE5" w14:textId="77777777" w:rsidTr="00155654">
        <w:tc>
          <w:tcPr>
            <w:tcW w:w="15139" w:type="dxa"/>
            <w:gridSpan w:val="7"/>
            <w:shd w:val="clear" w:color="auto" w:fill="FFE599"/>
          </w:tcPr>
          <w:p w14:paraId="09F0744E"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rPr>
              <w:t>5.1. Expanding the use of insurance services</w:t>
            </w:r>
          </w:p>
        </w:tc>
      </w:tr>
      <w:tr w:rsidR="00CE6CB9" w:rsidRPr="00CC6B28" w14:paraId="5A3FE940" w14:textId="77777777" w:rsidTr="00155654">
        <w:trPr>
          <w:trHeight w:val="744"/>
        </w:trPr>
        <w:tc>
          <w:tcPr>
            <w:tcW w:w="964" w:type="dxa"/>
          </w:tcPr>
          <w:p w14:paraId="6FD2F79F"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5.1.1.</w:t>
            </w:r>
          </w:p>
          <w:p w14:paraId="0B728633" w14:textId="77777777" w:rsidR="00CE6CB9" w:rsidRPr="00CC6B28" w:rsidRDefault="00CE6CB9" w:rsidP="00155654">
            <w:pPr>
              <w:spacing w:before="20" w:afterLines="20" w:after="48"/>
              <w:rPr>
                <w:rFonts w:ascii="Times New Roman" w:eastAsia="Times New Roman" w:hAnsi="Times New Roman"/>
                <w:lang w:eastAsia="lv-LV"/>
              </w:rPr>
            </w:pPr>
          </w:p>
        </w:tc>
        <w:tc>
          <w:tcPr>
            <w:tcW w:w="4252" w:type="dxa"/>
          </w:tcPr>
          <w:p w14:paraId="43931AAF"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 xml:space="preserve">Expanding information on available insurance products </w:t>
            </w:r>
          </w:p>
        </w:tc>
        <w:tc>
          <w:tcPr>
            <w:tcW w:w="2552" w:type="dxa"/>
          </w:tcPr>
          <w:p w14:paraId="7D73825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Consumers are more informed</w:t>
            </w:r>
          </w:p>
        </w:tc>
        <w:tc>
          <w:tcPr>
            <w:tcW w:w="2410" w:type="dxa"/>
          </w:tcPr>
          <w:p w14:paraId="535C2A7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More active use of insurance services</w:t>
            </w:r>
          </w:p>
        </w:tc>
        <w:tc>
          <w:tcPr>
            <w:tcW w:w="1275" w:type="dxa"/>
          </w:tcPr>
          <w:p w14:paraId="11D699A9"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LAA, LABA, LPABA</w:t>
            </w:r>
          </w:p>
        </w:tc>
        <w:tc>
          <w:tcPr>
            <w:tcW w:w="1701" w:type="dxa"/>
          </w:tcPr>
          <w:p w14:paraId="70D1AE3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FM, PTAC, VRAA</w:t>
            </w:r>
          </w:p>
        </w:tc>
        <w:tc>
          <w:tcPr>
            <w:tcW w:w="1985" w:type="dxa"/>
          </w:tcPr>
          <w:p w14:paraId="3715CC00"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31.12.2019</w:t>
            </w:r>
          </w:p>
        </w:tc>
      </w:tr>
      <w:tr w:rsidR="00CE6CB9" w:rsidRPr="00CC6B28" w14:paraId="13717ABB" w14:textId="77777777" w:rsidTr="00155654">
        <w:tc>
          <w:tcPr>
            <w:tcW w:w="964" w:type="dxa"/>
          </w:tcPr>
          <w:p w14:paraId="60E4208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5.1.2.</w:t>
            </w:r>
          </w:p>
        </w:tc>
        <w:tc>
          <w:tcPr>
            <w:tcW w:w="4252" w:type="dxa"/>
          </w:tcPr>
          <w:p w14:paraId="2ABFD00D"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 xml:space="preserve">Educate youth on </w:t>
            </w:r>
            <w:proofErr w:type="spellStart"/>
            <w:r w:rsidRPr="00CC6B28">
              <w:rPr>
                <w:rFonts w:ascii="Times New Roman" w:eastAsia="Times New Roman" w:hAnsi="Times New Roman"/>
                <w:bCs/>
                <w:lang w:eastAsia="lv-LV"/>
              </w:rPr>
              <w:t>insuarence</w:t>
            </w:r>
            <w:proofErr w:type="spellEnd"/>
            <w:r w:rsidRPr="00CC6B28">
              <w:rPr>
                <w:rFonts w:ascii="Times New Roman" w:eastAsia="Times New Roman" w:hAnsi="Times New Roman"/>
                <w:bCs/>
                <w:lang w:eastAsia="lv-LV"/>
              </w:rPr>
              <w:t xml:space="preserve"> services (information </w:t>
            </w:r>
            <w:proofErr w:type="spellStart"/>
            <w:r w:rsidRPr="00CC6B28">
              <w:rPr>
                <w:rFonts w:ascii="Times New Roman" w:eastAsia="Times New Roman" w:hAnsi="Times New Roman"/>
                <w:bCs/>
                <w:lang w:eastAsia="lv-LV"/>
              </w:rPr>
              <w:t>campaings</w:t>
            </w:r>
            <w:proofErr w:type="spellEnd"/>
            <w:r w:rsidRPr="00CC6B28">
              <w:rPr>
                <w:rFonts w:ascii="Times New Roman" w:eastAsia="Times New Roman" w:hAnsi="Times New Roman"/>
                <w:bCs/>
                <w:lang w:eastAsia="lv-LV"/>
              </w:rPr>
              <w:t>, training)</w:t>
            </w:r>
          </w:p>
        </w:tc>
        <w:tc>
          <w:tcPr>
            <w:tcW w:w="2552" w:type="dxa"/>
          </w:tcPr>
          <w:p w14:paraId="1B9D5EBD"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Opportunities are provided</w:t>
            </w:r>
          </w:p>
        </w:tc>
        <w:tc>
          <w:tcPr>
            <w:tcW w:w="2410" w:type="dxa"/>
          </w:tcPr>
          <w:p w14:paraId="7F482E3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More active use of insurance services</w:t>
            </w:r>
          </w:p>
        </w:tc>
        <w:tc>
          <w:tcPr>
            <w:tcW w:w="1275" w:type="dxa"/>
          </w:tcPr>
          <w:p w14:paraId="0F2288C5"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LAA,</w:t>
            </w:r>
          </w:p>
          <w:p w14:paraId="3AE5A07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LABA, </w:t>
            </w:r>
          </w:p>
          <w:p w14:paraId="1648F5B5"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LPABA</w:t>
            </w:r>
          </w:p>
        </w:tc>
        <w:tc>
          <w:tcPr>
            <w:tcW w:w="1701" w:type="dxa"/>
          </w:tcPr>
          <w:p w14:paraId="0806CE64"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IZM</w:t>
            </w:r>
          </w:p>
        </w:tc>
        <w:tc>
          <w:tcPr>
            <w:tcW w:w="1985" w:type="dxa"/>
          </w:tcPr>
          <w:p w14:paraId="08287732" w14:textId="77777777" w:rsidR="00CE6CB9" w:rsidRPr="00CC6B28" w:rsidRDefault="00CE6CB9" w:rsidP="00155654">
            <w:r w:rsidRPr="00CC6B28">
              <w:rPr>
                <w:rFonts w:ascii="Times New Roman" w:hAnsi="Times New Roman"/>
              </w:rPr>
              <w:t>31.12.2019</w:t>
            </w:r>
          </w:p>
        </w:tc>
      </w:tr>
      <w:tr w:rsidR="00CE6CB9" w:rsidRPr="00CC6B28" w14:paraId="0B18C181" w14:textId="77777777" w:rsidTr="00155654">
        <w:tc>
          <w:tcPr>
            <w:tcW w:w="964" w:type="dxa"/>
          </w:tcPr>
          <w:p w14:paraId="037E08F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5.1.3</w:t>
            </w:r>
          </w:p>
        </w:tc>
        <w:tc>
          <w:tcPr>
            <w:tcW w:w="4252" w:type="dxa"/>
          </w:tcPr>
          <w:p w14:paraId="1529B116"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 xml:space="preserve">To assess the range of professions, that requires compulsory civil liability insurance </w:t>
            </w:r>
          </w:p>
          <w:p w14:paraId="7B7B60EC" w14:textId="77777777" w:rsidR="00CE6CB9" w:rsidRPr="00CC6B28" w:rsidRDefault="00CE6CB9" w:rsidP="00155654">
            <w:pPr>
              <w:spacing w:before="20" w:afterLines="20" w:after="48"/>
              <w:jc w:val="both"/>
              <w:rPr>
                <w:rFonts w:ascii="Times New Roman" w:hAnsi="Times New Roman"/>
              </w:rPr>
            </w:pPr>
          </w:p>
        </w:tc>
        <w:tc>
          <w:tcPr>
            <w:tcW w:w="2552" w:type="dxa"/>
          </w:tcPr>
          <w:p w14:paraId="474225F6"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Evaluation is prepared</w:t>
            </w:r>
          </w:p>
        </w:tc>
        <w:tc>
          <w:tcPr>
            <w:tcW w:w="2410" w:type="dxa"/>
          </w:tcPr>
          <w:p w14:paraId="4FB71B51"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More active use of insurance services</w:t>
            </w:r>
          </w:p>
        </w:tc>
        <w:tc>
          <w:tcPr>
            <w:tcW w:w="1275" w:type="dxa"/>
          </w:tcPr>
          <w:p w14:paraId="3E9FE12C"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LAA</w:t>
            </w:r>
          </w:p>
        </w:tc>
        <w:tc>
          <w:tcPr>
            <w:tcW w:w="1701" w:type="dxa"/>
          </w:tcPr>
          <w:p w14:paraId="168E1A4C"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FM</w:t>
            </w:r>
          </w:p>
        </w:tc>
        <w:tc>
          <w:tcPr>
            <w:tcW w:w="1985" w:type="dxa"/>
          </w:tcPr>
          <w:p w14:paraId="649389C2" w14:textId="77777777" w:rsidR="00CE6CB9" w:rsidRPr="00CC6B28" w:rsidRDefault="00CE6CB9" w:rsidP="00155654">
            <w:r w:rsidRPr="00CC6B28">
              <w:rPr>
                <w:rFonts w:ascii="Times New Roman" w:hAnsi="Times New Roman"/>
              </w:rPr>
              <w:t>31.12.2019</w:t>
            </w:r>
          </w:p>
        </w:tc>
      </w:tr>
      <w:tr w:rsidR="00CE6CB9" w:rsidRPr="00CC6B28" w14:paraId="40BC6491" w14:textId="77777777" w:rsidTr="00155654">
        <w:tc>
          <w:tcPr>
            <w:tcW w:w="964" w:type="dxa"/>
          </w:tcPr>
          <w:p w14:paraId="4FC4262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5.1.4.</w:t>
            </w:r>
          </w:p>
        </w:tc>
        <w:tc>
          <w:tcPr>
            <w:tcW w:w="4252" w:type="dxa"/>
          </w:tcPr>
          <w:p w14:paraId="32F8EADB"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To assess the range of professions, that requires compulsory accident insurance</w:t>
            </w:r>
          </w:p>
        </w:tc>
        <w:tc>
          <w:tcPr>
            <w:tcW w:w="2552" w:type="dxa"/>
          </w:tcPr>
          <w:p w14:paraId="1256A5FC"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Evaluation is prepared</w:t>
            </w:r>
          </w:p>
        </w:tc>
        <w:tc>
          <w:tcPr>
            <w:tcW w:w="2410" w:type="dxa"/>
          </w:tcPr>
          <w:p w14:paraId="212A6088"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More active use of insurance services</w:t>
            </w:r>
          </w:p>
        </w:tc>
        <w:tc>
          <w:tcPr>
            <w:tcW w:w="1275" w:type="dxa"/>
          </w:tcPr>
          <w:p w14:paraId="71C60CC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LAA</w:t>
            </w:r>
          </w:p>
        </w:tc>
        <w:tc>
          <w:tcPr>
            <w:tcW w:w="1701" w:type="dxa"/>
          </w:tcPr>
          <w:p w14:paraId="55E54A84"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FM</w:t>
            </w:r>
          </w:p>
        </w:tc>
        <w:tc>
          <w:tcPr>
            <w:tcW w:w="1985" w:type="dxa"/>
          </w:tcPr>
          <w:p w14:paraId="58689F84" w14:textId="77777777" w:rsidR="00CE6CB9" w:rsidRPr="00CC6B28" w:rsidRDefault="00CE6CB9" w:rsidP="00155654">
            <w:r w:rsidRPr="00CC6B28">
              <w:rPr>
                <w:rFonts w:ascii="Times New Roman" w:hAnsi="Times New Roman"/>
              </w:rPr>
              <w:t>31.12.2019</w:t>
            </w:r>
          </w:p>
        </w:tc>
      </w:tr>
      <w:tr w:rsidR="00CE6CB9" w:rsidRPr="00CC6B28" w14:paraId="5A59AE5F" w14:textId="77777777" w:rsidTr="00155654">
        <w:tc>
          <w:tcPr>
            <w:tcW w:w="964" w:type="dxa"/>
          </w:tcPr>
          <w:p w14:paraId="166AF1CF"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5.1.5</w:t>
            </w:r>
          </w:p>
        </w:tc>
        <w:tc>
          <w:tcPr>
            <w:tcW w:w="4252" w:type="dxa"/>
          </w:tcPr>
          <w:p w14:paraId="1FCB5197"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 xml:space="preserve">Vehicle civic liability </w:t>
            </w:r>
            <w:proofErr w:type="spellStart"/>
            <w:r w:rsidRPr="00CC6B28">
              <w:rPr>
                <w:rFonts w:ascii="Times New Roman" w:eastAsia="Times New Roman" w:hAnsi="Times New Roman"/>
                <w:bCs/>
                <w:lang w:eastAsia="lv-LV"/>
              </w:rPr>
              <w:t>insuarance</w:t>
            </w:r>
            <w:proofErr w:type="spellEnd"/>
            <w:r w:rsidRPr="00CC6B28">
              <w:rPr>
                <w:rFonts w:ascii="Times New Roman" w:eastAsia="Times New Roman" w:hAnsi="Times New Roman"/>
                <w:bCs/>
                <w:lang w:eastAsia="lv-LV"/>
              </w:rPr>
              <w:t xml:space="preserve"> (OCTA) market coverage increased, by reducing uninsured vehicles on the road</w:t>
            </w:r>
          </w:p>
        </w:tc>
        <w:tc>
          <w:tcPr>
            <w:tcW w:w="2552" w:type="dxa"/>
          </w:tcPr>
          <w:p w14:paraId="5605DAF5"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Amount of </w:t>
            </w:r>
            <w:proofErr w:type="spellStart"/>
            <w:r w:rsidRPr="00CC6B28">
              <w:rPr>
                <w:rFonts w:ascii="Times New Roman" w:eastAsia="Times New Roman" w:hAnsi="Times New Roman"/>
                <w:lang w:eastAsia="lv-LV"/>
              </w:rPr>
              <w:t>uninsuared</w:t>
            </w:r>
            <w:proofErr w:type="spellEnd"/>
            <w:r w:rsidRPr="00CC6B28">
              <w:rPr>
                <w:rFonts w:ascii="Times New Roman" w:eastAsia="Times New Roman" w:hAnsi="Times New Roman"/>
                <w:lang w:eastAsia="lv-LV"/>
              </w:rPr>
              <w:t xml:space="preserve"> </w:t>
            </w:r>
            <w:proofErr w:type="spellStart"/>
            <w:r w:rsidRPr="00CC6B28">
              <w:rPr>
                <w:rFonts w:ascii="Times New Roman" w:eastAsia="Times New Roman" w:hAnsi="Times New Roman"/>
                <w:lang w:eastAsia="lv-LV"/>
              </w:rPr>
              <w:t>vechilces</w:t>
            </w:r>
            <w:proofErr w:type="spellEnd"/>
            <w:r w:rsidRPr="00CC6B28">
              <w:rPr>
                <w:rFonts w:ascii="Times New Roman" w:eastAsia="Times New Roman" w:hAnsi="Times New Roman"/>
                <w:lang w:eastAsia="lv-LV"/>
              </w:rPr>
              <w:t xml:space="preserve"> on the road is reduced </w:t>
            </w:r>
          </w:p>
        </w:tc>
        <w:tc>
          <w:tcPr>
            <w:tcW w:w="2410" w:type="dxa"/>
          </w:tcPr>
          <w:p w14:paraId="39ADBF52"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Reduce amount of </w:t>
            </w:r>
            <w:proofErr w:type="spellStart"/>
            <w:r w:rsidRPr="00CC6B28">
              <w:rPr>
                <w:rFonts w:ascii="Times New Roman" w:eastAsia="Times New Roman" w:hAnsi="Times New Roman"/>
                <w:lang w:eastAsia="lv-LV"/>
              </w:rPr>
              <w:t>uninsuared</w:t>
            </w:r>
            <w:proofErr w:type="spellEnd"/>
            <w:r w:rsidRPr="00CC6B28">
              <w:rPr>
                <w:rFonts w:ascii="Times New Roman" w:eastAsia="Times New Roman" w:hAnsi="Times New Roman"/>
                <w:lang w:eastAsia="lv-LV"/>
              </w:rPr>
              <w:t xml:space="preserve"> </w:t>
            </w:r>
            <w:proofErr w:type="spellStart"/>
            <w:r w:rsidRPr="00CC6B28">
              <w:rPr>
                <w:rFonts w:ascii="Times New Roman" w:eastAsia="Times New Roman" w:hAnsi="Times New Roman"/>
                <w:lang w:eastAsia="lv-LV"/>
              </w:rPr>
              <w:t>vechilces</w:t>
            </w:r>
            <w:proofErr w:type="spellEnd"/>
            <w:r w:rsidRPr="00CC6B28">
              <w:rPr>
                <w:rFonts w:ascii="Times New Roman" w:eastAsia="Times New Roman" w:hAnsi="Times New Roman"/>
                <w:lang w:eastAsia="lv-LV"/>
              </w:rPr>
              <w:t xml:space="preserve"> on the road.</w:t>
            </w:r>
          </w:p>
        </w:tc>
        <w:tc>
          <w:tcPr>
            <w:tcW w:w="1275" w:type="dxa"/>
          </w:tcPr>
          <w:p w14:paraId="5991903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LTAB, LABA, </w:t>
            </w:r>
          </w:p>
          <w:p w14:paraId="40568F9B"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LPABA</w:t>
            </w:r>
          </w:p>
        </w:tc>
        <w:tc>
          <w:tcPr>
            <w:tcW w:w="1701" w:type="dxa"/>
          </w:tcPr>
          <w:p w14:paraId="53D0104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FM, CSDD, VTUA, IEM, VP</w:t>
            </w:r>
          </w:p>
        </w:tc>
        <w:tc>
          <w:tcPr>
            <w:tcW w:w="1985" w:type="dxa"/>
          </w:tcPr>
          <w:p w14:paraId="700DBEB2" w14:textId="77777777" w:rsidR="00CE6CB9" w:rsidRPr="00CC6B28" w:rsidRDefault="00CE6CB9" w:rsidP="00155654">
            <w:r w:rsidRPr="00CC6B28">
              <w:rPr>
                <w:rFonts w:ascii="Times New Roman" w:hAnsi="Times New Roman"/>
              </w:rPr>
              <w:t>31.12.2019</w:t>
            </w:r>
          </w:p>
        </w:tc>
      </w:tr>
      <w:tr w:rsidR="00CE6CB9" w:rsidRPr="00CC6B28" w14:paraId="4B67B741" w14:textId="77777777" w:rsidTr="00155654">
        <w:tc>
          <w:tcPr>
            <w:tcW w:w="964" w:type="dxa"/>
          </w:tcPr>
          <w:p w14:paraId="3D83482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5.1.6.</w:t>
            </w:r>
          </w:p>
          <w:p w14:paraId="7073F19B" w14:textId="77777777" w:rsidR="00CE6CB9" w:rsidRPr="00CC6B28" w:rsidRDefault="00CE6CB9" w:rsidP="00155654">
            <w:pPr>
              <w:spacing w:before="20" w:afterLines="20" w:after="48"/>
              <w:rPr>
                <w:rFonts w:ascii="Times New Roman" w:eastAsia="Times New Roman" w:hAnsi="Times New Roman"/>
                <w:lang w:eastAsia="lv-LV"/>
              </w:rPr>
            </w:pPr>
          </w:p>
        </w:tc>
        <w:tc>
          <w:tcPr>
            <w:tcW w:w="4252" w:type="dxa"/>
          </w:tcPr>
          <w:p w14:paraId="2B08C7AA"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To evaluate the need to revise the limits for some compulsory civil liability insurance types</w:t>
            </w:r>
          </w:p>
        </w:tc>
        <w:tc>
          <w:tcPr>
            <w:tcW w:w="2552" w:type="dxa"/>
          </w:tcPr>
          <w:p w14:paraId="0AE07E15"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Evaluation is prepared</w:t>
            </w:r>
          </w:p>
        </w:tc>
        <w:tc>
          <w:tcPr>
            <w:tcW w:w="2410" w:type="dxa"/>
          </w:tcPr>
          <w:p w14:paraId="61519D6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More efficient compulsory civic liability system</w:t>
            </w:r>
          </w:p>
        </w:tc>
        <w:tc>
          <w:tcPr>
            <w:tcW w:w="1275" w:type="dxa"/>
          </w:tcPr>
          <w:p w14:paraId="130F8375"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LAA</w:t>
            </w:r>
          </w:p>
        </w:tc>
        <w:tc>
          <w:tcPr>
            <w:tcW w:w="1701" w:type="dxa"/>
          </w:tcPr>
          <w:p w14:paraId="5532E49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FM</w:t>
            </w:r>
          </w:p>
        </w:tc>
        <w:tc>
          <w:tcPr>
            <w:tcW w:w="1985" w:type="dxa"/>
          </w:tcPr>
          <w:p w14:paraId="1C783A77" w14:textId="77777777" w:rsidR="00CE6CB9" w:rsidRPr="00CC6B28" w:rsidRDefault="00CE6CB9" w:rsidP="00155654">
            <w:r w:rsidRPr="00CC6B28">
              <w:rPr>
                <w:rFonts w:ascii="Times New Roman" w:hAnsi="Times New Roman"/>
              </w:rPr>
              <w:t>31.12.2019</w:t>
            </w:r>
          </w:p>
        </w:tc>
      </w:tr>
      <w:tr w:rsidR="00CE6CB9" w:rsidRPr="00CC6B28" w14:paraId="3998419A" w14:textId="77777777" w:rsidTr="00155654">
        <w:tc>
          <w:tcPr>
            <w:tcW w:w="964" w:type="dxa"/>
          </w:tcPr>
          <w:p w14:paraId="64EE1227"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5.1.7.</w:t>
            </w:r>
          </w:p>
        </w:tc>
        <w:tc>
          <w:tcPr>
            <w:tcW w:w="4252" w:type="dxa"/>
          </w:tcPr>
          <w:p w14:paraId="1C3B3E55"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Align/review the management of compulsory insurance system, effective management</w:t>
            </w:r>
          </w:p>
        </w:tc>
        <w:tc>
          <w:tcPr>
            <w:tcW w:w="2552" w:type="dxa"/>
          </w:tcPr>
          <w:p w14:paraId="27D30664"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Evaluation is prepared</w:t>
            </w:r>
          </w:p>
        </w:tc>
        <w:tc>
          <w:tcPr>
            <w:tcW w:w="2410" w:type="dxa"/>
          </w:tcPr>
          <w:p w14:paraId="65A8F70D"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More efficient compulsory civic liability system</w:t>
            </w:r>
          </w:p>
        </w:tc>
        <w:tc>
          <w:tcPr>
            <w:tcW w:w="1275" w:type="dxa"/>
          </w:tcPr>
          <w:p w14:paraId="1E1AADED"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LAA,</w:t>
            </w:r>
          </w:p>
          <w:p w14:paraId="008F2EC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LABA, </w:t>
            </w:r>
          </w:p>
          <w:p w14:paraId="100214F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LPABA</w:t>
            </w:r>
          </w:p>
        </w:tc>
        <w:tc>
          <w:tcPr>
            <w:tcW w:w="1701" w:type="dxa"/>
          </w:tcPr>
          <w:p w14:paraId="3AEAC93B" w14:textId="77777777" w:rsidR="00CE6CB9" w:rsidRPr="00CC6B28" w:rsidRDefault="00CE6CB9" w:rsidP="00155654">
            <w:pPr>
              <w:spacing w:before="20" w:afterLines="20" w:after="48"/>
              <w:rPr>
                <w:rFonts w:ascii="Times New Roman" w:eastAsia="Times New Roman" w:hAnsi="Times New Roman"/>
                <w:i/>
                <w:lang w:eastAsia="lv-LV"/>
              </w:rPr>
            </w:pPr>
            <w:r w:rsidRPr="00CC6B28">
              <w:rPr>
                <w:rFonts w:ascii="Times New Roman" w:eastAsia="Times New Roman" w:hAnsi="Times New Roman"/>
                <w:lang w:eastAsia="lv-LV"/>
              </w:rPr>
              <w:t>FM</w:t>
            </w:r>
          </w:p>
        </w:tc>
        <w:tc>
          <w:tcPr>
            <w:tcW w:w="1985" w:type="dxa"/>
          </w:tcPr>
          <w:p w14:paraId="5C36B3B0" w14:textId="77777777" w:rsidR="00CE6CB9" w:rsidRPr="00CC6B28" w:rsidRDefault="00CE6CB9" w:rsidP="00155654">
            <w:r w:rsidRPr="00CC6B28">
              <w:rPr>
                <w:rFonts w:ascii="Times New Roman" w:hAnsi="Times New Roman"/>
              </w:rPr>
              <w:t>31.12.2019</w:t>
            </w:r>
          </w:p>
        </w:tc>
      </w:tr>
      <w:tr w:rsidR="00CE6CB9" w:rsidRPr="00CC6B28" w14:paraId="6AB1E0EA" w14:textId="77777777" w:rsidTr="00155654">
        <w:tc>
          <w:tcPr>
            <w:tcW w:w="15139" w:type="dxa"/>
            <w:gridSpan w:val="7"/>
            <w:shd w:val="clear" w:color="auto" w:fill="FFE599"/>
          </w:tcPr>
          <w:p w14:paraId="2119828B"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rPr>
              <w:t>5.2. Effective exchange of information for risk assessment and obligations</w:t>
            </w:r>
          </w:p>
        </w:tc>
      </w:tr>
      <w:tr w:rsidR="00CE6CB9" w:rsidRPr="00CC6B28" w14:paraId="4359CC81" w14:textId="77777777" w:rsidTr="00155654">
        <w:tc>
          <w:tcPr>
            <w:tcW w:w="964" w:type="dxa"/>
          </w:tcPr>
          <w:p w14:paraId="450E69B8"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5.2.1.</w:t>
            </w:r>
          </w:p>
          <w:p w14:paraId="54FA8338" w14:textId="77777777" w:rsidR="00CE6CB9" w:rsidRPr="00CC6B28" w:rsidRDefault="00CE6CB9" w:rsidP="00155654">
            <w:pPr>
              <w:spacing w:before="20" w:afterLines="20" w:after="48"/>
              <w:rPr>
                <w:rFonts w:ascii="Times New Roman" w:eastAsia="Times New Roman" w:hAnsi="Times New Roman"/>
                <w:lang w:eastAsia="lv-LV"/>
              </w:rPr>
            </w:pPr>
          </w:p>
          <w:p w14:paraId="2988F135" w14:textId="77777777" w:rsidR="00CE6CB9" w:rsidRPr="00CC6B28" w:rsidRDefault="00CE6CB9" w:rsidP="00155654">
            <w:pPr>
              <w:spacing w:before="20" w:afterLines="20" w:after="48"/>
              <w:rPr>
                <w:rFonts w:ascii="Times New Roman" w:eastAsia="Times New Roman" w:hAnsi="Times New Roman"/>
                <w:lang w:eastAsia="lv-LV"/>
              </w:rPr>
            </w:pPr>
          </w:p>
        </w:tc>
        <w:tc>
          <w:tcPr>
            <w:tcW w:w="4252" w:type="dxa"/>
          </w:tcPr>
          <w:p w14:paraId="059A4D62"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Efficient exchange of information (in electronic form online) with the national authorities for risk assessment and obligations</w:t>
            </w:r>
          </w:p>
        </w:tc>
        <w:tc>
          <w:tcPr>
            <w:tcW w:w="2552" w:type="dxa"/>
          </w:tcPr>
          <w:p w14:paraId="0B9754E3"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Exchange of information is provided</w:t>
            </w:r>
          </w:p>
        </w:tc>
        <w:tc>
          <w:tcPr>
            <w:tcW w:w="2410" w:type="dxa"/>
          </w:tcPr>
          <w:p w14:paraId="47A0495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Improved insurance service quality - fast indemnity, less administrative burden</w:t>
            </w:r>
          </w:p>
        </w:tc>
        <w:tc>
          <w:tcPr>
            <w:tcW w:w="1275" w:type="dxa"/>
          </w:tcPr>
          <w:p w14:paraId="6B2AE712"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LAA</w:t>
            </w:r>
          </w:p>
        </w:tc>
        <w:tc>
          <w:tcPr>
            <w:tcW w:w="1701" w:type="dxa"/>
          </w:tcPr>
          <w:p w14:paraId="67EF9486"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LTAB,</w:t>
            </w:r>
            <w:r w:rsidRPr="00CC6B28">
              <w:rPr>
                <w:rFonts w:ascii="Times New Roman" w:eastAsia="Times New Roman" w:hAnsi="Times New Roman"/>
                <w:lang w:eastAsia="lv-LV"/>
              </w:rPr>
              <w:br/>
              <w:t xml:space="preserve">FM, VID, VRAA, VARAM, </w:t>
            </w:r>
            <w:proofErr w:type="spellStart"/>
            <w:r w:rsidRPr="00CC6B28">
              <w:rPr>
                <w:rFonts w:ascii="Times New Roman" w:eastAsia="Times New Roman" w:hAnsi="Times New Roman"/>
                <w:lang w:eastAsia="lv-LV"/>
              </w:rPr>
              <w:t>IeM</w:t>
            </w:r>
            <w:proofErr w:type="spellEnd"/>
            <w:r w:rsidRPr="00CC6B28">
              <w:rPr>
                <w:rFonts w:ascii="Times New Roman" w:eastAsia="Times New Roman" w:hAnsi="Times New Roman"/>
                <w:lang w:eastAsia="lv-LV"/>
              </w:rPr>
              <w:t>, PMLP, VM, NVD,</w:t>
            </w:r>
            <w:r w:rsidRPr="00CC6B28">
              <w:rPr>
                <w:rFonts w:ascii="Times New Roman" w:eastAsia="Times New Roman" w:hAnsi="Times New Roman"/>
                <w:lang w:eastAsia="lv-LV"/>
              </w:rPr>
              <w:br/>
              <w:t>CSDD</w:t>
            </w:r>
          </w:p>
        </w:tc>
        <w:tc>
          <w:tcPr>
            <w:tcW w:w="1985" w:type="dxa"/>
          </w:tcPr>
          <w:p w14:paraId="6D21C39A"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31.12.2019</w:t>
            </w:r>
          </w:p>
        </w:tc>
      </w:tr>
      <w:tr w:rsidR="00CE6CB9" w:rsidRPr="00CC6B28" w14:paraId="1AE9CE2C" w14:textId="77777777" w:rsidTr="00155654">
        <w:tc>
          <w:tcPr>
            <w:tcW w:w="15139" w:type="dxa"/>
            <w:gridSpan w:val="7"/>
            <w:shd w:val="clear" w:color="auto" w:fill="FFE599"/>
          </w:tcPr>
          <w:p w14:paraId="67073785" w14:textId="77777777" w:rsidR="00CE6CB9" w:rsidRPr="00CC6B28" w:rsidRDefault="00CE6CB9" w:rsidP="00155654">
            <w:pPr>
              <w:spacing w:before="20" w:afterLines="20" w:after="48"/>
              <w:rPr>
                <w:rFonts w:ascii="Times New Roman" w:hAnsi="Times New Roman"/>
                <w:b/>
              </w:rPr>
            </w:pPr>
            <w:r w:rsidRPr="00CC6B28">
              <w:rPr>
                <w:rFonts w:ascii="Times New Roman" w:hAnsi="Times New Roman"/>
                <w:b/>
              </w:rPr>
              <w:t>5.3. Expanding insurance product supply to satisfy more insurance needs</w:t>
            </w:r>
          </w:p>
        </w:tc>
      </w:tr>
      <w:tr w:rsidR="00CE6CB9" w:rsidRPr="00CC6B28" w14:paraId="45F834DC" w14:textId="77777777" w:rsidTr="00155654">
        <w:tc>
          <w:tcPr>
            <w:tcW w:w="964" w:type="dxa"/>
          </w:tcPr>
          <w:p w14:paraId="16973432"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5.3.1.</w:t>
            </w:r>
          </w:p>
        </w:tc>
        <w:tc>
          <w:tcPr>
            <w:tcW w:w="4252" w:type="dxa"/>
          </w:tcPr>
          <w:p w14:paraId="41BA1D35" w14:textId="77777777" w:rsidR="00CE6CB9" w:rsidRPr="00CC6B28" w:rsidRDefault="00CE6CB9" w:rsidP="00155654">
            <w:pPr>
              <w:spacing w:before="20" w:afterLines="20" w:after="48"/>
              <w:jc w:val="both"/>
              <w:rPr>
                <w:rFonts w:ascii="Times New Roman" w:hAnsi="Times New Roman"/>
              </w:rPr>
            </w:pPr>
            <w:r w:rsidRPr="00CC6B28">
              <w:rPr>
                <w:rFonts w:ascii="Times New Roman" w:hAnsi="Times New Roman"/>
              </w:rPr>
              <w:t>To evaluate feasibility of insurance services for atypical risks</w:t>
            </w:r>
          </w:p>
        </w:tc>
        <w:tc>
          <w:tcPr>
            <w:tcW w:w="2552" w:type="dxa"/>
          </w:tcPr>
          <w:p w14:paraId="1BFF5931"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 xml:space="preserve">Evaluation is </w:t>
            </w:r>
            <w:proofErr w:type="spellStart"/>
            <w:r w:rsidRPr="00CC6B28">
              <w:rPr>
                <w:rFonts w:ascii="Times New Roman" w:eastAsia="Times New Roman" w:hAnsi="Times New Roman"/>
                <w:lang w:eastAsia="lv-LV"/>
              </w:rPr>
              <w:t>is</w:t>
            </w:r>
            <w:proofErr w:type="spellEnd"/>
            <w:r w:rsidRPr="00CC6B28">
              <w:rPr>
                <w:rFonts w:ascii="Times New Roman" w:eastAsia="Times New Roman" w:hAnsi="Times New Roman"/>
                <w:lang w:eastAsia="lv-LV"/>
              </w:rPr>
              <w:t xml:space="preserve"> prepared</w:t>
            </w:r>
          </w:p>
        </w:tc>
        <w:tc>
          <w:tcPr>
            <w:tcW w:w="2410" w:type="dxa"/>
          </w:tcPr>
          <w:p w14:paraId="2E0D6599"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Align the offer of insurance products corresponding to the needs of society</w:t>
            </w:r>
          </w:p>
        </w:tc>
        <w:tc>
          <w:tcPr>
            <w:tcW w:w="1275" w:type="dxa"/>
          </w:tcPr>
          <w:p w14:paraId="52FF6C48"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FM</w:t>
            </w:r>
          </w:p>
        </w:tc>
        <w:tc>
          <w:tcPr>
            <w:tcW w:w="1701" w:type="dxa"/>
          </w:tcPr>
          <w:p w14:paraId="2BE9EDDC"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hAnsi="Times New Roman"/>
              </w:rPr>
              <w:t>LAA</w:t>
            </w:r>
          </w:p>
        </w:tc>
        <w:tc>
          <w:tcPr>
            <w:tcW w:w="1985" w:type="dxa"/>
          </w:tcPr>
          <w:p w14:paraId="4856D362"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31.12.2019</w:t>
            </w:r>
          </w:p>
        </w:tc>
      </w:tr>
      <w:tr w:rsidR="00CE6CB9" w:rsidRPr="00CC6B28" w14:paraId="2A8E220E" w14:textId="77777777" w:rsidTr="00155654">
        <w:tc>
          <w:tcPr>
            <w:tcW w:w="964" w:type="dxa"/>
          </w:tcPr>
          <w:p w14:paraId="5E10C917"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lastRenderedPageBreak/>
              <w:t>5.3.2.</w:t>
            </w:r>
          </w:p>
          <w:p w14:paraId="44FF6A25" w14:textId="77777777" w:rsidR="00CE6CB9" w:rsidRPr="00CC6B28" w:rsidRDefault="00CE6CB9" w:rsidP="00155654">
            <w:pPr>
              <w:spacing w:before="20" w:afterLines="20" w:after="48"/>
              <w:rPr>
                <w:rFonts w:ascii="Times New Roman" w:eastAsia="Times New Roman" w:hAnsi="Times New Roman"/>
                <w:lang w:eastAsia="lv-LV"/>
              </w:rPr>
            </w:pPr>
          </w:p>
        </w:tc>
        <w:tc>
          <w:tcPr>
            <w:tcW w:w="4252" w:type="dxa"/>
          </w:tcPr>
          <w:p w14:paraId="1597F1C6" w14:textId="77777777" w:rsidR="00CE6CB9" w:rsidRPr="00CC6B28" w:rsidRDefault="00CE6CB9" w:rsidP="00155654">
            <w:pPr>
              <w:spacing w:before="20" w:afterLines="20" w:after="48"/>
              <w:jc w:val="both"/>
              <w:rPr>
                <w:rFonts w:ascii="Times New Roman" w:eastAsia="Times New Roman" w:hAnsi="Times New Roman"/>
                <w:bCs/>
                <w:lang w:eastAsia="lv-LV"/>
              </w:rPr>
            </w:pPr>
            <w:r w:rsidRPr="00CC6B28">
              <w:rPr>
                <w:rFonts w:ascii="Times New Roman" w:eastAsia="Times New Roman" w:hAnsi="Times New Roman"/>
                <w:bCs/>
                <w:lang w:eastAsia="lv-LV"/>
              </w:rPr>
              <w:t>Further development of export guarantee schemes, with assessment of options for medium-and long-term export credit guarantee instrument implementation</w:t>
            </w:r>
          </w:p>
        </w:tc>
        <w:tc>
          <w:tcPr>
            <w:tcW w:w="2552" w:type="dxa"/>
          </w:tcPr>
          <w:p w14:paraId="0122F4BA"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Evaluation is prepared</w:t>
            </w:r>
          </w:p>
        </w:tc>
        <w:tc>
          <w:tcPr>
            <w:tcW w:w="2410" w:type="dxa"/>
          </w:tcPr>
          <w:p w14:paraId="35133519"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Providing support to companies with ability to export</w:t>
            </w:r>
          </w:p>
        </w:tc>
        <w:tc>
          <w:tcPr>
            <w:tcW w:w="1275" w:type="dxa"/>
          </w:tcPr>
          <w:p w14:paraId="3CE8DC65" w14:textId="77777777" w:rsidR="00CE6CB9" w:rsidRPr="00CC6B28" w:rsidRDefault="00CE6CB9" w:rsidP="00155654">
            <w:pPr>
              <w:rPr>
                <w:rFonts w:ascii="Times New Roman" w:eastAsia="Times New Roman" w:hAnsi="Times New Roman"/>
                <w:lang w:eastAsia="lv-LV"/>
              </w:rPr>
            </w:pPr>
            <w:r w:rsidRPr="00CC6B28">
              <w:rPr>
                <w:rFonts w:ascii="Times New Roman" w:eastAsia="Times New Roman" w:hAnsi="Times New Roman"/>
                <w:lang w:eastAsia="lv-LV"/>
              </w:rPr>
              <w:t>FM</w:t>
            </w:r>
          </w:p>
        </w:tc>
        <w:tc>
          <w:tcPr>
            <w:tcW w:w="1701" w:type="dxa"/>
          </w:tcPr>
          <w:p w14:paraId="4C5BEBA4" w14:textId="77777777" w:rsidR="00CE6CB9" w:rsidRPr="00CC6B28" w:rsidRDefault="00CE6CB9" w:rsidP="00155654">
            <w:pPr>
              <w:spacing w:before="20" w:afterLines="20" w:after="48"/>
              <w:rPr>
                <w:rFonts w:ascii="Times New Roman" w:eastAsia="Times New Roman" w:hAnsi="Times New Roman"/>
                <w:lang w:eastAsia="lv-LV"/>
              </w:rPr>
            </w:pPr>
            <w:r w:rsidRPr="00CC6B28">
              <w:rPr>
                <w:rFonts w:ascii="Times New Roman" w:eastAsia="Times New Roman" w:hAnsi="Times New Roman"/>
                <w:lang w:eastAsia="lv-LV"/>
              </w:rPr>
              <w:t>EM, ZM, ALTUM</w:t>
            </w:r>
          </w:p>
        </w:tc>
        <w:tc>
          <w:tcPr>
            <w:tcW w:w="1985" w:type="dxa"/>
          </w:tcPr>
          <w:p w14:paraId="7D6BC5BF" w14:textId="77777777" w:rsidR="00CE6CB9" w:rsidRPr="00CC6B28" w:rsidRDefault="00CE6CB9" w:rsidP="00155654">
            <w:pPr>
              <w:spacing w:before="20" w:afterLines="20" w:after="48"/>
              <w:rPr>
                <w:rFonts w:ascii="Times New Roman" w:hAnsi="Times New Roman"/>
              </w:rPr>
            </w:pPr>
            <w:r w:rsidRPr="00CC6B28">
              <w:rPr>
                <w:rFonts w:ascii="Times New Roman" w:hAnsi="Times New Roman"/>
              </w:rPr>
              <w:t>31.12.2018</w:t>
            </w:r>
          </w:p>
        </w:tc>
      </w:tr>
    </w:tbl>
    <w:p w14:paraId="29BD3BB1" w14:textId="77777777" w:rsidR="00CE6CB9" w:rsidRPr="00CC6B28" w:rsidRDefault="00CE6CB9" w:rsidP="00CE6CB9">
      <w:pPr>
        <w:spacing w:after="0" w:line="240" w:lineRule="auto"/>
        <w:jc w:val="both"/>
        <w:rPr>
          <w:rFonts w:ascii="Times New Roman" w:eastAsia="Times New Roman" w:hAnsi="Times New Roman"/>
          <w:b/>
          <w:color w:val="000000"/>
          <w:sz w:val="24"/>
          <w:szCs w:val="24"/>
          <w:lang w:eastAsia="lv-LV"/>
        </w:rPr>
      </w:pPr>
    </w:p>
    <w:p w14:paraId="5BA7CF83" w14:textId="77777777" w:rsidR="00CE6CB9" w:rsidRPr="00CC6B28" w:rsidRDefault="00CE6CB9" w:rsidP="00CE6CB9">
      <w:pPr>
        <w:spacing w:after="0" w:line="240" w:lineRule="auto"/>
        <w:jc w:val="both"/>
        <w:rPr>
          <w:rFonts w:ascii="Times New Roman" w:eastAsia="Times New Roman" w:hAnsi="Times New Roman"/>
          <w:b/>
          <w:color w:val="000000"/>
          <w:sz w:val="24"/>
          <w:szCs w:val="24"/>
          <w:lang w:eastAsia="lv-LV"/>
        </w:rPr>
      </w:pPr>
    </w:p>
    <w:p w14:paraId="4FD0C91A" w14:textId="77777777" w:rsidR="00CE6CB9" w:rsidRPr="00CC6B28" w:rsidRDefault="00CE6CB9" w:rsidP="00CE6CB9">
      <w:pPr>
        <w:spacing w:after="0" w:line="240" w:lineRule="auto"/>
        <w:jc w:val="both"/>
        <w:rPr>
          <w:rFonts w:ascii="Times New Roman" w:eastAsia="Times New Roman" w:hAnsi="Times New Roman"/>
          <w:b/>
          <w:color w:val="000000"/>
          <w:sz w:val="24"/>
          <w:szCs w:val="24"/>
          <w:lang w:eastAsia="lv-LV"/>
        </w:rPr>
      </w:pPr>
    </w:p>
    <w:p w14:paraId="588CFB03" w14:textId="77777777" w:rsidR="00CE6CB9" w:rsidRPr="00236568" w:rsidRDefault="00CE6CB9" w:rsidP="00DE5FE5">
      <w:pPr>
        <w:spacing w:line="240" w:lineRule="auto"/>
      </w:pPr>
    </w:p>
    <w:sectPr w:rsidR="00CE6CB9" w:rsidRPr="00236568" w:rsidSect="00CE6CB9">
      <w:pgSz w:w="16840" w:h="11907" w:orient="landscape" w:code="9"/>
      <w:pgMar w:top="1701" w:right="1418" w:bottom="1134" w:left="1134"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189AE" w14:textId="77777777" w:rsidR="00007843" w:rsidRDefault="00007843" w:rsidP="00DE199D">
      <w:pPr>
        <w:spacing w:after="0" w:line="240" w:lineRule="auto"/>
      </w:pPr>
      <w:r>
        <w:separator/>
      </w:r>
    </w:p>
  </w:endnote>
  <w:endnote w:type="continuationSeparator" w:id="0">
    <w:p w14:paraId="248F4B3F" w14:textId="77777777" w:rsidR="00007843" w:rsidRDefault="00007843" w:rsidP="00DE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04DD" w14:textId="77777777" w:rsidR="00DE5FE5" w:rsidRDefault="00DE5FE5" w:rsidP="00E40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CE6288" w14:textId="77777777" w:rsidR="00DE5FE5" w:rsidRDefault="00DE5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48816"/>
      <w:docPartObj>
        <w:docPartGallery w:val="Page Numbers (Bottom of Page)"/>
        <w:docPartUnique/>
      </w:docPartObj>
    </w:sdtPr>
    <w:sdtEndPr>
      <w:rPr>
        <w:noProof/>
      </w:rPr>
    </w:sdtEndPr>
    <w:sdtContent>
      <w:p w14:paraId="161F7B0F" w14:textId="571ABDB6" w:rsidR="00F40376" w:rsidRDefault="00F40376">
        <w:pPr>
          <w:pStyle w:val="Footer"/>
          <w:jc w:val="center"/>
        </w:pPr>
        <w:r>
          <w:fldChar w:fldCharType="begin"/>
        </w:r>
        <w:r>
          <w:instrText xml:space="preserve"> PAGE   \* MERGEFORMAT </w:instrText>
        </w:r>
        <w:r>
          <w:fldChar w:fldCharType="separate"/>
        </w:r>
        <w:r w:rsidR="00CE6CB9">
          <w:rPr>
            <w:noProof/>
          </w:rPr>
          <w:t>21</w:t>
        </w:r>
        <w:r>
          <w:rPr>
            <w:noProof/>
          </w:rPr>
          <w:fldChar w:fldCharType="end"/>
        </w:r>
      </w:p>
    </w:sdtContent>
  </w:sdt>
  <w:p w14:paraId="55EBFE03" w14:textId="77777777" w:rsidR="00DE5FE5" w:rsidRDefault="00DE5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FEA2B" w14:textId="77777777" w:rsidR="00007843" w:rsidRDefault="00007843" w:rsidP="00DE199D">
      <w:pPr>
        <w:spacing w:after="0" w:line="240" w:lineRule="auto"/>
      </w:pPr>
      <w:r>
        <w:separator/>
      </w:r>
    </w:p>
  </w:footnote>
  <w:footnote w:type="continuationSeparator" w:id="0">
    <w:p w14:paraId="7CCA8D62" w14:textId="77777777" w:rsidR="00007843" w:rsidRDefault="00007843" w:rsidP="00DE199D">
      <w:pPr>
        <w:spacing w:after="0" w:line="240" w:lineRule="auto"/>
      </w:pPr>
      <w:r>
        <w:continuationSeparator/>
      </w:r>
    </w:p>
  </w:footnote>
  <w:footnote w:id="1">
    <w:p w14:paraId="62573256" w14:textId="4DFA6730" w:rsidR="00DE5FE5" w:rsidRPr="00236568" w:rsidRDefault="00DE5FE5">
      <w:pPr>
        <w:pStyle w:val="FootnoteText"/>
        <w:rPr>
          <w:lang w:val="en-GB"/>
        </w:rPr>
      </w:pPr>
      <w:r w:rsidRPr="00A00D93">
        <w:rPr>
          <w:rStyle w:val="FootnoteReference"/>
        </w:rPr>
        <w:footnoteRef/>
      </w:r>
      <w:r w:rsidRPr="00A00D93">
        <w:t xml:space="preserve"> </w:t>
      </w:r>
      <w:proofErr w:type="spellStart"/>
      <w:r>
        <w:t>Data</w:t>
      </w:r>
      <w:proofErr w:type="spellEnd"/>
      <w:r>
        <w:t xml:space="preserve"> </w:t>
      </w:r>
      <w:proofErr w:type="spellStart"/>
      <w:r>
        <w:t>of</w:t>
      </w:r>
      <w:proofErr w:type="spellEnd"/>
      <w:r>
        <w:t xml:space="preserve"> </w:t>
      </w:r>
      <w:proofErr w:type="spellStart"/>
      <w:r>
        <w:t>the</w:t>
      </w:r>
      <w:proofErr w:type="spellEnd"/>
      <w:r>
        <w:t xml:space="preserve"> </w:t>
      </w:r>
      <w:r w:rsidRPr="00236568">
        <w:rPr>
          <w:lang w:val="en-GB"/>
        </w:rPr>
        <w:t xml:space="preserve">Bank of Latvia and </w:t>
      </w:r>
      <w:r>
        <w:rPr>
          <w:lang w:val="en-GB"/>
        </w:rPr>
        <w:t xml:space="preserve">the </w:t>
      </w:r>
      <w:r w:rsidRPr="00236568">
        <w:rPr>
          <w:lang w:val="en-GB"/>
        </w:rPr>
        <w:t xml:space="preserve">Latvian Central </w:t>
      </w:r>
      <w:r>
        <w:rPr>
          <w:lang w:val="en-GB"/>
        </w:rPr>
        <w:t>D</w:t>
      </w:r>
      <w:r w:rsidRPr="00236568">
        <w:rPr>
          <w:lang w:val="en-GB"/>
        </w:rPr>
        <w:t>epository, 30 June 2016. Total assets of financial sector (FCMC supervised and unsupervised institutions) at the end of 1st half 2016 was 39.9 billion euro, but including Nasdaq Riga stock exchange market (public securities) – 42.9 billion euro;</w:t>
      </w:r>
    </w:p>
  </w:footnote>
  <w:footnote w:id="2">
    <w:p w14:paraId="4632FBB0" w14:textId="1A557515" w:rsidR="00DE5FE5" w:rsidRPr="00236568" w:rsidRDefault="00DE5FE5" w:rsidP="006C6235">
      <w:pPr>
        <w:pStyle w:val="FootnoteText"/>
        <w:rPr>
          <w:lang w:val="en-GB"/>
        </w:rPr>
      </w:pPr>
      <w:r w:rsidRPr="00236568">
        <w:rPr>
          <w:rStyle w:val="FootnoteReference"/>
          <w:lang w:val="en-GB"/>
        </w:rPr>
        <w:footnoteRef/>
      </w:r>
      <w:r w:rsidRPr="00236568">
        <w:rPr>
          <w:lang w:val="en-GB"/>
        </w:rPr>
        <w:t xml:space="preserve"> European Commission, Economic Analysis Accompanying the document Communication from the Commission to the European Parliament, the Council, the European Economic and Social Committee and the Committee of the Regions Action Plan on Building a Capital Markets Union. http://ec.europa.eu/finance/capital-markets-union/docs/building-cmu-economic-analysis_</w:t>
      </w:r>
      <w:proofErr w:type="gramStart"/>
      <w:r w:rsidRPr="00236568">
        <w:rPr>
          <w:lang w:val="en-GB"/>
        </w:rPr>
        <w:t>en.pdf  30.09.2015</w:t>
      </w:r>
      <w:proofErr w:type="gramEnd"/>
      <w:r w:rsidRPr="00236568">
        <w:rPr>
          <w:lang w:val="en-GB"/>
        </w:rPr>
        <w:t>., 99.-100 page. Financial sector assets in Estonia 154.7% from GDP, in Lithuania 94.9% (average from 2013 to 2015).</w:t>
      </w:r>
    </w:p>
  </w:footnote>
  <w:footnote w:id="3">
    <w:p w14:paraId="4FB53D4B" w14:textId="5B795588" w:rsidR="00DE5FE5" w:rsidRPr="00DE5FE5" w:rsidRDefault="00DE5FE5">
      <w:pPr>
        <w:pStyle w:val="FootnoteText"/>
        <w:rPr>
          <w:lang w:val="en-GB"/>
        </w:rPr>
      </w:pPr>
      <w:r w:rsidRPr="00DE5FE5">
        <w:rPr>
          <w:rStyle w:val="FootnoteReference"/>
          <w:lang w:val="en-GB"/>
        </w:rPr>
        <w:footnoteRef/>
      </w:r>
      <w:r w:rsidRPr="00DE5FE5">
        <w:rPr>
          <w:lang w:val="en-GB"/>
        </w:rPr>
        <w:t xml:space="preserve"> World Bank report on Non-resident (</w:t>
      </w:r>
      <w:r w:rsidRPr="00EB4BDB">
        <w:rPr>
          <w:lang w:val="en-GB"/>
        </w:rPr>
        <w:t>foreign</w:t>
      </w:r>
      <w:r w:rsidRPr="00DE5FE5">
        <w:rPr>
          <w:lang w:val="en-GB"/>
        </w:rPr>
        <w:t xml:space="preserve"> client) Banking sector in Latvia, 15 June 2016, page 2.</w:t>
      </w:r>
    </w:p>
  </w:footnote>
  <w:footnote w:id="4">
    <w:p w14:paraId="375312A2" w14:textId="58D3375E" w:rsidR="00DE5FE5" w:rsidRPr="00DE5FE5" w:rsidRDefault="00DE5FE5">
      <w:pPr>
        <w:pStyle w:val="FootnoteText"/>
        <w:rPr>
          <w:lang w:val="en-GB"/>
        </w:rPr>
      </w:pPr>
      <w:r w:rsidRPr="00DE5FE5">
        <w:rPr>
          <w:rStyle w:val="FootnoteReference"/>
          <w:lang w:val="en-GB"/>
        </w:rPr>
        <w:footnoteRef/>
      </w:r>
      <w:r w:rsidRPr="00DE5FE5">
        <w:rPr>
          <w:lang w:val="en-GB"/>
        </w:rPr>
        <w:t xml:space="preserve"> FCMC data on 30 June 2016 and calculations; According to data on December</w:t>
      </w:r>
      <w:r>
        <w:rPr>
          <w:lang w:val="en-GB"/>
        </w:rPr>
        <w:t xml:space="preserve"> </w:t>
      </w:r>
      <w:r w:rsidRPr="00F5388F">
        <w:rPr>
          <w:lang w:val="en-GB"/>
        </w:rPr>
        <w:t>2015</w:t>
      </w:r>
      <w:r w:rsidRPr="00DE5FE5">
        <w:rPr>
          <w:lang w:val="en-GB"/>
        </w:rPr>
        <w:t xml:space="preserve">, foreign client turnover has been two times larger than domestic client turnover. </w:t>
      </w:r>
    </w:p>
  </w:footnote>
  <w:footnote w:id="5">
    <w:p w14:paraId="11D33507" w14:textId="1E4EC78B" w:rsidR="00DE5FE5" w:rsidRPr="00DE5FE5" w:rsidRDefault="00DE5FE5">
      <w:pPr>
        <w:pStyle w:val="FootnoteText"/>
        <w:rPr>
          <w:lang w:val="en-GB"/>
        </w:rPr>
      </w:pPr>
      <w:r w:rsidRPr="00DE5FE5">
        <w:rPr>
          <w:rStyle w:val="FootnoteReference"/>
          <w:lang w:val="en-GB"/>
        </w:rPr>
        <w:footnoteRef/>
      </w:r>
      <w:r w:rsidRPr="00DE5FE5">
        <w:rPr>
          <w:lang w:val="en-GB"/>
        </w:rPr>
        <w:t xml:space="preserve"> FCMC report on Financial and Capital market in the 2</w:t>
      </w:r>
      <w:r w:rsidRPr="00DE5FE5">
        <w:rPr>
          <w:vertAlign w:val="superscript"/>
          <w:lang w:val="en-GB"/>
        </w:rPr>
        <w:t>nd</w:t>
      </w:r>
      <w:r w:rsidRPr="00DE5FE5">
        <w:rPr>
          <w:lang w:val="en-GB"/>
        </w:rPr>
        <w:t xml:space="preserve"> Quarter, 2016.</w:t>
      </w:r>
    </w:p>
  </w:footnote>
  <w:footnote w:id="6">
    <w:p w14:paraId="08FEB556" w14:textId="39FFFFBE" w:rsidR="00DE5FE5" w:rsidRPr="00DE5FE5" w:rsidRDefault="00DE5FE5">
      <w:pPr>
        <w:pStyle w:val="FootnoteText"/>
        <w:rPr>
          <w:lang w:val="en-GB"/>
        </w:rPr>
      </w:pPr>
      <w:r w:rsidRPr="00DE5FE5">
        <w:rPr>
          <w:rStyle w:val="FootnoteReference"/>
          <w:lang w:val="en-GB"/>
        </w:rPr>
        <w:footnoteRef/>
      </w:r>
      <w:r w:rsidRPr="00DE5FE5">
        <w:rPr>
          <w:lang w:val="en-GB"/>
        </w:rPr>
        <w:t xml:space="preserve"> FCMC data on 30 June 2016 and calculations; According to data on December</w:t>
      </w:r>
      <w:r>
        <w:rPr>
          <w:lang w:val="en-GB"/>
        </w:rPr>
        <w:t xml:space="preserve"> </w:t>
      </w:r>
      <w:r w:rsidRPr="00006751">
        <w:rPr>
          <w:lang w:val="en-GB"/>
        </w:rPr>
        <w:t>2015</w:t>
      </w:r>
      <w:r w:rsidRPr="00DE5FE5">
        <w:rPr>
          <w:lang w:val="en-GB"/>
        </w:rPr>
        <w:t>, foreign client turnover has been two times larger than domestic client turnover.</w:t>
      </w:r>
    </w:p>
  </w:footnote>
  <w:footnote w:id="7">
    <w:p w14:paraId="48B855DA" w14:textId="288DB5E9" w:rsidR="00DE5FE5" w:rsidRDefault="00DE5FE5">
      <w:pPr>
        <w:pStyle w:val="FootnoteText"/>
      </w:pPr>
      <w:r w:rsidRPr="00DE5FE5">
        <w:rPr>
          <w:rStyle w:val="FootnoteReference"/>
          <w:lang w:val="en-GB"/>
        </w:rPr>
        <w:footnoteRef/>
      </w:r>
      <w:r w:rsidRPr="00DE5FE5">
        <w:rPr>
          <w:lang w:val="en-GB"/>
        </w:rPr>
        <w:t xml:space="preserve"> Consultative Report, Correspondent Banking, Committee on Payments and Market Infrastructures, Bank for International Settlement, October 2015, p.8</w:t>
      </w:r>
      <w:r>
        <w:rPr>
          <w:lang w:val="en-GB"/>
        </w:rPr>
        <w:t>.</w:t>
      </w:r>
    </w:p>
  </w:footnote>
  <w:footnote w:id="8">
    <w:p w14:paraId="62C25699" w14:textId="06D43A8F" w:rsidR="00DE5FE5" w:rsidRDefault="00DE5FE5">
      <w:pPr>
        <w:pStyle w:val="FootnoteText"/>
      </w:pPr>
      <w:r>
        <w:rPr>
          <w:rStyle w:val="FootnoteReference"/>
        </w:rPr>
        <w:footnoteRef/>
      </w:r>
      <w:r>
        <w:t xml:space="preserve"> </w:t>
      </w:r>
      <w:proofErr w:type="spellStart"/>
      <w:r w:rsidRPr="00DE5FE5">
        <w:t>The</w:t>
      </w:r>
      <w:proofErr w:type="spellEnd"/>
      <w:r w:rsidRPr="00DE5FE5">
        <w:t xml:space="preserve"> </w:t>
      </w:r>
      <w:proofErr w:type="spellStart"/>
      <w:r w:rsidRPr="00DE5FE5">
        <w:t>Action</w:t>
      </w:r>
      <w:proofErr w:type="spellEnd"/>
      <w:r w:rsidRPr="00DE5FE5">
        <w:t xml:space="preserve"> </w:t>
      </w:r>
      <w:proofErr w:type="spellStart"/>
      <w:r w:rsidRPr="00DE5FE5">
        <w:t>Plan</w:t>
      </w:r>
      <w:proofErr w:type="spellEnd"/>
      <w:r w:rsidRPr="00DE5FE5">
        <w:t xml:space="preserve"> </w:t>
      </w:r>
      <w:proofErr w:type="spellStart"/>
      <w:r w:rsidRPr="00DE5FE5">
        <w:t>on</w:t>
      </w:r>
      <w:proofErr w:type="spellEnd"/>
      <w:r w:rsidRPr="00DE5FE5">
        <w:t xml:space="preserve"> </w:t>
      </w:r>
      <w:proofErr w:type="spellStart"/>
      <w:r w:rsidRPr="00DE5FE5">
        <w:t>the</w:t>
      </w:r>
      <w:proofErr w:type="spellEnd"/>
      <w:r w:rsidRPr="00DE5FE5">
        <w:t xml:space="preserve"> </w:t>
      </w:r>
      <w:proofErr w:type="spellStart"/>
      <w:r w:rsidRPr="00DE5FE5">
        <w:t>Declaration</w:t>
      </w:r>
      <w:proofErr w:type="spellEnd"/>
      <w:r w:rsidRPr="00DE5FE5">
        <w:t xml:space="preserve"> </w:t>
      </w:r>
      <w:proofErr w:type="spellStart"/>
      <w:r w:rsidRPr="00DE5FE5">
        <w:t>of</w:t>
      </w:r>
      <w:proofErr w:type="spellEnd"/>
      <w:r w:rsidRPr="00DE5FE5">
        <w:t xml:space="preserve"> </w:t>
      </w:r>
      <w:proofErr w:type="spellStart"/>
      <w:r w:rsidRPr="00DE5FE5">
        <w:t>the</w:t>
      </w:r>
      <w:proofErr w:type="spellEnd"/>
      <w:r w:rsidRPr="00DE5FE5">
        <w:t xml:space="preserve"> </w:t>
      </w:r>
      <w:proofErr w:type="spellStart"/>
      <w:r w:rsidRPr="00DE5FE5">
        <w:t>Intended</w:t>
      </w:r>
      <w:proofErr w:type="spellEnd"/>
      <w:r w:rsidRPr="00DE5FE5">
        <w:t xml:space="preserve"> </w:t>
      </w:r>
      <w:proofErr w:type="spellStart"/>
      <w:r w:rsidRPr="00DE5FE5">
        <w:t>Activities</w:t>
      </w:r>
      <w:proofErr w:type="spellEnd"/>
      <w:r w:rsidRPr="00DE5FE5">
        <w:t xml:space="preserve"> </w:t>
      </w:r>
      <w:proofErr w:type="spellStart"/>
      <w:r w:rsidRPr="00DE5FE5">
        <w:t>of</w:t>
      </w:r>
      <w:proofErr w:type="spellEnd"/>
      <w:r w:rsidRPr="00DE5FE5">
        <w:t xml:space="preserve"> </w:t>
      </w:r>
      <w:proofErr w:type="spellStart"/>
      <w:r w:rsidRPr="00DE5FE5">
        <w:t>the</w:t>
      </w:r>
      <w:proofErr w:type="spellEnd"/>
      <w:r w:rsidRPr="00DE5FE5">
        <w:t xml:space="preserve"> </w:t>
      </w:r>
      <w:proofErr w:type="spellStart"/>
      <w:r w:rsidRPr="00DE5FE5">
        <w:t>Cabinet</w:t>
      </w:r>
      <w:proofErr w:type="spellEnd"/>
      <w:r w:rsidRPr="00DE5FE5">
        <w:t xml:space="preserve"> </w:t>
      </w:r>
      <w:proofErr w:type="spellStart"/>
      <w:r w:rsidRPr="00DE5FE5">
        <w:t>of</w:t>
      </w:r>
      <w:proofErr w:type="spellEnd"/>
      <w:r w:rsidRPr="00DE5FE5">
        <w:t xml:space="preserve"> </w:t>
      </w:r>
      <w:proofErr w:type="spellStart"/>
      <w:r w:rsidRPr="00DE5FE5">
        <w:t>Ministers</w:t>
      </w:r>
      <w:proofErr w:type="spellEnd"/>
      <w:r w:rsidRPr="00DE5FE5">
        <w:t xml:space="preserve"> </w:t>
      </w:r>
      <w:proofErr w:type="spellStart"/>
      <w:r w:rsidRPr="00DE5FE5">
        <w:t>Headed</w:t>
      </w:r>
      <w:proofErr w:type="spellEnd"/>
      <w:r w:rsidRPr="00DE5FE5">
        <w:t xml:space="preserve"> </w:t>
      </w:r>
      <w:proofErr w:type="spellStart"/>
      <w:r w:rsidRPr="00DE5FE5">
        <w:t>by</w:t>
      </w:r>
      <w:proofErr w:type="spellEnd"/>
      <w:r w:rsidRPr="00DE5FE5">
        <w:t xml:space="preserve"> </w:t>
      </w:r>
      <w:proofErr w:type="spellStart"/>
      <w:r w:rsidRPr="00DE5FE5">
        <w:t>Mr</w:t>
      </w:r>
      <w:proofErr w:type="spellEnd"/>
      <w:r w:rsidRPr="00DE5FE5">
        <w:t xml:space="preserve">. Māris Kučinskis, </w:t>
      </w:r>
      <w:proofErr w:type="spellStart"/>
      <w:r w:rsidRPr="00DE5FE5">
        <w:t>approved</w:t>
      </w:r>
      <w:proofErr w:type="spellEnd"/>
      <w:r w:rsidRPr="00DE5FE5">
        <w:t xml:space="preserve"> </w:t>
      </w:r>
      <w:proofErr w:type="spellStart"/>
      <w:r w:rsidRPr="00DE5FE5">
        <w:t>by</w:t>
      </w:r>
      <w:proofErr w:type="spellEnd"/>
      <w:r w:rsidRPr="00DE5FE5">
        <w:t xml:space="preserve"> </w:t>
      </w:r>
      <w:proofErr w:type="spellStart"/>
      <w:r w:rsidRPr="00DE5FE5">
        <w:t>the</w:t>
      </w:r>
      <w:proofErr w:type="spellEnd"/>
      <w:r w:rsidRPr="00DE5FE5">
        <w:t xml:space="preserve"> </w:t>
      </w:r>
      <w:proofErr w:type="spellStart"/>
      <w:r w:rsidRPr="00DE5FE5">
        <w:t>Cabinet</w:t>
      </w:r>
      <w:proofErr w:type="spellEnd"/>
      <w:r w:rsidRPr="00DE5FE5">
        <w:t xml:space="preserve"> </w:t>
      </w:r>
      <w:proofErr w:type="spellStart"/>
      <w:r w:rsidRPr="00DE5FE5">
        <w:t>Order</w:t>
      </w:r>
      <w:proofErr w:type="spellEnd"/>
      <w:r w:rsidRPr="00DE5FE5">
        <w:t xml:space="preserve"> No. 275 </w:t>
      </w:r>
      <w:proofErr w:type="spellStart"/>
      <w:r w:rsidRPr="00DE5FE5">
        <w:t>on</w:t>
      </w:r>
      <w:proofErr w:type="spellEnd"/>
      <w:r w:rsidRPr="00DE5FE5">
        <w:t xml:space="preserve"> 3rd </w:t>
      </w:r>
      <w:proofErr w:type="spellStart"/>
      <w:r w:rsidRPr="00DE5FE5">
        <w:t>May</w:t>
      </w:r>
      <w:proofErr w:type="spellEnd"/>
      <w:r w:rsidRPr="00DE5FE5">
        <w:t xml:space="preserve"> 2016, </w:t>
      </w:r>
      <w:r w:rsidRPr="003940B3">
        <w:t xml:space="preserve">http://likumi.lv/ta/id/281943-par-valdibas-ricibas-planu-deklaracijas-par-mara-kucinska-vadita-ministru-kabineta-iecereto-darbibu-istenosanai, </w:t>
      </w:r>
      <w:proofErr w:type="spellStart"/>
      <w:r w:rsidR="00E56FFC">
        <w:t>Article</w:t>
      </w:r>
      <w:proofErr w:type="spellEnd"/>
      <w:r w:rsidR="00E56FFC">
        <w:t xml:space="preserve"> 51, </w:t>
      </w:r>
      <w:proofErr w:type="spellStart"/>
      <w:r w:rsidR="00E56FFC">
        <w:t>Measure</w:t>
      </w:r>
      <w:proofErr w:type="spellEnd"/>
      <w:r w:rsidR="00E56FFC">
        <w:t xml:space="preserve"> 51.1. </w:t>
      </w:r>
    </w:p>
  </w:footnote>
  <w:footnote w:id="9">
    <w:p w14:paraId="54811395" w14:textId="77777777" w:rsidR="00DE5FE5" w:rsidRDefault="00DE5FE5">
      <w:pPr>
        <w:pStyle w:val="FootnoteText"/>
      </w:pPr>
      <w:r>
        <w:rPr>
          <w:rStyle w:val="FootnoteReference"/>
        </w:rPr>
        <w:footnoteRef/>
      </w:r>
      <w:r>
        <w:t xml:space="preserve"> </w:t>
      </w:r>
      <w:proofErr w:type="spellStart"/>
      <w:r>
        <w:t>Bank</w:t>
      </w:r>
      <w:proofErr w:type="spellEnd"/>
      <w:r>
        <w:t xml:space="preserve"> </w:t>
      </w:r>
      <w:proofErr w:type="spellStart"/>
      <w:r>
        <w:t>of</w:t>
      </w:r>
      <w:proofErr w:type="spellEnd"/>
      <w:r>
        <w:t xml:space="preserve"> Latvia </w:t>
      </w:r>
      <w:proofErr w:type="spellStart"/>
      <w:r>
        <w:t>data</w:t>
      </w:r>
      <w:proofErr w:type="spellEnd"/>
      <w:r>
        <w:t>.</w:t>
      </w:r>
    </w:p>
  </w:footnote>
  <w:footnote w:id="10">
    <w:p w14:paraId="76D91976" w14:textId="2D02F9C3" w:rsidR="00DE5FE5" w:rsidRPr="00DE5FE5" w:rsidRDefault="00DE5FE5">
      <w:pPr>
        <w:pStyle w:val="FootnoteText"/>
        <w:rPr>
          <w:lang w:val="en-GB"/>
        </w:rPr>
      </w:pPr>
      <w:r>
        <w:rPr>
          <w:rStyle w:val="FootnoteReference"/>
        </w:rPr>
        <w:footnoteRef/>
      </w:r>
      <w:r>
        <w:t xml:space="preserve"> </w:t>
      </w:r>
      <w:r w:rsidRPr="00DE5FE5">
        <w:rPr>
          <w:lang w:val="en-GB"/>
        </w:rPr>
        <w:t xml:space="preserve">Ministry of Finance forecast, GDP growth in 2017- 2019 (2017 – 3.5%, 2018 – 3.4%, 2019 – 3.4%).  Taking into account that credit growth was 0.1% at the end 2015, </w:t>
      </w:r>
      <w:proofErr w:type="gramStart"/>
      <w:r w:rsidRPr="00DE5FE5">
        <w:rPr>
          <w:lang w:val="en-GB"/>
        </w:rPr>
        <w:t>then</w:t>
      </w:r>
      <w:proofErr w:type="gramEnd"/>
      <w:r w:rsidRPr="00DE5FE5">
        <w:rPr>
          <w:lang w:val="en-GB"/>
        </w:rPr>
        <w:t xml:space="preserve"> credit growth to be in line with GDP growth should reach at least 10% in three years. </w:t>
      </w:r>
    </w:p>
  </w:footnote>
  <w:footnote w:id="11">
    <w:p w14:paraId="01B2B803"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Ministry of Finance calculations, 31.12.2015.</w:t>
      </w:r>
    </w:p>
  </w:footnote>
  <w:footnote w:id="12">
    <w:p w14:paraId="4049ED2F" w14:textId="77777777" w:rsidR="00DE5FE5" w:rsidRDefault="00DE5FE5">
      <w:pPr>
        <w:pStyle w:val="FootnoteText"/>
      </w:pPr>
      <w:r w:rsidRPr="00DE5FE5">
        <w:rPr>
          <w:rStyle w:val="FootnoteReference"/>
          <w:lang w:val="en-GB"/>
        </w:rPr>
        <w:footnoteRef/>
      </w:r>
      <w:r w:rsidRPr="00DE5FE5">
        <w:rPr>
          <w:lang w:val="en-GB"/>
        </w:rPr>
        <w:t xml:space="preserve"> Ministry of Economics. Market Gap Assessment, 2014, Page </w:t>
      </w:r>
      <w:proofErr w:type="gramStart"/>
      <w:r w:rsidRPr="00DE5FE5">
        <w:rPr>
          <w:lang w:val="en-GB"/>
        </w:rPr>
        <w:t>59.;</w:t>
      </w:r>
      <w:proofErr w:type="gramEnd"/>
      <w:r w:rsidRPr="003940B3">
        <w:t xml:space="preserve">  </w:t>
      </w:r>
    </w:p>
  </w:footnote>
  <w:footnote w:id="13">
    <w:p w14:paraId="6F1CF05A" w14:textId="77777777" w:rsidR="00DE5FE5" w:rsidRPr="00DE5FE5" w:rsidRDefault="00DE5FE5">
      <w:pPr>
        <w:pStyle w:val="FootnoteText"/>
        <w:rPr>
          <w:lang w:val="en-GB"/>
        </w:rPr>
      </w:pPr>
      <w:r>
        <w:rPr>
          <w:rStyle w:val="FootnoteReference"/>
        </w:rPr>
        <w:footnoteRef/>
      </w:r>
      <w:r>
        <w:t xml:space="preserve"> </w:t>
      </w:r>
      <w:r w:rsidRPr="00DE5FE5">
        <w:rPr>
          <w:lang w:val="en-GB"/>
        </w:rPr>
        <w:t>See previous, Page 82.</w:t>
      </w:r>
    </w:p>
  </w:footnote>
  <w:footnote w:id="14">
    <w:p w14:paraId="443D9A17" w14:textId="77777777" w:rsidR="00DE5FE5" w:rsidRDefault="00DE5FE5">
      <w:pPr>
        <w:pStyle w:val="FootnoteText"/>
      </w:pPr>
      <w:r w:rsidRPr="00DE5FE5">
        <w:rPr>
          <w:rStyle w:val="FootnoteReference"/>
          <w:lang w:val="en-GB"/>
        </w:rPr>
        <w:footnoteRef/>
      </w:r>
      <w:r w:rsidRPr="00DE5FE5">
        <w:rPr>
          <w:lang w:val="en-GB"/>
        </w:rPr>
        <w:t xml:space="preserve"> The Cabinet of Ministers, Informative </w:t>
      </w:r>
      <w:proofErr w:type="gramStart"/>
      <w:r w:rsidRPr="00DE5FE5">
        <w:rPr>
          <w:lang w:val="en-GB"/>
        </w:rPr>
        <w:t>Report</w:t>
      </w:r>
      <w:proofErr w:type="gramEnd"/>
      <w:r w:rsidRPr="00DE5FE5">
        <w:rPr>
          <w:lang w:val="en-GB"/>
        </w:rPr>
        <w:t xml:space="preserve"> “On the necessary action and designation of competent institutions, in order to ensure the implementation of the Investment plan prepared by the European Commission”, 2 June 2015. Page 2;</w:t>
      </w:r>
    </w:p>
  </w:footnote>
  <w:footnote w:id="15">
    <w:p w14:paraId="0A4D45B1" w14:textId="77777777" w:rsidR="00DE5FE5" w:rsidRPr="00DE5FE5" w:rsidRDefault="00DE5FE5">
      <w:pPr>
        <w:pStyle w:val="FootnoteText"/>
        <w:rPr>
          <w:lang w:val="en-GB"/>
        </w:rPr>
      </w:pPr>
      <w:r>
        <w:rPr>
          <w:rStyle w:val="FootnoteReference"/>
        </w:rPr>
        <w:footnoteRef/>
      </w:r>
      <w:r>
        <w:t xml:space="preserve"> </w:t>
      </w:r>
      <w:r w:rsidRPr="00DE5FE5">
        <w:rPr>
          <w:lang w:val="en-GB"/>
        </w:rPr>
        <w:t>Banking and Finance, Capital Markets in the EU, Capital Markets Factsheet, 30.09.2015, European Commission, Page 2.</w:t>
      </w:r>
    </w:p>
  </w:footnote>
  <w:footnote w:id="16">
    <w:p w14:paraId="517748E7"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Banking and Finance, Capital Markets in the EU, Capital Markets Factsheet, 30.09.2015, European Commission Page </w:t>
      </w:r>
      <w:proofErr w:type="gramStart"/>
      <w:r w:rsidRPr="00DE5FE5">
        <w:rPr>
          <w:lang w:val="en-GB"/>
        </w:rPr>
        <w:t>1.;</w:t>
      </w:r>
      <w:proofErr w:type="gramEnd"/>
    </w:p>
  </w:footnote>
  <w:footnote w:id="17">
    <w:p w14:paraId="5CBC1D57" w14:textId="77777777" w:rsidR="00DE5FE5" w:rsidRPr="00DE5FE5" w:rsidRDefault="00DE5FE5" w:rsidP="00DF6BD0">
      <w:pPr>
        <w:pStyle w:val="FootnoteText"/>
        <w:rPr>
          <w:lang w:val="en-GB"/>
        </w:rPr>
      </w:pPr>
      <w:r w:rsidRPr="00DE5FE5">
        <w:rPr>
          <w:rStyle w:val="FootnoteReference"/>
          <w:lang w:val="en-GB"/>
        </w:rPr>
        <w:footnoteRef/>
      </w:r>
      <w:r w:rsidRPr="00DE5FE5">
        <w:rPr>
          <w:lang w:val="en-GB"/>
        </w:rPr>
        <w:t xml:space="preserve"> Statistics on securities market, 2015, Latvian Central Depository, Page 4;</w:t>
      </w:r>
    </w:p>
  </w:footnote>
  <w:footnote w:id="18">
    <w:p w14:paraId="474BD6DA"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Statistics on securities market, 2015, Latvian Central Depository, Page 4;</w:t>
      </w:r>
    </w:p>
  </w:footnote>
  <w:footnote w:id="19">
    <w:p w14:paraId="437E546B" w14:textId="77777777" w:rsidR="00DE5FE5" w:rsidRDefault="00DE5FE5">
      <w:pPr>
        <w:pStyle w:val="FootnoteText"/>
      </w:pPr>
      <w:r w:rsidRPr="00DE5FE5">
        <w:rPr>
          <w:rStyle w:val="FootnoteReference"/>
          <w:lang w:val="en-GB"/>
        </w:rPr>
        <w:footnoteRef/>
      </w:r>
      <w:r w:rsidRPr="00DE5FE5">
        <w:rPr>
          <w:lang w:val="en-GB"/>
        </w:rPr>
        <w:t xml:space="preserve"> Statistics on securities market, 2015, Latvian Central Depository, Page 4;</w:t>
      </w:r>
      <w:r>
        <w:t xml:space="preserve"> </w:t>
      </w:r>
    </w:p>
  </w:footnote>
  <w:footnote w:id="20">
    <w:p w14:paraId="607963F0" w14:textId="77777777" w:rsidR="00DE5FE5" w:rsidRDefault="00DE5FE5">
      <w:pPr>
        <w:pStyle w:val="FootnoteText"/>
      </w:pPr>
      <w:r>
        <w:rPr>
          <w:rStyle w:val="FootnoteReference"/>
        </w:rPr>
        <w:footnoteRef/>
      </w:r>
      <w:r>
        <w:t xml:space="preserve"> </w:t>
      </w:r>
      <w:hyperlink r:id="rId1" w:history="1">
        <w:r w:rsidRPr="00330370">
          <w:rPr>
            <w:rStyle w:val="Hyperlink"/>
          </w:rPr>
          <w:t>www.manapensija.lv</w:t>
        </w:r>
      </w:hyperlink>
    </w:p>
  </w:footnote>
  <w:footnote w:id="21">
    <w:p w14:paraId="2BFBCA93" w14:textId="77777777" w:rsidR="00DE5FE5" w:rsidRDefault="00DE5FE5">
      <w:pPr>
        <w:pStyle w:val="FootnoteText"/>
      </w:pPr>
      <w:r>
        <w:rPr>
          <w:rStyle w:val="FootnoteReference"/>
        </w:rPr>
        <w:footnoteRef/>
      </w:r>
      <w:r>
        <w:t xml:space="preserve"> </w:t>
      </w:r>
      <w:r w:rsidRPr="003940B3">
        <w:t>http://www.fktk.lv/lv/statistika/pensiju-fondi/ceturksna-parskati/5775-valsts-fondeto-pensiju-shemas-lidzeklu-parvaldisana-2016-gada-1-ceturksni.html</w:t>
      </w:r>
    </w:p>
  </w:footnote>
  <w:footnote w:id="22">
    <w:p w14:paraId="759741D1" w14:textId="77777777" w:rsidR="00DE5FE5" w:rsidRDefault="00DE5FE5">
      <w:pPr>
        <w:pStyle w:val="FootnoteText"/>
      </w:pPr>
      <w:r>
        <w:rPr>
          <w:rStyle w:val="FootnoteReference"/>
        </w:rPr>
        <w:footnoteRef/>
      </w:r>
      <w:r>
        <w:t xml:space="preserve"> </w:t>
      </w:r>
      <w:r w:rsidRPr="003940B3">
        <w:t>http://www.fktk.lv/lv/statistika/pensiju-fondi/ceturksna-parskati/5778-privato-pensiju-fondu-darbiba-2016-gada-1-ceturksni.html</w:t>
      </w:r>
    </w:p>
  </w:footnote>
  <w:footnote w:id="23">
    <w:p w14:paraId="46C4D5A7" w14:textId="77777777" w:rsidR="00DE5FE5" w:rsidRPr="00DE5FE5" w:rsidRDefault="00DE5FE5">
      <w:pPr>
        <w:pStyle w:val="FootnoteText"/>
        <w:rPr>
          <w:lang w:val="en-GB"/>
        </w:rPr>
      </w:pPr>
      <w:r>
        <w:rPr>
          <w:rStyle w:val="FootnoteReference"/>
        </w:rPr>
        <w:footnoteRef/>
      </w:r>
      <w:r>
        <w:t xml:space="preserve"> </w:t>
      </w:r>
      <w:r w:rsidRPr="00DE5FE5">
        <w:rPr>
          <w:lang w:val="en-GB"/>
        </w:rPr>
        <w:t>European Commission, Economic Analysis Accompanying the document Communication from the Commission to the European Parliament, the Council, the European Economic and Social Committee and the Committee of the Regions Action Plan on Building a Capital Markets Union. http://ec.europa.eu/finance/capital-markets-union/docs/building-cmu-economic-analysis_</w:t>
      </w:r>
      <w:proofErr w:type="gramStart"/>
      <w:r w:rsidRPr="00DE5FE5">
        <w:rPr>
          <w:lang w:val="en-GB"/>
        </w:rPr>
        <w:t>en.pdf  30.09.2015</w:t>
      </w:r>
      <w:proofErr w:type="gramEnd"/>
      <w:r w:rsidRPr="00DE5FE5">
        <w:rPr>
          <w:lang w:val="en-GB"/>
        </w:rPr>
        <w:t xml:space="preserve">., 99.-100 page. </w:t>
      </w:r>
    </w:p>
  </w:footnote>
  <w:footnote w:id="24">
    <w:p w14:paraId="084542B6"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Ministry of Economics. Market Gap Assessment, 2014, Page 132-140;</w:t>
      </w:r>
    </w:p>
  </w:footnote>
  <w:footnote w:id="25">
    <w:p w14:paraId="641CE7D4" w14:textId="5C30969B" w:rsidR="00DE5FE5" w:rsidRPr="00DE5FE5" w:rsidRDefault="00DE5FE5" w:rsidP="003940B3">
      <w:pPr>
        <w:pStyle w:val="FootnoteText"/>
        <w:rPr>
          <w:lang w:val="en-GB"/>
        </w:rPr>
      </w:pPr>
      <w:r w:rsidRPr="00DE5FE5">
        <w:rPr>
          <w:rStyle w:val="FootnoteReference"/>
          <w:lang w:val="en-GB"/>
        </w:rPr>
        <w:footnoteRef/>
      </w:r>
      <w:r w:rsidRPr="00DE5FE5">
        <w:rPr>
          <w:lang w:val="en-GB"/>
        </w:rPr>
        <w:t xml:space="preserve"> </w:t>
      </w:r>
      <w:proofErr w:type="spellStart"/>
      <w:r w:rsidR="0051604C">
        <w:rPr>
          <w:lang w:val="en-GB"/>
        </w:rPr>
        <w:t>Banque</w:t>
      </w:r>
      <w:proofErr w:type="spellEnd"/>
      <w:r w:rsidR="0051604C">
        <w:rPr>
          <w:lang w:val="en-GB"/>
        </w:rPr>
        <w:t xml:space="preserve"> de France, </w:t>
      </w:r>
      <w:r w:rsidRPr="00887825">
        <w:rPr>
          <w:lang w:val="en-GB"/>
        </w:rPr>
        <w:t>Assessment</w:t>
      </w:r>
      <w:r w:rsidRPr="00DE5FE5">
        <w:rPr>
          <w:lang w:val="en-GB"/>
        </w:rPr>
        <w:t xml:space="preserve"> of Risks to the French Financial System, </w:t>
      </w:r>
      <w:r w:rsidR="0051604C">
        <w:rPr>
          <w:lang w:val="en-GB"/>
        </w:rPr>
        <w:t>Dec.2015, p.45</w:t>
      </w:r>
      <w:r w:rsidRPr="00DE5FE5">
        <w:rPr>
          <w:lang w:val="en-GB"/>
        </w:rPr>
        <w:t xml:space="preserve"> </w:t>
      </w:r>
    </w:p>
    <w:p w14:paraId="43F69432" w14:textId="77777777" w:rsidR="00DE5FE5" w:rsidRPr="00DE5FE5" w:rsidRDefault="00DE5FE5" w:rsidP="003940B3">
      <w:pPr>
        <w:pStyle w:val="FootnoteText"/>
        <w:rPr>
          <w:lang w:val="en-GB"/>
        </w:rPr>
      </w:pPr>
      <w:r w:rsidRPr="00DE5FE5">
        <w:rPr>
          <w:lang w:val="en-GB"/>
        </w:rPr>
        <w:t xml:space="preserve"> https://www.banque-france.fr/en/publications/evaluation-des-risques-du-systeme-financier-francais.html.</w:t>
      </w:r>
    </w:p>
  </w:footnote>
  <w:footnote w:id="26">
    <w:p w14:paraId="65A01662" w14:textId="03DC42B6" w:rsidR="00DE5FE5" w:rsidRPr="00DE5FE5" w:rsidRDefault="00DE5FE5">
      <w:pPr>
        <w:pStyle w:val="FootnoteText"/>
        <w:rPr>
          <w:lang w:val="en-GB"/>
        </w:rPr>
      </w:pPr>
      <w:r w:rsidRPr="00DE5FE5">
        <w:rPr>
          <w:rStyle w:val="FootnoteReference"/>
          <w:lang w:val="en-GB"/>
        </w:rPr>
        <w:footnoteRef/>
      </w:r>
      <w:r w:rsidRPr="00DE5FE5">
        <w:rPr>
          <w:lang w:val="en-GB"/>
        </w:rPr>
        <w:t xml:space="preserve"> Ministry of Economics. Market Gap Assessment, 2014, Page </w:t>
      </w:r>
      <w:proofErr w:type="gramStart"/>
      <w:r w:rsidRPr="00DE5FE5">
        <w:rPr>
          <w:lang w:val="en-GB"/>
        </w:rPr>
        <w:t>122.;</w:t>
      </w:r>
      <w:proofErr w:type="gramEnd"/>
      <w:r w:rsidRPr="00DE5FE5">
        <w:rPr>
          <w:lang w:val="en-GB"/>
        </w:rPr>
        <w:t xml:space="preserve"> In the capital market sector the market gap is assessed at 568 million euro.</w:t>
      </w:r>
    </w:p>
  </w:footnote>
  <w:footnote w:id="27">
    <w:p w14:paraId="49878DBC" w14:textId="77777777" w:rsidR="00DE5FE5" w:rsidRDefault="00DE5FE5" w:rsidP="00DF3A0D">
      <w:pPr>
        <w:pStyle w:val="FootnoteText"/>
      </w:pPr>
      <w:r w:rsidRPr="00DE5FE5">
        <w:rPr>
          <w:rStyle w:val="FootnoteReference"/>
          <w:lang w:val="en-GB"/>
        </w:rPr>
        <w:footnoteRef/>
      </w:r>
      <w:r w:rsidRPr="00DE5FE5">
        <w:rPr>
          <w:lang w:val="en-GB"/>
        </w:rPr>
        <w:t xml:space="preserve"> European Commission, Communication “Action Plan on Building a Capital Markets Union”</w:t>
      </w:r>
    </w:p>
  </w:footnote>
  <w:footnote w:id="28">
    <w:p w14:paraId="705540DB" w14:textId="33F7FB76" w:rsidR="00DE5FE5" w:rsidRDefault="00DE5FE5">
      <w:pPr>
        <w:pStyle w:val="FootnoteText"/>
      </w:pPr>
      <w:r>
        <w:rPr>
          <w:rStyle w:val="FootnoteReference"/>
        </w:rPr>
        <w:footnoteRef/>
      </w:r>
      <w:r>
        <w:t xml:space="preserve"> </w:t>
      </w:r>
      <w:proofErr w:type="spellStart"/>
      <w:r>
        <w:t>Ibid</w:t>
      </w:r>
      <w:proofErr w:type="spellEnd"/>
      <w:r>
        <w:t>.</w:t>
      </w:r>
    </w:p>
  </w:footnote>
  <w:footnote w:id="29">
    <w:p w14:paraId="11A6106A" w14:textId="77777777" w:rsidR="00DE5FE5" w:rsidRDefault="00DE5FE5">
      <w:pPr>
        <w:pStyle w:val="FootnoteText"/>
      </w:pPr>
      <w:r>
        <w:rPr>
          <w:rStyle w:val="FootnoteReference"/>
        </w:rPr>
        <w:footnoteRef/>
      </w:r>
      <w:r>
        <w:t xml:space="preserve"> </w:t>
      </w:r>
      <w:r w:rsidRPr="00DE5FE5">
        <w:rPr>
          <w:lang w:val="en-GB"/>
        </w:rPr>
        <w:t>This section covers crowd-funding platforms (Crowdfunding platforms and investment platforms), leasing companies, credit unions, non-bank credit providers and payment service providers;</w:t>
      </w:r>
    </w:p>
  </w:footnote>
  <w:footnote w:id="30">
    <w:p w14:paraId="2AD079EB" w14:textId="77777777" w:rsidR="00DE5FE5" w:rsidRDefault="00DE5FE5">
      <w:pPr>
        <w:pStyle w:val="FootnoteText"/>
      </w:pPr>
      <w:r>
        <w:rPr>
          <w:rStyle w:val="FootnoteReference"/>
        </w:rPr>
        <w:footnoteRef/>
      </w:r>
      <w:r>
        <w:t xml:space="preserve"> </w:t>
      </w:r>
      <w:proofErr w:type="spellStart"/>
      <w:r>
        <w:t>Report</w:t>
      </w:r>
      <w:proofErr w:type="spellEnd"/>
      <w:r>
        <w:t xml:space="preserve"> </w:t>
      </w:r>
      <w:proofErr w:type="spellStart"/>
      <w:r>
        <w:t>on</w:t>
      </w:r>
      <w:proofErr w:type="spellEnd"/>
      <w:r>
        <w:t xml:space="preserve"> non-</w:t>
      </w:r>
      <w:proofErr w:type="spellStart"/>
      <w:r>
        <w:t>bank</w:t>
      </w:r>
      <w:proofErr w:type="spellEnd"/>
      <w:r>
        <w:t xml:space="preserve"> </w:t>
      </w:r>
      <w:proofErr w:type="spellStart"/>
      <w:r>
        <w:t>consumers</w:t>
      </w:r>
      <w:proofErr w:type="spellEnd"/>
      <w:r>
        <w:t xml:space="preserve"> </w:t>
      </w:r>
      <w:proofErr w:type="spellStart"/>
      <w:r>
        <w:t>lending</w:t>
      </w:r>
      <w:proofErr w:type="spellEnd"/>
      <w:r>
        <w:t xml:space="preserve"> </w:t>
      </w:r>
      <w:proofErr w:type="spellStart"/>
      <w:r>
        <w:t>market</w:t>
      </w:r>
      <w:proofErr w:type="spellEnd"/>
      <w:r>
        <w:t xml:space="preserve"> </w:t>
      </w:r>
      <w:proofErr w:type="spellStart"/>
      <w:r>
        <w:t>in</w:t>
      </w:r>
      <w:proofErr w:type="spellEnd"/>
      <w:r>
        <w:t xml:space="preserve"> 2015, </w:t>
      </w:r>
      <w:proofErr w:type="spellStart"/>
      <w:r w:rsidRPr="00A84A12">
        <w:t>Consumer</w:t>
      </w:r>
      <w:proofErr w:type="spellEnd"/>
      <w:r w:rsidRPr="00A84A12">
        <w:t xml:space="preserve"> </w:t>
      </w:r>
      <w:proofErr w:type="spellStart"/>
      <w:r w:rsidRPr="00A84A12">
        <w:t>Rights</w:t>
      </w:r>
      <w:proofErr w:type="spellEnd"/>
      <w:r w:rsidRPr="00A84A12">
        <w:t xml:space="preserve"> </w:t>
      </w:r>
      <w:proofErr w:type="spellStart"/>
      <w:r w:rsidRPr="00A84A12">
        <w:t>Protection</w:t>
      </w:r>
      <w:proofErr w:type="spellEnd"/>
      <w:r w:rsidRPr="00A84A12">
        <w:t xml:space="preserve"> </w:t>
      </w:r>
      <w:proofErr w:type="spellStart"/>
      <w:r w:rsidRPr="00A84A12">
        <w:t>Centre</w:t>
      </w:r>
      <w:proofErr w:type="spellEnd"/>
      <w:r>
        <w:t>,</w:t>
      </w:r>
      <w:r w:rsidRPr="00A84A12">
        <w:t xml:space="preserve"> </w:t>
      </w:r>
      <w:proofErr w:type="spellStart"/>
      <w:r>
        <w:t>Page</w:t>
      </w:r>
      <w:proofErr w:type="spellEnd"/>
      <w:r>
        <w:t xml:space="preserve"> 11</w:t>
      </w:r>
      <w:r w:rsidRPr="00E43BB7">
        <w:t>;</w:t>
      </w:r>
    </w:p>
  </w:footnote>
  <w:footnote w:id="31">
    <w:p w14:paraId="1AE1E3D2" w14:textId="77777777" w:rsidR="00DE5FE5" w:rsidRDefault="00DE5FE5">
      <w:pPr>
        <w:pStyle w:val="FootnoteText"/>
      </w:pPr>
      <w:r>
        <w:rPr>
          <w:rStyle w:val="FootnoteReference"/>
        </w:rPr>
        <w:footnoteRef/>
      </w:r>
      <w:r>
        <w:t xml:space="preserve"> </w:t>
      </w:r>
      <w:proofErr w:type="spellStart"/>
      <w:r w:rsidRPr="00A84A12">
        <w:t>Report</w:t>
      </w:r>
      <w:proofErr w:type="spellEnd"/>
      <w:r w:rsidRPr="00A84A12">
        <w:t xml:space="preserve"> </w:t>
      </w:r>
      <w:proofErr w:type="spellStart"/>
      <w:r w:rsidRPr="00A84A12">
        <w:t>on</w:t>
      </w:r>
      <w:proofErr w:type="spellEnd"/>
      <w:r w:rsidRPr="00A84A12">
        <w:t xml:space="preserve"> non-</w:t>
      </w:r>
      <w:proofErr w:type="spellStart"/>
      <w:r w:rsidRPr="00A84A12">
        <w:t>bank</w:t>
      </w:r>
      <w:proofErr w:type="spellEnd"/>
      <w:r w:rsidRPr="00A84A12">
        <w:t xml:space="preserve"> </w:t>
      </w:r>
      <w:proofErr w:type="spellStart"/>
      <w:r w:rsidRPr="00A84A12">
        <w:t>consumers</w:t>
      </w:r>
      <w:proofErr w:type="spellEnd"/>
      <w:r w:rsidRPr="00A84A12">
        <w:t xml:space="preserve"> </w:t>
      </w:r>
      <w:proofErr w:type="spellStart"/>
      <w:r w:rsidRPr="00A84A12">
        <w:t>lending</w:t>
      </w:r>
      <w:proofErr w:type="spellEnd"/>
      <w:r w:rsidRPr="00A84A12">
        <w:t xml:space="preserve"> </w:t>
      </w:r>
      <w:proofErr w:type="spellStart"/>
      <w:r w:rsidRPr="00A84A12">
        <w:t>market</w:t>
      </w:r>
      <w:proofErr w:type="spellEnd"/>
      <w:r w:rsidRPr="00A84A12">
        <w:t xml:space="preserve"> </w:t>
      </w:r>
      <w:proofErr w:type="spellStart"/>
      <w:r w:rsidRPr="00A84A12">
        <w:t>in</w:t>
      </w:r>
      <w:proofErr w:type="spellEnd"/>
      <w:r w:rsidRPr="00A84A12">
        <w:t xml:space="preserve"> </w:t>
      </w:r>
      <w:r>
        <w:t xml:space="preserve">1st </w:t>
      </w:r>
      <w:proofErr w:type="spellStart"/>
      <w:r>
        <w:t>half</w:t>
      </w:r>
      <w:proofErr w:type="spellEnd"/>
      <w:r>
        <w:t xml:space="preserve"> </w:t>
      </w:r>
      <w:r w:rsidRPr="00A84A12">
        <w:t>201</w:t>
      </w:r>
      <w:r>
        <w:t>6</w:t>
      </w:r>
      <w:r w:rsidRPr="00A84A12">
        <w:t xml:space="preserve">, </w:t>
      </w:r>
      <w:proofErr w:type="spellStart"/>
      <w:r w:rsidRPr="00A84A12">
        <w:t>Consumer</w:t>
      </w:r>
      <w:proofErr w:type="spellEnd"/>
      <w:r w:rsidRPr="00A84A12">
        <w:t xml:space="preserve"> </w:t>
      </w:r>
      <w:proofErr w:type="spellStart"/>
      <w:r w:rsidRPr="00A84A12">
        <w:t>Rights</w:t>
      </w:r>
      <w:proofErr w:type="spellEnd"/>
      <w:r w:rsidRPr="00A84A12">
        <w:t xml:space="preserve"> </w:t>
      </w:r>
      <w:proofErr w:type="spellStart"/>
      <w:r w:rsidRPr="00A84A12">
        <w:t>Protection</w:t>
      </w:r>
      <w:proofErr w:type="spellEnd"/>
      <w:r w:rsidRPr="00A84A12">
        <w:t xml:space="preserve"> </w:t>
      </w:r>
      <w:proofErr w:type="spellStart"/>
      <w:r w:rsidRPr="00A84A12">
        <w:t>Centre</w:t>
      </w:r>
      <w:proofErr w:type="spellEnd"/>
      <w:r w:rsidRPr="00A84A12">
        <w:t xml:space="preserve">, </w:t>
      </w:r>
      <w:proofErr w:type="spellStart"/>
      <w:r w:rsidRPr="00A84A12">
        <w:t>Page</w:t>
      </w:r>
      <w:proofErr w:type="spellEnd"/>
      <w:r w:rsidRPr="00A84A12">
        <w:t xml:space="preserve"> 1</w:t>
      </w:r>
      <w:r>
        <w:t>3</w:t>
      </w:r>
      <w:r w:rsidRPr="00E43BB7">
        <w:t>;</w:t>
      </w:r>
    </w:p>
  </w:footnote>
  <w:footnote w:id="32">
    <w:p w14:paraId="66EDB2A6" w14:textId="77777777" w:rsidR="00DE5FE5" w:rsidRDefault="00DE5FE5">
      <w:pPr>
        <w:pStyle w:val="FootnoteText"/>
      </w:pPr>
      <w:r>
        <w:rPr>
          <w:rStyle w:val="FootnoteReference"/>
        </w:rPr>
        <w:footnoteRef/>
      </w:r>
      <w:r>
        <w:t xml:space="preserve"> </w:t>
      </w:r>
      <w:proofErr w:type="spellStart"/>
      <w:r w:rsidRPr="00A84A12">
        <w:t>Report</w:t>
      </w:r>
      <w:proofErr w:type="spellEnd"/>
      <w:r w:rsidRPr="00A84A12">
        <w:t xml:space="preserve"> </w:t>
      </w:r>
      <w:proofErr w:type="spellStart"/>
      <w:r w:rsidRPr="00A84A12">
        <w:t>on</w:t>
      </w:r>
      <w:proofErr w:type="spellEnd"/>
      <w:r w:rsidRPr="00A84A12">
        <w:t xml:space="preserve"> non-</w:t>
      </w:r>
      <w:proofErr w:type="spellStart"/>
      <w:r w:rsidRPr="00A84A12">
        <w:t>bank</w:t>
      </w:r>
      <w:proofErr w:type="spellEnd"/>
      <w:r w:rsidRPr="00A84A12">
        <w:t xml:space="preserve"> </w:t>
      </w:r>
      <w:proofErr w:type="spellStart"/>
      <w:r w:rsidRPr="00A84A12">
        <w:t>consumers</w:t>
      </w:r>
      <w:proofErr w:type="spellEnd"/>
      <w:r w:rsidRPr="00A84A12">
        <w:t xml:space="preserve"> </w:t>
      </w:r>
      <w:proofErr w:type="spellStart"/>
      <w:r w:rsidRPr="00A84A12">
        <w:t>lending</w:t>
      </w:r>
      <w:proofErr w:type="spellEnd"/>
      <w:r w:rsidRPr="00A84A12">
        <w:t xml:space="preserve"> </w:t>
      </w:r>
      <w:proofErr w:type="spellStart"/>
      <w:r w:rsidRPr="00A84A12">
        <w:t>market</w:t>
      </w:r>
      <w:proofErr w:type="spellEnd"/>
      <w:r w:rsidRPr="00A84A12">
        <w:t xml:space="preserve"> </w:t>
      </w:r>
      <w:proofErr w:type="spellStart"/>
      <w:r w:rsidRPr="00A84A12">
        <w:t>in</w:t>
      </w:r>
      <w:proofErr w:type="spellEnd"/>
      <w:r w:rsidRPr="00A84A12">
        <w:t xml:space="preserve"> 2015, </w:t>
      </w:r>
      <w:proofErr w:type="spellStart"/>
      <w:r w:rsidRPr="00A84A12">
        <w:t>Consumer</w:t>
      </w:r>
      <w:proofErr w:type="spellEnd"/>
      <w:r w:rsidRPr="00A84A12">
        <w:t xml:space="preserve"> </w:t>
      </w:r>
      <w:proofErr w:type="spellStart"/>
      <w:r w:rsidRPr="00A84A12">
        <w:t>Rights</w:t>
      </w:r>
      <w:proofErr w:type="spellEnd"/>
      <w:r w:rsidRPr="00A84A12">
        <w:t xml:space="preserve"> </w:t>
      </w:r>
      <w:proofErr w:type="spellStart"/>
      <w:r w:rsidRPr="00A84A12">
        <w:t>Protection</w:t>
      </w:r>
      <w:proofErr w:type="spellEnd"/>
      <w:r w:rsidRPr="00A84A12">
        <w:t xml:space="preserve"> </w:t>
      </w:r>
      <w:proofErr w:type="spellStart"/>
      <w:r w:rsidRPr="00A84A12">
        <w:t>Centre</w:t>
      </w:r>
      <w:proofErr w:type="spellEnd"/>
      <w:r>
        <w:t>;</w:t>
      </w:r>
    </w:p>
  </w:footnote>
  <w:footnote w:id="33">
    <w:p w14:paraId="47EB6F75" w14:textId="77777777" w:rsidR="00DE5FE5" w:rsidRDefault="00DE5FE5">
      <w:pPr>
        <w:pStyle w:val="FootnoteText"/>
      </w:pPr>
      <w:r>
        <w:rPr>
          <w:rStyle w:val="FootnoteReference"/>
        </w:rPr>
        <w:footnoteRef/>
      </w:r>
      <w:r w:rsidRPr="00A84A12">
        <w:t xml:space="preserve"> </w:t>
      </w:r>
      <w:proofErr w:type="spellStart"/>
      <w:r w:rsidRPr="00A84A12">
        <w:t>Ministry</w:t>
      </w:r>
      <w:proofErr w:type="spellEnd"/>
      <w:r w:rsidRPr="00A84A12">
        <w:t xml:space="preserve"> </w:t>
      </w:r>
      <w:proofErr w:type="spellStart"/>
      <w:r w:rsidRPr="00A84A12">
        <w:t>of</w:t>
      </w:r>
      <w:proofErr w:type="spellEnd"/>
      <w:r w:rsidRPr="00A84A12">
        <w:t xml:space="preserve"> </w:t>
      </w:r>
      <w:proofErr w:type="spellStart"/>
      <w:r w:rsidRPr="00A84A12">
        <w:t>Economics</w:t>
      </w:r>
      <w:proofErr w:type="spellEnd"/>
      <w:r w:rsidRPr="00A84A12">
        <w:t xml:space="preserve">. </w:t>
      </w:r>
      <w:proofErr w:type="spellStart"/>
      <w:r w:rsidRPr="00A84A12">
        <w:t>Market</w:t>
      </w:r>
      <w:proofErr w:type="spellEnd"/>
      <w:r w:rsidRPr="00A84A12">
        <w:t xml:space="preserve"> </w:t>
      </w:r>
      <w:proofErr w:type="spellStart"/>
      <w:r w:rsidRPr="00A84A12">
        <w:t>Gap</w:t>
      </w:r>
      <w:proofErr w:type="spellEnd"/>
      <w:r w:rsidRPr="00A84A12">
        <w:t xml:space="preserve"> </w:t>
      </w:r>
      <w:proofErr w:type="spellStart"/>
      <w:r w:rsidRPr="00A84A12">
        <w:t>Assessment</w:t>
      </w:r>
      <w:proofErr w:type="spellEnd"/>
      <w:r w:rsidRPr="00A84A12">
        <w:t xml:space="preserve">, 2014, </w:t>
      </w:r>
      <w:proofErr w:type="spellStart"/>
      <w:r w:rsidRPr="00A84A12">
        <w:t>Page</w:t>
      </w:r>
      <w:proofErr w:type="spellEnd"/>
      <w:r w:rsidRPr="00A84A12">
        <w:t xml:space="preserve"> </w:t>
      </w:r>
      <w:r>
        <w:t>88-94;</w:t>
      </w:r>
    </w:p>
  </w:footnote>
  <w:footnote w:id="34">
    <w:p w14:paraId="2E1FBD96"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Ministry of Economics. Market Gap Assessment, 2014, Page 79; Financial instruments investment total financial instruments market gap for small and medium businesses in the segment  878 million euro, consists of 184 million euro microfinance sector, 101 million euro leasing industry, 196 million euro factoring sector;</w:t>
      </w:r>
    </w:p>
  </w:footnote>
  <w:footnote w:id="35">
    <w:p w14:paraId="12B8F46B"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w:t>
      </w:r>
      <w:proofErr w:type="spellStart"/>
      <w:r w:rsidRPr="00DE5FE5">
        <w:rPr>
          <w:lang w:val="en-GB"/>
        </w:rPr>
        <w:t>Wardrop</w:t>
      </w:r>
      <w:proofErr w:type="spellEnd"/>
      <w:r w:rsidRPr="00DE5FE5">
        <w:rPr>
          <w:lang w:val="en-GB"/>
        </w:rPr>
        <w:t xml:space="preserve"> R., Zhang B., Rau R., </w:t>
      </w:r>
      <w:proofErr w:type="spellStart"/>
      <w:r w:rsidRPr="00DE5FE5">
        <w:rPr>
          <w:lang w:val="en-GB"/>
        </w:rPr>
        <w:t>Gray</w:t>
      </w:r>
      <w:proofErr w:type="spellEnd"/>
      <w:r w:rsidRPr="00DE5FE5">
        <w:rPr>
          <w:lang w:val="en-GB"/>
        </w:rPr>
        <w:t xml:space="preserve"> M. Moving Mainstream, European Alternative Finance Benchmarking Report. University of Cambridge, Ernest and Young. </w:t>
      </w:r>
      <w:proofErr w:type="gramStart"/>
      <w:r w:rsidRPr="00DE5FE5">
        <w:rPr>
          <w:lang w:val="en-GB"/>
        </w:rPr>
        <w:t>February,</w:t>
      </w:r>
      <w:proofErr w:type="gramEnd"/>
      <w:r w:rsidRPr="00DE5FE5">
        <w:rPr>
          <w:lang w:val="en-GB"/>
        </w:rPr>
        <w:t xml:space="preserve"> 2015. p.13.</w:t>
      </w:r>
    </w:p>
  </w:footnote>
  <w:footnote w:id="36">
    <w:p w14:paraId="5C8566F0" w14:textId="77777777" w:rsidR="00DE5FE5" w:rsidRDefault="00DE5FE5">
      <w:pPr>
        <w:pStyle w:val="FootnoteText"/>
      </w:pPr>
      <w:r w:rsidRPr="00DE5FE5">
        <w:rPr>
          <w:rStyle w:val="FootnoteReference"/>
          <w:lang w:val="en-GB"/>
        </w:rPr>
        <w:footnoteRef/>
      </w:r>
      <w:r w:rsidRPr="00DE5FE5">
        <w:rPr>
          <w:lang w:val="en-GB"/>
        </w:rPr>
        <w:t xml:space="preserve"> European Commission, Economic Analysis Accompanying the document Communication from the Commission to the European Parliament, the Council, the European Economic and Social Committee and the Committee of the Regions Action Plan on Building a Capital Markets Union. http://ec.europa.eu/finance/capital-markets-union/docs/building-cmu-economic-analysis_</w:t>
      </w:r>
      <w:proofErr w:type="gramStart"/>
      <w:r w:rsidRPr="00DE5FE5">
        <w:rPr>
          <w:lang w:val="en-GB"/>
        </w:rPr>
        <w:t>en.pdf  30.09.2015</w:t>
      </w:r>
      <w:proofErr w:type="gramEnd"/>
      <w:r w:rsidRPr="00DE5FE5">
        <w:rPr>
          <w:lang w:val="en-GB"/>
        </w:rPr>
        <w:t>., Page 37.</w:t>
      </w:r>
      <w:r w:rsidRPr="00D91E09">
        <w:t xml:space="preserve"> </w:t>
      </w:r>
    </w:p>
  </w:footnote>
  <w:footnote w:id="37">
    <w:p w14:paraId="04CAFCA1"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w:t>
      </w:r>
      <w:proofErr w:type="spellStart"/>
      <w:r w:rsidRPr="00DE5FE5">
        <w:rPr>
          <w:lang w:val="en-GB"/>
        </w:rPr>
        <w:t>E.Kirby</w:t>
      </w:r>
      <w:proofErr w:type="spellEnd"/>
      <w:r w:rsidRPr="00DE5FE5">
        <w:rPr>
          <w:lang w:val="en-GB"/>
        </w:rPr>
        <w:t xml:space="preserve">, </w:t>
      </w:r>
      <w:proofErr w:type="spellStart"/>
      <w:r w:rsidRPr="00DE5FE5">
        <w:rPr>
          <w:lang w:val="en-GB"/>
        </w:rPr>
        <w:t>S.Worner</w:t>
      </w:r>
      <w:proofErr w:type="spellEnd"/>
      <w:r w:rsidRPr="00DE5FE5">
        <w:rPr>
          <w:lang w:val="en-GB"/>
        </w:rPr>
        <w:t xml:space="preserve">. </w:t>
      </w:r>
      <w:proofErr w:type="gramStart"/>
      <w:r w:rsidRPr="00DE5FE5">
        <w:rPr>
          <w:lang w:val="en-GB"/>
        </w:rPr>
        <w:t>Crowd-funding</w:t>
      </w:r>
      <w:proofErr w:type="gramEnd"/>
      <w:r w:rsidRPr="00DE5FE5">
        <w:rPr>
          <w:lang w:val="en-GB"/>
        </w:rPr>
        <w:t>: An Infant Industry Growing Fast. Staff Working Paper of the IOSCO Research Department, 2014. 8</w:t>
      </w:r>
      <w:proofErr w:type="gramStart"/>
      <w:r w:rsidRPr="00DE5FE5">
        <w:rPr>
          <w:lang w:val="en-GB"/>
        </w:rPr>
        <w:t>,9</w:t>
      </w:r>
      <w:proofErr w:type="gramEnd"/>
      <w:r w:rsidRPr="00DE5FE5">
        <w:rPr>
          <w:lang w:val="en-GB"/>
        </w:rPr>
        <w:t xml:space="preserve"> </w:t>
      </w:r>
      <w:proofErr w:type="spellStart"/>
      <w:r w:rsidRPr="00DE5FE5">
        <w:rPr>
          <w:lang w:val="en-GB"/>
        </w:rPr>
        <w:t>lpp</w:t>
      </w:r>
      <w:proofErr w:type="spellEnd"/>
      <w:r w:rsidRPr="00DE5FE5">
        <w:rPr>
          <w:lang w:val="en-GB"/>
        </w:rPr>
        <w:t>.;</w:t>
      </w:r>
    </w:p>
  </w:footnote>
  <w:footnote w:id="38">
    <w:p w14:paraId="7A4A4E21" w14:textId="4B76B250" w:rsidR="00DE5FE5" w:rsidRPr="00DE5FE5" w:rsidRDefault="00DE5FE5">
      <w:pPr>
        <w:pStyle w:val="FootnoteText"/>
        <w:rPr>
          <w:lang w:val="en-GB"/>
        </w:rPr>
      </w:pPr>
      <w:r w:rsidRPr="00DE5FE5">
        <w:rPr>
          <w:rStyle w:val="FootnoteReference"/>
          <w:lang w:val="en-GB"/>
        </w:rPr>
        <w:footnoteRef/>
      </w:r>
      <w:r w:rsidRPr="00DE5FE5">
        <w:rPr>
          <w:lang w:val="en-GB"/>
        </w:rPr>
        <w:t xml:space="preserve"> https://www.mintos.com/lv, </w:t>
      </w:r>
      <w:r>
        <w:rPr>
          <w:lang w:val="en-GB"/>
        </w:rPr>
        <w:t>last viewed on</w:t>
      </w:r>
      <w:r w:rsidRPr="00DE5FE5">
        <w:rPr>
          <w:lang w:val="en-GB"/>
        </w:rPr>
        <w:t>13.06.2016</w:t>
      </w:r>
      <w:proofErr w:type="gramStart"/>
      <w:r w:rsidRPr="00DE5FE5">
        <w:rPr>
          <w:lang w:val="en-GB"/>
        </w:rPr>
        <w:t>.;</w:t>
      </w:r>
      <w:proofErr w:type="gramEnd"/>
    </w:p>
  </w:footnote>
  <w:footnote w:id="39">
    <w:p w14:paraId="0FA4372F"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https://www.bank.lv/statistika/procentu-likmju-statistikas-raditaji/galvenas-procentu-likmes;</w:t>
      </w:r>
    </w:p>
  </w:footnote>
  <w:footnote w:id="40">
    <w:p w14:paraId="09950A66" w14:textId="6E49D95B" w:rsidR="00DE5FE5" w:rsidRPr="00DE5FE5" w:rsidRDefault="00DE5FE5">
      <w:pPr>
        <w:pStyle w:val="FootnoteText"/>
        <w:rPr>
          <w:lang w:val="en-GB"/>
        </w:rPr>
      </w:pPr>
      <w:r w:rsidRPr="00DE5FE5">
        <w:rPr>
          <w:rStyle w:val="FootnoteReference"/>
          <w:lang w:val="en-GB"/>
        </w:rPr>
        <w:footnoteRef/>
      </w:r>
      <w:r w:rsidRPr="00DE5FE5">
        <w:rPr>
          <w:lang w:val="en-GB"/>
        </w:rPr>
        <w:t xml:space="preserve"> World Economic Forum, “The Future of Financial Services. Final Report.” </w:t>
      </w:r>
      <w:proofErr w:type="gramStart"/>
      <w:r w:rsidRPr="00DE5FE5">
        <w:rPr>
          <w:lang w:val="en-GB"/>
        </w:rPr>
        <w:t>June,</w:t>
      </w:r>
      <w:proofErr w:type="gramEnd"/>
      <w:r w:rsidRPr="00DE5FE5">
        <w:rPr>
          <w:lang w:val="en-GB"/>
        </w:rPr>
        <w:t xml:space="preserve"> 2015, p.27.</w:t>
      </w:r>
    </w:p>
  </w:footnote>
  <w:footnote w:id="41">
    <w:p w14:paraId="25303DDE" w14:textId="1EB33393" w:rsidR="00DE5FE5" w:rsidRPr="00DE5FE5" w:rsidRDefault="00DE5FE5">
      <w:pPr>
        <w:pStyle w:val="FootnoteText"/>
        <w:rPr>
          <w:lang w:val="en-GB"/>
        </w:rPr>
      </w:pPr>
      <w:r w:rsidRPr="00DE5FE5">
        <w:rPr>
          <w:rStyle w:val="FootnoteReference"/>
          <w:lang w:val="en-GB"/>
        </w:rPr>
        <w:footnoteRef/>
      </w:r>
      <w:r w:rsidRPr="00DE5FE5">
        <w:rPr>
          <w:lang w:val="en-GB"/>
        </w:rPr>
        <w:t xml:space="preserve"> Same, p.43.</w:t>
      </w:r>
    </w:p>
  </w:footnote>
  <w:footnote w:id="42">
    <w:p w14:paraId="67BAF3C2" w14:textId="15E25C6A" w:rsidR="00DE5FE5" w:rsidRDefault="00DE5FE5">
      <w:pPr>
        <w:pStyle w:val="FootnoteText"/>
      </w:pPr>
      <w:r w:rsidRPr="00DE5FE5">
        <w:rPr>
          <w:rStyle w:val="FootnoteReference"/>
          <w:lang w:val="en-GB"/>
        </w:rPr>
        <w:footnoteRef/>
      </w:r>
      <w:r w:rsidRPr="00DE5FE5">
        <w:rPr>
          <w:lang w:val="en-GB"/>
        </w:rPr>
        <w:t xml:space="preserve"> McKinsey &amp; Company “Cutting Through the </w:t>
      </w:r>
      <w:proofErr w:type="spellStart"/>
      <w:r w:rsidRPr="00DE5FE5">
        <w:rPr>
          <w:lang w:val="en-GB"/>
        </w:rPr>
        <w:t>FinTech</w:t>
      </w:r>
      <w:proofErr w:type="spellEnd"/>
      <w:r w:rsidRPr="00DE5FE5">
        <w:rPr>
          <w:lang w:val="en-GB"/>
        </w:rPr>
        <w:t xml:space="preserve"> Noise: Markers of Success, Imperatives </w:t>
      </w:r>
      <w:proofErr w:type="gramStart"/>
      <w:r w:rsidRPr="00DE5FE5">
        <w:rPr>
          <w:lang w:val="en-GB"/>
        </w:rPr>
        <w:t>For</w:t>
      </w:r>
      <w:proofErr w:type="gramEnd"/>
      <w:r w:rsidRPr="00DE5FE5">
        <w:rPr>
          <w:lang w:val="en-GB"/>
        </w:rPr>
        <w:t xml:space="preserve"> Banks. Global Banking Practice”, December 2015;</w:t>
      </w:r>
    </w:p>
  </w:footnote>
  <w:footnote w:id="43">
    <w:p w14:paraId="1C53EF59" w14:textId="77777777" w:rsidR="00DE5FE5" w:rsidRDefault="00DE5FE5" w:rsidP="006B4CC1">
      <w:pPr>
        <w:pStyle w:val="FootnoteText"/>
      </w:pPr>
      <w:r>
        <w:rPr>
          <w:rStyle w:val="FootnoteReference"/>
        </w:rPr>
        <w:footnoteRef/>
      </w:r>
      <w:r>
        <w:t xml:space="preserve"> </w:t>
      </w:r>
      <w:proofErr w:type="spellStart"/>
      <w:r w:rsidRPr="002751C1">
        <w:t>PwC</w:t>
      </w:r>
      <w:proofErr w:type="spellEnd"/>
      <w:r>
        <w:t>.</w:t>
      </w:r>
      <w:r w:rsidRPr="002751C1">
        <w:t xml:space="preserve"> </w:t>
      </w:r>
      <w:proofErr w:type="spellStart"/>
      <w:r w:rsidRPr="002751C1">
        <w:t>Blurred</w:t>
      </w:r>
      <w:proofErr w:type="spellEnd"/>
      <w:r w:rsidRPr="002751C1">
        <w:t xml:space="preserve"> </w:t>
      </w:r>
      <w:proofErr w:type="spellStart"/>
      <w:r w:rsidRPr="002751C1">
        <w:t>lines</w:t>
      </w:r>
      <w:proofErr w:type="spellEnd"/>
      <w:r w:rsidRPr="002751C1">
        <w:t xml:space="preserve">: </w:t>
      </w:r>
      <w:proofErr w:type="spellStart"/>
      <w:r w:rsidRPr="002751C1">
        <w:t>How</w:t>
      </w:r>
      <w:proofErr w:type="spellEnd"/>
      <w:r w:rsidRPr="002751C1">
        <w:t xml:space="preserve"> </w:t>
      </w:r>
      <w:proofErr w:type="spellStart"/>
      <w:r w:rsidRPr="002751C1">
        <w:t>FinTech</w:t>
      </w:r>
      <w:proofErr w:type="spellEnd"/>
      <w:r w:rsidRPr="002751C1">
        <w:t xml:space="preserve"> </w:t>
      </w:r>
      <w:proofErr w:type="spellStart"/>
      <w:r w:rsidRPr="002751C1">
        <w:t>is</w:t>
      </w:r>
      <w:proofErr w:type="spellEnd"/>
      <w:r w:rsidRPr="002751C1">
        <w:t xml:space="preserve"> </w:t>
      </w:r>
      <w:proofErr w:type="spellStart"/>
      <w:r w:rsidRPr="002751C1">
        <w:t>shaping</w:t>
      </w:r>
      <w:proofErr w:type="spellEnd"/>
      <w:r w:rsidRPr="002751C1">
        <w:t xml:space="preserve"> </w:t>
      </w:r>
      <w:proofErr w:type="spellStart"/>
      <w:r w:rsidRPr="002751C1">
        <w:t>Financial</w:t>
      </w:r>
      <w:proofErr w:type="spellEnd"/>
      <w:r w:rsidRPr="002751C1">
        <w:t xml:space="preserve"> Services. </w:t>
      </w:r>
      <w:proofErr w:type="spellStart"/>
      <w:r w:rsidRPr="002751C1">
        <w:t>Global</w:t>
      </w:r>
      <w:proofErr w:type="spellEnd"/>
      <w:r w:rsidRPr="002751C1">
        <w:t xml:space="preserve"> </w:t>
      </w:r>
      <w:proofErr w:type="spellStart"/>
      <w:r w:rsidRPr="002751C1">
        <w:t>FinTech</w:t>
      </w:r>
      <w:proofErr w:type="spellEnd"/>
      <w:r w:rsidRPr="002751C1">
        <w:t xml:space="preserve"> </w:t>
      </w:r>
      <w:proofErr w:type="spellStart"/>
      <w:r w:rsidRPr="002751C1">
        <w:t>Rep</w:t>
      </w:r>
      <w:r>
        <w:t>or</w:t>
      </w:r>
      <w:r w:rsidRPr="002751C1">
        <w:t>t</w:t>
      </w:r>
      <w:proofErr w:type="spellEnd"/>
      <w:r w:rsidRPr="002751C1">
        <w:t xml:space="preserve">. </w:t>
      </w:r>
      <w:proofErr w:type="spellStart"/>
      <w:r w:rsidRPr="002751C1">
        <w:t>March</w:t>
      </w:r>
      <w:proofErr w:type="spellEnd"/>
      <w:r w:rsidRPr="002751C1">
        <w:t xml:space="preserve"> 2016. </w:t>
      </w:r>
      <w:proofErr w:type="spellStart"/>
      <w:r w:rsidRPr="002751C1">
        <w:t>Global</w:t>
      </w:r>
      <w:proofErr w:type="spellEnd"/>
      <w:r w:rsidRPr="002751C1">
        <w:t>. http://www.pwc.com/gx/en/industries/financial-services/fintech-survey/report.html</w:t>
      </w:r>
    </w:p>
  </w:footnote>
  <w:footnote w:id="44">
    <w:p w14:paraId="7404F47C" w14:textId="4407729B" w:rsidR="00DE5FE5" w:rsidRDefault="00DE5FE5">
      <w:pPr>
        <w:pStyle w:val="FootnoteText"/>
      </w:pPr>
      <w:r>
        <w:rPr>
          <w:rStyle w:val="FootnoteReference"/>
        </w:rPr>
        <w:footnoteRef/>
      </w:r>
      <w:r w:rsidRPr="00261D62">
        <w:t>http://www.fktk.lv/lv/tirgus-dalibnieki/maksajumu-iestades/licencetas-maksajumu-iestades.html, informācija uz 03.08.2016.</w:t>
      </w:r>
    </w:p>
  </w:footnote>
  <w:footnote w:id="45">
    <w:p w14:paraId="4D1A527A" w14:textId="77777777" w:rsidR="00DE5FE5" w:rsidRPr="00DE5FE5" w:rsidRDefault="00DE5FE5">
      <w:pPr>
        <w:pStyle w:val="FootnoteText"/>
        <w:rPr>
          <w:lang w:val="en-GB"/>
        </w:rPr>
      </w:pPr>
      <w:r>
        <w:rPr>
          <w:rStyle w:val="FootnoteReference"/>
        </w:rPr>
        <w:footnoteRef/>
      </w:r>
      <w:r>
        <w:t xml:space="preserve"> </w:t>
      </w:r>
      <w:r w:rsidRPr="00DE5FE5">
        <w:rPr>
          <w:lang w:val="en-GB"/>
        </w:rPr>
        <w:t>FCMC “Report on Financial and Capital Market in 2015”, Page 7.</w:t>
      </w:r>
    </w:p>
  </w:footnote>
  <w:footnote w:id="46">
    <w:p w14:paraId="05DAEBDD"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Ibid, Page 7</w:t>
      </w:r>
    </w:p>
  </w:footnote>
  <w:footnote w:id="47">
    <w:p w14:paraId="558F9680" w14:textId="77777777" w:rsidR="00DE5FE5" w:rsidRPr="00DE5FE5" w:rsidRDefault="00DE5FE5">
      <w:pPr>
        <w:pStyle w:val="FootnoteText"/>
        <w:rPr>
          <w:lang w:val="en-GB"/>
        </w:rPr>
      </w:pPr>
      <w:r w:rsidRPr="00DE5FE5">
        <w:rPr>
          <w:rStyle w:val="FootnoteReference"/>
          <w:lang w:val="en-GB"/>
        </w:rPr>
        <w:footnoteRef/>
      </w:r>
      <w:r w:rsidRPr="00DE5FE5">
        <w:rPr>
          <w:lang w:val="en-GB"/>
        </w:rPr>
        <w:t xml:space="preserve"> Latvia, Review of the Insurance System, OECD, April, 2016.</w:t>
      </w:r>
      <w:proofErr w:type="gramStart"/>
      <w:r w:rsidRPr="00DE5FE5">
        <w:rPr>
          <w:lang w:val="en-GB"/>
        </w:rPr>
        <w:t>,7.lpp</w:t>
      </w:r>
      <w:proofErr w:type="gramEnd"/>
      <w:r w:rsidRPr="00DE5FE5">
        <w:rPr>
          <w:lang w:val="en-GB"/>
        </w:rPr>
        <w:t>.</w:t>
      </w:r>
    </w:p>
  </w:footnote>
  <w:footnote w:id="48">
    <w:p w14:paraId="008D9F98" w14:textId="77777777" w:rsidR="00DE5FE5" w:rsidRDefault="00DE5FE5">
      <w:pPr>
        <w:pStyle w:val="FootnoteText"/>
      </w:pPr>
      <w:r w:rsidRPr="00DE5FE5">
        <w:rPr>
          <w:rStyle w:val="FootnoteReference"/>
          <w:lang w:val="en-GB"/>
        </w:rPr>
        <w:footnoteRef/>
      </w:r>
      <w:r w:rsidRPr="00DE5FE5">
        <w:rPr>
          <w:lang w:val="en-GB"/>
        </w:rPr>
        <w:t xml:space="preserve"> Ibid, Page 7</w:t>
      </w:r>
    </w:p>
  </w:footnote>
  <w:footnote w:id="49">
    <w:p w14:paraId="54303DB2" w14:textId="77777777" w:rsidR="00DE5FE5" w:rsidRDefault="00DE5FE5">
      <w:pPr>
        <w:pStyle w:val="FootnoteText"/>
      </w:pPr>
      <w:r>
        <w:rPr>
          <w:rStyle w:val="FootnoteReference"/>
        </w:rPr>
        <w:footnoteRef/>
      </w:r>
      <w:r>
        <w:t xml:space="preserve"> </w:t>
      </w:r>
      <w:r w:rsidRPr="00E43BB7">
        <w:t>http://data.worldbank.org/indicator/NY.GDP.PCAP.CD?page=3</w:t>
      </w:r>
    </w:p>
  </w:footnote>
  <w:footnote w:id="50">
    <w:p w14:paraId="59BBA756" w14:textId="77777777" w:rsidR="00DE5FE5" w:rsidRDefault="00DE5FE5">
      <w:pPr>
        <w:pStyle w:val="FootnoteText"/>
      </w:pPr>
      <w:r>
        <w:rPr>
          <w:rStyle w:val="FootnoteReference"/>
        </w:rPr>
        <w:footnoteRef/>
      </w:r>
      <w:r>
        <w:t xml:space="preserve"> </w:t>
      </w:r>
      <w:proofErr w:type="spellStart"/>
      <w:r w:rsidRPr="00775565">
        <w:t>Ministry</w:t>
      </w:r>
      <w:proofErr w:type="spellEnd"/>
      <w:r w:rsidRPr="00775565">
        <w:t xml:space="preserve"> </w:t>
      </w:r>
      <w:proofErr w:type="spellStart"/>
      <w:r w:rsidRPr="00775565">
        <w:t>of</w:t>
      </w:r>
      <w:proofErr w:type="spellEnd"/>
      <w:r w:rsidRPr="00775565">
        <w:t xml:space="preserve"> </w:t>
      </w:r>
      <w:proofErr w:type="spellStart"/>
      <w:r w:rsidRPr="00775565">
        <w:t>Economics</w:t>
      </w:r>
      <w:proofErr w:type="spellEnd"/>
      <w:r w:rsidRPr="00775565">
        <w:t xml:space="preserve">. </w:t>
      </w:r>
      <w:proofErr w:type="spellStart"/>
      <w:r w:rsidRPr="00775565">
        <w:t>Market</w:t>
      </w:r>
      <w:proofErr w:type="spellEnd"/>
      <w:r w:rsidRPr="00775565">
        <w:t xml:space="preserve"> </w:t>
      </w:r>
      <w:proofErr w:type="spellStart"/>
      <w:r w:rsidRPr="00775565">
        <w:t>Gap</w:t>
      </w:r>
      <w:proofErr w:type="spellEnd"/>
      <w:r w:rsidRPr="00775565">
        <w:t xml:space="preserve"> </w:t>
      </w:r>
      <w:proofErr w:type="spellStart"/>
      <w:r w:rsidRPr="00775565">
        <w:t>Assessment</w:t>
      </w:r>
      <w:proofErr w:type="spellEnd"/>
      <w:r w:rsidRPr="00775565">
        <w:t xml:space="preserve">, 2014, </w:t>
      </w:r>
      <w:proofErr w:type="spellStart"/>
      <w:r w:rsidRPr="00775565">
        <w:t>Page</w:t>
      </w:r>
      <w:proofErr w:type="spellEnd"/>
      <w:r w:rsidRPr="00775565">
        <w:t xml:space="preserve"> </w:t>
      </w:r>
      <w:r>
        <w:t>103-104</w:t>
      </w:r>
      <w:r w:rsidRPr="00775565">
        <w:t xml:space="preserve">.;  </w:t>
      </w:r>
    </w:p>
  </w:footnote>
  <w:footnote w:id="51">
    <w:p w14:paraId="0F0F7319" w14:textId="77777777" w:rsidR="00DE5FE5" w:rsidRDefault="00DE5FE5">
      <w:pPr>
        <w:pStyle w:val="FootnoteText"/>
      </w:pPr>
      <w:r>
        <w:rPr>
          <w:rStyle w:val="FootnoteReference"/>
        </w:rPr>
        <w:footnoteRef/>
      </w:r>
      <w:r>
        <w:t xml:space="preserve"> </w:t>
      </w:r>
      <w:proofErr w:type="spellStart"/>
      <w:r w:rsidRPr="00775565">
        <w:t>Ministry</w:t>
      </w:r>
      <w:proofErr w:type="spellEnd"/>
      <w:r w:rsidRPr="00775565">
        <w:t xml:space="preserve"> </w:t>
      </w:r>
      <w:proofErr w:type="spellStart"/>
      <w:r w:rsidRPr="00775565">
        <w:t>of</w:t>
      </w:r>
      <w:proofErr w:type="spellEnd"/>
      <w:r w:rsidRPr="00775565">
        <w:t xml:space="preserve"> </w:t>
      </w:r>
      <w:proofErr w:type="spellStart"/>
      <w:r w:rsidRPr="00775565">
        <w:t>Economics</w:t>
      </w:r>
      <w:proofErr w:type="spellEnd"/>
      <w:r w:rsidRPr="00775565">
        <w:t xml:space="preserve">. </w:t>
      </w:r>
      <w:proofErr w:type="spellStart"/>
      <w:r w:rsidRPr="00775565">
        <w:t>Market</w:t>
      </w:r>
      <w:proofErr w:type="spellEnd"/>
      <w:r w:rsidRPr="00775565">
        <w:t xml:space="preserve"> </w:t>
      </w:r>
      <w:proofErr w:type="spellStart"/>
      <w:r w:rsidRPr="00775565">
        <w:t>Gap</w:t>
      </w:r>
      <w:proofErr w:type="spellEnd"/>
      <w:r w:rsidRPr="00775565">
        <w:t xml:space="preserve"> </w:t>
      </w:r>
      <w:proofErr w:type="spellStart"/>
      <w:r w:rsidRPr="00775565">
        <w:t>Assessment</w:t>
      </w:r>
      <w:proofErr w:type="spellEnd"/>
      <w:r w:rsidRPr="00775565">
        <w:t xml:space="preserve">, 2014, </w:t>
      </w:r>
      <w:proofErr w:type="spellStart"/>
      <w:r w:rsidRPr="00775565">
        <w:t>Page</w:t>
      </w:r>
      <w:proofErr w:type="spellEnd"/>
      <w:r w:rsidRPr="00775565">
        <w:t xml:space="preserve"> </w:t>
      </w:r>
      <w:r>
        <w:t>103</w:t>
      </w:r>
      <w:r w:rsidRPr="00775565">
        <w:t xml:space="preserve">;  </w:t>
      </w:r>
    </w:p>
  </w:footnote>
  <w:footnote w:id="52">
    <w:p w14:paraId="5EBF4C4A" w14:textId="77777777" w:rsidR="00DE5FE5" w:rsidRDefault="00DE5FE5">
      <w:pPr>
        <w:pStyle w:val="FootnoteText"/>
      </w:pPr>
      <w:r>
        <w:rPr>
          <w:rStyle w:val="FootnoteReference"/>
        </w:rPr>
        <w:footnoteRef/>
      </w:r>
      <w:r>
        <w:t xml:space="preserve"> </w:t>
      </w:r>
      <w:proofErr w:type="spellStart"/>
      <w:r>
        <w:t>See</w:t>
      </w:r>
      <w:proofErr w:type="spellEnd"/>
      <w:r>
        <w:t xml:space="preserve"> </w:t>
      </w:r>
      <w:proofErr w:type="spellStart"/>
      <w:r>
        <w:t>previous</w:t>
      </w:r>
      <w:proofErr w:type="spellEnd"/>
    </w:p>
  </w:footnote>
  <w:footnote w:id="53">
    <w:p w14:paraId="17BFD598" w14:textId="77777777" w:rsidR="00CE6CB9" w:rsidRPr="00705894" w:rsidRDefault="00CE6CB9" w:rsidP="00CE6CB9">
      <w:pPr>
        <w:pStyle w:val="FootnoteText"/>
      </w:pPr>
      <w:r w:rsidRPr="00BD4B05">
        <w:rPr>
          <w:rStyle w:val="FootnoteReference"/>
        </w:rPr>
        <w:footnoteRef/>
      </w:r>
      <w:r w:rsidRPr="00BD4B05">
        <w:t xml:space="preserve"> </w:t>
      </w:r>
      <w:proofErr w:type="spellStart"/>
      <w:r>
        <w:rPr>
          <w:szCs w:val="24"/>
        </w:rPr>
        <w:t>Information</w:t>
      </w:r>
      <w:proofErr w:type="spellEnd"/>
      <w:r>
        <w:rPr>
          <w:szCs w:val="24"/>
        </w:rPr>
        <w:t xml:space="preserve"> </w:t>
      </w:r>
      <w:proofErr w:type="spellStart"/>
      <w:r>
        <w:rPr>
          <w:szCs w:val="24"/>
        </w:rPr>
        <w:t>Report</w:t>
      </w:r>
      <w:proofErr w:type="spellEnd"/>
      <w:r>
        <w:rPr>
          <w:szCs w:val="24"/>
        </w:rPr>
        <w:t xml:space="preserve"> “</w:t>
      </w:r>
      <w:proofErr w:type="spellStart"/>
      <w:r>
        <w:rPr>
          <w:szCs w:val="24"/>
        </w:rPr>
        <w:t>On</w:t>
      </w:r>
      <w:proofErr w:type="spellEnd"/>
      <w:r>
        <w:rPr>
          <w:szCs w:val="24"/>
        </w:rPr>
        <w:t xml:space="preserve"> </w:t>
      </w:r>
      <w:proofErr w:type="spellStart"/>
      <w:r w:rsidRPr="00705894">
        <w:rPr>
          <w:szCs w:val="24"/>
        </w:rPr>
        <w:t>the</w:t>
      </w:r>
      <w:proofErr w:type="spellEnd"/>
      <w:r w:rsidRPr="00705894">
        <w:rPr>
          <w:szCs w:val="24"/>
        </w:rPr>
        <w:t xml:space="preserve"> </w:t>
      </w:r>
      <w:proofErr w:type="spellStart"/>
      <w:r w:rsidRPr="00705894">
        <w:rPr>
          <w:szCs w:val="24"/>
        </w:rPr>
        <w:t>implementation</w:t>
      </w:r>
      <w:proofErr w:type="spellEnd"/>
      <w:r w:rsidRPr="00705894">
        <w:rPr>
          <w:szCs w:val="24"/>
        </w:rPr>
        <w:t xml:space="preserve"> </w:t>
      </w:r>
      <w:proofErr w:type="spellStart"/>
      <w:r w:rsidRPr="00705894">
        <w:rPr>
          <w:szCs w:val="24"/>
        </w:rPr>
        <w:t>of</w:t>
      </w:r>
      <w:proofErr w:type="spellEnd"/>
      <w:r w:rsidRPr="00705894">
        <w:rPr>
          <w:szCs w:val="24"/>
        </w:rPr>
        <w:t xml:space="preserve"> </w:t>
      </w:r>
      <w:proofErr w:type="spellStart"/>
      <w:r w:rsidRPr="00705894">
        <w:rPr>
          <w:szCs w:val="24"/>
        </w:rPr>
        <w:t>recommendations</w:t>
      </w:r>
      <w:proofErr w:type="spellEnd"/>
      <w:r w:rsidRPr="00705894">
        <w:rPr>
          <w:szCs w:val="24"/>
        </w:rPr>
        <w:t xml:space="preserve"> </w:t>
      </w:r>
      <w:proofErr w:type="spellStart"/>
      <w:r w:rsidRPr="00705894">
        <w:rPr>
          <w:szCs w:val="24"/>
        </w:rPr>
        <w:t>of</w:t>
      </w:r>
      <w:proofErr w:type="spellEnd"/>
      <w:r w:rsidRPr="00705894">
        <w:rPr>
          <w:szCs w:val="24"/>
        </w:rPr>
        <w:t xml:space="preserve"> </w:t>
      </w:r>
      <w:proofErr w:type="spellStart"/>
      <w:r w:rsidRPr="00705894">
        <w:rPr>
          <w:szCs w:val="24"/>
        </w:rPr>
        <w:t>the</w:t>
      </w:r>
      <w:proofErr w:type="spellEnd"/>
      <w:r w:rsidRPr="00705894">
        <w:rPr>
          <w:szCs w:val="24"/>
        </w:rPr>
        <w:t xml:space="preserve"> </w:t>
      </w:r>
      <w:proofErr w:type="spellStart"/>
      <w:r w:rsidRPr="00705894">
        <w:rPr>
          <w:szCs w:val="24"/>
        </w:rPr>
        <w:t>Phase</w:t>
      </w:r>
      <w:proofErr w:type="spellEnd"/>
      <w:r w:rsidRPr="00705894">
        <w:rPr>
          <w:szCs w:val="24"/>
        </w:rPr>
        <w:t xml:space="preserve"> 2 </w:t>
      </w:r>
      <w:proofErr w:type="spellStart"/>
      <w:r w:rsidRPr="00705894">
        <w:rPr>
          <w:szCs w:val="24"/>
        </w:rPr>
        <w:t>Report</w:t>
      </w:r>
      <w:proofErr w:type="spellEnd"/>
      <w:r>
        <w:rPr>
          <w:szCs w:val="24"/>
        </w:rPr>
        <w:t xml:space="preserve"> </w:t>
      </w:r>
      <w:proofErr w:type="spellStart"/>
      <w:r>
        <w:rPr>
          <w:szCs w:val="24"/>
        </w:rPr>
        <w:t>by</w:t>
      </w:r>
      <w:proofErr w:type="spellEnd"/>
      <w:r w:rsidRPr="00705894">
        <w:rPr>
          <w:szCs w:val="24"/>
        </w:rPr>
        <w:t xml:space="preserve"> OECD </w:t>
      </w:r>
      <w:proofErr w:type="spellStart"/>
      <w:r w:rsidRPr="00705894">
        <w:rPr>
          <w:szCs w:val="24"/>
        </w:rPr>
        <w:t>Working</w:t>
      </w:r>
      <w:proofErr w:type="spellEnd"/>
      <w:r w:rsidRPr="00705894">
        <w:rPr>
          <w:szCs w:val="24"/>
        </w:rPr>
        <w:t xml:space="preserve"> </w:t>
      </w:r>
      <w:proofErr w:type="spellStart"/>
      <w:r w:rsidRPr="00705894">
        <w:rPr>
          <w:szCs w:val="24"/>
        </w:rPr>
        <w:t>Group</w:t>
      </w:r>
      <w:proofErr w:type="spellEnd"/>
      <w:r w:rsidRPr="00705894">
        <w:rPr>
          <w:szCs w:val="24"/>
        </w:rPr>
        <w:t xml:space="preserve"> </w:t>
      </w:r>
      <w:proofErr w:type="spellStart"/>
      <w:r w:rsidRPr="00705894">
        <w:rPr>
          <w:szCs w:val="24"/>
        </w:rPr>
        <w:t>on</w:t>
      </w:r>
      <w:proofErr w:type="spellEnd"/>
      <w:r w:rsidRPr="00705894">
        <w:rPr>
          <w:szCs w:val="24"/>
        </w:rPr>
        <w:t xml:space="preserve"> </w:t>
      </w:r>
      <w:proofErr w:type="spellStart"/>
      <w:r w:rsidRPr="00705894">
        <w:rPr>
          <w:szCs w:val="24"/>
        </w:rPr>
        <w:t>Bribery</w:t>
      </w:r>
      <w:proofErr w:type="spellEnd"/>
      <w:r w:rsidRPr="00705894">
        <w:rPr>
          <w:szCs w:val="24"/>
        </w:rPr>
        <w:t xml:space="preserve"> </w:t>
      </w:r>
      <w:proofErr w:type="spellStart"/>
      <w:r w:rsidRPr="00705894">
        <w:rPr>
          <w:szCs w:val="24"/>
        </w:rPr>
        <w:t>in</w:t>
      </w:r>
      <w:proofErr w:type="spellEnd"/>
      <w:r w:rsidRPr="00705894">
        <w:rPr>
          <w:szCs w:val="24"/>
        </w:rPr>
        <w:t xml:space="preserve"> </w:t>
      </w:r>
      <w:proofErr w:type="spellStart"/>
      <w:r w:rsidRPr="00705894">
        <w:rPr>
          <w:szCs w:val="24"/>
        </w:rPr>
        <w:t>International</w:t>
      </w:r>
      <w:proofErr w:type="spellEnd"/>
      <w:r w:rsidRPr="00705894">
        <w:rPr>
          <w:szCs w:val="24"/>
        </w:rPr>
        <w:t xml:space="preserve"> </w:t>
      </w:r>
      <w:proofErr w:type="spellStart"/>
      <w:r w:rsidRPr="00705894">
        <w:rPr>
          <w:szCs w:val="24"/>
        </w:rPr>
        <w:t>Business</w:t>
      </w:r>
      <w:proofErr w:type="spellEnd"/>
      <w:r w:rsidRPr="00705894">
        <w:rPr>
          <w:szCs w:val="24"/>
        </w:rPr>
        <w:t xml:space="preserve"> </w:t>
      </w:r>
      <w:proofErr w:type="spellStart"/>
      <w:r w:rsidRPr="00705894">
        <w:rPr>
          <w:szCs w:val="24"/>
        </w:rPr>
        <w:t>Transactions</w:t>
      </w:r>
      <w:proofErr w:type="spellEnd"/>
      <w:r>
        <w:rPr>
          <w:szCs w:val="24"/>
        </w:rPr>
        <w:t xml:space="preserve">” </w:t>
      </w:r>
      <w:proofErr w:type="spellStart"/>
      <w:r>
        <w:rPr>
          <w:szCs w:val="24"/>
        </w:rPr>
        <w:t>and</w:t>
      </w:r>
      <w:proofErr w:type="spellEnd"/>
      <w:r>
        <w:rPr>
          <w:szCs w:val="24"/>
        </w:rPr>
        <w:t xml:space="preserve"> </w:t>
      </w:r>
      <w:proofErr w:type="spellStart"/>
      <w:r>
        <w:rPr>
          <w:szCs w:val="24"/>
        </w:rPr>
        <w:t>its</w:t>
      </w:r>
      <w:proofErr w:type="spellEnd"/>
      <w:r>
        <w:rPr>
          <w:szCs w:val="24"/>
        </w:rPr>
        <w:t xml:space="preserve"> </w:t>
      </w:r>
      <w:proofErr w:type="spellStart"/>
      <w:r>
        <w:rPr>
          <w:szCs w:val="24"/>
        </w:rPr>
        <w:t>annexes</w:t>
      </w:r>
      <w:proofErr w:type="spellEnd"/>
      <w:r>
        <w:rPr>
          <w:szCs w:val="24"/>
        </w:rPr>
        <w:t xml:space="preserve">, </w:t>
      </w:r>
      <w:proofErr w:type="spellStart"/>
      <w:r>
        <w:rPr>
          <w:szCs w:val="24"/>
        </w:rPr>
        <w:t>presented</w:t>
      </w:r>
      <w:proofErr w:type="spellEnd"/>
      <w:r>
        <w:rPr>
          <w:szCs w:val="24"/>
        </w:rPr>
        <w:t xml:space="preserve"> </w:t>
      </w:r>
      <w:proofErr w:type="spellStart"/>
      <w:r>
        <w:rPr>
          <w:szCs w:val="24"/>
        </w:rPr>
        <w:t>in</w:t>
      </w:r>
      <w:proofErr w:type="spellEnd"/>
      <w:r>
        <w:rPr>
          <w:szCs w:val="24"/>
        </w:rPr>
        <w:t xml:space="preserve"> </w:t>
      </w:r>
      <w:proofErr w:type="spellStart"/>
      <w:r>
        <w:rPr>
          <w:szCs w:val="24"/>
        </w:rPr>
        <w:t>the</w:t>
      </w:r>
      <w:proofErr w:type="spellEnd"/>
      <w:r>
        <w:rPr>
          <w:szCs w:val="24"/>
        </w:rPr>
        <w:t xml:space="preserve"> </w:t>
      </w:r>
      <w:proofErr w:type="spellStart"/>
      <w:r>
        <w:rPr>
          <w:szCs w:val="24"/>
        </w:rPr>
        <w:t>Cabinet</w:t>
      </w:r>
      <w:proofErr w:type="spellEnd"/>
      <w:r>
        <w:rPr>
          <w:szCs w:val="24"/>
        </w:rPr>
        <w:t xml:space="preserve"> </w:t>
      </w:r>
      <w:proofErr w:type="spellStart"/>
      <w:r>
        <w:rPr>
          <w:szCs w:val="24"/>
        </w:rPr>
        <w:t>of</w:t>
      </w:r>
      <w:proofErr w:type="spellEnd"/>
      <w:r>
        <w:rPr>
          <w:szCs w:val="24"/>
        </w:rPr>
        <w:t xml:space="preserve"> </w:t>
      </w:r>
      <w:proofErr w:type="spellStart"/>
      <w:r>
        <w:rPr>
          <w:szCs w:val="24"/>
        </w:rPr>
        <w:t>Ministers</w:t>
      </w:r>
      <w:proofErr w:type="spellEnd"/>
      <w:r>
        <w:rPr>
          <w:szCs w:val="24"/>
        </w:rPr>
        <w:t xml:space="preserve"> </w:t>
      </w:r>
      <w:proofErr w:type="spellStart"/>
      <w:r>
        <w:rPr>
          <w:szCs w:val="24"/>
        </w:rPr>
        <w:t>on</w:t>
      </w:r>
      <w:proofErr w:type="spellEnd"/>
      <w:r>
        <w:rPr>
          <w:szCs w:val="24"/>
        </w:rPr>
        <w:t xml:space="preserve"> </w:t>
      </w:r>
      <w:proofErr w:type="spellStart"/>
      <w:r>
        <w:rPr>
          <w:szCs w:val="24"/>
        </w:rPr>
        <w:t>September</w:t>
      </w:r>
      <w:proofErr w:type="spellEnd"/>
      <w:r>
        <w:rPr>
          <w:szCs w:val="24"/>
        </w:rPr>
        <w:t xml:space="preserve"> 27, 2016 (</w:t>
      </w:r>
      <w:proofErr w:type="spellStart"/>
      <w:r>
        <w:rPr>
          <w:szCs w:val="24"/>
        </w:rPr>
        <w:t>meeting</w:t>
      </w:r>
      <w:proofErr w:type="spellEnd"/>
      <w:r>
        <w:rPr>
          <w:szCs w:val="24"/>
        </w:rPr>
        <w:t xml:space="preserve"> </w:t>
      </w:r>
      <w:proofErr w:type="spellStart"/>
      <w:r>
        <w:rPr>
          <w:szCs w:val="24"/>
        </w:rPr>
        <w:t>minutes</w:t>
      </w:r>
      <w:proofErr w:type="spellEnd"/>
      <w:r>
        <w:rPr>
          <w:szCs w:val="24"/>
        </w:rPr>
        <w:t xml:space="preserve"> No. </w:t>
      </w:r>
      <w:r w:rsidRPr="00705894">
        <w:rPr>
          <w:szCs w:val="24"/>
        </w:rPr>
        <w:t>48 61.§</w:t>
      </w:r>
      <w:r>
        <w:rPr>
          <w:szCs w:val="24"/>
        </w:rPr>
        <w:t>)</w:t>
      </w:r>
    </w:p>
  </w:footnote>
  <w:footnote w:id="54">
    <w:p w14:paraId="3571F851" w14:textId="77777777" w:rsidR="00CE6CB9" w:rsidRPr="004638C3" w:rsidRDefault="00CE6CB9" w:rsidP="00CE6CB9">
      <w:pPr>
        <w:pStyle w:val="FootnoteText"/>
      </w:pPr>
      <w:r>
        <w:rPr>
          <w:rStyle w:val="FootnoteReference"/>
        </w:rPr>
        <w:footnoteRef/>
      </w:r>
      <w:r>
        <w:t xml:space="preserve"> </w:t>
      </w:r>
      <w:proofErr w:type="spellStart"/>
      <w:r w:rsidRPr="004638C3">
        <w:t>Based</w:t>
      </w:r>
      <w:proofErr w:type="spellEnd"/>
      <w:r w:rsidRPr="004638C3">
        <w:t xml:space="preserve"> </w:t>
      </w:r>
      <w:proofErr w:type="spellStart"/>
      <w:r w:rsidRPr="004638C3">
        <w:t>on</w:t>
      </w:r>
      <w:proofErr w:type="spellEnd"/>
      <w:r w:rsidRPr="004638C3">
        <w:t xml:space="preserve"> </w:t>
      </w:r>
      <w:proofErr w:type="spellStart"/>
      <w:r w:rsidRPr="004638C3">
        <w:t>the</w:t>
      </w:r>
      <w:proofErr w:type="spellEnd"/>
      <w:r w:rsidRPr="004638C3">
        <w:t xml:space="preserve"> </w:t>
      </w:r>
      <w:proofErr w:type="spellStart"/>
      <w:r w:rsidRPr="004638C3">
        <w:t>Ministry</w:t>
      </w:r>
      <w:proofErr w:type="spellEnd"/>
      <w:r w:rsidRPr="004638C3">
        <w:t xml:space="preserve"> </w:t>
      </w:r>
      <w:proofErr w:type="spellStart"/>
      <w:r w:rsidRPr="004638C3">
        <w:t>of</w:t>
      </w:r>
      <w:proofErr w:type="spellEnd"/>
      <w:r w:rsidRPr="004638C3">
        <w:t xml:space="preserve"> Finan</w:t>
      </w:r>
      <w:r>
        <w:t xml:space="preserve">ce GDP </w:t>
      </w:r>
      <w:proofErr w:type="spellStart"/>
      <w:r>
        <w:t>growth</w:t>
      </w:r>
      <w:proofErr w:type="spellEnd"/>
      <w:r>
        <w:t xml:space="preserve"> </w:t>
      </w:r>
      <w:proofErr w:type="spellStart"/>
      <w:r>
        <w:t>forecast</w:t>
      </w:r>
      <w:proofErr w:type="spellEnd"/>
      <w:r>
        <w:t xml:space="preserve"> </w:t>
      </w:r>
      <w:proofErr w:type="spellStart"/>
      <w:r>
        <w:t>for</w:t>
      </w:r>
      <w:proofErr w:type="spellEnd"/>
      <w:r>
        <w:t xml:space="preserve"> 2017</w:t>
      </w:r>
      <w:r w:rsidRPr="004638C3">
        <w:t xml:space="preserve">- 2019 (2017 - 3.5% 2018 - 3.4%, 2019 - 3.4%). </w:t>
      </w:r>
      <w:proofErr w:type="spellStart"/>
      <w:r>
        <w:t>At</w:t>
      </w:r>
      <w:proofErr w:type="spellEnd"/>
      <w:r w:rsidRPr="004638C3">
        <w:t xml:space="preserve"> </w:t>
      </w:r>
      <w:proofErr w:type="spellStart"/>
      <w:r w:rsidRPr="004638C3">
        <w:t>the</w:t>
      </w:r>
      <w:proofErr w:type="spellEnd"/>
      <w:r w:rsidRPr="004638C3">
        <w:t xml:space="preserve"> </w:t>
      </w:r>
      <w:proofErr w:type="spellStart"/>
      <w:r w:rsidRPr="004638C3">
        <w:t>end</w:t>
      </w:r>
      <w:proofErr w:type="spellEnd"/>
      <w:r w:rsidRPr="004638C3">
        <w:t xml:space="preserve"> </w:t>
      </w:r>
      <w:proofErr w:type="spellStart"/>
      <w:r w:rsidRPr="004638C3">
        <w:t>of</w:t>
      </w:r>
      <w:proofErr w:type="spellEnd"/>
      <w:r w:rsidRPr="004638C3">
        <w:t xml:space="preserve"> 2015</w:t>
      </w:r>
      <w:r>
        <w:t xml:space="preserve">, </w:t>
      </w:r>
      <w:proofErr w:type="spellStart"/>
      <w:r>
        <w:t>lending</w:t>
      </w:r>
      <w:proofErr w:type="spellEnd"/>
      <w:r w:rsidRPr="004638C3">
        <w:t xml:space="preserve"> </w:t>
      </w:r>
      <w:proofErr w:type="spellStart"/>
      <w:r w:rsidRPr="004638C3">
        <w:t>growth</w:t>
      </w:r>
      <w:proofErr w:type="spellEnd"/>
      <w:r w:rsidRPr="004638C3">
        <w:t xml:space="preserve"> </w:t>
      </w:r>
      <w:proofErr w:type="spellStart"/>
      <w:r>
        <w:t>was</w:t>
      </w:r>
      <w:proofErr w:type="spellEnd"/>
      <w:r w:rsidRPr="004638C3">
        <w:t xml:space="preserve"> 0.1%,</w:t>
      </w:r>
      <w:r>
        <w:t xml:space="preserve"> </w:t>
      </w:r>
      <w:proofErr w:type="spellStart"/>
      <w:r>
        <w:t>and</w:t>
      </w:r>
      <w:proofErr w:type="spellEnd"/>
      <w:r w:rsidRPr="004638C3">
        <w:t xml:space="preserve"> </w:t>
      </w:r>
      <w:proofErr w:type="spellStart"/>
      <w:r w:rsidRPr="004638C3">
        <w:t>in</w:t>
      </w:r>
      <w:proofErr w:type="spellEnd"/>
      <w:r w:rsidRPr="004638C3">
        <w:t xml:space="preserve"> </w:t>
      </w:r>
      <w:proofErr w:type="spellStart"/>
      <w:r w:rsidRPr="004638C3">
        <w:t>order</w:t>
      </w:r>
      <w:proofErr w:type="spellEnd"/>
      <w:r w:rsidRPr="004638C3">
        <w:t xml:space="preserve"> to </w:t>
      </w:r>
      <w:proofErr w:type="spellStart"/>
      <w:r>
        <w:t>have</w:t>
      </w:r>
      <w:proofErr w:type="spellEnd"/>
      <w:r>
        <w:t xml:space="preserve"> </w:t>
      </w:r>
      <w:proofErr w:type="spellStart"/>
      <w:r>
        <w:t>its</w:t>
      </w:r>
      <w:proofErr w:type="spellEnd"/>
      <w:r>
        <w:t xml:space="preserve"> </w:t>
      </w:r>
      <w:proofErr w:type="spellStart"/>
      <w:r>
        <w:t>adequate</w:t>
      </w:r>
      <w:proofErr w:type="spellEnd"/>
      <w:r>
        <w:t xml:space="preserve"> </w:t>
      </w:r>
      <w:proofErr w:type="spellStart"/>
      <w:r>
        <w:t>impact</w:t>
      </w:r>
      <w:proofErr w:type="spellEnd"/>
      <w:r>
        <w:t xml:space="preserve"> </w:t>
      </w:r>
      <w:proofErr w:type="spellStart"/>
      <w:r>
        <w:t>on</w:t>
      </w:r>
      <w:proofErr w:type="spellEnd"/>
      <w:r w:rsidRPr="004638C3">
        <w:t xml:space="preserve"> GDP </w:t>
      </w:r>
      <w:proofErr w:type="spellStart"/>
      <w:r w:rsidRPr="004638C3">
        <w:t>growth</w:t>
      </w:r>
      <w:proofErr w:type="spellEnd"/>
      <w:r w:rsidRPr="004638C3">
        <w:t xml:space="preserve">, it </w:t>
      </w:r>
      <w:proofErr w:type="spellStart"/>
      <w:r w:rsidRPr="004638C3">
        <w:t>is</w:t>
      </w:r>
      <w:proofErr w:type="spellEnd"/>
      <w:r w:rsidRPr="004638C3">
        <w:t xml:space="preserve"> </w:t>
      </w:r>
      <w:proofErr w:type="spellStart"/>
      <w:r w:rsidRPr="004638C3">
        <w:t>necessary</w:t>
      </w:r>
      <w:proofErr w:type="spellEnd"/>
      <w:r w:rsidRPr="004638C3">
        <w:t xml:space="preserve"> </w:t>
      </w:r>
      <w:r>
        <w:t xml:space="preserve">to </w:t>
      </w:r>
      <w:proofErr w:type="spellStart"/>
      <w:r>
        <w:t>ensure</w:t>
      </w:r>
      <w:proofErr w:type="spellEnd"/>
      <w:r w:rsidRPr="004638C3">
        <w:t xml:space="preserve"> </w:t>
      </w:r>
      <w:proofErr w:type="spellStart"/>
      <w:r w:rsidRPr="004638C3">
        <w:t>at</w:t>
      </w:r>
      <w:proofErr w:type="spellEnd"/>
      <w:r w:rsidRPr="004638C3">
        <w:t xml:space="preserve"> </w:t>
      </w:r>
      <w:proofErr w:type="spellStart"/>
      <w:r w:rsidRPr="004638C3">
        <w:t>least</w:t>
      </w:r>
      <w:proofErr w:type="spellEnd"/>
      <w:r w:rsidRPr="004638C3">
        <w:t xml:space="preserve"> 10%</w:t>
      </w:r>
      <w:r>
        <w:t xml:space="preserve"> </w:t>
      </w:r>
      <w:proofErr w:type="spellStart"/>
      <w:r>
        <w:t>lending</w:t>
      </w:r>
      <w:proofErr w:type="spellEnd"/>
      <w:r>
        <w:t xml:space="preserve"> </w:t>
      </w:r>
      <w:proofErr w:type="spellStart"/>
      <w:r>
        <w:t>growth</w:t>
      </w:r>
      <w:proofErr w:type="spellEnd"/>
      <w:r>
        <w:t xml:space="preserve"> </w:t>
      </w:r>
      <w:proofErr w:type="spellStart"/>
      <w:r>
        <w:t>in</w:t>
      </w:r>
      <w:proofErr w:type="spellEnd"/>
      <w:r w:rsidRPr="00507C04">
        <w:t xml:space="preserve"> </w:t>
      </w:r>
      <w:proofErr w:type="spellStart"/>
      <w:r w:rsidRPr="004638C3">
        <w:t>three</w:t>
      </w:r>
      <w:proofErr w:type="spellEnd"/>
      <w:r w:rsidRPr="004638C3">
        <w:t xml:space="preserve"> </w:t>
      </w:r>
      <w:proofErr w:type="spellStart"/>
      <w:r w:rsidRPr="004638C3">
        <w:t>years</w:t>
      </w:r>
      <w:proofErr w:type="spellEnd"/>
      <w:r w:rsidRPr="004638C3">
        <w:t>.</w:t>
      </w:r>
    </w:p>
  </w:footnote>
  <w:footnote w:id="55">
    <w:p w14:paraId="70501BEE" w14:textId="77777777" w:rsidR="00CE6CB9" w:rsidRPr="00DA25FB" w:rsidRDefault="00CE6CB9" w:rsidP="00CE6CB9">
      <w:pPr>
        <w:pStyle w:val="FootnoteText"/>
      </w:pPr>
      <w:r>
        <w:rPr>
          <w:rStyle w:val="FootnoteReference"/>
        </w:rPr>
        <w:footnoteRef/>
      </w:r>
      <w:r>
        <w:t xml:space="preserve"> </w:t>
      </w:r>
      <w:proofErr w:type="spellStart"/>
      <w:r>
        <w:t>Financing</w:t>
      </w:r>
      <w:proofErr w:type="spellEnd"/>
      <w:r>
        <w:t xml:space="preserve"> </w:t>
      </w:r>
      <w:proofErr w:type="spellStart"/>
      <w:r>
        <w:t>gap</w:t>
      </w:r>
      <w:proofErr w:type="spellEnd"/>
      <w:r>
        <w:t xml:space="preserve"> </w:t>
      </w:r>
      <w:proofErr w:type="spellStart"/>
      <w:r>
        <w:t>in</w:t>
      </w:r>
      <w:proofErr w:type="spellEnd"/>
      <w:r>
        <w:t xml:space="preserve"> </w:t>
      </w:r>
      <w:proofErr w:type="spellStart"/>
      <w:r>
        <w:t>the</w:t>
      </w:r>
      <w:proofErr w:type="spellEnd"/>
      <w:r>
        <w:t xml:space="preserve"> </w:t>
      </w:r>
      <w:proofErr w:type="spellStart"/>
      <w:r>
        <w:t>capital</w:t>
      </w:r>
      <w:proofErr w:type="spellEnd"/>
      <w:r>
        <w:t xml:space="preserve"> </w:t>
      </w:r>
      <w:proofErr w:type="spellStart"/>
      <w:r>
        <w:t>market</w:t>
      </w:r>
      <w:proofErr w:type="spellEnd"/>
      <w:r>
        <w:t xml:space="preserve"> </w:t>
      </w:r>
      <w:proofErr w:type="spellStart"/>
      <w:r>
        <w:t>financial</w:t>
      </w:r>
      <w:proofErr w:type="spellEnd"/>
      <w:r>
        <w:t xml:space="preserve"> instrument segment </w:t>
      </w:r>
      <w:proofErr w:type="spellStart"/>
      <w:r>
        <w:t>is</w:t>
      </w:r>
      <w:proofErr w:type="spellEnd"/>
      <w:r>
        <w:t xml:space="preserve"> 568 </w:t>
      </w:r>
      <w:proofErr w:type="spellStart"/>
      <w:r>
        <w:t>million</w:t>
      </w:r>
      <w:proofErr w:type="spellEnd"/>
      <w:r>
        <w:t xml:space="preserve"> </w:t>
      </w:r>
      <w:proofErr w:type="spellStart"/>
      <w:r>
        <w:t>euro</w:t>
      </w:r>
      <w:proofErr w:type="spellEnd"/>
      <w:r>
        <w:t>.</w:t>
      </w:r>
    </w:p>
  </w:footnote>
  <w:footnote w:id="56">
    <w:p w14:paraId="4C4C77DD" w14:textId="77777777" w:rsidR="00CE6CB9" w:rsidRPr="006D31BA" w:rsidRDefault="00CE6CB9" w:rsidP="00CE6CB9">
      <w:pPr>
        <w:pStyle w:val="FootnoteText"/>
      </w:pPr>
      <w:r>
        <w:rPr>
          <w:rStyle w:val="FootnoteReference"/>
        </w:rPr>
        <w:footnoteRef/>
      </w:r>
      <w:r>
        <w:t xml:space="preserve"> </w:t>
      </w:r>
      <w:proofErr w:type="spellStart"/>
      <w:r>
        <w:t>Ministry</w:t>
      </w:r>
      <w:proofErr w:type="spellEnd"/>
      <w:r>
        <w:t xml:space="preserve"> </w:t>
      </w:r>
      <w:proofErr w:type="spellStart"/>
      <w:r>
        <w:t>of</w:t>
      </w:r>
      <w:proofErr w:type="spellEnd"/>
      <w:r>
        <w:t xml:space="preserve"> </w:t>
      </w:r>
      <w:proofErr w:type="spellStart"/>
      <w:r>
        <w:t>Economics</w:t>
      </w:r>
      <w:proofErr w:type="spellEnd"/>
      <w:r>
        <w:t xml:space="preserve">, Access to Finance </w:t>
      </w:r>
      <w:proofErr w:type="spellStart"/>
      <w:r w:rsidRPr="006D31BA">
        <w:t>ex</w:t>
      </w:r>
      <w:proofErr w:type="spellEnd"/>
      <w:r w:rsidRPr="006D31BA">
        <w:t xml:space="preserve"> </w:t>
      </w:r>
      <w:proofErr w:type="spellStart"/>
      <w:r w:rsidRPr="006D31BA">
        <w:t>ante</w:t>
      </w:r>
      <w:proofErr w:type="spellEnd"/>
      <w:r w:rsidRPr="006D31BA">
        <w:t xml:space="preserve"> </w:t>
      </w:r>
      <w:proofErr w:type="spellStart"/>
      <w:r w:rsidRPr="006D31BA">
        <w:t>assessment</w:t>
      </w:r>
      <w:proofErr w:type="spellEnd"/>
      <w:r>
        <w:t xml:space="preserve"> Latvia, 2014, 103.104.p.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2BB7" w14:textId="77777777" w:rsidR="00DE5FE5" w:rsidRPr="00DE5FE5" w:rsidRDefault="00DE5FE5" w:rsidP="00903BE6">
    <w:pPr>
      <w:pStyle w:val="Header"/>
      <w:ind w:left="720"/>
      <w:jc w:val="right"/>
      <w:rPr>
        <w:rFonts w:ascii="Times New Roman" w:hAnsi="Times New Roman"/>
        <w:i/>
      </w:rPr>
    </w:pPr>
    <w:r w:rsidRPr="00DE5FE5">
      <w:rPr>
        <w:rFonts w:ascii="Times New Roman" w:hAnsi="Times New Roman"/>
        <w:i/>
      </w:rPr>
      <w:t>Unofficial translation from Latvian</w:t>
    </w:r>
  </w:p>
  <w:p w14:paraId="47F5DE0D" w14:textId="77777777" w:rsidR="00DE5FE5" w:rsidRDefault="00DE5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8C51" w14:textId="77777777" w:rsidR="00541298" w:rsidRPr="00DE5FE5" w:rsidRDefault="00541298" w:rsidP="00541298">
    <w:pPr>
      <w:pStyle w:val="Header"/>
      <w:ind w:left="720"/>
      <w:jc w:val="right"/>
      <w:rPr>
        <w:rFonts w:ascii="Times New Roman" w:hAnsi="Times New Roman"/>
        <w:i/>
      </w:rPr>
    </w:pPr>
    <w:r w:rsidRPr="00DE5FE5">
      <w:rPr>
        <w:rFonts w:ascii="Times New Roman" w:hAnsi="Times New Roman"/>
        <w:i/>
      </w:rPr>
      <w:t>Unofficial translation from Latvian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395"/>
    <w:multiLevelType w:val="hybridMultilevel"/>
    <w:tmpl w:val="63BC9266"/>
    <w:lvl w:ilvl="0" w:tplc="EDCEB0B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4F84"/>
    <w:multiLevelType w:val="hybridMultilevel"/>
    <w:tmpl w:val="8570BA42"/>
    <w:lvl w:ilvl="0" w:tplc="EDCEB0B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94CA4"/>
    <w:multiLevelType w:val="hybridMultilevel"/>
    <w:tmpl w:val="DDC8D0D4"/>
    <w:lvl w:ilvl="0" w:tplc="EDCEB0B4">
      <w:numFmt w:val="bullet"/>
      <w:lvlText w:val="-"/>
      <w:lvlJc w:val="left"/>
      <w:pPr>
        <w:ind w:left="1429" w:hanging="360"/>
      </w:pPr>
      <w:rPr>
        <w:rFonts w:ascii="Times New Roman" w:eastAsia="Times New Roman" w:hAnsi="Times New Roman"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4906352"/>
    <w:multiLevelType w:val="hybridMultilevel"/>
    <w:tmpl w:val="202C9F8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41A13"/>
    <w:multiLevelType w:val="hybridMultilevel"/>
    <w:tmpl w:val="DF463834"/>
    <w:lvl w:ilvl="0" w:tplc="C2D865AC">
      <w:numFmt w:val="bullet"/>
      <w:lvlText w:val="-"/>
      <w:lvlJc w:val="left"/>
      <w:pPr>
        <w:ind w:left="1800" w:hanging="360"/>
      </w:pPr>
      <w:rPr>
        <w:rFonts w:ascii="Times New Roman" w:eastAsia="Times New Roman" w:hAnsi="Times New Roman" w:hint="default"/>
      </w:rPr>
    </w:lvl>
    <w:lvl w:ilvl="1" w:tplc="08090003" w:tentative="1">
      <w:start w:val="1"/>
      <w:numFmt w:val="bullet"/>
      <w:lvlText w:val="o"/>
      <w:lvlJc w:val="left"/>
      <w:pPr>
        <w:ind w:left="2313" w:hanging="360"/>
      </w:pPr>
      <w:rPr>
        <w:rFonts w:ascii="Courier New" w:hAnsi="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5" w15:restartNumberingAfterBreak="0">
    <w:nsid w:val="301426AF"/>
    <w:multiLevelType w:val="hybridMultilevel"/>
    <w:tmpl w:val="997486AA"/>
    <w:lvl w:ilvl="0" w:tplc="EDCEB0B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70E79"/>
    <w:multiLevelType w:val="hybridMultilevel"/>
    <w:tmpl w:val="B4BC2F0E"/>
    <w:lvl w:ilvl="0" w:tplc="C2D865AC">
      <w:numFmt w:val="bullet"/>
      <w:lvlText w:val="-"/>
      <w:lvlJc w:val="left"/>
      <w:pPr>
        <w:ind w:left="927"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63C88"/>
    <w:multiLevelType w:val="hybridMultilevel"/>
    <w:tmpl w:val="E744C3E0"/>
    <w:lvl w:ilvl="0" w:tplc="C2D865AC">
      <w:numFmt w:val="bullet"/>
      <w:lvlText w:val="-"/>
      <w:lvlJc w:val="left"/>
      <w:pPr>
        <w:ind w:left="1800" w:hanging="360"/>
      </w:pPr>
      <w:rPr>
        <w:rFonts w:ascii="Times New Roman" w:eastAsia="Times New Roman" w:hAnsi="Times New Roman" w:hint="default"/>
      </w:rPr>
    </w:lvl>
    <w:lvl w:ilvl="1" w:tplc="08090003" w:tentative="1">
      <w:start w:val="1"/>
      <w:numFmt w:val="bullet"/>
      <w:lvlText w:val="o"/>
      <w:lvlJc w:val="left"/>
      <w:pPr>
        <w:ind w:left="2313" w:hanging="360"/>
      </w:pPr>
      <w:rPr>
        <w:rFonts w:ascii="Courier New" w:hAnsi="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8" w15:restartNumberingAfterBreak="0">
    <w:nsid w:val="413C4DC3"/>
    <w:multiLevelType w:val="hybridMultilevel"/>
    <w:tmpl w:val="E684DFEC"/>
    <w:lvl w:ilvl="0" w:tplc="C2D865AC">
      <w:numFmt w:val="bullet"/>
      <w:lvlText w:val="-"/>
      <w:lvlJc w:val="left"/>
      <w:pPr>
        <w:ind w:left="927"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C1851"/>
    <w:multiLevelType w:val="hybridMultilevel"/>
    <w:tmpl w:val="DA464DEC"/>
    <w:lvl w:ilvl="0" w:tplc="C2D865AC">
      <w:numFmt w:val="bullet"/>
      <w:lvlText w:val="-"/>
      <w:lvlJc w:val="left"/>
      <w:pPr>
        <w:ind w:left="927" w:hanging="360"/>
      </w:pPr>
      <w:rPr>
        <w:rFonts w:ascii="Times New Roman" w:eastAsia="Times New Roman" w:hAnsi="Times New Roman"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2B55941"/>
    <w:multiLevelType w:val="hybridMultilevel"/>
    <w:tmpl w:val="810E9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AE7557"/>
    <w:multiLevelType w:val="hybridMultilevel"/>
    <w:tmpl w:val="CF7EA0D8"/>
    <w:lvl w:ilvl="0" w:tplc="EDCEB0B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376A0"/>
    <w:multiLevelType w:val="hybridMultilevel"/>
    <w:tmpl w:val="6F20B676"/>
    <w:lvl w:ilvl="0" w:tplc="04260001">
      <w:start w:val="1"/>
      <w:numFmt w:val="bullet"/>
      <w:lvlText w:val=""/>
      <w:lvlJc w:val="left"/>
      <w:pPr>
        <w:tabs>
          <w:tab w:val="num" w:pos="1287"/>
        </w:tabs>
        <w:ind w:left="1287" w:hanging="360"/>
      </w:pPr>
      <w:rPr>
        <w:rFonts w:ascii="Symbol" w:hAnsi="Symbol" w:hint="default"/>
      </w:rPr>
    </w:lvl>
    <w:lvl w:ilvl="1" w:tplc="04260003" w:tentative="1">
      <w:start w:val="1"/>
      <w:numFmt w:val="bullet"/>
      <w:lvlText w:val="o"/>
      <w:lvlJc w:val="left"/>
      <w:pPr>
        <w:tabs>
          <w:tab w:val="num" w:pos="2007"/>
        </w:tabs>
        <w:ind w:left="2007" w:hanging="360"/>
      </w:pPr>
      <w:rPr>
        <w:rFonts w:ascii="Courier New" w:hAnsi="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F6C7ABE"/>
    <w:multiLevelType w:val="hybridMultilevel"/>
    <w:tmpl w:val="176E3454"/>
    <w:lvl w:ilvl="0" w:tplc="EDCEB0B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A1477"/>
    <w:multiLevelType w:val="hybridMultilevel"/>
    <w:tmpl w:val="951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138D0"/>
    <w:multiLevelType w:val="hybridMultilevel"/>
    <w:tmpl w:val="7D4E78D0"/>
    <w:lvl w:ilvl="0" w:tplc="EDCEB0B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9430F"/>
    <w:multiLevelType w:val="hybridMultilevel"/>
    <w:tmpl w:val="91F261BC"/>
    <w:lvl w:ilvl="0" w:tplc="EDCEB0B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C17E3"/>
    <w:multiLevelType w:val="hybridMultilevel"/>
    <w:tmpl w:val="398E63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9737C73"/>
    <w:multiLevelType w:val="hybridMultilevel"/>
    <w:tmpl w:val="52D87944"/>
    <w:lvl w:ilvl="0" w:tplc="EDCEB0B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E67A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9"/>
  </w:num>
  <w:num w:numId="3">
    <w:abstractNumId w:val="7"/>
  </w:num>
  <w:num w:numId="4">
    <w:abstractNumId w:val="6"/>
  </w:num>
  <w:num w:numId="5">
    <w:abstractNumId w:val="4"/>
  </w:num>
  <w:num w:numId="6">
    <w:abstractNumId w:val="8"/>
  </w:num>
  <w:num w:numId="7">
    <w:abstractNumId w:val="0"/>
  </w:num>
  <w:num w:numId="8">
    <w:abstractNumId w:val="16"/>
  </w:num>
  <w:num w:numId="9">
    <w:abstractNumId w:val="5"/>
  </w:num>
  <w:num w:numId="10">
    <w:abstractNumId w:val="15"/>
  </w:num>
  <w:num w:numId="11">
    <w:abstractNumId w:val="1"/>
  </w:num>
  <w:num w:numId="12">
    <w:abstractNumId w:val="18"/>
  </w:num>
  <w:num w:numId="13">
    <w:abstractNumId w:val="2"/>
  </w:num>
  <w:num w:numId="14">
    <w:abstractNumId w:val="11"/>
  </w:num>
  <w:num w:numId="15">
    <w:abstractNumId w:val="13"/>
  </w:num>
  <w:num w:numId="16">
    <w:abstractNumId w:val="12"/>
  </w:num>
  <w:num w:numId="17">
    <w:abstractNumId w:val="3"/>
  </w:num>
  <w:num w:numId="18">
    <w:abstractNumId w:val="14"/>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9D"/>
    <w:rsid w:val="000055A5"/>
    <w:rsid w:val="00005F6C"/>
    <w:rsid w:val="00007843"/>
    <w:rsid w:val="0001406E"/>
    <w:rsid w:val="00021CEB"/>
    <w:rsid w:val="00027044"/>
    <w:rsid w:val="00032DD2"/>
    <w:rsid w:val="00033024"/>
    <w:rsid w:val="00037D42"/>
    <w:rsid w:val="00042A30"/>
    <w:rsid w:val="00056BC2"/>
    <w:rsid w:val="0006062E"/>
    <w:rsid w:val="000617B9"/>
    <w:rsid w:val="00062FD9"/>
    <w:rsid w:val="000646DE"/>
    <w:rsid w:val="00065CBD"/>
    <w:rsid w:val="000732F0"/>
    <w:rsid w:val="0007342B"/>
    <w:rsid w:val="00080568"/>
    <w:rsid w:val="00097237"/>
    <w:rsid w:val="000A4FFE"/>
    <w:rsid w:val="000A5DF2"/>
    <w:rsid w:val="000C1FC4"/>
    <w:rsid w:val="000C28DF"/>
    <w:rsid w:val="000C5D23"/>
    <w:rsid w:val="000C734D"/>
    <w:rsid w:val="000D2E52"/>
    <w:rsid w:val="000D2F89"/>
    <w:rsid w:val="000D5011"/>
    <w:rsid w:val="000D73D3"/>
    <w:rsid w:val="000E32D5"/>
    <w:rsid w:val="000E7532"/>
    <w:rsid w:val="000E7AF6"/>
    <w:rsid w:val="000F5FEF"/>
    <w:rsid w:val="0010103D"/>
    <w:rsid w:val="00105976"/>
    <w:rsid w:val="00111D6E"/>
    <w:rsid w:val="0011299A"/>
    <w:rsid w:val="00112C27"/>
    <w:rsid w:val="00114179"/>
    <w:rsid w:val="00114882"/>
    <w:rsid w:val="0012151A"/>
    <w:rsid w:val="0012282E"/>
    <w:rsid w:val="00125308"/>
    <w:rsid w:val="00127D99"/>
    <w:rsid w:val="00137C71"/>
    <w:rsid w:val="0014059A"/>
    <w:rsid w:val="00141B2D"/>
    <w:rsid w:val="001463CC"/>
    <w:rsid w:val="00150564"/>
    <w:rsid w:val="00160E9D"/>
    <w:rsid w:val="00167508"/>
    <w:rsid w:val="00175060"/>
    <w:rsid w:val="00181CE7"/>
    <w:rsid w:val="00184F34"/>
    <w:rsid w:val="00184FE5"/>
    <w:rsid w:val="00186CBA"/>
    <w:rsid w:val="00187059"/>
    <w:rsid w:val="001A3F55"/>
    <w:rsid w:val="001A6F69"/>
    <w:rsid w:val="001A7721"/>
    <w:rsid w:val="001C2AF8"/>
    <w:rsid w:val="001C66B3"/>
    <w:rsid w:val="001D29E5"/>
    <w:rsid w:val="001E554F"/>
    <w:rsid w:val="001E61F2"/>
    <w:rsid w:val="001F2ED3"/>
    <w:rsid w:val="001F4B9B"/>
    <w:rsid w:val="0020601F"/>
    <w:rsid w:val="00210255"/>
    <w:rsid w:val="002113AF"/>
    <w:rsid w:val="00211CEE"/>
    <w:rsid w:val="00212ACB"/>
    <w:rsid w:val="0022527C"/>
    <w:rsid w:val="002331E2"/>
    <w:rsid w:val="002362CC"/>
    <w:rsid w:val="00236568"/>
    <w:rsid w:val="00240C44"/>
    <w:rsid w:val="0024319C"/>
    <w:rsid w:val="00244480"/>
    <w:rsid w:val="0024654A"/>
    <w:rsid w:val="0025051B"/>
    <w:rsid w:val="00251D1F"/>
    <w:rsid w:val="00254B20"/>
    <w:rsid w:val="00257576"/>
    <w:rsid w:val="00261D62"/>
    <w:rsid w:val="00263E0D"/>
    <w:rsid w:val="002650C5"/>
    <w:rsid w:val="00271A4E"/>
    <w:rsid w:val="002751C1"/>
    <w:rsid w:val="00277F97"/>
    <w:rsid w:val="00285897"/>
    <w:rsid w:val="00292780"/>
    <w:rsid w:val="00294E45"/>
    <w:rsid w:val="00296838"/>
    <w:rsid w:val="002A4421"/>
    <w:rsid w:val="002A5EAC"/>
    <w:rsid w:val="002B4317"/>
    <w:rsid w:val="002B7BD6"/>
    <w:rsid w:val="002D1F9F"/>
    <w:rsid w:val="002F01D2"/>
    <w:rsid w:val="002F4EBF"/>
    <w:rsid w:val="002F7A69"/>
    <w:rsid w:val="0030199D"/>
    <w:rsid w:val="00303757"/>
    <w:rsid w:val="003038F7"/>
    <w:rsid w:val="00303EAA"/>
    <w:rsid w:val="00305A8F"/>
    <w:rsid w:val="00306EA8"/>
    <w:rsid w:val="003159CD"/>
    <w:rsid w:val="00316EBC"/>
    <w:rsid w:val="003230BC"/>
    <w:rsid w:val="00327393"/>
    <w:rsid w:val="0033015A"/>
    <w:rsid w:val="00330370"/>
    <w:rsid w:val="00331E12"/>
    <w:rsid w:val="003324B4"/>
    <w:rsid w:val="0033371A"/>
    <w:rsid w:val="0033612A"/>
    <w:rsid w:val="00336919"/>
    <w:rsid w:val="003424E3"/>
    <w:rsid w:val="0034523D"/>
    <w:rsid w:val="00353EFC"/>
    <w:rsid w:val="00356B26"/>
    <w:rsid w:val="00364049"/>
    <w:rsid w:val="00371BA8"/>
    <w:rsid w:val="0037210D"/>
    <w:rsid w:val="00380B6A"/>
    <w:rsid w:val="0038324B"/>
    <w:rsid w:val="0038409A"/>
    <w:rsid w:val="003931D8"/>
    <w:rsid w:val="003940B3"/>
    <w:rsid w:val="003A1052"/>
    <w:rsid w:val="003A3173"/>
    <w:rsid w:val="003A45D2"/>
    <w:rsid w:val="003B0F5A"/>
    <w:rsid w:val="003C1B6B"/>
    <w:rsid w:val="003C6994"/>
    <w:rsid w:val="003D5CD6"/>
    <w:rsid w:val="003D7902"/>
    <w:rsid w:val="003E43F5"/>
    <w:rsid w:val="003F0175"/>
    <w:rsid w:val="003F76D3"/>
    <w:rsid w:val="004004E3"/>
    <w:rsid w:val="0040352D"/>
    <w:rsid w:val="004326C4"/>
    <w:rsid w:val="00436E8D"/>
    <w:rsid w:val="00440ECC"/>
    <w:rsid w:val="00444336"/>
    <w:rsid w:val="0044534B"/>
    <w:rsid w:val="00454A16"/>
    <w:rsid w:val="00456201"/>
    <w:rsid w:val="00457063"/>
    <w:rsid w:val="00464654"/>
    <w:rsid w:val="0047357D"/>
    <w:rsid w:val="00476768"/>
    <w:rsid w:val="00490BBD"/>
    <w:rsid w:val="00491223"/>
    <w:rsid w:val="004A1AF2"/>
    <w:rsid w:val="004A4124"/>
    <w:rsid w:val="004A52E5"/>
    <w:rsid w:val="004A6BBF"/>
    <w:rsid w:val="004B61BD"/>
    <w:rsid w:val="004B6862"/>
    <w:rsid w:val="004C4ED4"/>
    <w:rsid w:val="004D2377"/>
    <w:rsid w:val="004D2B90"/>
    <w:rsid w:val="004E3F51"/>
    <w:rsid w:val="004F0313"/>
    <w:rsid w:val="004F48D2"/>
    <w:rsid w:val="004F4F48"/>
    <w:rsid w:val="00500283"/>
    <w:rsid w:val="0051604C"/>
    <w:rsid w:val="00520224"/>
    <w:rsid w:val="00527FC8"/>
    <w:rsid w:val="00541298"/>
    <w:rsid w:val="00567497"/>
    <w:rsid w:val="00572BBD"/>
    <w:rsid w:val="00581F2D"/>
    <w:rsid w:val="00582CB6"/>
    <w:rsid w:val="00585532"/>
    <w:rsid w:val="00591EBD"/>
    <w:rsid w:val="00593D55"/>
    <w:rsid w:val="00595DDE"/>
    <w:rsid w:val="005A4A4F"/>
    <w:rsid w:val="005A542C"/>
    <w:rsid w:val="005B28BD"/>
    <w:rsid w:val="005C3833"/>
    <w:rsid w:val="005C6081"/>
    <w:rsid w:val="005C69EF"/>
    <w:rsid w:val="005D0FC1"/>
    <w:rsid w:val="005D1609"/>
    <w:rsid w:val="005E17B1"/>
    <w:rsid w:val="005E5D4C"/>
    <w:rsid w:val="005E749F"/>
    <w:rsid w:val="00610851"/>
    <w:rsid w:val="00611813"/>
    <w:rsid w:val="0062013E"/>
    <w:rsid w:val="00621A22"/>
    <w:rsid w:val="00623757"/>
    <w:rsid w:val="00625763"/>
    <w:rsid w:val="00630D40"/>
    <w:rsid w:val="00631DE3"/>
    <w:rsid w:val="00633550"/>
    <w:rsid w:val="00640C98"/>
    <w:rsid w:val="00645E8E"/>
    <w:rsid w:val="0064784E"/>
    <w:rsid w:val="0065091D"/>
    <w:rsid w:val="006557B1"/>
    <w:rsid w:val="006602C5"/>
    <w:rsid w:val="00661BB2"/>
    <w:rsid w:val="006635FB"/>
    <w:rsid w:val="00664B12"/>
    <w:rsid w:val="0066539F"/>
    <w:rsid w:val="00667DDC"/>
    <w:rsid w:val="00672952"/>
    <w:rsid w:val="00680BF4"/>
    <w:rsid w:val="0069083E"/>
    <w:rsid w:val="0069095A"/>
    <w:rsid w:val="006965AE"/>
    <w:rsid w:val="006A3456"/>
    <w:rsid w:val="006A403D"/>
    <w:rsid w:val="006A65BB"/>
    <w:rsid w:val="006B1994"/>
    <w:rsid w:val="006B4CC1"/>
    <w:rsid w:val="006C1A27"/>
    <w:rsid w:val="006C6235"/>
    <w:rsid w:val="006D2BC2"/>
    <w:rsid w:val="006D6213"/>
    <w:rsid w:val="006D7B4F"/>
    <w:rsid w:val="006E1AA5"/>
    <w:rsid w:val="006E26F7"/>
    <w:rsid w:val="006E4295"/>
    <w:rsid w:val="006E6230"/>
    <w:rsid w:val="006F08E3"/>
    <w:rsid w:val="006F243B"/>
    <w:rsid w:val="007016B4"/>
    <w:rsid w:val="00701FE4"/>
    <w:rsid w:val="00702186"/>
    <w:rsid w:val="00716471"/>
    <w:rsid w:val="007309D2"/>
    <w:rsid w:val="0073230C"/>
    <w:rsid w:val="007412A4"/>
    <w:rsid w:val="00747F77"/>
    <w:rsid w:val="00750D12"/>
    <w:rsid w:val="00752C2C"/>
    <w:rsid w:val="007541D8"/>
    <w:rsid w:val="00766BEA"/>
    <w:rsid w:val="00770CBA"/>
    <w:rsid w:val="00775565"/>
    <w:rsid w:val="00777FDA"/>
    <w:rsid w:val="00780514"/>
    <w:rsid w:val="007825BE"/>
    <w:rsid w:val="007836DC"/>
    <w:rsid w:val="00790BC8"/>
    <w:rsid w:val="00793360"/>
    <w:rsid w:val="00796335"/>
    <w:rsid w:val="007A02DE"/>
    <w:rsid w:val="007A2A51"/>
    <w:rsid w:val="007B0707"/>
    <w:rsid w:val="007B1F65"/>
    <w:rsid w:val="007B2CFF"/>
    <w:rsid w:val="007B40EC"/>
    <w:rsid w:val="007C087F"/>
    <w:rsid w:val="007C2EB8"/>
    <w:rsid w:val="007C47BF"/>
    <w:rsid w:val="007C6ED5"/>
    <w:rsid w:val="007D3812"/>
    <w:rsid w:val="007F0987"/>
    <w:rsid w:val="00802611"/>
    <w:rsid w:val="00802BB9"/>
    <w:rsid w:val="008350D2"/>
    <w:rsid w:val="00840100"/>
    <w:rsid w:val="00847005"/>
    <w:rsid w:val="0085078A"/>
    <w:rsid w:val="0086363C"/>
    <w:rsid w:val="00870930"/>
    <w:rsid w:val="00872BFF"/>
    <w:rsid w:val="00872E25"/>
    <w:rsid w:val="00880CC0"/>
    <w:rsid w:val="008859F3"/>
    <w:rsid w:val="00887825"/>
    <w:rsid w:val="00887B5B"/>
    <w:rsid w:val="0089185C"/>
    <w:rsid w:val="00891F71"/>
    <w:rsid w:val="00895E22"/>
    <w:rsid w:val="008A236E"/>
    <w:rsid w:val="008A44D4"/>
    <w:rsid w:val="008B560B"/>
    <w:rsid w:val="008D3B74"/>
    <w:rsid w:val="008D50EB"/>
    <w:rsid w:val="008D69FC"/>
    <w:rsid w:val="008E1A22"/>
    <w:rsid w:val="008E3E9C"/>
    <w:rsid w:val="008E5F9C"/>
    <w:rsid w:val="008E7B02"/>
    <w:rsid w:val="008F1B9B"/>
    <w:rsid w:val="008F3970"/>
    <w:rsid w:val="00901972"/>
    <w:rsid w:val="00901D61"/>
    <w:rsid w:val="00902075"/>
    <w:rsid w:val="00903BE6"/>
    <w:rsid w:val="00912914"/>
    <w:rsid w:val="0092244E"/>
    <w:rsid w:val="00923C34"/>
    <w:rsid w:val="009245D0"/>
    <w:rsid w:val="0092568C"/>
    <w:rsid w:val="00926D18"/>
    <w:rsid w:val="00931995"/>
    <w:rsid w:val="00935AA1"/>
    <w:rsid w:val="00940D28"/>
    <w:rsid w:val="00945A3D"/>
    <w:rsid w:val="00950219"/>
    <w:rsid w:val="00961BE3"/>
    <w:rsid w:val="009666E5"/>
    <w:rsid w:val="009766C1"/>
    <w:rsid w:val="009851CC"/>
    <w:rsid w:val="00985513"/>
    <w:rsid w:val="009859B4"/>
    <w:rsid w:val="009957E7"/>
    <w:rsid w:val="009A2768"/>
    <w:rsid w:val="009B28FA"/>
    <w:rsid w:val="009B5E9B"/>
    <w:rsid w:val="009B6EA6"/>
    <w:rsid w:val="009C6CFA"/>
    <w:rsid w:val="009D211A"/>
    <w:rsid w:val="009E0BA1"/>
    <w:rsid w:val="009E3C5B"/>
    <w:rsid w:val="009E651F"/>
    <w:rsid w:val="009F60FC"/>
    <w:rsid w:val="009F6529"/>
    <w:rsid w:val="00A00D93"/>
    <w:rsid w:val="00A03FC1"/>
    <w:rsid w:val="00A04AD5"/>
    <w:rsid w:val="00A05B93"/>
    <w:rsid w:val="00A14AD2"/>
    <w:rsid w:val="00A17329"/>
    <w:rsid w:val="00A201DA"/>
    <w:rsid w:val="00A225DC"/>
    <w:rsid w:val="00A25A58"/>
    <w:rsid w:val="00A32E63"/>
    <w:rsid w:val="00A33787"/>
    <w:rsid w:val="00A354F1"/>
    <w:rsid w:val="00A75A92"/>
    <w:rsid w:val="00A82146"/>
    <w:rsid w:val="00A8453E"/>
    <w:rsid w:val="00A84A12"/>
    <w:rsid w:val="00A867D5"/>
    <w:rsid w:val="00A90564"/>
    <w:rsid w:val="00A93715"/>
    <w:rsid w:val="00A939AF"/>
    <w:rsid w:val="00A95793"/>
    <w:rsid w:val="00A9659B"/>
    <w:rsid w:val="00A97BDB"/>
    <w:rsid w:val="00AA015B"/>
    <w:rsid w:val="00AA3E5E"/>
    <w:rsid w:val="00AA5ECF"/>
    <w:rsid w:val="00AB0866"/>
    <w:rsid w:val="00AB45F4"/>
    <w:rsid w:val="00AB56C4"/>
    <w:rsid w:val="00AD3E3D"/>
    <w:rsid w:val="00AD5716"/>
    <w:rsid w:val="00AD5E7E"/>
    <w:rsid w:val="00AE07C3"/>
    <w:rsid w:val="00AE12FE"/>
    <w:rsid w:val="00AE16FE"/>
    <w:rsid w:val="00AE498F"/>
    <w:rsid w:val="00AE6580"/>
    <w:rsid w:val="00AF06FA"/>
    <w:rsid w:val="00AF7782"/>
    <w:rsid w:val="00AF7E34"/>
    <w:rsid w:val="00B12A5B"/>
    <w:rsid w:val="00B14A76"/>
    <w:rsid w:val="00B229C0"/>
    <w:rsid w:val="00B23238"/>
    <w:rsid w:val="00B318B2"/>
    <w:rsid w:val="00B33959"/>
    <w:rsid w:val="00B40A04"/>
    <w:rsid w:val="00B4390A"/>
    <w:rsid w:val="00B50737"/>
    <w:rsid w:val="00B513DB"/>
    <w:rsid w:val="00B5500D"/>
    <w:rsid w:val="00B550F4"/>
    <w:rsid w:val="00B601E6"/>
    <w:rsid w:val="00B60D4C"/>
    <w:rsid w:val="00B6639F"/>
    <w:rsid w:val="00B70588"/>
    <w:rsid w:val="00B71942"/>
    <w:rsid w:val="00BA72FA"/>
    <w:rsid w:val="00BB0675"/>
    <w:rsid w:val="00BB1F3D"/>
    <w:rsid w:val="00BB27BD"/>
    <w:rsid w:val="00BB365E"/>
    <w:rsid w:val="00BB4387"/>
    <w:rsid w:val="00BB4C7A"/>
    <w:rsid w:val="00BC1326"/>
    <w:rsid w:val="00BC410B"/>
    <w:rsid w:val="00BC53DB"/>
    <w:rsid w:val="00BC622D"/>
    <w:rsid w:val="00BD0A13"/>
    <w:rsid w:val="00BD5DA8"/>
    <w:rsid w:val="00BE045C"/>
    <w:rsid w:val="00BE1985"/>
    <w:rsid w:val="00BE1FB6"/>
    <w:rsid w:val="00BF729A"/>
    <w:rsid w:val="00BF7917"/>
    <w:rsid w:val="00C027A7"/>
    <w:rsid w:val="00C050DA"/>
    <w:rsid w:val="00C10E4C"/>
    <w:rsid w:val="00C15538"/>
    <w:rsid w:val="00C248A5"/>
    <w:rsid w:val="00C44AA5"/>
    <w:rsid w:val="00C67E8E"/>
    <w:rsid w:val="00C71FD4"/>
    <w:rsid w:val="00C7766A"/>
    <w:rsid w:val="00C77B2D"/>
    <w:rsid w:val="00C824F3"/>
    <w:rsid w:val="00C84BD6"/>
    <w:rsid w:val="00C87FD1"/>
    <w:rsid w:val="00C9113C"/>
    <w:rsid w:val="00C92772"/>
    <w:rsid w:val="00C93578"/>
    <w:rsid w:val="00C9422A"/>
    <w:rsid w:val="00CA55BE"/>
    <w:rsid w:val="00CB1231"/>
    <w:rsid w:val="00CB40C9"/>
    <w:rsid w:val="00CB428F"/>
    <w:rsid w:val="00CC1060"/>
    <w:rsid w:val="00CC1D67"/>
    <w:rsid w:val="00CC524A"/>
    <w:rsid w:val="00CD0524"/>
    <w:rsid w:val="00CD463F"/>
    <w:rsid w:val="00CD50BE"/>
    <w:rsid w:val="00CE3155"/>
    <w:rsid w:val="00CE47B1"/>
    <w:rsid w:val="00CE6CB9"/>
    <w:rsid w:val="00CF15F4"/>
    <w:rsid w:val="00CF2E44"/>
    <w:rsid w:val="00CF470E"/>
    <w:rsid w:val="00D02E82"/>
    <w:rsid w:val="00D15300"/>
    <w:rsid w:val="00D168A6"/>
    <w:rsid w:val="00D16C74"/>
    <w:rsid w:val="00D16D57"/>
    <w:rsid w:val="00D17AEC"/>
    <w:rsid w:val="00D17D37"/>
    <w:rsid w:val="00D23096"/>
    <w:rsid w:val="00D40A62"/>
    <w:rsid w:val="00D42E6D"/>
    <w:rsid w:val="00D45110"/>
    <w:rsid w:val="00D66C75"/>
    <w:rsid w:val="00D67F9B"/>
    <w:rsid w:val="00D736DF"/>
    <w:rsid w:val="00D80C5C"/>
    <w:rsid w:val="00D82B31"/>
    <w:rsid w:val="00D83939"/>
    <w:rsid w:val="00D91CB0"/>
    <w:rsid w:val="00D91E09"/>
    <w:rsid w:val="00D95BF0"/>
    <w:rsid w:val="00DA6081"/>
    <w:rsid w:val="00DB0F5B"/>
    <w:rsid w:val="00DC064A"/>
    <w:rsid w:val="00DC2256"/>
    <w:rsid w:val="00DD0C02"/>
    <w:rsid w:val="00DE199D"/>
    <w:rsid w:val="00DE5493"/>
    <w:rsid w:val="00DE5FE5"/>
    <w:rsid w:val="00DE632F"/>
    <w:rsid w:val="00DF25AD"/>
    <w:rsid w:val="00DF3A0D"/>
    <w:rsid w:val="00DF6BD0"/>
    <w:rsid w:val="00E01F4C"/>
    <w:rsid w:val="00E046ED"/>
    <w:rsid w:val="00E10CA7"/>
    <w:rsid w:val="00E2347E"/>
    <w:rsid w:val="00E3463A"/>
    <w:rsid w:val="00E36636"/>
    <w:rsid w:val="00E407CB"/>
    <w:rsid w:val="00E43BB7"/>
    <w:rsid w:val="00E44444"/>
    <w:rsid w:val="00E503AC"/>
    <w:rsid w:val="00E54642"/>
    <w:rsid w:val="00E568E5"/>
    <w:rsid w:val="00E56FFC"/>
    <w:rsid w:val="00E61463"/>
    <w:rsid w:val="00E72F04"/>
    <w:rsid w:val="00E733D3"/>
    <w:rsid w:val="00E7580F"/>
    <w:rsid w:val="00E87147"/>
    <w:rsid w:val="00EA1309"/>
    <w:rsid w:val="00EA1BAD"/>
    <w:rsid w:val="00EA1CDB"/>
    <w:rsid w:val="00EA225E"/>
    <w:rsid w:val="00EA4DE4"/>
    <w:rsid w:val="00EA720F"/>
    <w:rsid w:val="00EB4BDB"/>
    <w:rsid w:val="00EB63F5"/>
    <w:rsid w:val="00EC0787"/>
    <w:rsid w:val="00EC09D7"/>
    <w:rsid w:val="00EE48E7"/>
    <w:rsid w:val="00EF0889"/>
    <w:rsid w:val="00F07D34"/>
    <w:rsid w:val="00F07F56"/>
    <w:rsid w:val="00F12753"/>
    <w:rsid w:val="00F22449"/>
    <w:rsid w:val="00F22730"/>
    <w:rsid w:val="00F262C8"/>
    <w:rsid w:val="00F26D07"/>
    <w:rsid w:val="00F33A95"/>
    <w:rsid w:val="00F40376"/>
    <w:rsid w:val="00F403DF"/>
    <w:rsid w:val="00F44329"/>
    <w:rsid w:val="00F4642C"/>
    <w:rsid w:val="00F46AC4"/>
    <w:rsid w:val="00F52BBA"/>
    <w:rsid w:val="00F64498"/>
    <w:rsid w:val="00F72C97"/>
    <w:rsid w:val="00F826F3"/>
    <w:rsid w:val="00F82AFE"/>
    <w:rsid w:val="00F91482"/>
    <w:rsid w:val="00F918AE"/>
    <w:rsid w:val="00F93659"/>
    <w:rsid w:val="00F9436E"/>
    <w:rsid w:val="00FA05E7"/>
    <w:rsid w:val="00FA4356"/>
    <w:rsid w:val="00FB077C"/>
    <w:rsid w:val="00FB08A9"/>
    <w:rsid w:val="00FB4AB1"/>
    <w:rsid w:val="00FB510A"/>
    <w:rsid w:val="00FC3587"/>
    <w:rsid w:val="00FD4234"/>
    <w:rsid w:val="00FD61C3"/>
    <w:rsid w:val="00FD7A3C"/>
    <w:rsid w:val="00FE38F7"/>
    <w:rsid w:val="00FE4015"/>
    <w:rsid w:val="00FE6B20"/>
    <w:rsid w:val="00FF0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2FF030C"/>
  <w15:docId w15:val="{41CB63FA-5BBE-4744-B39D-757755F3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62"/>
    <w:pPr>
      <w:spacing w:after="160" w:line="259" w:lineRule="auto"/>
    </w:pPr>
    <w:rPr>
      <w:sz w:val="22"/>
      <w:szCs w:val="22"/>
      <w:lang w:eastAsia="en-US"/>
    </w:rPr>
  </w:style>
  <w:style w:type="paragraph" w:styleId="Heading1">
    <w:name w:val="heading 1"/>
    <w:basedOn w:val="Normal"/>
    <w:next w:val="Normal"/>
    <w:link w:val="Heading1Char"/>
    <w:uiPriority w:val="9"/>
    <w:qFormat/>
    <w:locked/>
    <w:rsid w:val="00005F6C"/>
    <w:pPr>
      <w:keepNext/>
      <w:spacing w:before="240" w:after="60"/>
      <w:outlineLvl w:val="0"/>
    </w:pPr>
    <w:rPr>
      <w:rFonts w:ascii="Times New Roman" w:eastAsia="Times New Roman" w:hAnsi="Times New Roman"/>
      <w:b/>
      <w:bCs/>
      <w:kern w:val="32"/>
      <w:sz w:val="28"/>
      <w:szCs w:val="32"/>
      <w:lang w:val="lv-LV"/>
    </w:rPr>
  </w:style>
  <w:style w:type="paragraph" w:styleId="Heading2">
    <w:name w:val="heading 2"/>
    <w:basedOn w:val="Normal"/>
    <w:next w:val="Normal"/>
    <w:link w:val="Heading2Char"/>
    <w:unhideWhenUsed/>
    <w:qFormat/>
    <w:locked/>
    <w:rsid w:val="00005F6C"/>
    <w:pPr>
      <w:keepNext/>
      <w:spacing w:before="240" w:after="60"/>
      <w:ind w:left="720"/>
      <w:outlineLvl w:val="1"/>
    </w:pPr>
    <w:rPr>
      <w:rFonts w:ascii="Times New Roman" w:eastAsia="Times New Roman" w:hAnsi="Times New Roman"/>
      <w:b/>
      <w:bCs/>
      <w:iCs/>
      <w:sz w:val="28"/>
      <w:szCs w:val="28"/>
    </w:rPr>
  </w:style>
  <w:style w:type="paragraph" w:styleId="Heading3">
    <w:name w:val="heading 3"/>
    <w:basedOn w:val="Normal"/>
    <w:next w:val="Normal"/>
    <w:link w:val="Heading3Char"/>
    <w:unhideWhenUsed/>
    <w:qFormat/>
    <w:locked/>
    <w:rsid w:val="00005F6C"/>
    <w:pPr>
      <w:keepNext/>
      <w:spacing w:before="240" w:after="60"/>
      <w:ind w:left="72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199D"/>
    <w:pPr>
      <w:tabs>
        <w:tab w:val="center" w:pos="4153"/>
        <w:tab w:val="right" w:pos="8306"/>
      </w:tabs>
      <w:spacing w:after="0" w:line="240" w:lineRule="auto"/>
    </w:pPr>
  </w:style>
  <w:style w:type="character" w:customStyle="1" w:styleId="HeaderChar">
    <w:name w:val="Header Char"/>
    <w:link w:val="Header"/>
    <w:uiPriority w:val="99"/>
    <w:locked/>
    <w:rsid w:val="00DE199D"/>
    <w:rPr>
      <w:rFonts w:cs="Times New Roman"/>
    </w:rPr>
  </w:style>
  <w:style w:type="paragraph" w:styleId="Footer">
    <w:name w:val="footer"/>
    <w:basedOn w:val="Normal"/>
    <w:link w:val="FooterChar"/>
    <w:uiPriority w:val="99"/>
    <w:rsid w:val="00DE199D"/>
    <w:pPr>
      <w:tabs>
        <w:tab w:val="center" w:pos="4153"/>
        <w:tab w:val="right" w:pos="8306"/>
      </w:tabs>
      <w:spacing w:after="0" w:line="240" w:lineRule="auto"/>
    </w:pPr>
  </w:style>
  <w:style w:type="character" w:customStyle="1" w:styleId="FooterChar">
    <w:name w:val="Footer Char"/>
    <w:link w:val="Footer"/>
    <w:uiPriority w:val="99"/>
    <w:locked/>
    <w:rsid w:val="00DE199D"/>
    <w:rPr>
      <w:rFonts w:cs="Times New Roman"/>
    </w:rPr>
  </w:style>
  <w:style w:type="paragraph" w:styleId="ListParagraph">
    <w:name w:val="List Paragraph"/>
    <w:aliases w:val="2,Strip"/>
    <w:basedOn w:val="Normal"/>
    <w:link w:val="ListParagraphChar"/>
    <w:uiPriority w:val="34"/>
    <w:qFormat/>
    <w:rsid w:val="00BB27BD"/>
    <w:pPr>
      <w:ind w:left="720"/>
      <w:contextualSpacing/>
    </w:pPr>
    <w:rPr>
      <w:rFonts w:eastAsia="Times New Roman"/>
      <w:sz w:val="20"/>
      <w:szCs w:val="20"/>
      <w:lang w:val="lv-LV" w:eastAsia="lv-LV"/>
    </w:rPr>
  </w:style>
  <w:style w:type="character" w:customStyle="1" w:styleId="ListParagraphChar">
    <w:name w:val="List Paragraph Char"/>
    <w:aliases w:val="2 Char,Strip Char"/>
    <w:link w:val="ListParagraph"/>
    <w:uiPriority w:val="99"/>
    <w:locked/>
    <w:rsid w:val="00BB27BD"/>
    <w:rPr>
      <w:rFonts w:ascii="Calibri" w:hAnsi="Calibri"/>
    </w:rPr>
  </w:style>
  <w:style w:type="paragraph" w:styleId="FootnoteText">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rsid w:val="00BB27BD"/>
    <w:pPr>
      <w:spacing w:after="0" w:line="240" w:lineRule="auto"/>
      <w:jc w:val="both"/>
    </w:pPr>
    <w:rPr>
      <w:rFonts w:ascii="Times New Roman" w:hAnsi="Times New Roman"/>
      <w:sz w:val="20"/>
      <w:szCs w:val="20"/>
      <w:lang w:val="lv-LV"/>
    </w:rPr>
  </w:style>
  <w:style w:type="character" w:customStyle="1" w:styleId="FootnoteTextChar">
    <w:name w:val="Footnote Text Char"/>
    <w:aliases w:val="Footnote Char,Fußnote Char1,Fußnote Char Char,Fußnote Char Char Char Char,Fußnotentext Char Char1,Fußnotentext Char1 Char1 Char,Fußnotentext Char Char Char Char Char,Fußnotentext Char1 Char Char Char Char1,Fußnotentext Char Char Char"/>
    <w:link w:val="FootnoteText"/>
    <w:uiPriority w:val="99"/>
    <w:locked/>
    <w:rsid w:val="00BB27BD"/>
    <w:rPr>
      <w:rFonts w:ascii="Times New Roman" w:hAnsi="Times New Roman" w:cs="Times New Roman"/>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link w:val="CharCharCharChar"/>
    <w:uiPriority w:val="99"/>
    <w:rsid w:val="00125308"/>
    <w:rPr>
      <w:rFonts w:cs="Times New Roman"/>
      <w:vertAlign w:val="superscript"/>
    </w:rPr>
  </w:style>
  <w:style w:type="character" w:styleId="Hyperlink">
    <w:name w:val="Hyperlink"/>
    <w:uiPriority w:val="99"/>
    <w:rsid w:val="003940B3"/>
    <w:rPr>
      <w:rFonts w:cs="Times New Roman"/>
      <w:color w:val="0563C1"/>
      <w:u w:val="single"/>
    </w:rPr>
  </w:style>
  <w:style w:type="paragraph" w:styleId="BalloonText">
    <w:name w:val="Balloon Text"/>
    <w:basedOn w:val="Normal"/>
    <w:link w:val="BalloonTextChar"/>
    <w:uiPriority w:val="99"/>
    <w:semiHidden/>
    <w:rsid w:val="00945A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45A3D"/>
    <w:rPr>
      <w:rFonts w:ascii="Segoe UI" w:hAnsi="Segoe UI" w:cs="Segoe UI"/>
      <w:sz w:val="18"/>
      <w:szCs w:val="18"/>
    </w:rPr>
  </w:style>
  <w:style w:type="character" w:styleId="CommentReference">
    <w:name w:val="annotation reference"/>
    <w:uiPriority w:val="99"/>
    <w:semiHidden/>
    <w:rsid w:val="00940D28"/>
    <w:rPr>
      <w:rFonts w:cs="Times New Roman"/>
      <w:sz w:val="16"/>
      <w:szCs w:val="16"/>
    </w:rPr>
  </w:style>
  <w:style w:type="paragraph" w:styleId="CommentText">
    <w:name w:val="annotation text"/>
    <w:basedOn w:val="Normal"/>
    <w:link w:val="CommentTextChar"/>
    <w:uiPriority w:val="99"/>
    <w:semiHidden/>
    <w:rsid w:val="00940D28"/>
    <w:pPr>
      <w:spacing w:line="240" w:lineRule="auto"/>
    </w:pPr>
    <w:rPr>
      <w:sz w:val="20"/>
      <w:szCs w:val="20"/>
    </w:rPr>
  </w:style>
  <w:style w:type="character" w:customStyle="1" w:styleId="CommentTextChar">
    <w:name w:val="Comment Text Char"/>
    <w:link w:val="CommentText"/>
    <w:uiPriority w:val="99"/>
    <w:semiHidden/>
    <w:locked/>
    <w:rsid w:val="00940D28"/>
    <w:rPr>
      <w:rFonts w:cs="Times New Roman"/>
      <w:sz w:val="20"/>
      <w:szCs w:val="20"/>
    </w:rPr>
  </w:style>
  <w:style w:type="paragraph" w:styleId="CommentSubject">
    <w:name w:val="annotation subject"/>
    <w:basedOn w:val="CommentText"/>
    <w:next w:val="CommentText"/>
    <w:link w:val="CommentSubjectChar"/>
    <w:uiPriority w:val="99"/>
    <w:semiHidden/>
    <w:rsid w:val="00940D28"/>
    <w:rPr>
      <w:b/>
      <w:bCs/>
    </w:rPr>
  </w:style>
  <w:style w:type="character" w:customStyle="1" w:styleId="CommentSubjectChar">
    <w:name w:val="Comment Subject Char"/>
    <w:link w:val="CommentSubject"/>
    <w:uiPriority w:val="99"/>
    <w:semiHidden/>
    <w:locked/>
    <w:rsid w:val="00940D28"/>
    <w:rPr>
      <w:rFonts w:cs="Times New Roman"/>
      <w:b/>
      <w:bCs/>
      <w:sz w:val="20"/>
      <w:szCs w:val="20"/>
    </w:rPr>
  </w:style>
  <w:style w:type="character" w:styleId="PageNumber">
    <w:name w:val="page number"/>
    <w:uiPriority w:val="99"/>
    <w:rsid w:val="009766C1"/>
    <w:rPr>
      <w:rFonts w:cs="Times New Roman"/>
    </w:rPr>
  </w:style>
  <w:style w:type="character" w:customStyle="1" w:styleId="Heading1Char">
    <w:name w:val="Heading 1 Char"/>
    <w:link w:val="Heading1"/>
    <w:uiPriority w:val="9"/>
    <w:rsid w:val="00005F6C"/>
    <w:rPr>
      <w:rFonts w:ascii="Times New Roman" w:eastAsia="Times New Roman" w:hAnsi="Times New Roman"/>
      <w:b/>
      <w:bCs/>
      <w:kern w:val="32"/>
      <w:sz w:val="28"/>
      <w:szCs w:val="32"/>
      <w:lang w:val="lv-LV" w:eastAsia="en-US"/>
    </w:rPr>
  </w:style>
  <w:style w:type="paragraph" w:styleId="TOCHeading">
    <w:name w:val="TOC Heading"/>
    <w:basedOn w:val="Heading1"/>
    <w:next w:val="Normal"/>
    <w:uiPriority w:val="39"/>
    <w:unhideWhenUsed/>
    <w:qFormat/>
    <w:rsid w:val="00187059"/>
    <w:pPr>
      <w:keepLines/>
      <w:spacing w:after="0"/>
      <w:outlineLvl w:val="9"/>
    </w:pPr>
    <w:rPr>
      <w:rFonts w:ascii="Calibri Light" w:hAnsi="Calibri Light"/>
      <w:b w:val="0"/>
      <w:bCs w:val="0"/>
      <w:color w:val="2E74B5"/>
      <w:kern w:val="0"/>
      <w:lang w:val="en-US"/>
    </w:rPr>
  </w:style>
  <w:style w:type="paragraph" w:styleId="TOC1">
    <w:name w:val="toc 1"/>
    <w:basedOn w:val="Normal"/>
    <w:next w:val="Normal"/>
    <w:autoRedefine/>
    <w:uiPriority w:val="39"/>
    <w:locked/>
    <w:rsid w:val="00187059"/>
  </w:style>
  <w:style w:type="paragraph" w:customStyle="1" w:styleId="Virsraksts1">
    <w:name w:val="Virsraksts1"/>
    <w:basedOn w:val="Normal"/>
    <w:qFormat/>
    <w:rsid w:val="00B70588"/>
    <w:pPr>
      <w:spacing w:before="100" w:beforeAutospacing="1" w:after="100" w:afterAutospacing="1" w:line="240" w:lineRule="auto"/>
      <w:jc w:val="both"/>
    </w:pPr>
    <w:rPr>
      <w:rFonts w:ascii="Times New Roman" w:hAnsi="Times New Roman"/>
      <w:b/>
      <w:sz w:val="28"/>
      <w:szCs w:val="28"/>
      <w:lang w:val="lv-LV"/>
    </w:rPr>
  </w:style>
  <w:style w:type="paragraph" w:customStyle="1" w:styleId="Virsraksts2">
    <w:name w:val="Virsraksts2"/>
    <w:basedOn w:val="Heading1"/>
    <w:qFormat/>
    <w:rsid w:val="00B70588"/>
    <w:pPr>
      <w:keepLines/>
      <w:spacing w:after="0" w:line="240" w:lineRule="auto"/>
      <w:ind w:left="792" w:hanging="432"/>
    </w:pPr>
    <w:rPr>
      <w:color w:val="000000"/>
      <w:szCs w:val="24"/>
      <w:lang w:eastAsia="lv-LV"/>
    </w:rPr>
  </w:style>
  <w:style w:type="paragraph" w:customStyle="1" w:styleId="Virsraksts3">
    <w:name w:val="Virsraksts3"/>
    <w:basedOn w:val="Normal"/>
    <w:qFormat/>
    <w:rsid w:val="00B70588"/>
    <w:pPr>
      <w:spacing w:before="100" w:beforeAutospacing="1" w:after="100" w:afterAutospacing="1" w:line="240" w:lineRule="auto"/>
      <w:ind w:left="1224" w:hanging="504"/>
    </w:pPr>
    <w:rPr>
      <w:rFonts w:ascii="Times New Roman" w:hAnsi="Times New Roman"/>
      <w:b/>
      <w:color w:val="000000"/>
      <w:sz w:val="28"/>
      <w:szCs w:val="28"/>
      <w:lang w:val="lv-LV" w:eastAsia="lv-LV"/>
    </w:rPr>
  </w:style>
  <w:style w:type="paragraph" w:styleId="TOC2">
    <w:name w:val="toc 2"/>
    <w:basedOn w:val="Normal"/>
    <w:next w:val="Normal"/>
    <w:autoRedefine/>
    <w:uiPriority w:val="39"/>
    <w:unhideWhenUsed/>
    <w:locked/>
    <w:rsid w:val="00B70588"/>
    <w:pPr>
      <w:spacing w:after="100"/>
      <w:ind w:left="220"/>
    </w:pPr>
    <w:rPr>
      <w:rFonts w:eastAsia="Times New Roman"/>
      <w:lang w:val="en-US"/>
    </w:rPr>
  </w:style>
  <w:style w:type="paragraph" w:styleId="TOC3">
    <w:name w:val="toc 3"/>
    <w:basedOn w:val="Normal"/>
    <w:next w:val="Normal"/>
    <w:autoRedefine/>
    <w:uiPriority w:val="39"/>
    <w:unhideWhenUsed/>
    <w:locked/>
    <w:rsid w:val="00B70588"/>
    <w:pPr>
      <w:spacing w:after="100"/>
      <w:ind w:left="440"/>
    </w:pPr>
    <w:rPr>
      <w:rFonts w:eastAsia="Times New Roman"/>
      <w:lang w:val="en-US"/>
    </w:rPr>
  </w:style>
  <w:style w:type="character" w:customStyle="1" w:styleId="Heading2Char">
    <w:name w:val="Heading 2 Char"/>
    <w:link w:val="Heading2"/>
    <w:rsid w:val="00005F6C"/>
    <w:rPr>
      <w:rFonts w:ascii="Times New Roman" w:eastAsia="Times New Roman" w:hAnsi="Times New Roman" w:cs="Times New Roman"/>
      <w:b/>
      <w:bCs/>
      <w:iCs/>
      <w:sz w:val="28"/>
      <w:szCs w:val="28"/>
      <w:lang w:eastAsia="en-US"/>
    </w:rPr>
  </w:style>
  <w:style w:type="character" w:customStyle="1" w:styleId="Heading3Char">
    <w:name w:val="Heading 3 Char"/>
    <w:link w:val="Heading3"/>
    <w:rsid w:val="00005F6C"/>
    <w:rPr>
      <w:rFonts w:ascii="Times New Roman" w:eastAsia="Times New Roman" w:hAnsi="Times New Roman" w:cs="Times New Roman"/>
      <w:b/>
      <w:bCs/>
      <w:sz w:val="24"/>
      <w:szCs w:val="26"/>
      <w:lang w:eastAsia="en-US"/>
    </w:rPr>
  </w:style>
  <w:style w:type="paragraph" w:customStyle="1" w:styleId="CharCharCharChar">
    <w:name w:val="Char Char Char Char"/>
    <w:aliases w:val="Char2"/>
    <w:basedOn w:val="Normal"/>
    <w:next w:val="Normal"/>
    <w:link w:val="FootnoteReference"/>
    <w:uiPriority w:val="99"/>
    <w:rsid w:val="00CE6CB9"/>
    <w:pPr>
      <w:spacing w:line="240" w:lineRule="exact"/>
      <w:jc w:val="both"/>
      <w:textAlignment w:val="baseline"/>
    </w:pPr>
    <w:rPr>
      <w:sz w:val="20"/>
      <w:szCs w:val="20"/>
      <w:vertAlign w:val="superscript"/>
      <w:lang w:eastAsia="en-GB"/>
    </w:rPr>
  </w:style>
  <w:style w:type="paragraph" w:styleId="PlainText">
    <w:name w:val="Plain Text"/>
    <w:basedOn w:val="Normal"/>
    <w:link w:val="PlainTextChar"/>
    <w:uiPriority w:val="99"/>
    <w:unhideWhenUsed/>
    <w:rsid w:val="00CE6CB9"/>
    <w:pPr>
      <w:spacing w:after="0" w:line="240" w:lineRule="auto"/>
    </w:pPr>
    <w:rPr>
      <w:noProof/>
      <w:szCs w:val="21"/>
    </w:rPr>
  </w:style>
  <w:style w:type="character" w:customStyle="1" w:styleId="PlainTextChar">
    <w:name w:val="Plain Text Char"/>
    <w:basedOn w:val="DefaultParagraphFont"/>
    <w:link w:val="PlainText"/>
    <w:uiPriority w:val="99"/>
    <w:rsid w:val="00CE6CB9"/>
    <w:rPr>
      <w:noProof/>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5890">
      <w:marLeft w:val="0"/>
      <w:marRight w:val="0"/>
      <w:marTop w:val="0"/>
      <w:marBottom w:val="0"/>
      <w:divBdr>
        <w:top w:val="none" w:sz="0" w:space="0" w:color="auto"/>
        <w:left w:val="none" w:sz="0" w:space="0" w:color="auto"/>
        <w:bottom w:val="none" w:sz="0" w:space="0" w:color="auto"/>
        <w:right w:val="none" w:sz="0" w:space="0" w:color="auto"/>
      </w:divBdr>
      <w:divsChild>
        <w:div w:id="832065901">
          <w:marLeft w:val="0"/>
          <w:marRight w:val="0"/>
          <w:marTop w:val="0"/>
          <w:marBottom w:val="0"/>
          <w:divBdr>
            <w:top w:val="none" w:sz="0" w:space="0" w:color="auto"/>
            <w:left w:val="none" w:sz="0" w:space="0" w:color="auto"/>
            <w:bottom w:val="none" w:sz="0" w:space="0" w:color="auto"/>
            <w:right w:val="none" w:sz="0" w:space="0" w:color="auto"/>
          </w:divBdr>
          <w:divsChild>
            <w:div w:id="832065906">
              <w:marLeft w:val="0"/>
              <w:marRight w:val="0"/>
              <w:marTop w:val="0"/>
              <w:marBottom w:val="0"/>
              <w:divBdr>
                <w:top w:val="none" w:sz="0" w:space="0" w:color="auto"/>
                <w:left w:val="none" w:sz="0" w:space="0" w:color="auto"/>
                <w:bottom w:val="none" w:sz="0" w:space="0" w:color="auto"/>
                <w:right w:val="none" w:sz="0" w:space="0" w:color="auto"/>
              </w:divBdr>
              <w:divsChild>
                <w:div w:id="832065900">
                  <w:marLeft w:val="0"/>
                  <w:marRight w:val="0"/>
                  <w:marTop w:val="0"/>
                  <w:marBottom w:val="0"/>
                  <w:divBdr>
                    <w:top w:val="none" w:sz="0" w:space="0" w:color="auto"/>
                    <w:left w:val="none" w:sz="0" w:space="0" w:color="auto"/>
                    <w:bottom w:val="none" w:sz="0" w:space="0" w:color="auto"/>
                    <w:right w:val="none" w:sz="0" w:space="0" w:color="auto"/>
                  </w:divBdr>
                  <w:divsChild>
                    <w:div w:id="832065889">
                      <w:marLeft w:val="0"/>
                      <w:marRight w:val="0"/>
                      <w:marTop w:val="45"/>
                      <w:marBottom w:val="0"/>
                      <w:divBdr>
                        <w:top w:val="none" w:sz="0" w:space="0" w:color="auto"/>
                        <w:left w:val="none" w:sz="0" w:space="0" w:color="auto"/>
                        <w:bottom w:val="none" w:sz="0" w:space="0" w:color="auto"/>
                        <w:right w:val="none" w:sz="0" w:space="0" w:color="auto"/>
                      </w:divBdr>
                      <w:divsChild>
                        <w:div w:id="832065897">
                          <w:marLeft w:val="0"/>
                          <w:marRight w:val="0"/>
                          <w:marTop w:val="0"/>
                          <w:marBottom w:val="0"/>
                          <w:divBdr>
                            <w:top w:val="none" w:sz="0" w:space="0" w:color="auto"/>
                            <w:left w:val="none" w:sz="0" w:space="0" w:color="auto"/>
                            <w:bottom w:val="none" w:sz="0" w:space="0" w:color="auto"/>
                            <w:right w:val="none" w:sz="0" w:space="0" w:color="auto"/>
                          </w:divBdr>
                          <w:divsChild>
                            <w:div w:id="832065888">
                              <w:marLeft w:val="2070"/>
                              <w:marRight w:val="3810"/>
                              <w:marTop w:val="0"/>
                              <w:marBottom w:val="0"/>
                              <w:divBdr>
                                <w:top w:val="none" w:sz="0" w:space="0" w:color="auto"/>
                                <w:left w:val="none" w:sz="0" w:space="0" w:color="auto"/>
                                <w:bottom w:val="none" w:sz="0" w:space="0" w:color="auto"/>
                                <w:right w:val="none" w:sz="0" w:space="0" w:color="auto"/>
                              </w:divBdr>
                              <w:divsChild>
                                <w:div w:id="832065903">
                                  <w:marLeft w:val="0"/>
                                  <w:marRight w:val="0"/>
                                  <w:marTop w:val="0"/>
                                  <w:marBottom w:val="0"/>
                                  <w:divBdr>
                                    <w:top w:val="none" w:sz="0" w:space="0" w:color="auto"/>
                                    <w:left w:val="none" w:sz="0" w:space="0" w:color="auto"/>
                                    <w:bottom w:val="none" w:sz="0" w:space="0" w:color="auto"/>
                                    <w:right w:val="none" w:sz="0" w:space="0" w:color="auto"/>
                                  </w:divBdr>
                                  <w:divsChild>
                                    <w:div w:id="832065905">
                                      <w:marLeft w:val="0"/>
                                      <w:marRight w:val="0"/>
                                      <w:marTop w:val="0"/>
                                      <w:marBottom w:val="0"/>
                                      <w:divBdr>
                                        <w:top w:val="none" w:sz="0" w:space="0" w:color="auto"/>
                                        <w:left w:val="none" w:sz="0" w:space="0" w:color="auto"/>
                                        <w:bottom w:val="none" w:sz="0" w:space="0" w:color="auto"/>
                                        <w:right w:val="none" w:sz="0" w:space="0" w:color="auto"/>
                                      </w:divBdr>
                                      <w:divsChild>
                                        <w:div w:id="832065895">
                                          <w:marLeft w:val="0"/>
                                          <w:marRight w:val="0"/>
                                          <w:marTop w:val="0"/>
                                          <w:marBottom w:val="0"/>
                                          <w:divBdr>
                                            <w:top w:val="none" w:sz="0" w:space="0" w:color="auto"/>
                                            <w:left w:val="none" w:sz="0" w:space="0" w:color="auto"/>
                                            <w:bottom w:val="none" w:sz="0" w:space="0" w:color="auto"/>
                                            <w:right w:val="none" w:sz="0" w:space="0" w:color="auto"/>
                                          </w:divBdr>
                                          <w:divsChild>
                                            <w:div w:id="832065886">
                                              <w:marLeft w:val="0"/>
                                              <w:marRight w:val="0"/>
                                              <w:marTop w:val="90"/>
                                              <w:marBottom w:val="0"/>
                                              <w:divBdr>
                                                <w:top w:val="none" w:sz="0" w:space="0" w:color="auto"/>
                                                <w:left w:val="none" w:sz="0" w:space="0" w:color="auto"/>
                                                <w:bottom w:val="none" w:sz="0" w:space="0" w:color="auto"/>
                                                <w:right w:val="none" w:sz="0" w:space="0" w:color="auto"/>
                                              </w:divBdr>
                                              <w:divsChild>
                                                <w:div w:id="832065907">
                                                  <w:marLeft w:val="0"/>
                                                  <w:marRight w:val="0"/>
                                                  <w:marTop w:val="0"/>
                                                  <w:marBottom w:val="0"/>
                                                  <w:divBdr>
                                                    <w:top w:val="none" w:sz="0" w:space="0" w:color="auto"/>
                                                    <w:left w:val="none" w:sz="0" w:space="0" w:color="auto"/>
                                                    <w:bottom w:val="none" w:sz="0" w:space="0" w:color="auto"/>
                                                    <w:right w:val="none" w:sz="0" w:space="0" w:color="auto"/>
                                                  </w:divBdr>
                                                  <w:divsChild>
                                                    <w:div w:id="832065896">
                                                      <w:marLeft w:val="0"/>
                                                      <w:marRight w:val="0"/>
                                                      <w:marTop w:val="0"/>
                                                      <w:marBottom w:val="0"/>
                                                      <w:divBdr>
                                                        <w:top w:val="none" w:sz="0" w:space="0" w:color="auto"/>
                                                        <w:left w:val="none" w:sz="0" w:space="0" w:color="auto"/>
                                                        <w:bottom w:val="none" w:sz="0" w:space="0" w:color="auto"/>
                                                        <w:right w:val="none" w:sz="0" w:space="0" w:color="auto"/>
                                                      </w:divBdr>
                                                      <w:divsChild>
                                                        <w:div w:id="832065893">
                                                          <w:marLeft w:val="0"/>
                                                          <w:marRight w:val="0"/>
                                                          <w:marTop w:val="0"/>
                                                          <w:marBottom w:val="390"/>
                                                          <w:divBdr>
                                                            <w:top w:val="none" w:sz="0" w:space="0" w:color="auto"/>
                                                            <w:left w:val="none" w:sz="0" w:space="0" w:color="auto"/>
                                                            <w:bottom w:val="none" w:sz="0" w:space="0" w:color="auto"/>
                                                            <w:right w:val="none" w:sz="0" w:space="0" w:color="auto"/>
                                                          </w:divBdr>
                                                          <w:divsChild>
                                                            <w:div w:id="832065899">
                                                              <w:marLeft w:val="0"/>
                                                              <w:marRight w:val="0"/>
                                                              <w:marTop w:val="0"/>
                                                              <w:marBottom w:val="0"/>
                                                              <w:divBdr>
                                                                <w:top w:val="none" w:sz="0" w:space="0" w:color="auto"/>
                                                                <w:left w:val="none" w:sz="0" w:space="0" w:color="auto"/>
                                                                <w:bottom w:val="none" w:sz="0" w:space="0" w:color="auto"/>
                                                                <w:right w:val="none" w:sz="0" w:space="0" w:color="auto"/>
                                                              </w:divBdr>
                                                              <w:divsChild>
                                                                <w:div w:id="832065891">
                                                                  <w:marLeft w:val="0"/>
                                                                  <w:marRight w:val="0"/>
                                                                  <w:marTop w:val="0"/>
                                                                  <w:marBottom w:val="0"/>
                                                                  <w:divBdr>
                                                                    <w:top w:val="none" w:sz="0" w:space="0" w:color="auto"/>
                                                                    <w:left w:val="none" w:sz="0" w:space="0" w:color="auto"/>
                                                                    <w:bottom w:val="none" w:sz="0" w:space="0" w:color="auto"/>
                                                                    <w:right w:val="none" w:sz="0" w:space="0" w:color="auto"/>
                                                                  </w:divBdr>
                                                                  <w:divsChild>
                                                                    <w:div w:id="832065902">
                                                                      <w:marLeft w:val="0"/>
                                                                      <w:marRight w:val="0"/>
                                                                      <w:marTop w:val="0"/>
                                                                      <w:marBottom w:val="0"/>
                                                                      <w:divBdr>
                                                                        <w:top w:val="none" w:sz="0" w:space="0" w:color="auto"/>
                                                                        <w:left w:val="none" w:sz="0" w:space="0" w:color="auto"/>
                                                                        <w:bottom w:val="none" w:sz="0" w:space="0" w:color="auto"/>
                                                                        <w:right w:val="none" w:sz="0" w:space="0" w:color="auto"/>
                                                                      </w:divBdr>
                                                                      <w:divsChild>
                                                                        <w:div w:id="832065887">
                                                                          <w:marLeft w:val="0"/>
                                                                          <w:marRight w:val="0"/>
                                                                          <w:marTop w:val="0"/>
                                                                          <w:marBottom w:val="0"/>
                                                                          <w:divBdr>
                                                                            <w:top w:val="none" w:sz="0" w:space="0" w:color="auto"/>
                                                                            <w:left w:val="none" w:sz="0" w:space="0" w:color="auto"/>
                                                                            <w:bottom w:val="none" w:sz="0" w:space="0" w:color="auto"/>
                                                                            <w:right w:val="none" w:sz="0" w:space="0" w:color="auto"/>
                                                                          </w:divBdr>
                                                                          <w:divsChild>
                                                                            <w:div w:id="832065894">
                                                                              <w:marLeft w:val="0"/>
                                                                              <w:marRight w:val="0"/>
                                                                              <w:marTop w:val="0"/>
                                                                              <w:marBottom w:val="0"/>
                                                                              <w:divBdr>
                                                                                <w:top w:val="none" w:sz="0" w:space="0" w:color="auto"/>
                                                                                <w:left w:val="none" w:sz="0" w:space="0" w:color="auto"/>
                                                                                <w:bottom w:val="none" w:sz="0" w:space="0" w:color="auto"/>
                                                                                <w:right w:val="none" w:sz="0" w:space="0" w:color="auto"/>
                                                                              </w:divBdr>
                                                                              <w:divsChild>
                                                                                <w:div w:id="832065892">
                                                                                  <w:marLeft w:val="0"/>
                                                                                  <w:marRight w:val="0"/>
                                                                                  <w:marTop w:val="0"/>
                                                                                  <w:marBottom w:val="0"/>
                                                                                  <w:divBdr>
                                                                                    <w:top w:val="none" w:sz="0" w:space="0" w:color="auto"/>
                                                                                    <w:left w:val="none" w:sz="0" w:space="0" w:color="auto"/>
                                                                                    <w:bottom w:val="none" w:sz="0" w:space="0" w:color="auto"/>
                                                                                    <w:right w:val="none" w:sz="0" w:space="0" w:color="auto"/>
                                                                                  </w:divBdr>
                                                                                  <w:divsChild>
                                                                                    <w:div w:id="832065904">
                                                                                      <w:marLeft w:val="0"/>
                                                                                      <w:marRight w:val="0"/>
                                                                                      <w:marTop w:val="0"/>
                                                                                      <w:marBottom w:val="0"/>
                                                                                      <w:divBdr>
                                                                                        <w:top w:val="none" w:sz="0" w:space="0" w:color="auto"/>
                                                                                        <w:left w:val="none" w:sz="0" w:space="0" w:color="auto"/>
                                                                                        <w:bottom w:val="none" w:sz="0" w:space="0" w:color="auto"/>
                                                                                        <w:right w:val="none" w:sz="0" w:space="0" w:color="auto"/>
                                                                                      </w:divBdr>
                                                                                      <w:divsChild>
                                                                                        <w:div w:id="8320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842892">
      <w:bodyDiv w:val="1"/>
      <w:marLeft w:val="0"/>
      <w:marRight w:val="0"/>
      <w:marTop w:val="0"/>
      <w:marBottom w:val="0"/>
      <w:divBdr>
        <w:top w:val="none" w:sz="0" w:space="0" w:color="auto"/>
        <w:left w:val="none" w:sz="0" w:space="0" w:color="auto"/>
        <w:bottom w:val="none" w:sz="0" w:space="0" w:color="auto"/>
        <w:right w:val="none" w:sz="0" w:space="0" w:color="auto"/>
      </w:divBdr>
    </w:div>
    <w:div w:id="11961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napensija.lv"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sd-tiesn\Documents\finansu%20tirgus\Fin%20sekt%20attistibas%20strategija\FSAP%202017%20anglu%20val\atteli\finansu%20sektora%20nodarbinatie_e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fsd-tiesn\Documents\finansu%20tirgus\Fin%20sekt%20attistibas%20strategija\FSAP%202017%20anglu%20val\atteli\GFCI%2019%20Information%20Pack%20v1.3_e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fsd-tiesn\Documents\finansu%20tirgus\Fin%20sekt%20attistibas%20strategija\FSAP%202017%20anglu%20val\atteli\Publicly%20traded%20securit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291566874811335"/>
          <c:y val="1.2606916155468009E-2"/>
          <c:w val="0.59259453322853894"/>
          <c:h val="0.74642468183147381"/>
        </c:manualLayout>
      </c:layout>
      <c:barChart>
        <c:barDir val="col"/>
        <c:grouping val="clustered"/>
        <c:varyColors val="0"/>
        <c:ser>
          <c:idx val="1"/>
          <c:order val="1"/>
          <c:tx>
            <c:strRef>
              <c:f>Sheet1!$A$4</c:f>
              <c:strCache>
                <c:ptCount val="1"/>
                <c:pt idx="0">
                  <c:v>Financial services, excl. insurance and pension savings</c:v>
                </c:pt>
              </c:strCache>
            </c:strRef>
          </c:tx>
          <c:spPr>
            <a:solidFill>
              <a:srgbClr val="FF0000"/>
            </a:solidFill>
            <a:ln>
              <a:noFill/>
            </a:ln>
            <a:effectLst/>
          </c:spPr>
          <c:invertIfNegative val="0"/>
          <c:cat>
            <c:numRef>
              <c:f>Sheet1!$B$2:$L$2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Sheet1!$B$4:$L$4</c:f>
              <c:numCache>
                <c:formatCode>General</c:formatCode>
                <c:ptCount val="11"/>
                <c:pt idx="0">
                  <c:v>14192</c:v>
                </c:pt>
                <c:pt idx="1">
                  <c:v>15952</c:v>
                </c:pt>
                <c:pt idx="2">
                  <c:v>18359</c:v>
                </c:pt>
                <c:pt idx="3">
                  <c:v>19416</c:v>
                </c:pt>
                <c:pt idx="4">
                  <c:v>15601</c:v>
                </c:pt>
                <c:pt idx="5">
                  <c:v>14345</c:v>
                </c:pt>
                <c:pt idx="6">
                  <c:v>14265</c:v>
                </c:pt>
                <c:pt idx="7">
                  <c:v>13379</c:v>
                </c:pt>
                <c:pt idx="8">
                  <c:v>12992</c:v>
                </c:pt>
                <c:pt idx="9">
                  <c:v>12601</c:v>
                </c:pt>
                <c:pt idx="10">
                  <c:v>12843</c:v>
                </c:pt>
              </c:numCache>
            </c:numRef>
          </c:val>
          <c:extLst>
            <c:ext xmlns:c16="http://schemas.microsoft.com/office/drawing/2014/chart" uri="{C3380CC4-5D6E-409C-BE32-E72D297353CC}">
              <c16:uniqueId val="{00000001-94ED-482D-9E5E-55F0B7C97B12}"/>
            </c:ext>
          </c:extLst>
        </c:ser>
        <c:ser>
          <c:idx val="2"/>
          <c:order val="2"/>
          <c:tx>
            <c:strRef>
              <c:f>Sheet1!$A$5</c:f>
              <c:strCache>
                <c:ptCount val="1"/>
                <c:pt idx="0">
                  <c:v>Insurance, re-insurance and pension savings, excl.compulsory social insurance</c:v>
                </c:pt>
              </c:strCache>
            </c:strRef>
          </c:tx>
          <c:spPr>
            <a:solidFill>
              <a:schemeClr val="accent1">
                <a:lumMod val="75000"/>
              </a:schemeClr>
            </a:solidFill>
            <a:ln>
              <a:noFill/>
            </a:ln>
            <a:effectLst/>
          </c:spPr>
          <c:invertIfNegative val="0"/>
          <c:cat>
            <c:numRef>
              <c:f>Sheet1!$B$2:$L$2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Sheet1!$B$5:$L$5</c:f>
              <c:numCache>
                <c:formatCode>General</c:formatCode>
                <c:ptCount val="11"/>
                <c:pt idx="0">
                  <c:v>4756</c:v>
                </c:pt>
                <c:pt idx="1">
                  <c:v>4449</c:v>
                </c:pt>
                <c:pt idx="2">
                  <c:v>4616</c:v>
                </c:pt>
                <c:pt idx="3">
                  <c:v>5097</c:v>
                </c:pt>
                <c:pt idx="4">
                  <c:v>4631</c:v>
                </c:pt>
                <c:pt idx="5">
                  <c:v>4007</c:v>
                </c:pt>
                <c:pt idx="6">
                  <c:v>3619</c:v>
                </c:pt>
                <c:pt idx="7">
                  <c:v>3660</c:v>
                </c:pt>
                <c:pt idx="8">
                  <c:v>3474</c:v>
                </c:pt>
                <c:pt idx="9">
                  <c:v>3244</c:v>
                </c:pt>
                <c:pt idx="10">
                  <c:v>3245</c:v>
                </c:pt>
              </c:numCache>
            </c:numRef>
          </c:val>
          <c:extLst>
            <c:ext xmlns:c16="http://schemas.microsoft.com/office/drawing/2014/chart" uri="{C3380CC4-5D6E-409C-BE32-E72D297353CC}">
              <c16:uniqueId val="{00000002-94ED-482D-9E5E-55F0B7C97B12}"/>
            </c:ext>
          </c:extLst>
        </c:ser>
        <c:ser>
          <c:idx val="3"/>
          <c:order val="3"/>
          <c:tx>
            <c:strRef>
              <c:f>Sheet1!$A$6</c:f>
              <c:strCache>
                <c:ptCount val="1"/>
                <c:pt idx="0">
                  <c:v>Additional activity to financial services and insurance</c:v>
                </c:pt>
              </c:strCache>
            </c:strRef>
          </c:tx>
          <c:spPr>
            <a:solidFill>
              <a:schemeClr val="accent4"/>
            </a:solidFill>
            <a:ln>
              <a:noFill/>
            </a:ln>
            <a:effectLst/>
          </c:spPr>
          <c:invertIfNegative val="0"/>
          <c:cat>
            <c:numRef>
              <c:f>Sheet1!$B$2:$L$2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Sheet1!$B$6:$L$6</c:f>
              <c:numCache>
                <c:formatCode>General</c:formatCode>
                <c:ptCount val="11"/>
                <c:pt idx="0">
                  <c:v>1104</c:v>
                </c:pt>
                <c:pt idx="1">
                  <c:v>1063</c:v>
                </c:pt>
                <c:pt idx="2">
                  <c:v>1953</c:v>
                </c:pt>
                <c:pt idx="3">
                  <c:v>1595</c:v>
                </c:pt>
                <c:pt idx="4">
                  <c:v>1572</c:v>
                </c:pt>
                <c:pt idx="5">
                  <c:v>1483</c:v>
                </c:pt>
                <c:pt idx="6">
                  <c:v>1665</c:v>
                </c:pt>
                <c:pt idx="7">
                  <c:v>1810</c:v>
                </c:pt>
                <c:pt idx="8">
                  <c:v>2013</c:v>
                </c:pt>
                <c:pt idx="9">
                  <c:v>2092</c:v>
                </c:pt>
                <c:pt idx="10">
                  <c:v>2245</c:v>
                </c:pt>
              </c:numCache>
            </c:numRef>
          </c:val>
          <c:extLst>
            <c:ext xmlns:c16="http://schemas.microsoft.com/office/drawing/2014/chart" uri="{C3380CC4-5D6E-409C-BE32-E72D297353CC}">
              <c16:uniqueId val="{00000003-94ED-482D-9E5E-55F0B7C97B12}"/>
            </c:ext>
          </c:extLst>
        </c:ser>
        <c:dLbls>
          <c:showLegendKey val="0"/>
          <c:showVal val="0"/>
          <c:showCatName val="0"/>
          <c:showSerName val="0"/>
          <c:showPercent val="0"/>
          <c:showBubbleSize val="0"/>
        </c:dLbls>
        <c:gapWidth val="150"/>
        <c:axId val="206607944"/>
        <c:axId val="290490632"/>
      </c:barChart>
      <c:lineChart>
        <c:grouping val="standard"/>
        <c:varyColors val="0"/>
        <c:ser>
          <c:idx val="0"/>
          <c:order val="0"/>
          <c:tx>
            <c:strRef>
              <c:f>Sheet1!$A$3</c:f>
              <c:strCache>
                <c:ptCount val="1"/>
                <c:pt idx="0">
                  <c:v>Finance and insurance sector in total (on right)</c:v>
                </c:pt>
              </c:strCache>
            </c:strRef>
          </c:tx>
          <c:spPr>
            <a:ln w="28575" cap="rnd">
              <a:solidFill>
                <a:srgbClr val="00B050"/>
              </a:solidFill>
              <a:round/>
            </a:ln>
            <a:effectLst/>
          </c:spPr>
          <c:marker>
            <c:symbol val="none"/>
          </c:marker>
          <c:cat>
            <c:numRef>
              <c:f>Sheet1!$B$2:$L$2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Sheet1!$B$3:$L$3</c:f>
              <c:numCache>
                <c:formatCode>General</c:formatCode>
                <c:ptCount val="11"/>
                <c:pt idx="0">
                  <c:v>20053</c:v>
                </c:pt>
                <c:pt idx="1">
                  <c:v>21463</c:v>
                </c:pt>
                <c:pt idx="2">
                  <c:v>24928</c:v>
                </c:pt>
                <c:pt idx="3">
                  <c:v>26108</c:v>
                </c:pt>
                <c:pt idx="4">
                  <c:v>21804</c:v>
                </c:pt>
                <c:pt idx="5">
                  <c:v>19834</c:v>
                </c:pt>
                <c:pt idx="6">
                  <c:v>19549</c:v>
                </c:pt>
                <c:pt idx="7">
                  <c:v>18849</c:v>
                </c:pt>
                <c:pt idx="8">
                  <c:v>18478</c:v>
                </c:pt>
                <c:pt idx="9">
                  <c:v>17936</c:v>
                </c:pt>
                <c:pt idx="10">
                  <c:v>18333</c:v>
                </c:pt>
              </c:numCache>
            </c:numRef>
          </c:val>
          <c:smooth val="0"/>
          <c:extLst>
            <c:ext xmlns:c16="http://schemas.microsoft.com/office/drawing/2014/chart" uri="{C3380CC4-5D6E-409C-BE32-E72D297353CC}">
              <c16:uniqueId val="{00000000-94ED-482D-9E5E-55F0B7C97B12}"/>
            </c:ext>
          </c:extLst>
        </c:ser>
        <c:dLbls>
          <c:showLegendKey val="0"/>
          <c:showVal val="0"/>
          <c:showCatName val="0"/>
          <c:showSerName val="0"/>
          <c:showPercent val="0"/>
          <c:showBubbleSize val="0"/>
        </c:dLbls>
        <c:marker val="1"/>
        <c:smooth val="0"/>
        <c:axId val="290491416"/>
        <c:axId val="290491024"/>
      </c:lineChart>
      <c:catAx>
        <c:axId val="2066079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290490632"/>
        <c:crosses val="autoZero"/>
        <c:auto val="1"/>
        <c:lblAlgn val="ctr"/>
        <c:lblOffset val="100"/>
        <c:noMultiLvlLbl val="0"/>
      </c:catAx>
      <c:valAx>
        <c:axId val="290490632"/>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206607944"/>
        <c:crosses val="autoZero"/>
        <c:crossBetween val="between"/>
        <c:majorUnit val="1000"/>
      </c:valAx>
      <c:valAx>
        <c:axId val="290491024"/>
        <c:scaling>
          <c:orientation val="minMax"/>
          <c:max val="27000"/>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290491416"/>
        <c:crosses val="max"/>
        <c:crossBetween val="between"/>
        <c:majorUnit val="1500"/>
      </c:valAx>
      <c:catAx>
        <c:axId val="290491416"/>
        <c:scaling>
          <c:orientation val="minMax"/>
        </c:scaling>
        <c:delete val="1"/>
        <c:axPos val="b"/>
        <c:numFmt formatCode="General" sourceLinked="1"/>
        <c:majorTickMark val="out"/>
        <c:minorTickMark val="none"/>
        <c:tickLblPos val="nextTo"/>
        <c:crossAx val="290491024"/>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mn-lt"/>
                <a:ea typeface="+mn-ea"/>
                <a:cs typeface="+mn-cs"/>
              </a:defRPr>
            </a:pPr>
            <a:endParaRPr lang="lv-LV"/>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311303300202243E-2"/>
          <c:y val="2.9243325887655769E-2"/>
          <c:w val="0.89645176866552878"/>
          <c:h val="0.70244222660757616"/>
        </c:manualLayout>
      </c:layout>
      <c:lineChart>
        <c:grouping val="standard"/>
        <c:varyColors val="0"/>
        <c:ser>
          <c:idx val="0"/>
          <c:order val="0"/>
          <c:tx>
            <c:strRef>
              <c:f>'Eastern Europe &amp; Central Asia'!$A$3</c:f>
              <c:strCache>
                <c:ptCount val="1"/>
                <c:pt idx="0">
                  <c:v>Emerging </c:v>
                </c:pt>
              </c:strCache>
            </c:strRef>
          </c:tx>
          <c:marker>
            <c:symbol val="none"/>
          </c:marker>
          <c:cat>
            <c:strRef>
              <c:f>'Eastern Europe &amp; Central Asia'!$P$1:$U$1</c:f>
              <c:strCache>
                <c:ptCount val="6"/>
                <c:pt idx="0">
                  <c:v>GFCI 15</c:v>
                </c:pt>
                <c:pt idx="1">
                  <c:v>GFCI 16</c:v>
                </c:pt>
                <c:pt idx="2">
                  <c:v>GFCI 17</c:v>
                </c:pt>
                <c:pt idx="3">
                  <c:v>GFCI 18</c:v>
                </c:pt>
                <c:pt idx="4">
                  <c:v>GFCI 19</c:v>
                </c:pt>
                <c:pt idx="5">
                  <c:v>GFCI 20</c:v>
                </c:pt>
              </c:strCache>
            </c:strRef>
          </c:cat>
          <c:val>
            <c:numRef>
              <c:f>'Eastern Europe &amp; Central Asia'!$P$3:$U$3</c:f>
            </c:numRef>
          </c:val>
          <c:smooth val="0"/>
          <c:extLst>
            <c:ext xmlns:c16="http://schemas.microsoft.com/office/drawing/2014/chart" uri="{C3380CC4-5D6E-409C-BE32-E72D297353CC}">
              <c16:uniqueId val="{00000000-ADA8-4EDB-8BDA-482A21FB7378}"/>
            </c:ext>
          </c:extLst>
        </c:ser>
        <c:ser>
          <c:idx val="1"/>
          <c:order val="1"/>
          <c:tx>
            <c:strRef>
              <c:f>'Eastern Europe &amp; Central Asia'!$A$4</c:f>
              <c:strCache>
                <c:ptCount val="1"/>
                <c:pt idx="0">
                  <c:v>Istanbul</c:v>
                </c:pt>
              </c:strCache>
            </c:strRef>
          </c:tx>
          <c:spPr>
            <a:ln w="38100"/>
          </c:spPr>
          <c:marker>
            <c:symbol val="none"/>
          </c:marker>
          <c:cat>
            <c:strRef>
              <c:f>'Eastern Europe &amp; Central Asia'!$P$1:$U$1</c:f>
              <c:strCache>
                <c:ptCount val="6"/>
                <c:pt idx="0">
                  <c:v>GFCI 15</c:v>
                </c:pt>
                <c:pt idx="1">
                  <c:v>GFCI 16</c:v>
                </c:pt>
                <c:pt idx="2">
                  <c:v>GFCI 17</c:v>
                </c:pt>
                <c:pt idx="3">
                  <c:v>GFCI 18</c:v>
                </c:pt>
                <c:pt idx="4">
                  <c:v>GFCI 19</c:v>
                </c:pt>
                <c:pt idx="5">
                  <c:v>GFCI 20</c:v>
                </c:pt>
              </c:strCache>
            </c:strRef>
          </c:cat>
          <c:val>
            <c:numRef>
              <c:f>'Eastern Europe &amp; Central Asia'!$P$4:$U$4</c:f>
              <c:numCache>
                <c:formatCode>General</c:formatCode>
                <c:ptCount val="6"/>
                <c:pt idx="0">
                  <c:v>651</c:v>
                </c:pt>
                <c:pt idx="1">
                  <c:v>655</c:v>
                </c:pt>
                <c:pt idx="2" formatCode="0">
                  <c:v>643</c:v>
                </c:pt>
                <c:pt idx="3">
                  <c:v>653</c:v>
                </c:pt>
                <c:pt idx="4">
                  <c:v>636</c:v>
                </c:pt>
                <c:pt idx="5">
                  <c:v>620</c:v>
                </c:pt>
              </c:numCache>
            </c:numRef>
          </c:val>
          <c:smooth val="0"/>
          <c:extLst>
            <c:ext xmlns:c16="http://schemas.microsoft.com/office/drawing/2014/chart" uri="{C3380CC4-5D6E-409C-BE32-E72D297353CC}">
              <c16:uniqueId val="{00000001-ADA8-4EDB-8BDA-482A21FB7378}"/>
            </c:ext>
          </c:extLst>
        </c:ser>
        <c:ser>
          <c:idx val="2"/>
          <c:order val="2"/>
          <c:tx>
            <c:strRef>
              <c:f>'Eastern Europe &amp; Central Asia'!$A$5</c:f>
              <c:strCache>
                <c:ptCount val="1"/>
                <c:pt idx="0">
                  <c:v>Warsaw</c:v>
                </c:pt>
              </c:strCache>
            </c:strRef>
          </c:tx>
          <c:spPr>
            <a:ln w="38100"/>
          </c:spPr>
          <c:marker>
            <c:symbol val="none"/>
          </c:marker>
          <c:cat>
            <c:strRef>
              <c:f>'Eastern Europe &amp; Central Asia'!$P$1:$U$1</c:f>
              <c:strCache>
                <c:ptCount val="6"/>
                <c:pt idx="0">
                  <c:v>GFCI 15</c:v>
                </c:pt>
                <c:pt idx="1">
                  <c:v>GFCI 16</c:v>
                </c:pt>
                <c:pt idx="2">
                  <c:v>GFCI 17</c:v>
                </c:pt>
                <c:pt idx="3">
                  <c:v>GFCI 18</c:v>
                </c:pt>
                <c:pt idx="4">
                  <c:v>GFCI 19</c:v>
                </c:pt>
                <c:pt idx="5">
                  <c:v>GFCI 20</c:v>
                </c:pt>
              </c:strCache>
            </c:strRef>
          </c:cat>
          <c:val>
            <c:numRef>
              <c:f>'Eastern Europe &amp; Central Asia'!$P$5:$U$5</c:f>
              <c:numCache>
                <c:formatCode>General</c:formatCode>
                <c:ptCount val="6"/>
                <c:pt idx="0">
                  <c:v>626</c:v>
                </c:pt>
                <c:pt idx="1">
                  <c:v>612</c:v>
                </c:pt>
                <c:pt idx="2" formatCode="0">
                  <c:v>606</c:v>
                </c:pt>
                <c:pt idx="3">
                  <c:v>663</c:v>
                </c:pt>
                <c:pt idx="4">
                  <c:v>631</c:v>
                </c:pt>
                <c:pt idx="5">
                  <c:v>633</c:v>
                </c:pt>
              </c:numCache>
            </c:numRef>
          </c:val>
          <c:smooth val="0"/>
          <c:extLst>
            <c:ext xmlns:c16="http://schemas.microsoft.com/office/drawing/2014/chart" uri="{C3380CC4-5D6E-409C-BE32-E72D297353CC}">
              <c16:uniqueId val="{00000002-ADA8-4EDB-8BDA-482A21FB7378}"/>
            </c:ext>
          </c:extLst>
        </c:ser>
        <c:ser>
          <c:idx val="3"/>
          <c:order val="3"/>
          <c:tx>
            <c:strRef>
              <c:f>'Eastern Europe &amp; Central Asia'!$A$6</c:f>
              <c:strCache>
                <c:ptCount val="1"/>
                <c:pt idx="0">
                  <c:v>Prague</c:v>
                </c:pt>
              </c:strCache>
            </c:strRef>
          </c:tx>
          <c:spPr>
            <a:ln w="38100"/>
          </c:spPr>
          <c:marker>
            <c:symbol val="none"/>
          </c:marker>
          <c:cat>
            <c:strRef>
              <c:f>'Eastern Europe &amp; Central Asia'!$P$1:$U$1</c:f>
              <c:strCache>
                <c:ptCount val="6"/>
                <c:pt idx="0">
                  <c:v>GFCI 15</c:v>
                </c:pt>
                <c:pt idx="1">
                  <c:v>GFCI 16</c:v>
                </c:pt>
                <c:pt idx="2">
                  <c:v>GFCI 17</c:v>
                </c:pt>
                <c:pt idx="3">
                  <c:v>GFCI 18</c:v>
                </c:pt>
                <c:pt idx="4">
                  <c:v>GFCI 19</c:v>
                </c:pt>
                <c:pt idx="5">
                  <c:v>GFCI 20</c:v>
                </c:pt>
              </c:strCache>
            </c:strRef>
          </c:cat>
          <c:val>
            <c:numRef>
              <c:f>'Eastern Europe &amp; Central Asia'!$P$6:$U$6</c:f>
              <c:numCache>
                <c:formatCode>General</c:formatCode>
                <c:ptCount val="6"/>
                <c:pt idx="0">
                  <c:v>589</c:v>
                </c:pt>
                <c:pt idx="1">
                  <c:v>623</c:v>
                </c:pt>
                <c:pt idx="2" formatCode="0">
                  <c:v>613</c:v>
                </c:pt>
                <c:pt idx="3">
                  <c:v>623</c:v>
                </c:pt>
                <c:pt idx="4">
                  <c:v>622</c:v>
                </c:pt>
                <c:pt idx="5">
                  <c:v>603</c:v>
                </c:pt>
              </c:numCache>
            </c:numRef>
          </c:val>
          <c:smooth val="0"/>
          <c:extLst>
            <c:ext xmlns:c16="http://schemas.microsoft.com/office/drawing/2014/chart" uri="{C3380CC4-5D6E-409C-BE32-E72D297353CC}">
              <c16:uniqueId val="{00000003-ADA8-4EDB-8BDA-482A21FB7378}"/>
            </c:ext>
          </c:extLst>
        </c:ser>
        <c:ser>
          <c:idx val="4"/>
          <c:order val="4"/>
          <c:tx>
            <c:strRef>
              <c:f>'Eastern Europe &amp; Central Asia'!$A$7</c:f>
              <c:strCache>
                <c:ptCount val="1"/>
                <c:pt idx="0">
                  <c:v>Moscow</c:v>
                </c:pt>
              </c:strCache>
            </c:strRef>
          </c:tx>
          <c:spPr>
            <a:ln w="38100"/>
          </c:spPr>
          <c:marker>
            <c:symbol val="none"/>
          </c:marker>
          <c:cat>
            <c:strRef>
              <c:f>'Eastern Europe &amp; Central Asia'!$P$1:$U$1</c:f>
              <c:strCache>
                <c:ptCount val="6"/>
                <c:pt idx="0">
                  <c:v>GFCI 15</c:v>
                </c:pt>
                <c:pt idx="1">
                  <c:v>GFCI 16</c:v>
                </c:pt>
                <c:pt idx="2">
                  <c:v>GFCI 17</c:v>
                </c:pt>
                <c:pt idx="3">
                  <c:v>GFCI 18</c:v>
                </c:pt>
                <c:pt idx="4">
                  <c:v>GFCI 19</c:v>
                </c:pt>
                <c:pt idx="5">
                  <c:v>GFCI 20</c:v>
                </c:pt>
              </c:strCache>
            </c:strRef>
          </c:cat>
          <c:val>
            <c:numRef>
              <c:f>'Eastern Europe &amp; Central Asia'!$P$7:$U$7</c:f>
              <c:numCache>
                <c:formatCode>General</c:formatCode>
                <c:ptCount val="6"/>
                <c:pt idx="0">
                  <c:v>591</c:v>
                </c:pt>
                <c:pt idx="1">
                  <c:v>536</c:v>
                </c:pt>
                <c:pt idx="2" formatCode="0">
                  <c:v>579</c:v>
                </c:pt>
                <c:pt idx="3">
                  <c:v>598</c:v>
                </c:pt>
                <c:pt idx="4">
                  <c:v>611</c:v>
                </c:pt>
                <c:pt idx="5">
                  <c:v>568</c:v>
                </c:pt>
              </c:numCache>
            </c:numRef>
          </c:val>
          <c:smooth val="0"/>
          <c:extLst>
            <c:ext xmlns:c16="http://schemas.microsoft.com/office/drawing/2014/chart" uri="{C3380CC4-5D6E-409C-BE32-E72D297353CC}">
              <c16:uniqueId val="{00000004-ADA8-4EDB-8BDA-482A21FB7378}"/>
            </c:ext>
          </c:extLst>
        </c:ser>
        <c:ser>
          <c:idx val="5"/>
          <c:order val="5"/>
          <c:tx>
            <c:strRef>
              <c:f>'Eastern Europe &amp; Central Asia'!$A$8</c:f>
              <c:strCache>
                <c:ptCount val="1"/>
                <c:pt idx="0">
                  <c:v>Riga</c:v>
                </c:pt>
              </c:strCache>
            </c:strRef>
          </c:tx>
          <c:spPr>
            <a:ln w="38100"/>
          </c:spPr>
          <c:marker>
            <c:symbol val="none"/>
          </c:marker>
          <c:cat>
            <c:strRef>
              <c:f>'Eastern Europe &amp; Central Asia'!$P$1:$U$1</c:f>
              <c:strCache>
                <c:ptCount val="6"/>
                <c:pt idx="0">
                  <c:v>GFCI 15</c:v>
                </c:pt>
                <c:pt idx="1">
                  <c:v>GFCI 16</c:v>
                </c:pt>
                <c:pt idx="2">
                  <c:v>GFCI 17</c:v>
                </c:pt>
                <c:pt idx="3">
                  <c:v>GFCI 18</c:v>
                </c:pt>
                <c:pt idx="4">
                  <c:v>GFCI 19</c:v>
                </c:pt>
                <c:pt idx="5">
                  <c:v>GFCI 20</c:v>
                </c:pt>
              </c:strCache>
            </c:strRef>
          </c:cat>
          <c:val>
            <c:numRef>
              <c:f>'Eastern Europe &amp; Central Asia'!$P$8:$U$8</c:f>
              <c:numCache>
                <c:formatCode>General</c:formatCode>
                <c:ptCount val="6"/>
                <c:pt idx="4">
                  <c:v>605</c:v>
                </c:pt>
                <c:pt idx="5">
                  <c:v>625</c:v>
                </c:pt>
              </c:numCache>
            </c:numRef>
          </c:val>
          <c:smooth val="0"/>
          <c:extLst>
            <c:ext xmlns:c16="http://schemas.microsoft.com/office/drawing/2014/chart" uri="{C3380CC4-5D6E-409C-BE32-E72D297353CC}">
              <c16:uniqueId val="{00000005-ADA8-4EDB-8BDA-482A21FB7378}"/>
            </c:ext>
          </c:extLst>
        </c:ser>
        <c:ser>
          <c:idx val="6"/>
          <c:order val="6"/>
          <c:tx>
            <c:strRef>
              <c:f>'Eastern Europe &amp; Central Asia'!$A$9</c:f>
              <c:strCache>
                <c:ptCount val="1"/>
                <c:pt idx="0">
                  <c:v>Tallinn</c:v>
                </c:pt>
              </c:strCache>
            </c:strRef>
          </c:tx>
          <c:marker>
            <c:symbol val="none"/>
          </c:marker>
          <c:cat>
            <c:strRef>
              <c:f>'Eastern Europe &amp; Central Asia'!$P$1:$U$1</c:f>
              <c:strCache>
                <c:ptCount val="6"/>
                <c:pt idx="0">
                  <c:v>GFCI 15</c:v>
                </c:pt>
                <c:pt idx="1">
                  <c:v>GFCI 16</c:v>
                </c:pt>
                <c:pt idx="2">
                  <c:v>GFCI 17</c:v>
                </c:pt>
                <c:pt idx="3">
                  <c:v>GFCI 18</c:v>
                </c:pt>
                <c:pt idx="4">
                  <c:v>GFCI 19</c:v>
                </c:pt>
                <c:pt idx="5">
                  <c:v>GFCI 20</c:v>
                </c:pt>
              </c:strCache>
            </c:strRef>
          </c:cat>
          <c:val>
            <c:numRef>
              <c:f>'Eastern Europe &amp; Central Asia'!$P$9:$U$9</c:f>
              <c:numCache>
                <c:formatCode>General</c:formatCode>
                <c:ptCount val="6"/>
                <c:pt idx="4">
                  <c:v>596</c:v>
                </c:pt>
                <c:pt idx="5">
                  <c:v>627</c:v>
                </c:pt>
              </c:numCache>
            </c:numRef>
          </c:val>
          <c:smooth val="0"/>
          <c:extLst>
            <c:ext xmlns:c16="http://schemas.microsoft.com/office/drawing/2014/chart" uri="{C3380CC4-5D6E-409C-BE32-E72D297353CC}">
              <c16:uniqueId val="{00000000-B4D7-440D-AFA8-6916F6BDBE74}"/>
            </c:ext>
          </c:extLst>
        </c:ser>
        <c:dLbls>
          <c:showLegendKey val="0"/>
          <c:showVal val="0"/>
          <c:showCatName val="0"/>
          <c:showSerName val="0"/>
          <c:showPercent val="0"/>
          <c:showBubbleSize val="0"/>
        </c:dLbls>
        <c:smooth val="0"/>
        <c:axId val="288557744"/>
        <c:axId val="288558136"/>
      </c:lineChart>
      <c:catAx>
        <c:axId val="288557744"/>
        <c:scaling>
          <c:orientation val="minMax"/>
        </c:scaling>
        <c:delete val="0"/>
        <c:axPos val="b"/>
        <c:numFmt formatCode="General" sourceLinked="1"/>
        <c:majorTickMark val="none"/>
        <c:minorTickMark val="none"/>
        <c:tickLblPos val="nextTo"/>
        <c:txPr>
          <a:bodyPr rot="-2400000"/>
          <a:lstStyle/>
          <a:p>
            <a:pPr>
              <a:defRPr sz="800" baseline="0"/>
            </a:pPr>
            <a:endParaRPr lang="lv-LV"/>
          </a:p>
        </c:txPr>
        <c:crossAx val="288558136"/>
        <c:crosses val="autoZero"/>
        <c:auto val="1"/>
        <c:lblAlgn val="ctr"/>
        <c:lblOffset val="100"/>
        <c:noMultiLvlLbl val="0"/>
      </c:catAx>
      <c:valAx>
        <c:axId val="288558136"/>
        <c:scaling>
          <c:orientation val="minMax"/>
          <c:min val="350"/>
        </c:scaling>
        <c:delete val="0"/>
        <c:axPos val="l"/>
        <c:majorGridlines/>
        <c:numFmt formatCode="General" sourceLinked="1"/>
        <c:majorTickMark val="none"/>
        <c:minorTickMark val="none"/>
        <c:tickLblPos val="nextTo"/>
        <c:spPr>
          <a:ln w="9525">
            <a:noFill/>
          </a:ln>
        </c:spPr>
        <c:txPr>
          <a:bodyPr/>
          <a:lstStyle/>
          <a:p>
            <a:pPr>
              <a:defRPr baseline="0"/>
            </a:pPr>
            <a:endParaRPr lang="lv-LV"/>
          </a:p>
        </c:txPr>
        <c:crossAx val="288557744"/>
        <c:crosses val="autoZero"/>
        <c:crossBetween val="between"/>
      </c:valAx>
    </c:plotArea>
    <c:legend>
      <c:legendPos val="b"/>
      <c:layout>
        <c:manualLayout>
          <c:xMode val="edge"/>
          <c:yMode val="edge"/>
          <c:x val="0.16784416490035717"/>
          <c:y val="0.85994657472549674"/>
          <c:w val="0.77905936716188373"/>
          <c:h val="6.115898023192945E-2"/>
        </c:manualLayout>
      </c:layout>
      <c:overlay val="0"/>
      <c:txPr>
        <a:bodyPr/>
        <a:lstStyle/>
        <a:p>
          <a:pPr>
            <a:defRPr sz="1200"/>
          </a:pPr>
          <a:endParaRPr lang="lv-LV"/>
        </a:p>
      </c:txPr>
    </c:legend>
    <c:plotVisOnly val="1"/>
    <c:dispBlanksAs val="gap"/>
    <c:showDLblsOverMax val="0"/>
  </c:chart>
  <c:spPr>
    <a:ln>
      <a:solidFill>
        <a:schemeClr val="tx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0"/>
          <c:tx>
            <c:strRef>
              <c:f>Sheet1!$A$4</c:f>
              <c:strCache>
                <c:ptCount val="1"/>
                <c:pt idx="0">
                  <c:v>Corporate debt securities</c:v>
                </c:pt>
              </c:strCache>
            </c:strRef>
          </c:tx>
          <c:spPr>
            <a:solidFill>
              <a:schemeClr val="accent1"/>
            </a:solidFill>
            <a:ln>
              <a:noFill/>
            </a:ln>
            <a:effectLst/>
          </c:spPr>
          <c:cat>
            <c:numRef>
              <c:f>Sheet1!$B$3:$E$3</c:f>
              <c:numCache>
                <c:formatCode>General</c:formatCode>
                <c:ptCount val="4"/>
                <c:pt idx="0">
                  <c:v>2012</c:v>
                </c:pt>
                <c:pt idx="1">
                  <c:v>2013</c:v>
                </c:pt>
                <c:pt idx="2">
                  <c:v>2014</c:v>
                </c:pt>
                <c:pt idx="3">
                  <c:v>2015</c:v>
                </c:pt>
              </c:numCache>
            </c:numRef>
          </c:cat>
          <c:val>
            <c:numRef>
              <c:f>Sheet1!$B$4:$E$4</c:f>
              <c:numCache>
                <c:formatCode>General</c:formatCode>
                <c:ptCount val="4"/>
                <c:pt idx="0">
                  <c:v>211.95</c:v>
                </c:pt>
                <c:pt idx="1">
                  <c:v>472.63</c:v>
                </c:pt>
                <c:pt idx="2">
                  <c:v>727.03</c:v>
                </c:pt>
                <c:pt idx="3">
                  <c:v>963.83</c:v>
                </c:pt>
              </c:numCache>
            </c:numRef>
          </c:val>
          <c:extLst>
            <c:ext xmlns:c16="http://schemas.microsoft.com/office/drawing/2014/chart" uri="{C3380CC4-5D6E-409C-BE32-E72D297353CC}">
              <c16:uniqueId val="{00000000-B978-4B23-A72B-AF4E12A6C169}"/>
            </c:ext>
          </c:extLst>
        </c:ser>
        <c:ser>
          <c:idx val="1"/>
          <c:order val="1"/>
          <c:tx>
            <c:strRef>
              <c:f>Sheet1!$A$5</c:f>
              <c:strCache>
                <c:ptCount val="1"/>
                <c:pt idx="0">
                  <c:v>Investment funds</c:v>
                </c:pt>
              </c:strCache>
            </c:strRef>
          </c:tx>
          <c:spPr>
            <a:solidFill>
              <a:schemeClr val="accent2"/>
            </a:solidFill>
            <a:ln>
              <a:noFill/>
            </a:ln>
            <a:effectLst/>
          </c:spPr>
          <c:cat>
            <c:numRef>
              <c:f>Sheet1!$B$3:$E$3</c:f>
              <c:numCache>
                <c:formatCode>General</c:formatCode>
                <c:ptCount val="4"/>
                <c:pt idx="0">
                  <c:v>2012</c:v>
                </c:pt>
                <c:pt idx="1">
                  <c:v>2013</c:v>
                </c:pt>
                <c:pt idx="2">
                  <c:v>2014</c:v>
                </c:pt>
                <c:pt idx="3">
                  <c:v>2015</c:v>
                </c:pt>
              </c:numCache>
            </c:numRef>
          </c:cat>
          <c:val>
            <c:numRef>
              <c:f>Sheet1!$B$5:$E$5</c:f>
              <c:numCache>
                <c:formatCode>General</c:formatCode>
                <c:ptCount val="4"/>
                <c:pt idx="0">
                  <c:v>143.74</c:v>
                </c:pt>
                <c:pt idx="1">
                  <c:v>91.51</c:v>
                </c:pt>
                <c:pt idx="2">
                  <c:v>85.66</c:v>
                </c:pt>
                <c:pt idx="3">
                  <c:v>25.14</c:v>
                </c:pt>
              </c:numCache>
            </c:numRef>
          </c:val>
          <c:extLst>
            <c:ext xmlns:c16="http://schemas.microsoft.com/office/drawing/2014/chart" uri="{C3380CC4-5D6E-409C-BE32-E72D297353CC}">
              <c16:uniqueId val="{00000001-B978-4B23-A72B-AF4E12A6C169}"/>
            </c:ext>
          </c:extLst>
        </c:ser>
        <c:ser>
          <c:idx val="2"/>
          <c:order val="2"/>
          <c:tx>
            <c:strRef>
              <c:f>Sheet1!$A$6</c:f>
              <c:strCache>
                <c:ptCount val="1"/>
                <c:pt idx="0">
                  <c:v>Equity</c:v>
                </c:pt>
              </c:strCache>
            </c:strRef>
          </c:tx>
          <c:spPr>
            <a:solidFill>
              <a:schemeClr val="accent3"/>
            </a:solidFill>
            <a:ln>
              <a:noFill/>
            </a:ln>
            <a:effectLst/>
          </c:spPr>
          <c:cat>
            <c:numRef>
              <c:f>Sheet1!$B$3:$E$3</c:f>
              <c:numCache>
                <c:formatCode>General</c:formatCode>
                <c:ptCount val="4"/>
                <c:pt idx="0">
                  <c:v>2012</c:v>
                </c:pt>
                <c:pt idx="1">
                  <c:v>2013</c:v>
                </c:pt>
                <c:pt idx="2">
                  <c:v>2014</c:v>
                </c:pt>
                <c:pt idx="3">
                  <c:v>2015</c:v>
                </c:pt>
              </c:numCache>
            </c:numRef>
          </c:cat>
          <c:val>
            <c:numRef>
              <c:f>Sheet1!$B$6:$E$6</c:f>
              <c:numCache>
                <c:formatCode>General</c:formatCode>
                <c:ptCount val="4"/>
                <c:pt idx="0">
                  <c:v>623.32000000000005</c:v>
                </c:pt>
                <c:pt idx="1">
                  <c:v>767.79</c:v>
                </c:pt>
                <c:pt idx="2">
                  <c:v>678.96</c:v>
                </c:pt>
                <c:pt idx="3">
                  <c:v>1072.78</c:v>
                </c:pt>
              </c:numCache>
            </c:numRef>
          </c:val>
          <c:extLst>
            <c:ext xmlns:c16="http://schemas.microsoft.com/office/drawing/2014/chart" uri="{C3380CC4-5D6E-409C-BE32-E72D297353CC}">
              <c16:uniqueId val="{00000002-B978-4B23-A72B-AF4E12A6C169}"/>
            </c:ext>
          </c:extLst>
        </c:ser>
        <c:ser>
          <c:idx val="3"/>
          <c:order val="3"/>
          <c:tx>
            <c:strRef>
              <c:f>Sheet1!$A$7</c:f>
              <c:strCache>
                <c:ptCount val="1"/>
                <c:pt idx="0">
                  <c:v>Treasury bills</c:v>
                </c:pt>
              </c:strCache>
            </c:strRef>
          </c:tx>
          <c:spPr>
            <a:solidFill>
              <a:schemeClr val="accent4"/>
            </a:solidFill>
            <a:ln>
              <a:noFill/>
            </a:ln>
            <a:effectLst/>
          </c:spPr>
          <c:cat>
            <c:numRef>
              <c:f>Sheet1!$B$3:$E$3</c:f>
              <c:numCache>
                <c:formatCode>General</c:formatCode>
                <c:ptCount val="4"/>
                <c:pt idx="0">
                  <c:v>2012</c:v>
                </c:pt>
                <c:pt idx="1">
                  <c:v>2013</c:v>
                </c:pt>
                <c:pt idx="2">
                  <c:v>2014</c:v>
                </c:pt>
                <c:pt idx="3">
                  <c:v>2015</c:v>
                </c:pt>
              </c:numCache>
            </c:numRef>
          </c:cat>
          <c:val>
            <c:numRef>
              <c:f>Sheet1!$B$7:$E$7</c:f>
              <c:numCache>
                <c:formatCode>General</c:formatCode>
                <c:ptCount val="4"/>
                <c:pt idx="0">
                  <c:v>960.58</c:v>
                </c:pt>
                <c:pt idx="1">
                  <c:v>966.6</c:v>
                </c:pt>
                <c:pt idx="2">
                  <c:v>1046.55</c:v>
                </c:pt>
                <c:pt idx="3">
                  <c:v>1116.23</c:v>
                </c:pt>
              </c:numCache>
            </c:numRef>
          </c:val>
          <c:extLst>
            <c:ext xmlns:c16="http://schemas.microsoft.com/office/drawing/2014/chart" uri="{C3380CC4-5D6E-409C-BE32-E72D297353CC}">
              <c16:uniqueId val="{00000003-B978-4B23-A72B-AF4E12A6C169}"/>
            </c:ext>
          </c:extLst>
        </c:ser>
        <c:dLbls>
          <c:showLegendKey val="0"/>
          <c:showVal val="0"/>
          <c:showCatName val="0"/>
          <c:showSerName val="0"/>
          <c:showPercent val="0"/>
          <c:showBubbleSize val="0"/>
        </c:dLbls>
        <c:axId val="288558920"/>
        <c:axId val="288559312"/>
      </c:areaChart>
      <c:catAx>
        <c:axId val="2885589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288559312"/>
        <c:crosses val="autoZero"/>
        <c:auto val="1"/>
        <c:lblAlgn val="ctr"/>
        <c:lblOffset val="100"/>
        <c:noMultiLvlLbl val="0"/>
      </c:catAx>
      <c:valAx>
        <c:axId val="288559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in</a:t>
                </a:r>
                <a:r>
                  <a:rPr lang="lv-LV" baseline="0"/>
                  <a:t> m </a:t>
                </a:r>
                <a:r>
                  <a:rPr lang="lv-LV" baseline="0">
                    <a:latin typeface="Times New Roman" panose="02020603050405020304" pitchFamily="18" charset="0"/>
                  </a:rPr>
                  <a:t>EUR</a:t>
                </a:r>
                <a:endParaRPr lang="en-US" baseline="0">
                  <a:latin typeface="Times New Roman" panose="02020603050405020304" pitchFamily="18" charset="0"/>
                </a:endParaRPr>
              </a:p>
            </c:rich>
          </c:tx>
          <c:layout>
            <c:manualLayout>
              <c:xMode val="edge"/>
              <c:yMode val="edge"/>
              <c:x val="3.0555555555555555E-2"/>
              <c:y val="2.993401866433362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288558920"/>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7C7F-09DC-4C64-B8C0-5AD86456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17307</Words>
  <Characters>101359</Characters>
  <Application>Microsoft Office Word</Application>
  <DocSecurity>0</DocSecurity>
  <Lines>844</Lines>
  <Paragraphs>236</Paragraphs>
  <ScaleCrop>false</ScaleCrop>
  <HeadingPairs>
    <vt:vector size="2" baseType="variant">
      <vt:variant>
        <vt:lpstr>Title</vt:lpstr>
      </vt:variant>
      <vt:variant>
        <vt:i4>1</vt:i4>
      </vt:variant>
    </vt:vector>
  </HeadingPairs>
  <TitlesOfParts>
    <vt:vector size="1" baseType="lpstr">
      <vt:lpstr>Financial Sector Development Plan 2017 - 2019</vt:lpstr>
    </vt:vector>
  </TitlesOfParts>
  <Company/>
  <LinksUpToDate>false</LinksUpToDate>
  <CharactersWithSpaces>118430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Development Plan 2017 - 2019</dc:title>
  <dc:creator>Tiesnieks Imants</dc:creator>
  <cp:lastModifiedBy>Guntis Puķītis</cp:lastModifiedBy>
  <cp:revision>5</cp:revision>
  <cp:lastPrinted>2017-04-18T10:24:00Z</cp:lastPrinted>
  <dcterms:created xsi:type="dcterms:W3CDTF">2017-07-21T07:25:00Z</dcterms:created>
  <dcterms:modified xsi:type="dcterms:W3CDTF">2017-07-21T08:01:00Z</dcterms:modified>
</cp:coreProperties>
</file>