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C9" w:rsidRPr="00D72AC3" w:rsidRDefault="005704C7" w:rsidP="00615E3B">
      <w:pPr>
        <w:jc w:val="center"/>
        <w:rPr>
          <w:b/>
          <w:sz w:val="28"/>
          <w:szCs w:val="28"/>
          <w:lang w:val="en-GB"/>
        </w:rPr>
      </w:pPr>
      <w:bookmarkStart w:id="0" w:name="_GoBack"/>
      <w:bookmarkEnd w:id="0"/>
      <w:r w:rsidRPr="00D72AC3">
        <w:rPr>
          <w:sz w:val="28"/>
          <w:szCs w:val="28"/>
          <w:lang w:val="en-GB" w:bidi="en-GB"/>
        </w:rPr>
        <w:t xml:space="preserve"> </w:t>
      </w:r>
    </w:p>
    <w:p w:rsidR="00981EC9" w:rsidRPr="00D72AC3" w:rsidRDefault="00981EC9" w:rsidP="00615E3B">
      <w:pPr>
        <w:jc w:val="center"/>
        <w:rPr>
          <w:b/>
          <w:sz w:val="28"/>
          <w:szCs w:val="28"/>
          <w:lang w:val="en-GB"/>
        </w:rPr>
      </w:pPr>
    </w:p>
    <w:p w:rsidR="00981EC9" w:rsidRPr="00D72AC3" w:rsidRDefault="00981EC9" w:rsidP="00615E3B">
      <w:pPr>
        <w:jc w:val="center"/>
        <w:rPr>
          <w:b/>
          <w:sz w:val="28"/>
          <w:szCs w:val="28"/>
          <w:lang w:val="en-GB"/>
        </w:rPr>
      </w:pPr>
    </w:p>
    <w:p w:rsidR="00DC198D" w:rsidRPr="00D72AC3" w:rsidRDefault="00981EC9" w:rsidP="00C65884">
      <w:pPr>
        <w:jc w:val="right"/>
        <w:rPr>
          <w:b/>
          <w:sz w:val="26"/>
          <w:szCs w:val="26"/>
          <w:lang w:val="en-GB"/>
        </w:rPr>
      </w:pPr>
      <w:r w:rsidRPr="00D72AC3">
        <w:rPr>
          <w:b/>
          <w:sz w:val="26"/>
          <w:szCs w:val="26"/>
          <w:lang w:val="en-GB" w:bidi="en-GB"/>
        </w:rPr>
        <w:t xml:space="preserve">Approved by the </w:t>
      </w:r>
      <w:r w:rsidR="00FB05E9">
        <w:rPr>
          <w:b/>
          <w:sz w:val="26"/>
          <w:szCs w:val="26"/>
          <w:lang w:val="en-GB" w:bidi="en-GB"/>
        </w:rPr>
        <w:t>25</w:t>
      </w:r>
      <w:r w:rsidRPr="00D72AC3">
        <w:rPr>
          <w:b/>
          <w:sz w:val="26"/>
          <w:szCs w:val="26"/>
          <w:lang w:val="en-GB" w:bidi="en-GB"/>
        </w:rPr>
        <w:t xml:space="preserve"> September 2018 </w:t>
      </w:r>
    </w:p>
    <w:p w:rsidR="00DC198D" w:rsidRPr="00D72AC3" w:rsidRDefault="00DC198D" w:rsidP="00C65884">
      <w:pPr>
        <w:jc w:val="right"/>
        <w:rPr>
          <w:b/>
          <w:sz w:val="26"/>
          <w:szCs w:val="26"/>
          <w:lang w:val="en-GB"/>
        </w:rPr>
      </w:pPr>
      <w:r w:rsidRPr="00D72AC3">
        <w:rPr>
          <w:b/>
          <w:sz w:val="26"/>
          <w:szCs w:val="26"/>
          <w:lang w:val="en-GB" w:bidi="en-GB"/>
        </w:rPr>
        <w:t xml:space="preserve">Cabinet of Ministers Order </w:t>
      </w:r>
    </w:p>
    <w:p w:rsidR="00DC198D" w:rsidRPr="00D72AC3" w:rsidRDefault="00DC198D" w:rsidP="00C65884">
      <w:pPr>
        <w:jc w:val="right"/>
        <w:rPr>
          <w:b/>
          <w:sz w:val="28"/>
          <w:szCs w:val="28"/>
          <w:lang w:val="en-GB"/>
        </w:rPr>
      </w:pPr>
    </w:p>
    <w:p w:rsidR="00981EC9" w:rsidRPr="00D72AC3" w:rsidRDefault="00DC198D" w:rsidP="00C65884">
      <w:pPr>
        <w:jc w:val="right"/>
        <w:rPr>
          <w:b/>
          <w:sz w:val="28"/>
          <w:szCs w:val="28"/>
          <w:lang w:val="en-GB"/>
        </w:rPr>
      </w:pPr>
      <w:r w:rsidRPr="00D72AC3">
        <w:rPr>
          <w:sz w:val="28"/>
          <w:szCs w:val="28"/>
          <w:lang w:val="en-GB" w:bidi="en-GB"/>
        </w:rPr>
        <w:t xml:space="preserve"> </w:t>
      </w:r>
    </w:p>
    <w:p w:rsidR="00E517B7" w:rsidRPr="00D72AC3" w:rsidRDefault="008516C8" w:rsidP="00615E3B">
      <w:pPr>
        <w:jc w:val="center"/>
        <w:rPr>
          <w:b/>
          <w:sz w:val="28"/>
          <w:szCs w:val="28"/>
          <w:lang w:val="en-GB"/>
        </w:rPr>
      </w:pPr>
      <w:r w:rsidRPr="00D72AC3">
        <w:rPr>
          <w:b/>
          <w:sz w:val="28"/>
          <w:szCs w:val="28"/>
          <w:lang w:val="en-GB" w:bidi="en-GB"/>
        </w:rPr>
        <w:t>Plan of Anti-Money Laundering and Counter-Terrorism Financing Measures for the Period of Time till 31 December 2019</w:t>
      </w:r>
    </w:p>
    <w:p w:rsidR="00E517B7" w:rsidRPr="00D72AC3" w:rsidRDefault="00E517B7" w:rsidP="00232E53">
      <w:pPr>
        <w:jc w:val="both"/>
        <w:rPr>
          <w:sz w:val="28"/>
          <w:szCs w:val="28"/>
          <w:lang w:val="en-GB"/>
        </w:rPr>
      </w:pPr>
    </w:p>
    <w:p w:rsidR="00E56FA2" w:rsidRPr="00D72AC3" w:rsidRDefault="00E56FA2" w:rsidP="00232E53">
      <w:pPr>
        <w:jc w:val="both"/>
        <w:rPr>
          <w:b/>
          <w:sz w:val="28"/>
          <w:szCs w:val="28"/>
          <w:lang w:val="en-GB"/>
        </w:rPr>
      </w:pPr>
    </w:p>
    <w:p w:rsidR="00E56FA2" w:rsidRPr="00D72AC3" w:rsidRDefault="00E56FA2" w:rsidP="00232E53">
      <w:pPr>
        <w:jc w:val="both"/>
        <w:rPr>
          <w:b/>
          <w:sz w:val="28"/>
          <w:szCs w:val="28"/>
          <w:lang w:val="en-GB"/>
        </w:rPr>
      </w:pPr>
    </w:p>
    <w:p w:rsidR="00E56FA2" w:rsidRPr="00D72AC3" w:rsidRDefault="00E56FA2" w:rsidP="00232E53">
      <w:pPr>
        <w:jc w:val="both"/>
        <w:rPr>
          <w:b/>
          <w:sz w:val="28"/>
          <w:szCs w:val="28"/>
          <w:lang w:val="en-GB"/>
        </w:rPr>
      </w:pPr>
    </w:p>
    <w:p w:rsidR="00E56FA2" w:rsidRPr="00D72AC3" w:rsidRDefault="00E56FA2" w:rsidP="00232E53">
      <w:pPr>
        <w:jc w:val="both"/>
        <w:rPr>
          <w:b/>
          <w:sz w:val="28"/>
          <w:szCs w:val="28"/>
          <w:lang w:val="en-GB"/>
        </w:rPr>
        <w:sectPr w:rsidR="00E56FA2" w:rsidRPr="00D72AC3" w:rsidSect="00A401DB">
          <w:footerReference w:type="default" r:id="rId10"/>
          <w:pgSz w:w="16838" w:h="11906" w:orient="landscape"/>
          <w:pgMar w:top="1276" w:right="1440" w:bottom="1800" w:left="1440" w:header="708" w:footer="708" w:gutter="0"/>
          <w:cols w:space="708"/>
          <w:docGrid w:linePitch="360"/>
        </w:sectPr>
      </w:pPr>
    </w:p>
    <w:sdt>
      <w:sdtPr>
        <w:rPr>
          <w:rFonts w:ascii="Times New Roman" w:eastAsiaTheme="minorHAnsi" w:hAnsi="Times New Roman" w:cstheme="minorBidi"/>
          <w:color w:val="auto"/>
          <w:sz w:val="24"/>
          <w:szCs w:val="22"/>
          <w:lang w:val="en-GB"/>
        </w:rPr>
        <w:id w:val="-710647662"/>
        <w:docPartObj>
          <w:docPartGallery w:val="Table of Contents"/>
          <w:docPartUnique/>
        </w:docPartObj>
      </w:sdtPr>
      <w:sdtEndPr>
        <w:rPr>
          <w:b/>
          <w:bCs/>
          <w:noProof/>
        </w:rPr>
      </w:sdtEndPr>
      <w:sdtContent>
        <w:p w:rsidR="00B95F87" w:rsidRPr="00D72AC3" w:rsidRDefault="00B95F87">
          <w:pPr>
            <w:pStyle w:val="TOCHeading"/>
            <w:rPr>
              <w:rFonts w:ascii="Times New Roman" w:hAnsi="Times New Roman" w:cs="Times New Roman"/>
              <w:b/>
              <w:color w:val="auto"/>
              <w:sz w:val="40"/>
              <w:szCs w:val="40"/>
              <w:lang w:val="en-GB"/>
            </w:rPr>
          </w:pPr>
          <w:r w:rsidRPr="00D72AC3">
            <w:rPr>
              <w:rFonts w:ascii="Times New Roman" w:eastAsia="Times New Roman" w:hAnsi="Times New Roman" w:cs="Times New Roman"/>
              <w:b/>
              <w:color w:val="auto"/>
              <w:sz w:val="40"/>
              <w:szCs w:val="40"/>
              <w:lang w:val="en-GB" w:bidi="en-GB"/>
            </w:rPr>
            <w:t>Content</w:t>
          </w:r>
        </w:p>
        <w:p w:rsidR="00D72AC3" w:rsidRPr="00D72AC3" w:rsidRDefault="00B95F87">
          <w:pPr>
            <w:pStyle w:val="TOC1"/>
            <w:tabs>
              <w:tab w:val="right" w:leader="dot" w:pos="13948"/>
            </w:tabs>
            <w:rPr>
              <w:rFonts w:asciiTheme="minorHAnsi" w:eastAsiaTheme="minorEastAsia" w:hAnsiTheme="minorHAnsi"/>
              <w:noProof/>
              <w:sz w:val="22"/>
              <w:lang w:val="en-GB" w:eastAsia="lv-LV"/>
            </w:rPr>
          </w:pPr>
          <w:r w:rsidRPr="00D72AC3">
            <w:rPr>
              <w:b/>
              <w:noProof/>
              <w:lang w:val="en-GB" w:bidi="en-GB"/>
            </w:rPr>
            <w:fldChar w:fldCharType="begin"/>
          </w:r>
          <w:r w:rsidRPr="00D72AC3">
            <w:rPr>
              <w:b/>
              <w:noProof/>
              <w:lang w:val="en-GB" w:bidi="en-GB"/>
            </w:rPr>
            <w:instrText xml:space="preserve"> TOC \o "1-3" \h \z \u </w:instrText>
          </w:r>
          <w:r w:rsidRPr="00D72AC3">
            <w:rPr>
              <w:b/>
              <w:noProof/>
              <w:lang w:val="en-GB" w:bidi="en-GB"/>
            </w:rPr>
            <w:fldChar w:fldCharType="separate"/>
          </w:r>
          <w:hyperlink w:anchor="_Toc526510429" w:history="1">
            <w:r w:rsidR="00D72AC3" w:rsidRPr="00D72AC3">
              <w:rPr>
                <w:rStyle w:val="Hyperlink"/>
                <w:noProof/>
                <w:lang w:val="en-GB" w:bidi="en-GB"/>
              </w:rPr>
              <w:t>Abbreviations</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_Toc526510429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4</w:t>
            </w:r>
            <w:r w:rsidR="00D72AC3" w:rsidRPr="00D72AC3">
              <w:rPr>
                <w:noProof/>
                <w:webHidden/>
                <w:lang w:val="en-GB"/>
              </w:rPr>
              <w:fldChar w:fldCharType="end"/>
            </w:r>
          </w:hyperlink>
        </w:p>
        <w:p w:rsidR="00D72AC3" w:rsidRPr="00D72AC3" w:rsidRDefault="00F76636">
          <w:pPr>
            <w:pStyle w:val="TOC1"/>
            <w:tabs>
              <w:tab w:val="right" w:leader="dot" w:pos="13948"/>
            </w:tabs>
            <w:rPr>
              <w:rFonts w:asciiTheme="minorHAnsi" w:eastAsiaTheme="minorEastAsia" w:hAnsiTheme="minorHAnsi"/>
              <w:noProof/>
              <w:sz w:val="22"/>
              <w:lang w:val="en-GB" w:eastAsia="lv-LV"/>
            </w:rPr>
          </w:pPr>
          <w:hyperlink w:anchor="_Toc526510430" w:history="1">
            <w:r w:rsidR="00D72AC3" w:rsidRPr="00D72AC3">
              <w:rPr>
                <w:rStyle w:val="Hyperlink"/>
                <w:noProof/>
                <w:lang w:val="en-GB" w:bidi="en-GB"/>
              </w:rPr>
              <w:t>I. Summary</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_Toc526510430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7</w:t>
            </w:r>
            <w:r w:rsidR="00D72AC3" w:rsidRPr="00D72AC3">
              <w:rPr>
                <w:noProof/>
                <w:webHidden/>
                <w:lang w:val="en-GB"/>
              </w:rPr>
              <w:fldChar w:fldCharType="end"/>
            </w:r>
          </w:hyperlink>
        </w:p>
        <w:p w:rsidR="00D72AC3" w:rsidRPr="00D72AC3" w:rsidRDefault="00F76636">
          <w:pPr>
            <w:pStyle w:val="TOC1"/>
            <w:tabs>
              <w:tab w:val="right" w:leader="dot" w:pos="13948"/>
            </w:tabs>
            <w:rPr>
              <w:rFonts w:asciiTheme="minorHAnsi" w:eastAsiaTheme="minorEastAsia" w:hAnsiTheme="minorHAnsi"/>
              <w:noProof/>
              <w:sz w:val="22"/>
              <w:lang w:val="en-GB" w:eastAsia="lv-LV"/>
            </w:rPr>
          </w:pPr>
          <w:hyperlink w:anchor="_Toc526510431" w:history="1">
            <w:r w:rsidR="00D72AC3" w:rsidRPr="00D72AC3">
              <w:rPr>
                <w:rStyle w:val="Hyperlink"/>
                <w:noProof/>
                <w:lang w:val="en-GB" w:bidi="en-GB"/>
              </w:rPr>
              <w:t>II. Money Laundering and Terrorism Financing Risk Assessment</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_Toc526510431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19</w:t>
            </w:r>
            <w:r w:rsidR="00D72AC3" w:rsidRPr="00D72AC3">
              <w:rPr>
                <w:noProof/>
                <w:webHidden/>
                <w:lang w:val="en-GB"/>
              </w:rPr>
              <w:fldChar w:fldCharType="end"/>
            </w:r>
          </w:hyperlink>
        </w:p>
        <w:p w:rsidR="00D72AC3" w:rsidRPr="00D72AC3" w:rsidRDefault="00F76636">
          <w:pPr>
            <w:pStyle w:val="TOC1"/>
            <w:tabs>
              <w:tab w:val="right" w:leader="dot" w:pos="13948"/>
            </w:tabs>
            <w:rPr>
              <w:rFonts w:asciiTheme="minorHAnsi" w:eastAsiaTheme="minorEastAsia" w:hAnsiTheme="minorHAnsi"/>
              <w:noProof/>
              <w:sz w:val="22"/>
              <w:lang w:val="en-GB" w:eastAsia="lv-LV"/>
            </w:rPr>
          </w:pPr>
          <w:hyperlink w:anchor="_Toc526510432" w:history="1">
            <w:r w:rsidR="00D72AC3" w:rsidRPr="00D72AC3">
              <w:rPr>
                <w:rStyle w:val="Hyperlink"/>
                <w:noProof/>
                <w:lang w:val="en-GB" w:bidi="en-GB"/>
              </w:rPr>
              <w:t>III. Background</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_Toc526510432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22</w:t>
            </w:r>
            <w:r w:rsidR="00D72AC3" w:rsidRPr="00D72AC3">
              <w:rPr>
                <w:noProof/>
                <w:webHidden/>
                <w:lang w:val="en-GB"/>
              </w:rPr>
              <w:fldChar w:fldCharType="end"/>
            </w:r>
          </w:hyperlink>
        </w:p>
        <w:p w:rsidR="00D72AC3" w:rsidRPr="00D72AC3" w:rsidRDefault="00F76636">
          <w:pPr>
            <w:pStyle w:val="TOC1"/>
            <w:tabs>
              <w:tab w:val="right" w:leader="dot" w:pos="13948"/>
            </w:tabs>
            <w:rPr>
              <w:rFonts w:asciiTheme="minorHAnsi" w:eastAsiaTheme="minorEastAsia" w:hAnsiTheme="minorHAnsi"/>
              <w:noProof/>
              <w:sz w:val="22"/>
              <w:lang w:val="en-GB" w:eastAsia="lv-LV"/>
            </w:rPr>
          </w:pPr>
          <w:hyperlink w:anchor="_Toc526510433" w:history="1">
            <w:r w:rsidR="00D72AC3" w:rsidRPr="00D72AC3">
              <w:rPr>
                <w:rStyle w:val="Hyperlink"/>
                <w:noProof/>
                <w:lang w:val="en-GB" w:bidi="en-GB"/>
              </w:rPr>
              <w:t>IV. Objective and courses of action of the plan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_Toc526510433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31</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34" w:history="1">
            <w:r w:rsidR="00D72AC3" w:rsidRPr="00D72AC3">
              <w:rPr>
                <w:rStyle w:val="Hyperlink"/>
                <w:rFonts w:eastAsia="Times New Roman" w:cs="Times New Roman"/>
                <w:b/>
                <w:noProof/>
                <w:lang w:val="en-GB" w:bidi="en-GB"/>
              </w:rPr>
              <w:t>First course of action - Risks, policy and coordination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_Toc526510434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31</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35" w:history="1">
            <w:r w:rsidR="00D72AC3" w:rsidRPr="00D72AC3">
              <w:rPr>
                <w:rStyle w:val="Hyperlink"/>
                <w:rFonts w:eastAsia="Times New Roman" w:cs="Times New Roman"/>
                <w:b/>
                <w:noProof/>
                <w:lang w:val="en-GB" w:bidi="en-GB"/>
              </w:rPr>
              <w:t>Second course of action - International cooperation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_Toc526510435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37</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36" w:history="1">
            <w:r w:rsidR="00D72AC3" w:rsidRPr="00D72AC3">
              <w:rPr>
                <w:rStyle w:val="Hyperlink"/>
                <w:rFonts w:eastAsia="Times New Roman" w:cs="Times New Roman"/>
                <w:b/>
                <w:noProof/>
                <w:lang w:val="en-GB" w:bidi="en-GB"/>
              </w:rPr>
              <w:t>Third course of action - Supervision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_Toc526510436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39</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37" w:history="1">
            <w:r w:rsidR="00D72AC3" w:rsidRPr="00D72AC3">
              <w:rPr>
                <w:rStyle w:val="Hyperlink"/>
                <w:rFonts w:eastAsia="Times New Roman" w:cs="Times New Roman"/>
                <w:b/>
                <w:noProof/>
                <w:lang w:val="en-GB" w:bidi="en-GB"/>
              </w:rPr>
              <w:t>Fourth course of action - Preventive measures</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_Toc526510437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44</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38" w:history="1">
            <w:r w:rsidR="00D72AC3" w:rsidRPr="00D72AC3">
              <w:rPr>
                <w:rStyle w:val="Hyperlink"/>
                <w:rFonts w:eastAsia="Times New Roman" w:cs="Times New Roman"/>
                <w:b/>
                <w:noProof/>
                <w:lang w:val="en-GB" w:bidi="en-GB"/>
              </w:rPr>
              <w:t>Fifth course of action - Legal persons and arrangements</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_Toc526510438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48</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39" w:history="1">
            <w:r w:rsidR="00D72AC3" w:rsidRPr="00D72AC3">
              <w:rPr>
                <w:rStyle w:val="Hyperlink"/>
                <w:rFonts w:eastAsia="Times New Roman" w:cs="Times New Roman"/>
                <w:b/>
                <w:noProof/>
                <w:lang w:val="en-GB" w:bidi="en-GB"/>
              </w:rPr>
              <w:t>Sixth course of action - Financial intelligence</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_Toc526510439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56</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40" w:history="1">
            <w:r w:rsidR="00D72AC3" w:rsidRPr="00D72AC3">
              <w:rPr>
                <w:rStyle w:val="Hyperlink"/>
                <w:rFonts w:eastAsia="Times New Roman" w:cs="Times New Roman"/>
                <w:b/>
                <w:noProof/>
                <w:lang w:val="en-GB" w:bidi="en-GB"/>
              </w:rPr>
              <w:t>Seventh course of action - Money laundering investigation and prosecution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_Toc526510440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62</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41" w:history="1">
            <w:r w:rsidR="00D72AC3" w:rsidRPr="00D72AC3">
              <w:rPr>
                <w:rStyle w:val="Hyperlink"/>
                <w:rFonts w:eastAsia="Times New Roman" w:cs="Times New Roman"/>
                <w:b/>
                <w:noProof/>
                <w:lang w:val="en-GB" w:bidi="en-GB"/>
              </w:rPr>
              <w:t>Eighth course of action - Confiscation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_Toc526510441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66</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42" w:history="1">
            <w:r w:rsidR="00D72AC3" w:rsidRPr="00D72AC3">
              <w:rPr>
                <w:rStyle w:val="Hyperlink"/>
                <w:rFonts w:eastAsia="Times New Roman" w:cs="Times New Roman"/>
                <w:b/>
                <w:noProof/>
                <w:lang w:val="en-GB" w:bidi="en-GB"/>
              </w:rPr>
              <w:t>Ninth course of action- Investigation and prosecution of financing of terrorism</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_Toc526510442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68</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43" w:history="1">
            <w:r w:rsidR="00D72AC3" w:rsidRPr="00D72AC3">
              <w:rPr>
                <w:rStyle w:val="Hyperlink"/>
                <w:rFonts w:eastAsia="Times New Roman" w:cs="Times New Roman"/>
                <w:b/>
                <w:noProof/>
                <w:lang w:val="en-GB" w:bidi="en-GB"/>
              </w:rPr>
              <w:t>Tenth course of action - Preventive measures and financial sanctions of financing of terrorism</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_Toc526510443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71</w:t>
            </w:r>
            <w:r w:rsidR="00D72AC3" w:rsidRPr="00D72AC3">
              <w:rPr>
                <w:noProof/>
                <w:webHidden/>
                <w:lang w:val="en-GB"/>
              </w:rPr>
              <w:fldChar w:fldCharType="end"/>
            </w:r>
          </w:hyperlink>
        </w:p>
        <w:p w:rsidR="00D72AC3" w:rsidRPr="00D72AC3" w:rsidRDefault="00F76636">
          <w:pPr>
            <w:pStyle w:val="TOC2"/>
            <w:tabs>
              <w:tab w:val="right" w:leader="dot" w:pos="13948"/>
            </w:tabs>
            <w:rPr>
              <w:rFonts w:asciiTheme="minorHAnsi" w:eastAsiaTheme="minorEastAsia" w:hAnsiTheme="minorHAnsi"/>
              <w:noProof/>
              <w:sz w:val="22"/>
              <w:lang w:val="en-GB" w:eastAsia="lv-LV"/>
            </w:rPr>
          </w:pPr>
          <w:hyperlink w:anchor="_Toc526510444" w:history="1">
            <w:r w:rsidR="00D72AC3" w:rsidRPr="00D72AC3">
              <w:rPr>
                <w:rStyle w:val="Hyperlink"/>
                <w:rFonts w:eastAsia="Times New Roman" w:cs="Times New Roman"/>
                <w:b/>
                <w:noProof/>
                <w:lang w:val="en-GB" w:bidi="en-GB"/>
              </w:rPr>
              <w:t>Eleventh course of action - Weapons of mass destruction - financial sanctions</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_Toc526510444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73</w:t>
            </w:r>
            <w:r w:rsidR="00D72AC3" w:rsidRPr="00D72AC3">
              <w:rPr>
                <w:noProof/>
                <w:webHidden/>
                <w:lang w:val="en-GB"/>
              </w:rPr>
              <w:fldChar w:fldCharType="end"/>
            </w:r>
          </w:hyperlink>
        </w:p>
        <w:p w:rsidR="00D72AC3" w:rsidRPr="00D72AC3" w:rsidRDefault="00F76636">
          <w:pPr>
            <w:pStyle w:val="TOC1"/>
            <w:tabs>
              <w:tab w:val="right" w:leader="dot" w:pos="13948"/>
            </w:tabs>
            <w:rPr>
              <w:rFonts w:asciiTheme="minorHAnsi" w:eastAsiaTheme="minorEastAsia" w:hAnsiTheme="minorHAnsi"/>
              <w:noProof/>
              <w:sz w:val="22"/>
              <w:lang w:val="en-GB" w:eastAsia="lv-LV"/>
            </w:rPr>
          </w:pPr>
          <w:hyperlink w:anchor="_Toc526510445" w:history="1">
            <w:r w:rsidR="00D72AC3" w:rsidRPr="00D72AC3">
              <w:rPr>
                <w:rStyle w:val="Hyperlink"/>
                <w:noProof/>
                <w:lang w:val="en-GB" w:bidi="en-GB"/>
              </w:rPr>
              <w:t>V. Impact assessment on the State and local government budget</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_Toc526510445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75</w:t>
            </w:r>
            <w:r w:rsidR="00D72AC3" w:rsidRPr="00D72AC3">
              <w:rPr>
                <w:noProof/>
                <w:webHidden/>
                <w:lang w:val="en-GB"/>
              </w:rPr>
              <w:fldChar w:fldCharType="end"/>
            </w:r>
          </w:hyperlink>
        </w:p>
        <w:p w:rsidR="00D72AC3" w:rsidRPr="00D72AC3" w:rsidRDefault="00F76636">
          <w:pPr>
            <w:pStyle w:val="TOC1"/>
            <w:tabs>
              <w:tab w:val="right" w:leader="dot" w:pos="13948"/>
            </w:tabs>
            <w:rPr>
              <w:rFonts w:asciiTheme="minorHAnsi" w:eastAsiaTheme="minorEastAsia" w:hAnsiTheme="minorHAnsi"/>
              <w:noProof/>
              <w:sz w:val="22"/>
              <w:lang w:val="en-GB" w:eastAsia="lv-LV"/>
            </w:rPr>
          </w:pPr>
          <w:hyperlink w:anchor="_Toc526510446" w:history="1">
            <w:r w:rsidR="00D72AC3" w:rsidRPr="00D72AC3">
              <w:rPr>
                <w:rStyle w:val="Hyperlink"/>
                <w:noProof/>
                <w:lang w:val="en-GB" w:bidi="en-GB"/>
              </w:rPr>
              <w:t>Summary on the State and local government budget funding necessary for implementation of the tasks included in the plan</w:t>
            </w:r>
            <w:r w:rsidR="00D72AC3" w:rsidRPr="00D72AC3">
              <w:rPr>
                <w:noProof/>
                <w:webHidden/>
                <w:lang w:val="en-GB"/>
              </w:rPr>
              <w:tab/>
            </w:r>
            <w:r w:rsidR="00D72AC3" w:rsidRPr="00D72AC3">
              <w:rPr>
                <w:noProof/>
                <w:webHidden/>
                <w:lang w:val="en-GB"/>
              </w:rPr>
              <w:fldChar w:fldCharType="begin"/>
            </w:r>
            <w:r w:rsidR="00D72AC3" w:rsidRPr="00D72AC3">
              <w:rPr>
                <w:noProof/>
                <w:webHidden/>
                <w:lang w:val="en-GB"/>
              </w:rPr>
              <w:instrText xml:space="preserve"> PAGEREF _Toc526510446 \h </w:instrText>
            </w:r>
            <w:r w:rsidR="00D72AC3" w:rsidRPr="00D72AC3">
              <w:rPr>
                <w:noProof/>
                <w:webHidden/>
                <w:lang w:val="en-GB"/>
              </w:rPr>
            </w:r>
            <w:r w:rsidR="00D72AC3" w:rsidRPr="00D72AC3">
              <w:rPr>
                <w:noProof/>
                <w:webHidden/>
                <w:lang w:val="en-GB"/>
              </w:rPr>
              <w:fldChar w:fldCharType="separate"/>
            </w:r>
            <w:r w:rsidR="00D72AC3" w:rsidRPr="00D72AC3">
              <w:rPr>
                <w:noProof/>
                <w:webHidden/>
                <w:lang w:val="en-GB"/>
              </w:rPr>
              <w:t>75</w:t>
            </w:r>
            <w:r w:rsidR="00D72AC3" w:rsidRPr="00D72AC3">
              <w:rPr>
                <w:noProof/>
                <w:webHidden/>
                <w:lang w:val="en-GB"/>
              </w:rPr>
              <w:fldChar w:fldCharType="end"/>
            </w:r>
          </w:hyperlink>
        </w:p>
        <w:p w:rsidR="00B95F87" w:rsidRPr="00D72AC3" w:rsidRDefault="00B95F87">
          <w:pPr>
            <w:rPr>
              <w:b/>
              <w:lang w:val="en-GB"/>
            </w:rPr>
          </w:pPr>
          <w:r w:rsidRPr="00D72AC3">
            <w:rPr>
              <w:b/>
              <w:noProof/>
              <w:lang w:val="en-GB" w:bidi="en-GB"/>
            </w:rPr>
            <w:fldChar w:fldCharType="end"/>
          </w:r>
        </w:p>
      </w:sdtContent>
    </w:sdt>
    <w:p w:rsidR="00E56FA2" w:rsidRPr="00D72AC3" w:rsidRDefault="00E56FA2" w:rsidP="00E56FA2">
      <w:pPr>
        <w:tabs>
          <w:tab w:val="left" w:pos="1650"/>
        </w:tabs>
        <w:rPr>
          <w:sz w:val="28"/>
          <w:szCs w:val="28"/>
          <w:lang w:val="en-GB"/>
        </w:rPr>
        <w:sectPr w:rsidR="00E56FA2" w:rsidRPr="00D72AC3" w:rsidSect="00A401DB">
          <w:pgSz w:w="16838" w:h="11906" w:orient="landscape"/>
          <w:pgMar w:top="1276" w:right="1440" w:bottom="1800" w:left="1440" w:header="708" w:footer="708" w:gutter="0"/>
          <w:cols w:space="708"/>
          <w:docGrid w:linePitch="360"/>
        </w:sectPr>
      </w:pPr>
      <w:r w:rsidRPr="00D72AC3">
        <w:rPr>
          <w:sz w:val="28"/>
          <w:szCs w:val="28"/>
          <w:lang w:val="en-GB" w:bidi="en-GB"/>
        </w:rPr>
        <w:tab/>
      </w:r>
    </w:p>
    <w:p w:rsidR="00E56FA2" w:rsidRPr="00D72AC3" w:rsidRDefault="00B95F87" w:rsidP="00C65884">
      <w:pPr>
        <w:pStyle w:val="Heading1"/>
        <w:rPr>
          <w:sz w:val="40"/>
          <w:szCs w:val="40"/>
        </w:rPr>
      </w:pPr>
      <w:bookmarkStart w:id="1" w:name="_Toc526510429"/>
      <w:r w:rsidRPr="00D72AC3">
        <w:rPr>
          <w:sz w:val="40"/>
          <w:szCs w:val="40"/>
          <w:lang w:bidi="en-GB"/>
        </w:rPr>
        <w:lastRenderedPageBreak/>
        <w:t>Abbreviations</w:t>
      </w:r>
      <w:bookmarkEnd w:id="1"/>
      <w:r w:rsidRPr="00D72AC3">
        <w:rPr>
          <w:sz w:val="40"/>
          <w:szCs w:val="40"/>
          <w:lang w:bidi="en-GB"/>
        </w:rPr>
        <w:t xml:space="preserve"> </w:t>
      </w:r>
    </w:p>
    <w:p w:rsidR="00B95F87" w:rsidRPr="00D72AC3" w:rsidRDefault="00B95F87" w:rsidP="00C65884">
      <w:pPr>
        <w:tabs>
          <w:tab w:val="left" w:pos="1650"/>
        </w:tabs>
        <w:rPr>
          <w:sz w:val="28"/>
          <w:szCs w:val="28"/>
          <w:lang w:val="en-GB"/>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959"/>
        <w:gridCol w:w="10999"/>
      </w:tblGrid>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ABLV</w:t>
            </w:r>
          </w:p>
        </w:tc>
        <w:tc>
          <w:tcPr>
            <w:tcW w:w="3940" w:type="pct"/>
            <w:shd w:val="clear" w:color="auto" w:fill="FFFFFF"/>
            <w:hideMark/>
          </w:tcPr>
          <w:p w:rsidR="00B736CF" w:rsidRPr="00D72AC3" w:rsidRDefault="00275CC5"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Joint Stock Company "ABLV bank" (Joint Stock Company "ABLV Bank" Under Liquidation)</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UN</w:t>
            </w:r>
          </w:p>
          <w:p w:rsidR="00F971F6" w:rsidRPr="00D72AC3" w:rsidRDefault="00F971F6"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ARO</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UN SC</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AML</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5AMLD</w:t>
            </w:r>
          </w:p>
          <w:p w:rsidR="00B736CF" w:rsidRPr="00D72AC3" w:rsidRDefault="00B736CF" w:rsidP="0090763B">
            <w:pPr>
              <w:rPr>
                <w:rFonts w:eastAsia="Times New Roman" w:cs="Times New Roman"/>
                <w:color w:val="000000" w:themeColor="text1"/>
                <w:szCs w:val="24"/>
                <w:lang w:val="en-GB" w:eastAsia="lv-LV"/>
              </w:rPr>
            </w:pPr>
          </w:p>
          <w:p w:rsidR="00B736CF" w:rsidRPr="00D72AC3" w:rsidRDefault="00B736CF" w:rsidP="0090763B">
            <w:pPr>
              <w:rPr>
                <w:rFonts w:eastAsia="Times New Roman" w:cs="Times New Roman"/>
                <w:color w:val="000000" w:themeColor="text1"/>
                <w:szCs w:val="24"/>
                <w:lang w:val="en-GB" w:eastAsia="lv-LV"/>
              </w:rPr>
            </w:pP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 xml:space="preserve">USA </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MoFA</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CNUE</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United Nations</w:t>
            </w:r>
          </w:p>
          <w:p w:rsidR="00F971F6" w:rsidRPr="00D72AC3" w:rsidRDefault="00F971F6"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Asset Recovery Office (of the Ministry of the Interior)</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United Nations Security Council</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Anti-Money laundering</w:t>
            </w:r>
          </w:p>
          <w:p w:rsidR="00B736CF" w:rsidRPr="00D72AC3" w:rsidRDefault="00B736CF" w:rsidP="0090763B">
            <w:pPr>
              <w:jc w:val="both"/>
              <w:rPr>
                <w:rFonts w:eastAsia="Times New Roman" w:cs="Times New Roman"/>
                <w:color w:val="000000" w:themeColor="text1"/>
                <w:szCs w:val="24"/>
                <w:lang w:val="en-GB" w:eastAsia="lv-LV"/>
              </w:rPr>
            </w:pPr>
            <w:r w:rsidRPr="00D72AC3">
              <w:rPr>
                <w:rFonts w:eastAsia="Times New Roman" w:cs="Times New Roman"/>
                <w:i/>
                <w:color w:val="000000" w:themeColor="text1"/>
                <w:szCs w:val="24"/>
                <w:lang w:val="en-GB" w:bidi="en-GB"/>
              </w:rPr>
              <w:t>5th Anti-Money Laundering Directive</w:t>
            </w:r>
            <w:r w:rsidRPr="00D72AC3">
              <w:rPr>
                <w:rFonts w:eastAsia="Times New Roman" w:cs="Times New Roman"/>
                <w:color w:val="000000" w:themeColor="text1"/>
                <w:szCs w:val="24"/>
                <w:lang w:val="en-GB" w:bidi="en-GB"/>
              </w:rP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United States of America</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Ministry of Foreign Affairs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The Council of the Notariats of the European Union</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CRS</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Common Reporting Standard (in the field of taxes)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SeP</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Security Police</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EU</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ECJ</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European Union</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European Court of Justice</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GPO</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FATF</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FAQs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FinCEN</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General Prosecutors' Office.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Financial Action Task Force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Frequently asked questions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Financial Crimes Enforcement Network of the U.S. Department of the Treasury</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FCMC</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Financial and Capital Market Commission</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MoF</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Ministry of Finance</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FSDB</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LGSI</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IC</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ISO</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Financial Sector Development Board</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Lotteries and Gambling Supervision Inspection</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Information Centre of the Ministry of the Interior</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Internal Security Office of the Ministry of the Interior</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MoI</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ICS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IO</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IT</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Ministry of the Interior</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Internal Control System</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Immediate Outcome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Information technologies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PMB</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Procurement Monitoring Bureau</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ABCS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CL</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Office for Prevention of Laundering of Proceeds Derived from Criminal Activity (Control Service)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Advisory Board of the Control Service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Criminal Law</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CPCB (KNAB)</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CPL</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KRASS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KYC facility</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KYC utility</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Corruption Prevention and Combating Bureau</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Criminal Procedure Law</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Criminal Procedure Information System</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Know your customer facility</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Know your customer utility</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FLA</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Finance Latvia Association</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BoL</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Bank of Latvia</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LCSA</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LCSN</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LACA</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Cabinet</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Latvian Council of Sworn Advocates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Latvian Council of Sworn Notaries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Latvian Association of Certified Auditors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Cabinet of Ministers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MONEYVAL</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ML</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AML</w:t>
            </w:r>
          </w:p>
        </w:tc>
        <w:tc>
          <w:tcPr>
            <w:tcW w:w="3940" w:type="pct"/>
            <w:shd w:val="clear" w:color="auto" w:fill="FFFFFF"/>
            <w:hideMark/>
          </w:tcPr>
          <w:p w:rsidR="00B736CF" w:rsidRPr="00D72AC3" w:rsidRDefault="00B736CF" w:rsidP="0090763B">
            <w:pPr>
              <w:rPr>
                <w:rFonts w:eastAsia="Times New Roman" w:cs="Times New Roman"/>
                <w:i/>
                <w:color w:val="000000" w:themeColor="text1"/>
                <w:szCs w:val="24"/>
                <w:lang w:val="en-GB" w:eastAsia="lv-LV"/>
              </w:rPr>
            </w:pPr>
            <w:r w:rsidRPr="00D72AC3">
              <w:rPr>
                <w:rFonts w:eastAsia="Times New Roman" w:cs="Times New Roman"/>
                <w:color w:val="000000" w:themeColor="text1"/>
                <w:szCs w:val="24"/>
                <w:lang w:val="en-GB" w:bidi="en-GB"/>
              </w:rPr>
              <w:t>Committee of experts on the evaluation of anti-money laundering measures and the financing of terrorism</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Money laundering</w:t>
            </w:r>
          </w:p>
          <w:p w:rsidR="00B736CF" w:rsidRPr="00D72AC3" w:rsidRDefault="00762051"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Anti-money laundering</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ML/FT</w:t>
            </w:r>
          </w:p>
        </w:tc>
        <w:tc>
          <w:tcPr>
            <w:tcW w:w="3940" w:type="pct"/>
            <w:shd w:val="clear" w:color="auto" w:fill="FFFFFF"/>
            <w:hideMark/>
          </w:tcPr>
          <w:p w:rsidR="00B736CF" w:rsidRPr="00D72AC3" w:rsidRDefault="00762051"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Money laundering and financing of terrorism</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AML/CFT</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Law on the PMLTF</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NIS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NCCH</w:t>
            </w:r>
          </w:p>
          <w:p w:rsidR="00B736CF" w:rsidRPr="00D72AC3" w:rsidRDefault="00762051"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DNFBPs</w:t>
            </w:r>
          </w:p>
          <w:p w:rsidR="00B736CF" w:rsidRPr="00D72AC3" w:rsidRDefault="00762051"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TCPB</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NRA</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Anti-money laundering and combatingfinancing of terrorism</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Law on the Prevention of Money Laundering and Terrorism Financing</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Notaries Information System</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National Council of Cultural Heritage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Designated Non-Financial Businesses and Professions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Tax and Customs Police Board</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Second National Money Laundering and Terrorism Financing Risk Assessment</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lastRenderedPageBreak/>
              <w:t>CIS countries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NGOs</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Countries of the Commonwealth of Independent States</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Non-governmental organisations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OFAC</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Plan of Measures for 2017-2019</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UBO</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The Office of Foreign Assets Control</w:t>
            </w:r>
            <w:r w:rsidRPr="00D72AC3">
              <w:rPr>
                <w:rFonts w:eastAsia="Times New Roman" w:cs="Times New Roman"/>
                <w:color w:val="000000" w:themeColor="text1"/>
                <w:szCs w:val="24"/>
                <w:lang w:val="en-GB" w:bidi="en-GB"/>
              </w:rPr>
              <w:br/>
              <w:t>Plan of Measures for Mitigation of the Money Laundering and Terrorism Financing Risks for 2017-2019</w:t>
            </w:r>
          </w:p>
          <w:p w:rsidR="00663B9B" w:rsidRDefault="00663B9B" w:rsidP="0090763B">
            <w:pPr>
              <w:rPr>
                <w:rFonts w:eastAsia="Times New Roman" w:cs="Times New Roman"/>
                <w:color w:val="000000" w:themeColor="text1"/>
                <w:szCs w:val="24"/>
                <w:lang w:val="en-GB" w:bidi="en-GB"/>
              </w:rPr>
            </w:pP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Ultimate beneficial owner</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PEP</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Politically exposed person</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CRPC</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CPB</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LLCs</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Consumer Rights Protection Centre</w:t>
            </w:r>
          </w:p>
          <w:p w:rsidR="00B736CF" w:rsidRPr="00D72AC3" w:rsidRDefault="00663B9B" w:rsidP="0090763B">
            <w:pPr>
              <w:rPr>
                <w:rFonts w:eastAsia="Times New Roman" w:cs="Times New Roman"/>
                <w:color w:val="000000" w:themeColor="text1"/>
                <w:szCs w:val="24"/>
                <w:lang w:val="en-GB" w:eastAsia="lv-LV"/>
              </w:rPr>
            </w:pPr>
            <w:r>
              <w:rPr>
                <w:rFonts w:eastAsia="Times New Roman" w:cs="Times New Roman"/>
                <w:color w:val="000000" w:themeColor="text1"/>
                <w:szCs w:val="24"/>
                <w:lang w:val="en-GB" w:bidi="en-GB"/>
              </w:rPr>
              <w:t xml:space="preserve">The </w:t>
            </w:r>
            <w:r w:rsidR="00B736CF" w:rsidRPr="00D72AC3">
              <w:rPr>
                <w:rFonts w:eastAsia="Times New Roman" w:cs="Times New Roman"/>
                <w:color w:val="000000" w:themeColor="text1"/>
                <w:szCs w:val="24"/>
                <w:lang w:val="en-GB" w:bidi="en-GB"/>
              </w:rPr>
              <w:t>Constitution Protection Bureau</w:t>
            </w:r>
            <w:r>
              <w:rPr>
                <w:rFonts w:eastAsia="Times New Roman" w:cs="Times New Roman"/>
                <w:color w:val="000000" w:themeColor="text1"/>
                <w:szCs w:val="24"/>
                <w:lang w:val="en-GB" w:bidi="en-GB"/>
              </w:rPr>
              <w:t xml:space="preserve"> of the Republic of Latvia</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Limited Liability Companies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MoT</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Ministry of Transport</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CA</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FT</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CIS</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Court Administration</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Financing of terrorism</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Court Information System</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MoJ</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SCA</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Ministry of Justice</w:t>
            </w:r>
          </w:p>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Supervisory and control authorities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RE</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Register of Enterprises</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LSPA</w:t>
            </w:r>
          </w:p>
        </w:tc>
        <w:tc>
          <w:tcPr>
            <w:tcW w:w="3940" w:type="pct"/>
            <w:shd w:val="clear" w:color="auto" w:fill="FFFFFF"/>
            <w:hideMark/>
          </w:tcPr>
          <w:p w:rsidR="00B736CF" w:rsidRPr="00D72AC3" w:rsidRDefault="00B35C99" w:rsidP="0090763B">
            <w:pPr>
              <w:rPr>
                <w:rFonts w:eastAsia="Times New Roman" w:cs="Times New Roman"/>
                <w:color w:val="000000" w:themeColor="text1"/>
                <w:szCs w:val="24"/>
                <w:lang w:val="en-GB" w:eastAsia="lv-LV"/>
              </w:rPr>
            </w:pPr>
            <w:r>
              <w:rPr>
                <w:rFonts w:eastAsia="Times New Roman" w:cs="Times New Roman"/>
                <w:color w:val="000000" w:themeColor="text1"/>
                <w:szCs w:val="24"/>
                <w:lang w:val="en-GB" w:bidi="en-GB"/>
              </w:rPr>
              <w:t xml:space="preserve">The </w:t>
            </w:r>
            <w:r w:rsidR="00B736CF" w:rsidRPr="00D72AC3">
              <w:rPr>
                <w:rFonts w:eastAsia="Times New Roman" w:cs="Times New Roman"/>
                <w:color w:val="000000" w:themeColor="text1"/>
                <w:szCs w:val="24"/>
                <w:lang w:val="en-GB" w:bidi="en-GB"/>
              </w:rPr>
              <w:t>Latvian School of Public Administration</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SRS</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State Revenue Service</w:t>
            </w:r>
          </w:p>
        </w:tc>
      </w:tr>
      <w:tr w:rsidR="00B736CF" w:rsidRPr="00D72AC3" w:rsidTr="00796432">
        <w:tc>
          <w:tcPr>
            <w:tcW w:w="106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SP</w:t>
            </w:r>
          </w:p>
        </w:tc>
        <w:tc>
          <w:tcPr>
            <w:tcW w:w="3940" w:type="pct"/>
            <w:shd w:val="clear" w:color="auto" w:fill="FFFFFF"/>
            <w:hideMark/>
          </w:tcPr>
          <w:p w:rsidR="00B736CF" w:rsidRPr="00D72AC3" w:rsidRDefault="00B736CF"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State Police</w:t>
            </w:r>
          </w:p>
        </w:tc>
      </w:tr>
      <w:tr w:rsidR="00B736CF" w:rsidRPr="00D72AC3" w:rsidTr="00796432">
        <w:tc>
          <w:tcPr>
            <w:tcW w:w="1060" w:type="pct"/>
            <w:shd w:val="clear" w:color="auto" w:fill="FFFFFF"/>
          </w:tcPr>
          <w:p w:rsidR="00B736CF" w:rsidRPr="00D72AC3" w:rsidRDefault="00B95F87" w:rsidP="00C65884">
            <w:pPr>
              <w:tabs>
                <w:tab w:val="left" w:pos="1814"/>
              </w:tabs>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SBG</w:t>
            </w:r>
          </w:p>
        </w:tc>
        <w:tc>
          <w:tcPr>
            <w:tcW w:w="3940" w:type="pct"/>
            <w:shd w:val="clear" w:color="auto" w:fill="FFFFFF"/>
          </w:tcPr>
          <w:p w:rsidR="00B736CF" w:rsidRPr="00D72AC3" w:rsidRDefault="00B95F87"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State Border Guard</w:t>
            </w:r>
          </w:p>
        </w:tc>
      </w:tr>
      <w:tr w:rsidR="00B95F87" w:rsidRPr="00D72AC3" w:rsidTr="00796432">
        <w:tc>
          <w:tcPr>
            <w:tcW w:w="1060" w:type="pct"/>
            <w:shd w:val="clear" w:color="auto" w:fill="FFFFFF"/>
          </w:tcPr>
          <w:p w:rsidR="00B95F87" w:rsidRPr="00D72AC3" w:rsidRDefault="00B95F87" w:rsidP="00B95F87">
            <w:pPr>
              <w:tabs>
                <w:tab w:val="left" w:pos="1814"/>
              </w:tabs>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MSS</w:t>
            </w:r>
          </w:p>
        </w:tc>
        <w:tc>
          <w:tcPr>
            <w:tcW w:w="3940" w:type="pct"/>
            <w:shd w:val="clear" w:color="auto" w:fill="FFFFFF"/>
          </w:tcPr>
          <w:p w:rsidR="00B95F87" w:rsidRPr="00D72AC3" w:rsidRDefault="00B95F87" w:rsidP="0090763B">
            <w:pPr>
              <w:rPr>
                <w:rFonts w:eastAsia="Times New Roman" w:cs="Times New Roman"/>
                <w:color w:val="000000" w:themeColor="text1"/>
                <w:szCs w:val="24"/>
                <w:lang w:val="en-GB" w:eastAsia="lv-LV"/>
              </w:rPr>
            </w:pPr>
            <w:r w:rsidRPr="00D72AC3">
              <w:rPr>
                <w:rFonts w:eastAsia="Times New Roman" w:cs="Times New Roman"/>
                <w:color w:val="000000" w:themeColor="text1"/>
                <w:szCs w:val="24"/>
                <w:lang w:val="en-GB" w:bidi="en-GB"/>
              </w:rPr>
              <w:t>Meeting of the State Secretaries</w:t>
            </w:r>
          </w:p>
        </w:tc>
      </w:tr>
    </w:tbl>
    <w:p w:rsidR="00B736CF" w:rsidRPr="00D72AC3" w:rsidRDefault="00B736CF" w:rsidP="00232E53">
      <w:pPr>
        <w:jc w:val="both"/>
        <w:rPr>
          <w:b/>
          <w:sz w:val="28"/>
          <w:szCs w:val="28"/>
          <w:lang w:val="en-GB"/>
        </w:rPr>
        <w:sectPr w:rsidR="00B736CF" w:rsidRPr="00D72AC3" w:rsidSect="00A401DB">
          <w:pgSz w:w="16838" w:h="11906" w:orient="landscape"/>
          <w:pgMar w:top="1276" w:right="1440" w:bottom="1800" w:left="1440" w:header="708" w:footer="708" w:gutter="0"/>
          <w:cols w:space="708"/>
          <w:docGrid w:linePitch="360"/>
        </w:sectPr>
      </w:pPr>
    </w:p>
    <w:p w:rsidR="00796432" w:rsidRPr="00D72AC3" w:rsidRDefault="00796432" w:rsidP="00796432">
      <w:pPr>
        <w:pStyle w:val="Heading1"/>
        <w:rPr>
          <w:sz w:val="40"/>
          <w:szCs w:val="40"/>
        </w:rPr>
      </w:pPr>
      <w:bookmarkStart w:id="2" w:name="_Toc526510430"/>
      <w:r w:rsidRPr="00D72AC3">
        <w:rPr>
          <w:sz w:val="40"/>
          <w:szCs w:val="40"/>
          <w:lang w:bidi="en-GB"/>
        </w:rPr>
        <w:lastRenderedPageBreak/>
        <w:t>I. Summary</w:t>
      </w:r>
      <w:bookmarkEnd w:id="2"/>
      <w:r w:rsidRPr="00D72AC3">
        <w:rPr>
          <w:sz w:val="40"/>
          <w:szCs w:val="40"/>
          <w:lang w:bidi="en-GB"/>
        </w:rPr>
        <w:t xml:space="preserve"> </w:t>
      </w:r>
    </w:p>
    <w:p w:rsidR="00796432" w:rsidRPr="00D72AC3" w:rsidRDefault="00796432" w:rsidP="00796432">
      <w:pPr>
        <w:jc w:val="both"/>
        <w:rPr>
          <w:rFonts w:eastAsia="Calibri" w:cs="Times New Roman"/>
          <w:sz w:val="28"/>
          <w:szCs w:val="28"/>
          <w:lang w:val="en-GB"/>
        </w:rPr>
      </w:pPr>
      <w:r w:rsidRPr="00D72AC3">
        <w:rPr>
          <w:rFonts w:eastAsia="Calibri" w:cs="Times New Roman"/>
          <w:sz w:val="28"/>
          <w:szCs w:val="28"/>
          <w:lang w:val="en-GB" w:bidi="en-GB"/>
        </w:rPr>
        <w:tab/>
        <w:t>Anti-money laundering and counter-terrorism financing system in the European Union is established, in order to prevent the possibility of using financial and non-financial sector for money laundering and financing of terrorism, by ensuring a risk-based approach, providing for the implementation of preventive, supervisory and control measures in accordance with the risk level. Latvia, by accepting this plan, acknowledges that it will put its best efforts no</w:t>
      </w:r>
      <w:r w:rsidR="00B35C99">
        <w:rPr>
          <w:rFonts w:eastAsia="Calibri" w:cs="Times New Roman"/>
          <w:sz w:val="28"/>
          <w:szCs w:val="28"/>
          <w:lang w:val="en-GB" w:bidi="en-GB"/>
        </w:rPr>
        <w:t>t</w:t>
      </w:r>
      <w:r w:rsidRPr="00D72AC3">
        <w:rPr>
          <w:rFonts w:eastAsia="Calibri" w:cs="Times New Roman"/>
          <w:sz w:val="28"/>
          <w:szCs w:val="28"/>
          <w:lang w:val="en-GB" w:bidi="en-GB"/>
        </w:rPr>
        <w:t xml:space="preserve"> to allow using </w:t>
      </w:r>
      <w:r w:rsidR="00B35C99">
        <w:rPr>
          <w:rFonts w:eastAsia="Calibri" w:cs="Times New Roman"/>
          <w:sz w:val="28"/>
          <w:szCs w:val="28"/>
          <w:lang w:val="en-GB" w:bidi="en-GB"/>
        </w:rPr>
        <w:t xml:space="preserve">of </w:t>
      </w:r>
      <w:r w:rsidRPr="00D72AC3">
        <w:rPr>
          <w:rFonts w:eastAsia="Calibri" w:cs="Times New Roman"/>
          <w:sz w:val="28"/>
          <w:szCs w:val="28"/>
          <w:lang w:val="en-GB" w:bidi="en-GB"/>
        </w:rPr>
        <w:t xml:space="preserve">the State financial and non-financial system for money laundering and financing of terrorism, and is committed to ensuring considerable progress towards improving </w:t>
      </w:r>
      <w:r w:rsidR="007E25AD">
        <w:rPr>
          <w:rFonts w:eastAsia="Calibri" w:cs="Times New Roman"/>
          <w:sz w:val="28"/>
          <w:szCs w:val="28"/>
          <w:lang w:val="en-GB" w:bidi="en-GB"/>
        </w:rPr>
        <w:t>legal</w:t>
      </w:r>
      <w:r w:rsidR="007E25AD" w:rsidRPr="00D72AC3">
        <w:rPr>
          <w:rFonts w:eastAsia="Calibri" w:cs="Times New Roman"/>
          <w:sz w:val="28"/>
          <w:szCs w:val="28"/>
          <w:lang w:val="en-GB" w:bidi="en-GB"/>
        </w:rPr>
        <w:t xml:space="preserve"> </w:t>
      </w:r>
      <w:r w:rsidRPr="00D72AC3">
        <w:rPr>
          <w:rFonts w:eastAsia="Calibri" w:cs="Times New Roman"/>
          <w:sz w:val="28"/>
          <w:szCs w:val="28"/>
          <w:lang w:val="en-GB" w:bidi="en-GB"/>
        </w:rPr>
        <w:t xml:space="preserve">environment and the effectiveness thereof already in 2018 and 2019. </w:t>
      </w:r>
    </w:p>
    <w:p w:rsidR="00796432" w:rsidRPr="00D72AC3" w:rsidRDefault="00796432" w:rsidP="00796432">
      <w:pPr>
        <w:jc w:val="both"/>
        <w:rPr>
          <w:rFonts w:eastAsia="Calibri" w:cs="Times New Roman"/>
          <w:sz w:val="28"/>
          <w:szCs w:val="28"/>
          <w:lang w:val="en-GB"/>
        </w:rPr>
      </w:pPr>
      <w:r w:rsidRPr="00D72AC3">
        <w:rPr>
          <w:rFonts w:eastAsia="Calibri" w:cs="Times New Roman"/>
          <w:sz w:val="28"/>
          <w:szCs w:val="28"/>
          <w:lang w:val="en-GB" w:bidi="en-GB"/>
        </w:rPr>
        <w:tab/>
        <w:t>Plan of Anti-Money Laundering and Counter-Terrorism Financing Measures for the Period of Time till 31 December 2019 (hereinafter - the plan) is drafted, in order to fully introduce the horizontal priority (cross-cutting issue) of the Financial Sector Development Plan for 2017 - 2019 - to prevent money laundering and financing of terrorism risks, by raising the international reputation of the country in financial markets and institutions. The objective of the plan is to strengthen the capacities of Latvia to combat money laundering, financing of terrorism and proliferation and to mitigate the overall money laundering and financing of terrorism (ML/FT) risks, by ensuring conformity with the international commitments and standards in the field of AML/CFT and promoting the public safety, competitiveness of economic environment and confidence in jurisdiction of Latvia. The measures included in the plan are developed, in order to achieve this objective.</w:t>
      </w:r>
      <w:r w:rsidR="00D72AC3" w:rsidRPr="00D72AC3">
        <w:rPr>
          <w:rFonts w:eastAsia="Calibri" w:cs="Times New Roman"/>
          <w:sz w:val="28"/>
          <w:szCs w:val="28"/>
          <w:lang w:val="en-GB" w:bidi="en-GB"/>
        </w:rPr>
        <w:t xml:space="preserve"> </w:t>
      </w:r>
    </w:p>
    <w:p w:rsidR="00796432" w:rsidRPr="00D72AC3" w:rsidRDefault="00796432" w:rsidP="00796432">
      <w:pPr>
        <w:ind w:firstLine="709"/>
        <w:jc w:val="both"/>
        <w:rPr>
          <w:sz w:val="28"/>
          <w:szCs w:val="28"/>
          <w:lang w:val="en-GB"/>
        </w:rPr>
      </w:pPr>
      <w:r w:rsidRPr="00D72AC3">
        <w:rPr>
          <w:sz w:val="28"/>
          <w:szCs w:val="28"/>
          <w:lang w:val="en-GB" w:bidi="en-GB"/>
        </w:rPr>
        <w:t>Anti-money laundering and countering the financing of terrorism as a considerable priority derives both from the governmental action plan for the implementation of the Declaration on the action intended by the Cabinet of Ministers led by Māris Kučinskis, and the Financial Sector Development Plan for 2017 - 2019, which clearly defines the need for unconditional and decisive introduction of the risk management and conformity principles meeting the best international practice and standards and zero-tolerance towards violations and unlawful conduct. </w:t>
      </w:r>
    </w:p>
    <w:p w:rsidR="00796432" w:rsidRPr="00D72AC3" w:rsidRDefault="00796432" w:rsidP="00796432">
      <w:pPr>
        <w:ind w:firstLine="709"/>
        <w:jc w:val="both"/>
        <w:rPr>
          <w:sz w:val="28"/>
          <w:szCs w:val="28"/>
          <w:lang w:val="en-GB"/>
        </w:rPr>
      </w:pPr>
      <w:r w:rsidRPr="00D72AC3">
        <w:rPr>
          <w:sz w:val="28"/>
          <w:szCs w:val="28"/>
          <w:lang w:val="en-GB" w:bidi="en-GB"/>
        </w:rPr>
        <w:t xml:space="preserve">By the 24 May 2017 Order No. 246, the Cabinet of Ministers approved the Plan of Measures for Mitigation of the Money Laundering and Terrorism Financing Risks for 2017-2019 (hereinafter - the Plan of Measures for 2017 - 2019), based upon the second national money laundering and terrorism financing risk assessment report (hereinafter - the NRA). </w:t>
      </w:r>
    </w:p>
    <w:p w:rsidR="00796432" w:rsidRPr="00D72AC3" w:rsidRDefault="00796432" w:rsidP="00796432">
      <w:pPr>
        <w:ind w:firstLine="709"/>
        <w:jc w:val="both"/>
        <w:rPr>
          <w:sz w:val="28"/>
          <w:szCs w:val="28"/>
          <w:lang w:val="en-GB"/>
        </w:rPr>
      </w:pPr>
      <w:r w:rsidRPr="00D72AC3">
        <w:rPr>
          <w:sz w:val="28"/>
          <w:szCs w:val="28"/>
          <w:lang w:val="en-GB" w:bidi="en-GB"/>
        </w:rPr>
        <w:lastRenderedPageBreak/>
        <w:t xml:space="preserve">Since the approval of the Plan of Measures for 2017 - 2019, several considerable events have occurred, as a result whereof it is currently necessary to repeatedly review the plan approved in 2017, in order to achieve considerable progress over the period of 2018 and 2019 in enhancing the anti-money laundering and counter-terrorism financing system. </w:t>
      </w:r>
    </w:p>
    <w:p w:rsidR="00796432" w:rsidRPr="00D72AC3" w:rsidRDefault="00796432" w:rsidP="00796432">
      <w:pPr>
        <w:ind w:firstLine="709"/>
        <w:jc w:val="both"/>
        <w:rPr>
          <w:sz w:val="28"/>
          <w:szCs w:val="28"/>
          <w:lang w:val="en-GB"/>
        </w:rPr>
      </w:pPr>
      <w:r w:rsidRPr="00D72AC3">
        <w:rPr>
          <w:sz w:val="28"/>
          <w:szCs w:val="28"/>
          <w:lang w:val="en-GB" w:bidi="en-GB"/>
        </w:rPr>
        <w:t xml:space="preserve">The Fifth Round Report on the Effectiveness of the Anti-Money Laundering and Counter-Terrorist Financing System of Latvia (The Fifth Round Mutual Evaluation Report) was approved at the Plenary Session of the Moneyval Committee of the Council of Europe on 4 July 2018, which was published on 23 August 2018. This evaluation in accordance with the international standards of the Financial Action Task Force (FATF) was carried out by the experts of Moneyval Committee of the Council of Europe during their visit from 30 October till 8. November 2017. Thus, the report contains the situation analysis, on the basis of the regulation and performance outcomes in place as at 8 November 2017. Within the scope of the Fifth Round, the member states of the Moneyval Committee are for the first time evaluated not only in terms of compliance of their legal framework to the FATF standards, but also by evaluating the effectiveness of the system. Thus, the report provides the evaluation on the conformity of Latvia to 40 FATF recommendations, as well as evaluates the effectiveness of the system in accordance with 11 immediate outcomes. </w:t>
      </w:r>
    </w:p>
    <w:p w:rsidR="00796432" w:rsidRPr="00D72AC3" w:rsidRDefault="00796432" w:rsidP="00796432">
      <w:pPr>
        <w:ind w:firstLine="709"/>
        <w:jc w:val="both"/>
        <w:rPr>
          <w:sz w:val="28"/>
          <w:szCs w:val="28"/>
          <w:lang w:val="en-GB"/>
        </w:rPr>
      </w:pPr>
      <w:r w:rsidRPr="00D72AC3">
        <w:rPr>
          <w:sz w:val="28"/>
          <w:szCs w:val="28"/>
          <w:lang w:val="en-GB" w:bidi="en-GB"/>
        </w:rPr>
        <w:t xml:space="preserve">The Financial Sector Development Board, being the supreme policy coordination group in the field of financial sector development and anti-money laundering and combating financing of terrorism, in its 21 March 2018 meeting approved complementary measures for increasing the level of conformity of anti - money laundering and combating the financing of terrorism, </w:t>
      </w:r>
      <w:r w:rsidRPr="00D72AC3">
        <w:rPr>
          <w:i/>
          <w:sz w:val="28"/>
          <w:szCs w:val="28"/>
          <w:lang w:val="en-GB" w:bidi="en-GB"/>
        </w:rPr>
        <w:t>inter alia</w:t>
      </w:r>
      <w:r w:rsidRPr="00D72AC3">
        <w:rPr>
          <w:sz w:val="28"/>
          <w:szCs w:val="28"/>
          <w:lang w:val="en-GB" w:bidi="en-GB"/>
        </w:rPr>
        <w:t xml:space="preserve">, measures to be implemented under urgency procedure for enhancement of the risk-based supervisory measures and more rapid revision of the </w:t>
      </w:r>
      <w:r w:rsidR="005430AD">
        <w:rPr>
          <w:sz w:val="28"/>
          <w:szCs w:val="28"/>
          <w:lang w:val="en-GB" w:bidi="en-GB"/>
        </w:rPr>
        <w:t>high risk</w:t>
      </w:r>
      <w:r w:rsidRPr="00D72AC3">
        <w:rPr>
          <w:sz w:val="28"/>
          <w:szCs w:val="28"/>
          <w:lang w:val="en-GB" w:bidi="en-GB"/>
        </w:rPr>
        <w:t xml:space="preserve"> business models, capacity building of the supervisory, controlling and investigatory authorities, as well as for improvement of information exchange mechanisms between the financial sector and the State.</w:t>
      </w:r>
      <w:r w:rsidR="00D72AC3" w:rsidRPr="00D72AC3">
        <w:rPr>
          <w:sz w:val="28"/>
          <w:szCs w:val="28"/>
          <w:lang w:val="en-GB" w:bidi="en-GB"/>
        </w:rPr>
        <w:t xml:space="preserve"> </w:t>
      </w:r>
      <w:r w:rsidRPr="00D72AC3">
        <w:rPr>
          <w:sz w:val="28"/>
          <w:szCs w:val="28"/>
          <w:lang w:val="en-GB" w:bidi="en-GB"/>
        </w:rPr>
        <w:t xml:space="preserve">This plan has been drafted in close cooperation with the non-governmental sector - </w:t>
      </w:r>
      <w:r w:rsidR="005430AD">
        <w:rPr>
          <w:sz w:val="28"/>
          <w:szCs w:val="28"/>
          <w:lang w:val="en-GB" w:bidi="en-GB"/>
        </w:rPr>
        <w:t>industry</w:t>
      </w:r>
      <w:r w:rsidR="005430AD" w:rsidRPr="00D72AC3">
        <w:rPr>
          <w:sz w:val="28"/>
          <w:szCs w:val="28"/>
          <w:lang w:val="en-GB" w:bidi="en-GB"/>
        </w:rPr>
        <w:t xml:space="preserve"> </w:t>
      </w:r>
      <w:r w:rsidRPr="00D72AC3">
        <w:rPr>
          <w:sz w:val="28"/>
          <w:szCs w:val="28"/>
          <w:lang w:val="en-GB" w:bidi="en-GB"/>
        </w:rPr>
        <w:t xml:space="preserve">organisations, who ensured the coordinated action of both the </w:t>
      </w:r>
      <w:r w:rsidR="005430AD">
        <w:rPr>
          <w:sz w:val="28"/>
          <w:szCs w:val="28"/>
          <w:lang w:val="en-GB" w:bidi="en-GB"/>
        </w:rPr>
        <w:t>industry</w:t>
      </w:r>
      <w:r w:rsidR="005430AD" w:rsidRPr="00D72AC3">
        <w:rPr>
          <w:sz w:val="28"/>
          <w:szCs w:val="28"/>
          <w:lang w:val="en-GB" w:bidi="en-GB"/>
        </w:rPr>
        <w:t xml:space="preserve"> </w:t>
      </w:r>
      <w:r w:rsidRPr="00D72AC3">
        <w:rPr>
          <w:sz w:val="28"/>
          <w:szCs w:val="28"/>
          <w:lang w:val="en-GB" w:bidi="en-GB"/>
        </w:rPr>
        <w:t>and decision-makers and fast achievement of the outcome.</w:t>
      </w:r>
      <w:r w:rsidR="005430AD">
        <w:rPr>
          <w:sz w:val="28"/>
          <w:szCs w:val="28"/>
          <w:lang w:val="en-GB" w:bidi="en-GB"/>
        </w:rPr>
        <w:t xml:space="preserve"> </w:t>
      </w:r>
    </w:p>
    <w:p w:rsidR="00796432" w:rsidRPr="00D72AC3" w:rsidRDefault="00796432" w:rsidP="00796432">
      <w:pPr>
        <w:ind w:firstLine="709"/>
        <w:jc w:val="both"/>
        <w:rPr>
          <w:sz w:val="28"/>
          <w:szCs w:val="28"/>
          <w:lang w:val="en-GB"/>
        </w:rPr>
      </w:pPr>
      <w:r w:rsidRPr="00D72AC3">
        <w:rPr>
          <w:sz w:val="28"/>
          <w:szCs w:val="28"/>
          <w:lang w:val="en-GB" w:bidi="en-GB"/>
        </w:rPr>
        <w:t xml:space="preserve">The most considerable point of this complementary measure is the suspending and limiting of the financial operations of </w:t>
      </w:r>
      <w:r w:rsidR="005430AD">
        <w:rPr>
          <w:sz w:val="28"/>
          <w:szCs w:val="28"/>
          <w:lang w:val="en-GB" w:bidi="en-GB"/>
        </w:rPr>
        <w:t>high risk</w:t>
      </w:r>
      <w:r w:rsidRPr="00D72AC3">
        <w:rPr>
          <w:sz w:val="28"/>
          <w:szCs w:val="28"/>
          <w:lang w:val="en-GB" w:bidi="en-GB"/>
        </w:rPr>
        <w:t xml:space="preserve"> customers, for the purposes of implementation whereof on 9 May 2018 the amendments to the </w:t>
      </w:r>
      <w:r w:rsidRPr="00D72AC3">
        <w:rPr>
          <w:i/>
          <w:sz w:val="28"/>
          <w:szCs w:val="28"/>
          <w:lang w:val="en-GB" w:bidi="en-GB"/>
        </w:rPr>
        <w:t>Law on the Prevention of Money laundering and Terrorism Financing</w:t>
      </w:r>
      <w:r w:rsidRPr="00D72AC3">
        <w:rPr>
          <w:sz w:val="28"/>
          <w:szCs w:val="28"/>
          <w:lang w:val="en-GB" w:bidi="en-GB"/>
        </w:rPr>
        <w:t xml:space="preserve"> took effect, by providing for the prohibition for the banks and payment institutions to cooperate with shell arrangement if they meet certain set of features - has no economic operation and is registered in the jurisdiction not imposing a duty to submit financial reports. </w:t>
      </w:r>
    </w:p>
    <w:p w:rsidR="00685709" w:rsidRPr="00D72AC3" w:rsidRDefault="00796432" w:rsidP="00685709">
      <w:pPr>
        <w:ind w:firstLine="709"/>
        <w:jc w:val="both"/>
        <w:rPr>
          <w:sz w:val="28"/>
          <w:szCs w:val="28"/>
          <w:lang w:val="en-GB"/>
        </w:rPr>
      </w:pPr>
      <w:r w:rsidRPr="00D72AC3">
        <w:rPr>
          <w:sz w:val="28"/>
          <w:szCs w:val="28"/>
          <w:lang w:val="en-GB" w:bidi="en-GB"/>
        </w:rPr>
        <w:lastRenderedPageBreak/>
        <w:t xml:space="preserve">Coordinated and effective action of responsible institutions has ensured a considerable decrease in high </w:t>
      </w:r>
      <w:r w:rsidR="00DB7002">
        <w:rPr>
          <w:sz w:val="28"/>
          <w:szCs w:val="28"/>
          <w:lang w:val="en-GB" w:bidi="en-GB"/>
        </w:rPr>
        <w:t>risk transactions</w:t>
      </w:r>
      <w:r w:rsidR="00DB7002" w:rsidRPr="00D72AC3">
        <w:rPr>
          <w:sz w:val="28"/>
          <w:szCs w:val="28"/>
          <w:lang w:val="en-GB" w:bidi="en-GB"/>
        </w:rPr>
        <w:t xml:space="preserve"> </w:t>
      </w:r>
      <w:r w:rsidRPr="00D72AC3">
        <w:rPr>
          <w:sz w:val="28"/>
          <w:szCs w:val="28"/>
          <w:lang w:val="en-GB" w:bidi="en-GB"/>
        </w:rPr>
        <w:t>in financial sector, which has for a long time been one of the issues impeding the reputation and sustainable development of the financial system. A decrease that has started already in 2016 considerably accelerated, improving the possibilities of public authorities to ensure adequate control and supervisory measures.</w:t>
      </w:r>
    </w:p>
    <w:p w:rsidR="00796432" w:rsidRPr="00D72AC3" w:rsidRDefault="00C13B89" w:rsidP="00685709">
      <w:pPr>
        <w:ind w:firstLine="709"/>
        <w:jc w:val="center"/>
        <w:rPr>
          <w:sz w:val="28"/>
          <w:szCs w:val="28"/>
          <w:lang w:val="en-GB"/>
        </w:rPr>
      </w:pPr>
      <w:r w:rsidRPr="00D72AC3">
        <w:rPr>
          <w:b/>
          <w:sz w:val="28"/>
          <w:szCs w:val="28"/>
          <w:lang w:val="en-GB" w:bidi="en-GB"/>
        </w:rPr>
        <w:t>Table 1 - Financial Sector Change Management in 2015 - 2018</w:t>
      </w:r>
    </w:p>
    <w:p w:rsidR="00685709" w:rsidRPr="00D72AC3" w:rsidRDefault="00685709" w:rsidP="00796432">
      <w:pPr>
        <w:ind w:firstLine="709"/>
        <w:jc w:val="both"/>
        <w:rPr>
          <w:sz w:val="28"/>
          <w:szCs w:val="28"/>
          <w:lang w:val="en-GB"/>
        </w:rPr>
      </w:pPr>
    </w:p>
    <w:p w:rsidR="00796432" w:rsidRPr="00D72AC3" w:rsidRDefault="00A82820" w:rsidP="00796432">
      <w:pPr>
        <w:tabs>
          <w:tab w:val="left" w:pos="1152"/>
        </w:tabs>
        <w:jc w:val="both"/>
        <w:rPr>
          <w:sz w:val="28"/>
          <w:szCs w:val="28"/>
          <w:lang w:val="en-GB"/>
        </w:rPr>
      </w:pPr>
      <w:r w:rsidRPr="00A82820">
        <w:rPr>
          <w:noProof/>
          <w:sz w:val="28"/>
          <w:szCs w:val="28"/>
          <w:lang w:val="lv-LV" w:eastAsia="lv-LV"/>
        </w:rPr>
        <mc:AlternateContent>
          <mc:Choice Requires="wps">
            <w:drawing>
              <wp:anchor distT="45720" distB="45720" distL="114300" distR="114300" simplePos="0" relativeHeight="251667456" behindDoc="0" locked="0" layoutInCell="1" allowOverlap="1" wp14:anchorId="08F05B66" wp14:editId="07EF1BB8">
                <wp:simplePos x="0" y="0"/>
                <wp:positionH relativeFrom="column">
                  <wp:posOffset>5406887</wp:posOffset>
                </wp:positionH>
                <wp:positionV relativeFrom="paragraph">
                  <wp:posOffset>2312283</wp:posOffset>
                </wp:positionV>
                <wp:extent cx="1351722" cy="1404620"/>
                <wp:effectExtent l="0" t="0" r="2032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solidFill>
                          <a:srgbClr val="FFFFFF"/>
                        </a:solidFill>
                        <a:ln w="9525">
                          <a:solidFill>
                            <a:srgbClr val="000000"/>
                          </a:solidFill>
                          <a:miter lim="800000"/>
                          <a:headEnd/>
                          <a:tailEnd/>
                        </a:ln>
                      </wps:spPr>
                      <wps:txbx>
                        <w:txbxContent>
                          <w:p w:rsidR="00607923" w:rsidRDefault="00607923" w:rsidP="00A82820">
                            <w:r w:rsidRPr="00D57305">
                              <w:rPr>
                                <w:rFonts w:cs="Times New Roman"/>
                                <w:lang w:val="en-GB"/>
                              </w:rPr>
                              <w:t>Excluding ABLV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05B66" id="_x0000_t202" coordsize="21600,21600" o:spt="202" path="m,l,21600r21600,l21600,xe">
                <v:stroke joinstyle="miter"/>
                <v:path gradientshapeok="t" o:connecttype="rect"/>
              </v:shapetype>
              <v:shape id="Text Box 2" o:spid="_x0000_s1026" type="#_x0000_t202" style="position:absolute;left:0;text-align:left;margin-left:425.75pt;margin-top:182.05pt;width:106.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">
                <v:textbox style="mso-fit-shape-to-text:t">
                  <w:txbxContent>
                    <w:p w:rsidR="00607923" w:rsidRDefault="00607923" w:rsidP="00A82820">
                      <w:r w:rsidRPr="00D57305">
                        <w:rPr>
                          <w:rFonts w:cs="Times New Roman"/>
                          <w:lang w:val="en-GB"/>
                        </w:rPr>
                        <w:t>Excluding ABLV</w:t>
                      </w:r>
                    </w:p>
                  </w:txbxContent>
                </v:textbox>
              </v:shape>
            </w:pict>
          </mc:Fallback>
        </mc:AlternateContent>
      </w:r>
      <w:r w:rsidRPr="00A82820">
        <w:rPr>
          <w:noProof/>
          <w:sz w:val="28"/>
          <w:szCs w:val="28"/>
          <w:lang w:val="lv-LV" w:eastAsia="lv-LV"/>
        </w:rPr>
        <mc:AlternateContent>
          <mc:Choice Requires="wps">
            <w:drawing>
              <wp:anchor distT="45720" distB="45720" distL="114300" distR="114300" simplePos="0" relativeHeight="251665408" behindDoc="0" locked="0" layoutInCell="1" allowOverlap="1" wp14:anchorId="533E2EE7" wp14:editId="139A2717">
                <wp:simplePos x="0" y="0"/>
                <wp:positionH relativeFrom="column">
                  <wp:posOffset>2878372</wp:posOffset>
                </wp:positionH>
                <wp:positionV relativeFrom="paragraph">
                  <wp:posOffset>2375894</wp:posOffset>
                </wp:positionV>
                <wp:extent cx="802640" cy="1404620"/>
                <wp:effectExtent l="0" t="0" r="1651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04620"/>
                        </a:xfrm>
                        <a:prstGeom prst="rect">
                          <a:avLst/>
                        </a:prstGeom>
                        <a:solidFill>
                          <a:srgbClr val="FFFFFF"/>
                        </a:solidFill>
                        <a:ln w="9525">
                          <a:solidFill>
                            <a:srgbClr val="000000"/>
                          </a:solidFill>
                          <a:miter lim="800000"/>
                          <a:headEnd/>
                          <a:tailEnd/>
                        </a:ln>
                      </wps:spPr>
                      <wps:txbx>
                        <w:txbxContent>
                          <w:p w:rsidR="00607923" w:rsidRDefault="00607923" w:rsidP="00A82820">
                            <w:r w:rsidRPr="00D57305">
                              <w:rPr>
                                <w:rFonts w:cs="Times New Roman"/>
                                <w:lang w:val="en-GB"/>
                              </w:rPr>
                              <w:t>Foreign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E2EE7" id="_x0000_s1027" type="#_x0000_t202" style="position:absolute;left:0;text-align:left;margin-left:226.65pt;margin-top:187.1pt;width:63.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">
                <v:textbox style="mso-fit-shape-to-text:t">
                  <w:txbxContent>
                    <w:p w:rsidR="00607923" w:rsidRDefault="00607923" w:rsidP="00A82820">
                      <w:r w:rsidRPr="00D57305">
                        <w:rPr>
                          <w:rFonts w:cs="Times New Roman"/>
                          <w:lang w:val="en-GB"/>
                        </w:rPr>
                        <w:t>Foreign</w:t>
                      </w:r>
                    </w:p>
                  </w:txbxContent>
                </v:textbox>
              </v:shape>
            </w:pict>
          </mc:Fallback>
        </mc:AlternateContent>
      </w:r>
      <w:r w:rsidRPr="00A82820">
        <w:rPr>
          <w:noProof/>
          <w:sz w:val="28"/>
          <w:szCs w:val="28"/>
          <w:lang w:val="lv-LV" w:eastAsia="lv-LV"/>
        </w:rPr>
        <mc:AlternateContent>
          <mc:Choice Requires="wps">
            <w:drawing>
              <wp:anchor distT="45720" distB="45720" distL="114300" distR="114300" simplePos="0" relativeHeight="251663360" behindDoc="0" locked="0" layoutInCell="1" allowOverlap="1" wp14:anchorId="4772EDC1" wp14:editId="1F17ED1E">
                <wp:simplePos x="0" y="0"/>
                <wp:positionH relativeFrom="column">
                  <wp:posOffset>1478804</wp:posOffset>
                </wp:positionH>
                <wp:positionV relativeFrom="paragraph">
                  <wp:posOffset>2375535</wp:posOffset>
                </wp:positionV>
                <wp:extent cx="866692" cy="1404620"/>
                <wp:effectExtent l="0" t="0" r="101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2" cy="1404620"/>
                        </a:xfrm>
                        <a:prstGeom prst="rect">
                          <a:avLst/>
                        </a:prstGeom>
                        <a:solidFill>
                          <a:srgbClr val="FFFFFF"/>
                        </a:solidFill>
                        <a:ln w="9525">
                          <a:solidFill>
                            <a:srgbClr val="000000"/>
                          </a:solidFill>
                          <a:miter lim="800000"/>
                          <a:headEnd/>
                          <a:tailEnd/>
                        </a:ln>
                      </wps:spPr>
                      <wps:txbx>
                        <w:txbxContent>
                          <w:p w:rsidR="00607923" w:rsidRDefault="00607923" w:rsidP="00A82820">
                            <w:r w:rsidRPr="00D57305">
                              <w:rPr>
                                <w:rFonts w:cs="Times New Roman"/>
                                <w:lang w:val="en-GB"/>
                              </w:rPr>
                              <w:t>Domestic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2EDC1" id="_x0000_s1028" type="#_x0000_t202" style="position:absolute;left:0;text-align:left;margin-left:116.45pt;margin-top:187.05pt;width:68.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">
                <v:textbox style="mso-fit-shape-to-text:t">
                  <w:txbxContent>
                    <w:p w:rsidR="00607923" w:rsidRDefault="00607923" w:rsidP="00A82820">
                      <w:r w:rsidRPr="00D57305">
                        <w:rPr>
                          <w:rFonts w:cs="Times New Roman"/>
                          <w:lang w:val="en-GB"/>
                        </w:rPr>
                        <w:t>Domestic</w:t>
                      </w:r>
                    </w:p>
                  </w:txbxContent>
                </v:textbox>
              </v:shape>
            </w:pict>
          </mc:Fallback>
        </mc:AlternateContent>
      </w:r>
      <w:r w:rsidRPr="00A82820">
        <w:rPr>
          <w:noProof/>
          <w:sz w:val="28"/>
          <w:szCs w:val="28"/>
          <w:lang w:val="lv-LV" w:eastAsia="lv-LV"/>
        </w:rPr>
        <mc:AlternateContent>
          <mc:Choice Requires="wps">
            <w:drawing>
              <wp:anchor distT="45720" distB="45720" distL="114300" distR="114300" simplePos="0" relativeHeight="251661312" behindDoc="0" locked="0" layoutInCell="1" allowOverlap="1" wp14:anchorId="2F0414FC" wp14:editId="4AA5E0A3">
                <wp:simplePos x="0" y="0"/>
                <wp:positionH relativeFrom="column">
                  <wp:posOffset>5001369</wp:posOffset>
                </wp:positionH>
                <wp:positionV relativeFrom="paragraph">
                  <wp:posOffset>46162</wp:posOffset>
                </wp:positionV>
                <wp:extent cx="2600077" cy="140462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7" cy="1404620"/>
                        </a:xfrm>
                        <a:prstGeom prst="rect">
                          <a:avLst/>
                        </a:prstGeom>
                        <a:solidFill>
                          <a:srgbClr val="FFFFFF"/>
                        </a:solidFill>
                        <a:ln w="9525">
                          <a:solidFill>
                            <a:srgbClr val="000000"/>
                          </a:solidFill>
                          <a:miter lim="800000"/>
                          <a:headEnd/>
                          <a:tailEnd/>
                        </a:ln>
                      </wps:spPr>
                      <wps:txbx>
                        <w:txbxContent>
                          <w:p w:rsidR="00607923" w:rsidRDefault="00607923" w:rsidP="00A82820">
                            <w:r w:rsidRPr="00D57305">
                              <w:rPr>
                                <w:rFonts w:cs="Times New Roman"/>
                                <w:lang w:val="en-GB"/>
                              </w:rPr>
                              <w:t>Share of foreign deposits,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414FC" id="_x0000_s1029" type="#_x0000_t202" style="position:absolute;left:0;text-align:left;margin-left:393.8pt;margin-top:3.65pt;width:20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">
                <v:textbox style="mso-fit-shape-to-text:t">
                  <w:txbxContent>
                    <w:p w:rsidR="00607923" w:rsidRDefault="00607923" w:rsidP="00A82820">
                      <w:r w:rsidRPr="00D57305">
                        <w:rPr>
                          <w:rFonts w:cs="Times New Roman"/>
                          <w:lang w:val="en-GB"/>
                        </w:rPr>
                        <w:t>Share of foreign deposits, %</w:t>
                      </w:r>
                    </w:p>
                  </w:txbxContent>
                </v:textbox>
              </v:shape>
            </w:pict>
          </mc:Fallback>
        </mc:AlternateContent>
      </w:r>
      <w:r w:rsidRPr="00A82820">
        <w:rPr>
          <w:noProof/>
          <w:sz w:val="28"/>
          <w:szCs w:val="28"/>
          <w:lang w:val="lv-LV" w:eastAsia="lv-LV"/>
        </w:rPr>
        <mc:AlternateContent>
          <mc:Choice Requires="wps">
            <w:drawing>
              <wp:anchor distT="45720" distB="45720" distL="114300" distR="114300" simplePos="0" relativeHeight="251659264" behindDoc="0" locked="0" layoutInCell="1" allowOverlap="1">
                <wp:simplePos x="0" y="0"/>
                <wp:positionH relativeFrom="column">
                  <wp:posOffset>1232232</wp:posOffset>
                </wp:positionH>
                <wp:positionV relativeFrom="paragraph">
                  <wp:posOffset>61457</wp:posOffset>
                </wp:positionV>
                <wp:extent cx="1709530" cy="140462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530" cy="1404620"/>
                        </a:xfrm>
                        <a:prstGeom prst="rect">
                          <a:avLst/>
                        </a:prstGeom>
                        <a:solidFill>
                          <a:srgbClr val="FFFFFF"/>
                        </a:solidFill>
                        <a:ln w="9525">
                          <a:solidFill>
                            <a:srgbClr val="000000"/>
                          </a:solidFill>
                          <a:miter lim="800000"/>
                          <a:headEnd/>
                          <a:tailEnd/>
                        </a:ln>
                      </wps:spPr>
                      <wps:txbx>
                        <w:txbxContent>
                          <w:p w:rsidR="00607923" w:rsidRDefault="00607923">
                            <w:r w:rsidRPr="00D57305">
                              <w:rPr>
                                <w:rFonts w:cs="Times New Roman"/>
                                <w:lang w:val="en-GB"/>
                              </w:rPr>
                              <w:t>Deposits, billion euro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7.05pt;margin-top:4.85pt;width:13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">
                <v:textbox style="mso-fit-shape-to-text:t">
                  <w:txbxContent>
                    <w:p w:rsidR="00607923" w:rsidRDefault="00607923">
                      <w:r w:rsidRPr="00D57305">
                        <w:rPr>
                          <w:rFonts w:cs="Times New Roman"/>
                          <w:lang w:val="en-GB"/>
                        </w:rPr>
                        <w:t>Deposits, billion euro</w:t>
                      </w:r>
                    </w:p>
                  </w:txbxContent>
                </v:textbox>
              </v:shape>
            </w:pict>
          </mc:Fallback>
        </mc:AlternateContent>
      </w:r>
      <w:r w:rsidR="00796432" w:rsidRPr="00D72AC3">
        <w:rPr>
          <w:noProof/>
          <w:sz w:val="28"/>
          <w:szCs w:val="28"/>
          <w:lang w:val="lv-LV" w:eastAsia="lv-LV"/>
        </w:rPr>
        <w:drawing>
          <wp:inline distT="0" distB="0" distL="0" distR="0" wp14:anchorId="41851C98" wp14:editId="2AA6C09F">
            <wp:extent cx="4176403" cy="3481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6702" cy="3490291"/>
                    </a:xfrm>
                    <a:prstGeom prst="rect">
                      <a:avLst/>
                    </a:prstGeom>
                    <a:noFill/>
                  </pic:spPr>
                </pic:pic>
              </a:graphicData>
            </a:graphic>
          </wp:inline>
        </w:drawing>
      </w:r>
      <w:r w:rsidR="00796432" w:rsidRPr="00D72AC3">
        <w:rPr>
          <w:noProof/>
          <w:sz w:val="28"/>
          <w:szCs w:val="28"/>
          <w:lang w:val="lv-LV" w:eastAsia="lv-LV"/>
        </w:rPr>
        <w:drawing>
          <wp:inline distT="0" distB="0" distL="0" distR="0" wp14:anchorId="5A385F96" wp14:editId="3FB7F6CD">
            <wp:extent cx="4132053" cy="3482010"/>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415" cy="3482315"/>
                    </a:xfrm>
                    <a:prstGeom prst="rect">
                      <a:avLst/>
                    </a:prstGeom>
                    <a:noFill/>
                  </pic:spPr>
                </pic:pic>
              </a:graphicData>
            </a:graphic>
          </wp:inline>
        </w:drawing>
      </w:r>
    </w:p>
    <w:p w:rsidR="00796432" w:rsidRPr="00D72AC3" w:rsidRDefault="00796432" w:rsidP="00796432">
      <w:pPr>
        <w:ind w:firstLine="720"/>
        <w:jc w:val="both"/>
        <w:rPr>
          <w:rFonts w:eastAsia="Calibri" w:cs="Times New Roman"/>
          <w:sz w:val="28"/>
          <w:szCs w:val="28"/>
          <w:lang w:val="en-GB"/>
        </w:rPr>
      </w:pPr>
    </w:p>
    <w:p w:rsidR="00685709" w:rsidRPr="00D72AC3" w:rsidRDefault="00685709" w:rsidP="00796432">
      <w:pPr>
        <w:ind w:firstLine="720"/>
        <w:jc w:val="both"/>
        <w:rPr>
          <w:rFonts w:eastAsia="Calibri" w:cs="Times New Roman"/>
          <w:sz w:val="28"/>
          <w:szCs w:val="28"/>
          <w:lang w:val="en-GB"/>
        </w:rPr>
      </w:pPr>
    </w:p>
    <w:p w:rsidR="00685709" w:rsidRPr="00D72AC3" w:rsidRDefault="00685709" w:rsidP="00796432">
      <w:pPr>
        <w:ind w:firstLine="720"/>
        <w:jc w:val="both"/>
        <w:rPr>
          <w:rFonts w:eastAsia="Calibri" w:cs="Times New Roman"/>
          <w:sz w:val="28"/>
          <w:szCs w:val="28"/>
          <w:lang w:val="en-GB"/>
        </w:rPr>
      </w:pPr>
    </w:p>
    <w:p w:rsidR="00685709" w:rsidRPr="00D72AC3" w:rsidRDefault="00685709" w:rsidP="00796432">
      <w:pPr>
        <w:ind w:firstLine="720"/>
        <w:jc w:val="both"/>
        <w:rPr>
          <w:rFonts w:eastAsia="Calibri" w:cs="Times New Roman"/>
          <w:sz w:val="28"/>
          <w:szCs w:val="28"/>
          <w:lang w:val="en-GB"/>
        </w:rPr>
      </w:pPr>
    </w:p>
    <w:p w:rsidR="00685709" w:rsidRPr="00D72AC3" w:rsidRDefault="00685709" w:rsidP="00796432">
      <w:pPr>
        <w:ind w:firstLine="720"/>
        <w:jc w:val="both"/>
        <w:rPr>
          <w:rFonts w:eastAsia="Calibri" w:cs="Times New Roman"/>
          <w:sz w:val="28"/>
          <w:szCs w:val="28"/>
          <w:lang w:val="en-GB"/>
        </w:rPr>
      </w:pPr>
    </w:p>
    <w:p w:rsidR="00685709" w:rsidRPr="00D72AC3" w:rsidRDefault="00685709" w:rsidP="00796432">
      <w:pPr>
        <w:ind w:firstLine="720"/>
        <w:jc w:val="both"/>
        <w:rPr>
          <w:rFonts w:eastAsia="Calibri" w:cs="Times New Roman"/>
          <w:sz w:val="28"/>
          <w:szCs w:val="28"/>
          <w:lang w:val="en-GB"/>
        </w:rPr>
      </w:pPr>
    </w:p>
    <w:p w:rsidR="00685709" w:rsidRPr="00D72AC3" w:rsidRDefault="009757FF" w:rsidP="00796432">
      <w:pPr>
        <w:ind w:firstLine="720"/>
        <w:jc w:val="both"/>
        <w:rPr>
          <w:rFonts w:eastAsia="Calibri" w:cs="Times New Roman"/>
          <w:sz w:val="28"/>
          <w:szCs w:val="28"/>
          <w:lang w:val="en-GB"/>
        </w:rPr>
      </w:pPr>
      <w:r w:rsidRPr="00A82820">
        <w:rPr>
          <w:noProof/>
          <w:sz w:val="28"/>
          <w:szCs w:val="28"/>
          <w:lang w:val="lv-LV" w:eastAsia="lv-LV"/>
        </w:rPr>
        <mc:AlternateContent>
          <mc:Choice Requires="wps">
            <w:drawing>
              <wp:anchor distT="45720" distB="45720" distL="114300" distR="114300" simplePos="0" relativeHeight="251673600" behindDoc="0" locked="0" layoutInCell="1" allowOverlap="1" wp14:anchorId="1140BE51" wp14:editId="7BD1F613">
                <wp:simplePos x="0" y="0"/>
                <wp:positionH relativeFrom="column">
                  <wp:posOffset>1956021</wp:posOffset>
                </wp:positionH>
                <wp:positionV relativeFrom="paragraph">
                  <wp:posOffset>3583388</wp:posOffset>
                </wp:positionV>
                <wp:extent cx="5136542" cy="1404620"/>
                <wp:effectExtent l="0" t="0" r="26035"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42" cy="1404620"/>
                        </a:xfrm>
                        <a:prstGeom prst="rect">
                          <a:avLst/>
                        </a:prstGeom>
                        <a:solidFill>
                          <a:srgbClr val="FFFFFF"/>
                        </a:solidFill>
                        <a:ln w="9525">
                          <a:solidFill>
                            <a:srgbClr val="000000"/>
                          </a:solidFill>
                          <a:miter lim="800000"/>
                          <a:headEnd/>
                          <a:tailEnd/>
                        </a:ln>
                      </wps:spPr>
                      <wps:txbx>
                        <w:txbxContent>
                          <w:p w:rsidR="00607923" w:rsidRPr="00D57305" w:rsidRDefault="00607923" w:rsidP="009757FF">
                            <w:pPr>
                              <w:rPr>
                                <w:rFonts w:cs="Times New Roman"/>
                                <w:lang w:val="en-GB"/>
                              </w:rPr>
                            </w:pPr>
                            <w:r w:rsidRPr="00D57305">
                              <w:rPr>
                                <w:rFonts w:cs="Times New Roman"/>
                                <w:lang w:val="en-GB"/>
                              </w:rPr>
                              <w:t>Shell arrangements meeting at least two features**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0BE51" id="_x0000_s1031" type="#_x0000_t202" style="position:absolute;left:0;text-align:left;margin-left:154pt;margin-top:282.15pt;width:404.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">
                <v:textbox style="mso-fit-shape-to-text:t">
                  <w:txbxContent>
                    <w:p w:rsidR="00607923" w:rsidRPr="00D57305" w:rsidRDefault="00607923" w:rsidP="009757FF">
                      <w:pPr>
                        <w:rPr>
                          <w:rFonts w:cs="Times New Roman"/>
                          <w:lang w:val="en-GB"/>
                        </w:rPr>
                      </w:pPr>
                      <w:r w:rsidRPr="00D57305">
                        <w:rPr>
                          <w:rFonts w:cs="Times New Roman"/>
                          <w:lang w:val="en-GB"/>
                        </w:rPr>
                        <w:t>Shell arrangements meeting at least two features**</w:t>
                      </w:r>
                    </w:p>
                  </w:txbxContent>
                </v:textbox>
              </v:shape>
            </w:pict>
          </mc:Fallback>
        </mc:AlternateContent>
      </w:r>
      <w:r w:rsidRPr="00A82820">
        <w:rPr>
          <w:noProof/>
          <w:sz w:val="28"/>
          <w:szCs w:val="28"/>
          <w:lang w:val="lv-LV" w:eastAsia="lv-LV"/>
        </w:rPr>
        <mc:AlternateContent>
          <mc:Choice Requires="wps">
            <w:drawing>
              <wp:anchor distT="45720" distB="45720" distL="114300" distR="114300" simplePos="0" relativeHeight="251671552" behindDoc="0" locked="0" layoutInCell="1" allowOverlap="1" wp14:anchorId="1E44040F" wp14:editId="325C7670">
                <wp:simplePos x="0" y="0"/>
                <wp:positionH relativeFrom="column">
                  <wp:posOffset>1955800</wp:posOffset>
                </wp:positionH>
                <wp:positionV relativeFrom="paragraph">
                  <wp:posOffset>3360614</wp:posOffset>
                </wp:positionV>
                <wp:extent cx="2130949" cy="1404620"/>
                <wp:effectExtent l="0" t="0" r="2222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949" cy="1404620"/>
                        </a:xfrm>
                        <a:prstGeom prst="rect">
                          <a:avLst/>
                        </a:prstGeom>
                        <a:solidFill>
                          <a:srgbClr val="FFFFFF"/>
                        </a:solidFill>
                        <a:ln w="9525">
                          <a:solidFill>
                            <a:srgbClr val="000000"/>
                          </a:solidFill>
                          <a:miter lim="800000"/>
                          <a:headEnd/>
                          <a:tailEnd/>
                        </a:ln>
                      </wps:spPr>
                      <wps:txbx>
                        <w:txbxContent>
                          <w:p w:rsidR="00607923" w:rsidRPr="00D57305" w:rsidRDefault="00607923" w:rsidP="009757FF">
                            <w:pPr>
                              <w:rPr>
                                <w:rFonts w:cs="Times New Roman"/>
                                <w:lang w:val="en-GB"/>
                              </w:rPr>
                            </w:pPr>
                            <w:r w:rsidRPr="00D57305">
                              <w:rPr>
                                <w:rFonts w:cs="Times New Roman"/>
                                <w:lang w:val="en-GB"/>
                              </w:rPr>
                              <w:t>Shell arrangement</w:t>
                            </w:r>
                            <w:r>
                              <w:rPr>
                                <w:rFonts w:cs="Times New Roman"/>
                                <w:lang w:val="en-GB"/>
                              </w:rPr>
                              <w:t>s</w:t>
                            </w:r>
                            <w:r w:rsidRPr="00D57305">
                              <w:rPr>
                                <w:rFonts w:cs="Times New Roman"/>
                                <w:lang w:val="en-GB"/>
                              </w:rPr>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4040F" id="_x0000_s1032" type="#_x0000_t202" style="position:absolute;left:0;text-align:left;margin-left:154pt;margin-top:264.6pt;width:167.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">
                <v:textbox style="mso-fit-shape-to-text:t">
                  <w:txbxContent>
                    <w:p w:rsidR="00607923" w:rsidRPr="00D57305" w:rsidRDefault="00607923" w:rsidP="009757FF">
                      <w:pPr>
                        <w:rPr>
                          <w:rFonts w:cs="Times New Roman"/>
                          <w:lang w:val="en-GB"/>
                        </w:rPr>
                      </w:pPr>
                      <w:r w:rsidRPr="00D57305">
                        <w:rPr>
                          <w:rFonts w:cs="Times New Roman"/>
                          <w:lang w:val="en-GB"/>
                        </w:rPr>
                        <w:t>Shell arrangement</w:t>
                      </w:r>
                      <w:r>
                        <w:rPr>
                          <w:rFonts w:cs="Times New Roman"/>
                          <w:lang w:val="en-GB"/>
                        </w:rPr>
                        <w:t>s</w:t>
                      </w:r>
                      <w:r w:rsidRPr="00D57305">
                        <w:rPr>
                          <w:rFonts w:cs="Times New Roman"/>
                          <w:lang w:val="en-GB"/>
                        </w:rPr>
                        <w:t xml:space="preserve"> total</w:t>
                      </w:r>
                    </w:p>
                  </w:txbxContent>
                </v:textbox>
              </v:shape>
            </w:pict>
          </mc:Fallback>
        </mc:AlternateContent>
      </w:r>
      <w:r w:rsidR="00A82820" w:rsidRPr="00A82820">
        <w:rPr>
          <w:noProof/>
          <w:sz w:val="28"/>
          <w:szCs w:val="28"/>
          <w:lang w:val="lv-LV" w:eastAsia="lv-LV"/>
        </w:rPr>
        <mc:AlternateContent>
          <mc:Choice Requires="wps">
            <w:drawing>
              <wp:anchor distT="45720" distB="45720" distL="114300" distR="114300" simplePos="0" relativeHeight="251669504" behindDoc="0" locked="0" layoutInCell="1" allowOverlap="1" wp14:anchorId="6B6C5335" wp14:editId="35C0FCCF">
                <wp:simplePos x="0" y="0"/>
                <wp:positionH relativeFrom="column">
                  <wp:posOffset>1398905</wp:posOffset>
                </wp:positionH>
                <wp:positionV relativeFrom="paragraph">
                  <wp:posOffset>92628</wp:posOffset>
                </wp:positionV>
                <wp:extent cx="5375026" cy="1404620"/>
                <wp:effectExtent l="0" t="0" r="1651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26" cy="1404620"/>
                        </a:xfrm>
                        <a:prstGeom prst="rect">
                          <a:avLst/>
                        </a:prstGeom>
                        <a:solidFill>
                          <a:srgbClr val="FFFFFF"/>
                        </a:solidFill>
                        <a:ln w="9525">
                          <a:solidFill>
                            <a:srgbClr val="000000"/>
                          </a:solidFill>
                          <a:miter lim="800000"/>
                          <a:headEnd/>
                          <a:tailEnd/>
                        </a:ln>
                      </wps:spPr>
                      <wps:txbx>
                        <w:txbxContent>
                          <w:p w:rsidR="00607923" w:rsidRPr="00D57305" w:rsidRDefault="00607923" w:rsidP="00A82820">
                            <w:pPr>
                              <w:jc w:val="center"/>
                              <w:rPr>
                                <w:rFonts w:cs="Times New Roman"/>
                                <w:lang w:val="en-GB"/>
                              </w:rPr>
                            </w:pPr>
                            <w:r w:rsidRPr="00D57305">
                              <w:rPr>
                                <w:rFonts w:cs="Times New Roman"/>
                                <w:lang w:val="en-GB"/>
                              </w:rPr>
                              <w:t>Share of shell arrangement depo</w:t>
                            </w:r>
                            <w:r>
                              <w:rPr>
                                <w:rFonts w:cs="Times New Roman"/>
                                <w:lang w:val="en-GB"/>
                              </w:rPr>
                              <w:t>si</w:t>
                            </w:r>
                            <w:r w:rsidRPr="00D57305">
                              <w:rPr>
                                <w:rFonts w:cs="Times New Roman"/>
                                <w:lang w:val="en-GB"/>
                              </w:rPr>
                              <w:t>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C5335" id="_x0000_s1033" type="#_x0000_t202" style="position:absolute;left:0;text-align:left;margin-left:110.15pt;margin-top:7.3pt;width:423.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">
                <v:textbox style="mso-fit-shape-to-text:t">
                  <w:txbxContent>
                    <w:p w:rsidR="00607923" w:rsidRPr="00D57305" w:rsidRDefault="00607923" w:rsidP="00A82820">
                      <w:pPr>
                        <w:jc w:val="center"/>
                        <w:rPr>
                          <w:rFonts w:cs="Times New Roman"/>
                          <w:lang w:val="en-GB"/>
                        </w:rPr>
                      </w:pPr>
                      <w:r w:rsidRPr="00D57305">
                        <w:rPr>
                          <w:rFonts w:cs="Times New Roman"/>
                          <w:lang w:val="en-GB"/>
                        </w:rPr>
                        <w:t>Share of shell arrangement depo</w:t>
                      </w:r>
                      <w:r>
                        <w:rPr>
                          <w:rFonts w:cs="Times New Roman"/>
                          <w:lang w:val="en-GB"/>
                        </w:rPr>
                        <w:t>si</w:t>
                      </w:r>
                      <w:r w:rsidRPr="00D57305">
                        <w:rPr>
                          <w:rFonts w:cs="Times New Roman"/>
                          <w:lang w:val="en-GB"/>
                        </w:rPr>
                        <w:t>ts*, %</w:t>
                      </w:r>
                    </w:p>
                  </w:txbxContent>
                </v:textbox>
              </v:shape>
            </w:pict>
          </mc:Fallback>
        </mc:AlternateContent>
      </w:r>
      <w:r w:rsidR="00685709" w:rsidRPr="00D72AC3">
        <w:rPr>
          <w:rFonts w:ascii="Calibri" w:eastAsia="Calibri" w:hAnsi="Calibri" w:cs="Times New Roman"/>
          <w:noProof/>
          <w:sz w:val="22"/>
          <w:lang w:val="lv-LV" w:eastAsia="lv-LV"/>
        </w:rPr>
        <w:drawing>
          <wp:inline distT="0" distB="0" distL="0" distR="0" wp14:anchorId="0F83F33D" wp14:editId="541719B1">
            <wp:extent cx="7239000" cy="3890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1431" cy="3891316"/>
                    </a:xfrm>
                    <a:prstGeom prst="rect">
                      <a:avLst/>
                    </a:prstGeom>
                    <a:noFill/>
                    <a:ln>
                      <a:noFill/>
                    </a:ln>
                  </pic:spPr>
                </pic:pic>
              </a:graphicData>
            </a:graphic>
          </wp:inline>
        </w:drawing>
      </w:r>
    </w:p>
    <w:p w:rsidR="00685709" w:rsidRPr="00D72AC3" w:rsidRDefault="00685709" w:rsidP="00685709">
      <w:pPr>
        <w:jc w:val="both"/>
        <w:rPr>
          <w:rFonts w:eastAsia="Calibri" w:cs="Times New Roman"/>
          <w:i/>
          <w:sz w:val="20"/>
          <w:szCs w:val="20"/>
          <w:lang w:val="en-GB"/>
        </w:rPr>
      </w:pPr>
    </w:p>
    <w:p w:rsidR="00C82F77" w:rsidRPr="00D72AC3" w:rsidRDefault="00C82F77" w:rsidP="00796432">
      <w:pPr>
        <w:ind w:firstLine="720"/>
        <w:jc w:val="both"/>
        <w:rPr>
          <w:rFonts w:eastAsia="Calibri" w:cs="Times New Roman"/>
          <w:i/>
          <w:sz w:val="20"/>
          <w:szCs w:val="20"/>
          <w:lang w:val="en-GB"/>
        </w:rPr>
      </w:pPr>
      <w:r w:rsidRPr="00D72AC3">
        <w:rPr>
          <w:rFonts w:eastAsia="Calibri" w:cs="Times New Roman"/>
          <w:i/>
          <w:sz w:val="20"/>
          <w:szCs w:val="20"/>
          <w:lang w:val="en-GB" w:bidi="en-GB"/>
        </w:rPr>
        <w:t xml:space="preserve">Information source - Financial and Capital Market Commission. </w:t>
      </w:r>
    </w:p>
    <w:p w:rsidR="00C82F77" w:rsidRPr="00D72AC3" w:rsidRDefault="00C82F77" w:rsidP="00796432">
      <w:pPr>
        <w:ind w:firstLine="720"/>
        <w:jc w:val="both"/>
        <w:rPr>
          <w:rFonts w:eastAsia="Calibri" w:cs="Times New Roman"/>
          <w:sz w:val="28"/>
          <w:szCs w:val="28"/>
          <w:lang w:val="en-GB"/>
        </w:rPr>
      </w:pPr>
    </w:p>
    <w:p w:rsidR="00796432" w:rsidRPr="00D72AC3" w:rsidRDefault="00796432" w:rsidP="00796432">
      <w:pPr>
        <w:ind w:firstLine="720"/>
        <w:jc w:val="both"/>
        <w:rPr>
          <w:rFonts w:eastAsia="Calibri" w:cs="Times New Roman"/>
          <w:sz w:val="28"/>
          <w:szCs w:val="28"/>
          <w:lang w:val="en-GB"/>
        </w:rPr>
      </w:pPr>
      <w:r w:rsidRPr="00D72AC3">
        <w:rPr>
          <w:rFonts w:eastAsia="Calibri" w:cs="Times New Roman"/>
          <w:sz w:val="28"/>
          <w:szCs w:val="28"/>
          <w:lang w:val="en-GB" w:bidi="en-GB"/>
        </w:rPr>
        <w:t xml:space="preserve">In order to reach further progress, it is essential to prevent the deficiencies detected during the process of Moneyval’s evaluation of effectiveness and technical compliance and to introduce the recommendations expressed within the scope of evaluation, planning the activities to be performed by the end of 2019. The Plan also includes separate measures arising out </w:t>
      </w:r>
      <w:r w:rsidRPr="00D72AC3">
        <w:rPr>
          <w:rFonts w:eastAsia="Calibri" w:cs="Times New Roman"/>
          <w:sz w:val="28"/>
          <w:szCs w:val="28"/>
          <w:lang w:val="en-GB" w:bidi="en-GB"/>
        </w:rPr>
        <w:lastRenderedPageBreak/>
        <w:t xml:space="preserve">of the previously approved Plan of Measures for 2017 - 2019, as well as from the Plan on </w:t>
      </w:r>
      <w:r w:rsidR="00DB7002" w:rsidRPr="00DB7002">
        <w:rPr>
          <w:rFonts w:eastAsia="Calibri" w:cs="Times New Roman"/>
          <w:sz w:val="28"/>
          <w:szCs w:val="28"/>
          <w:lang w:val="en-GB" w:bidi="en-GB"/>
        </w:rPr>
        <w:t>On Complementary Measures for Increasing the Level of Conformity of Prevention of Money Laundering and Terrorism Financing</w:t>
      </w:r>
      <w:r w:rsidR="00DB7002">
        <w:rPr>
          <w:rFonts w:eastAsia="Calibri" w:cs="Times New Roman"/>
          <w:sz w:val="28"/>
          <w:szCs w:val="28"/>
          <w:lang w:val="en-GB" w:bidi="en-GB"/>
        </w:rPr>
        <w:t xml:space="preserve"> </w:t>
      </w:r>
      <w:r w:rsidRPr="00D72AC3">
        <w:rPr>
          <w:rFonts w:eastAsia="Calibri" w:cs="Times New Roman"/>
          <w:sz w:val="28"/>
          <w:szCs w:val="28"/>
          <w:lang w:val="en-GB" w:bidi="en-GB"/>
        </w:rPr>
        <w:t xml:space="preserve">approved on 21 March 2018, the introduction whereof is still in progress. The Plan states that the supervisory and control measures must be considerably enhanced also beyond the financial (banking) sector. </w:t>
      </w:r>
    </w:p>
    <w:p w:rsidR="00796432" w:rsidRPr="00D72AC3" w:rsidRDefault="00796432" w:rsidP="00796432">
      <w:pPr>
        <w:ind w:firstLine="720"/>
        <w:jc w:val="both"/>
        <w:rPr>
          <w:rFonts w:eastAsia="Calibri" w:cs="Times New Roman"/>
          <w:sz w:val="28"/>
          <w:szCs w:val="28"/>
          <w:lang w:val="en-GB"/>
        </w:rPr>
      </w:pPr>
      <w:r w:rsidRPr="00D72AC3">
        <w:rPr>
          <w:rFonts w:eastAsia="Calibri" w:cs="Times New Roman"/>
          <w:sz w:val="28"/>
          <w:szCs w:val="28"/>
          <w:lang w:val="en-GB" w:bidi="en-GB"/>
        </w:rPr>
        <w:t xml:space="preserve">Moneyval Fifth Round evaluation is based upon evaluation of the </w:t>
      </w:r>
      <w:r w:rsidR="00DB7002">
        <w:rPr>
          <w:rFonts w:eastAsia="Calibri" w:cs="Times New Roman"/>
          <w:sz w:val="28"/>
          <w:szCs w:val="28"/>
          <w:lang w:val="en-GB" w:bidi="en-GB"/>
        </w:rPr>
        <w:t xml:space="preserve">prevention of </w:t>
      </w:r>
      <w:r w:rsidRPr="00D72AC3">
        <w:rPr>
          <w:rFonts w:eastAsia="Calibri" w:cs="Times New Roman"/>
          <w:sz w:val="28"/>
          <w:szCs w:val="28"/>
          <w:lang w:val="en-GB" w:bidi="en-GB"/>
        </w:rPr>
        <w:t>money laundering and financing of terrorism system effectiveness according to 11 outcomes</w:t>
      </w:r>
      <w:r w:rsidR="00DB7002">
        <w:rPr>
          <w:rFonts w:eastAsia="Calibri" w:cs="Times New Roman"/>
          <w:sz w:val="28"/>
          <w:szCs w:val="28"/>
          <w:lang w:val="en-GB" w:bidi="en-GB"/>
        </w:rPr>
        <w:t>.</w:t>
      </w:r>
      <w:r w:rsidRPr="00D72AC3">
        <w:rPr>
          <w:rFonts w:eastAsia="Calibri" w:cs="Times New Roman"/>
          <w:sz w:val="28"/>
          <w:szCs w:val="28"/>
          <w:lang w:val="en-GB" w:bidi="en-GB"/>
        </w:rPr>
        <w:t xml:space="preserve"> Taking into account the internationally recognised FATF methodology, this plan is structured in accordance thereto and the courses of action of the Plan correspond to 11 immediate outcomes of Moneyval evaluation system, setting the following key priorities: </w:t>
      </w:r>
    </w:p>
    <w:p w:rsidR="00796432" w:rsidRPr="00D72AC3" w:rsidRDefault="009B7E09" w:rsidP="00796432">
      <w:pPr>
        <w:numPr>
          <w:ilvl w:val="0"/>
          <w:numId w:val="39"/>
        </w:numPr>
        <w:contextualSpacing/>
        <w:jc w:val="both"/>
        <w:rPr>
          <w:rFonts w:eastAsia="Calibri" w:cs="Times New Roman"/>
          <w:sz w:val="28"/>
          <w:szCs w:val="28"/>
          <w:lang w:val="en-GB"/>
        </w:rPr>
      </w:pPr>
      <w:r w:rsidRPr="00D72AC3">
        <w:rPr>
          <w:rFonts w:eastAsia="Calibri" w:cs="Times New Roman"/>
          <w:sz w:val="28"/>
          <w:szCs w:val="28"/>
          <w:lang w:val="en-GB" w:bidi="en-GB"/>
        </w:rPr>
        <w:t>strengthening a risk-based supervision and introduction of preventive measures, including, controlled, transparent and professional management of ABLV bank liquidation procedure;</w:t>
      </w:r>
    </w:p>
    <w:p w:rsidR="00796432" w:rsidRPr="00D72AC3" w:rsidRDefault="009B7E09" w:rsidP="00796432">
      <w:pPr>
        <w:numPr>
          <w:ilvl w:val="0"/>
          <w:numId w:val="39"/>
        </w:numPr>
        <w:contextualSpacing/>
        <w:jc w:val="both"/>
        <w:rPr>
          <w:rFonts w:eastAsia="Calibri" w:cs="Times New Roman"/>
          <w:sz w:val="28"/>
          <w:szCs w:val="28"/>
          <w:lang w:val="en-GB"/>
        </w:rPr>
      </w:pPr>
      <w:r w:rsidRPr="00D72AC3">
        <w:rPr>
          <w:rFonts w:eastAsia="Calibri" w:cs="Times New Roman"/>
          <w:sz w:val="28"/>
          <w:szCs w:val="28"/>
          <w:lang w:val="en-GB" w:bidi="en-GB"/>
        </w:rPr>
        <w:t xml:space="preserve">effective information exchange for facilitation of investigation, harmonizing approaches and guidelines; </w:t>
      </w:r>
    </w:p>
    <w:p w:rsidR="00796432" w:rsidRPr="00D72AC3" w:rsidRDefault="009B7E09" w:rsidP="00796432">
      <w:pPr>
        <w:numPr>
          <w:ilvl w:val="0"/>
          <w:numId w:val="39"/>
        </w:numPr>
        <w:contextualSpacing/>
        <w:jc w:val="both"/>
        <w:rPr>
          <w:rFonts w:eastAsia="Calibri" w:cs="Times New Roman"/>
          <w:sz w:val="28"/>
          <w:szCs w:val="28"/>
          <w:lang w:val="en-GB"/>
        </w:rPr>
      </w:pPr>
      <w:r w:rsidRPr="00D72AC3">
        <w:rPr>
          <w:rFonts w:eastAsia="Calibri" w:cs="Times New Roman"/>
          <w:sz w:val="28"/>
          <w:szCs w:val="28"/>
          <w:lang w:val="en-GB" w:bidi="en-GB"/>
        </w:rPr>
        <w:t xml:space="preserve">ensuring adequate human resources for supervisory, controlling and </w:t>
      </w:r>
      <w:r w:rsidR="00CB562C">
        <w:rPr>
          <w:rFonts w:eastAsia="Calibri" w:cs="Times New Roman"/>
          <w:sz w:val="28"/>
          <w:szCs w:val="28"/>
          <w:lang w:val="en-GB" w:bidi="en-GB"/>
        </w:rPr>
        <w:t xml:space="preserve">law enforcement </w:t>
      </w:r>
      <w:r w:rsidRPr="00D72AC3">
        <w:rPr>
          <w:rFonts w:eastAsia="Calibri" w:cs="Times New Roman"/>
          <w:sz w:val="28"/>
          <w:szCs w:val="28"/>
          <w:lang w:val="en-GB" w:bidi="en-GB"/>
        </w:rPr>
        <w:t xml:space="preserve">authorities, increasing their analytical capacity and capability; </w:t>
      </w:r>
    </w:p>
    <w:p w:rsidR="00796432" w:rsidRPr="00D72AC3" w:rsidRDefault="009B7E09" w:rsidP="00796432">
      <w:pPr>
        <w:numPr>
          <w:ilvl w:val="0"/>
          <w:numId w:val="39"/>
        </w:numPr>
        <w:contextualSpacing/>
        <w:jc w:val="both"/>
        <w:rPr>
          <w:rFonts w:eastAsia="Calibri" w:cs="Times New Roman"/>
          <w:sz w:val="28"/>
          <w:szCs w:val="28"/>
          <w:lang w:val="en-GB"/>
        </w:rPr>
      </w:pPr>
      <w:r w:rsidRPr="00D72AC3">
        <w:rPr>
          <w:rFonts w:eastAsia="Calibri" w:cs="Times New Roman"/>
          <w:sz w:val="28"/>
          <w:szCs w:val="28"/>
          <w:lang w:val="en-GB" w:bidi="en-GB"/>
        </w:rPr>
        <w:t xml:space="preserve">introduction of information technologies solutions for timely and effective data management; </w:t>
      </w:r>
    </w:p>
    <w:p w:rsidR="00796432" w:rsidRPr="00D72AC3" w:rsidRDefault="009B7E09" w:rsidP="00796432">
      <w:pPr>
        <w:numPr>
          <w:ilvl w:val="0"/>
          <w:numId w:val="39"/>
        </w:numPr>
        <w:contextualSpacing/>
        <w:jc w:val="both"/>
        <w:rPr>
          <w:rFonts w:eastAsia="Calibri" w:cs="Times New Roman"/>
          <w:sz w:val="28"/>
          <w:szCs w:val="28"/>
          <w:lang w:val="en-GB"/>
        </w:rPr>
      </w:pPr>
      <w:r w:rsidRPr="00D72AC3">
        <w:rPr>
          <w:rFonts w:eastAsia="Calibri" w:cs="Times New Roman"/>
          <w:sz w:val="28"/>
          <w:szCs w:val="28"/>
          <w:lang w:val="en-GB" w:bidi="en-GB"/>
        </w:rPr>
        <w:t xml:space="preserve">enhancement of the targeted financial sanctions system, shaping uniform understanding of the cooperation partners regarding this system and the need for </w:t>
      </w:r>
      <w:r w:rsidR="00CB562C">
        <w:rPr>
          <w:rFonts w:eastAsia="Calibri" w:cs="Times New Roman"/>
          <w:sz w:val="28"/>
          <w:szCs w:val="28"/>
          <w:lang w:val="en-GB" w:bidi="en-GB"/>
        </w:rPr>
        <w:t xml:space="preserve">its </w:t>
      </w:r>
      <w:r w:rsidRPr="00D72AC3">
        <w:rPr>
          <w:rFonts w:eastAsia="Calibri" w:cs="Times New Roman"/>
          <w:sz w:val="28"/>
          <w:szCs w:val="28"/>
          <w:lang w:val="en-GB" w:bidi="en-GB"/>
        </w:rPr>
        <w:t>functioning hereof.</w:t>
      </w:r>
    </w:p>
    <w:p w:rsidR="00BF7024" w:rsidRPr="00D72AC3" w:rsidRDefault="00BF7024" w:rsidP="00BF7024">
      <w:pPr>
        <w:ind w:firstLine="425"/>
        <w:contextualSpacing/>
        <w:jc w:val="both"/>
        <w:rPr>
          <w:rFonts w:eastAsia="Calibri" w:cs="Times New Roman"/>
          <w:sz w:val="28"/>
          <w:szCs w:val="28"/>
          <w:lang w:val="en-GB"/>
        </w:rPr>
      </w:pPr>
      <w:r w:rsidRPr="00D72AC3">
        <w:rPr>
          <w:rFonts w:eastAsia="Calibri" w:cs="Times New Roman"/>
          <w:sz w:val="28"/>
          <w:szCs w:val="28"/>
          <w:lang w:val="en-GB" w:bidi="en-GB"/>
        </w:rPr>
        <w:tab/>
        <w:t xml:space="preserve">At the same time, with respect to introduction of the statutory regulation, Latvia has, ahead of the </w:t>
      </w:r>
      <w:r w:rsidR="001331DE">
        <w:rPr>
          <w:rFonts w:eastAsia="Calibri" w:cs="Times New Roman"/>
          <w:sz w:val="28"/>
          <w:szCs w:val="28"/>
          <w:lang w:val="en-GB" w:bidi="en-GB"/>
        </w:rPr>
        <w:t>deadline</w:t>
      </w:r>
      <w:r w:rsidRPr="00D72AC3">
        <w:rPr>
          <w:rFonts w:eastAsia="Calibri" w:cs="Times New Roman"/>
          <w:sz w:val="28"/>
          <w:szCs w:val="28"/>
          <w:lang w:val="en-GB" w:bidi="en-GB"/>
        </w:rPr>
        <w:t xml:space="preserve">, taken over number of requirements for enhancing the system, as contained in 5AMLD - centralised register of the bank accounts, supervisory regulation of virtual currencies, the principle of beneficial ownership transparency introduced, the supervisory thresholds for electronic money circulation lowered, reducing them to 150 EUR. The Cabinet of Ministers, by adopting this Plan, is committed to ensuring complete introduction of 5AMLD ahead of the set mandatory introduction </w:t>
      </w:r>
      <w:r w:rsidR="001331DE">
        <w:rPr>
          <w:rFonts w:eastAsia="Calibri" w:cs="Times New Roman"/>
          <w:sz w:val="28"/>
          <w:szCs w:val="28"/>
          <w:lang w:val="en-GB" w:bidi="en-GB"/>
        </w:rPr>
        <w:t>deadline</w:t>
      </w:r>
      <w:r w:rsidRPr="00D72AC3">
        <w:rPr>
          <w:rFonts w:eastAsia="Calibri" w:cs="Times New Roman"/>
          <w:sz w:val="28"/>
          <w:szCs w:val="28"/>
          <w:lang w:val="en-GB" w:bidi="en-GB"/>
        </w:rPr>
        <w:t>, by reviewing the prepared documents till 1 June 2019, and passing them for further evaluation to the Saeima (Parliament).</w:t>
      </w:r>
    </w:p>
    <w:p w:rsidR="00BF7024" w:rsidRPr="00D72AC3" w:rsidRDefault="009B7E09" w:rsidP="00BF7024">
      <w:pPr>
        <w:ind w:firstLine="425"/>
        <w:contextualSpacing/>
        <w:jc w:val="both"/>
        <w:rPr>
          <w:rFonts w:eastAsia="Calibri" w:cs="Times New Roman"/>
          <w:sz w:val="28"/>
          <w:szCs w:val="28"/>
          <w:lang w:val="en-GB"/>
        </w:rPr>
      </w:pPr>
      <w:r w:rsidRPr="00D72AC3">
        <w:rPr>
          <w:rFonts w:eastAsia="Calibri" w:cs="Times New Roman"/>
          <w:sz w:val="28"/>
          <w:szCs w:val="28"/>
          <w:lang w:val="en-GB" w:bidi="en-GB"/>
        </w:rPr>
        <w:tab/>
        <w:t>Table 2 aggregates the main measures of the Plan and outcomes to be achieved</w:t>
      </w:r>
    </w:p>
    <w:p w:rsidR="00796432" w:rsidRPr="00D72AC3" w:rsidRDefault="00796432" w:rsidP="00796432">
      <w:pPr>
        <w:ind w:firstLine="720"/>
        <w:jc w:val="both"/>
        <w:rPr>
          <w:rFonts w:eastAsia="Calibri" w:cs="Times New Roman"/>
          <w:sz w:val="28"/>
          <w:szCs w:val="28"/>
          <w:lang w:val="en-GB"/>
        </w:rPr>
      </w:pPr>
    </w:p>
    <w:p w:rsidR="007C471A" w:rsidRPr="00D72AC3" w:rsidRDefault="007C471A" w:rsidP="00C94E2B">
      <w:pPr>
        <w:ind w:firstLine="720"/>
        <w:jc w:val="center"/>
        <w:rPr>
          <w:rFonts w:eastAsia="Calibri" w:cs="Times New Roman"/>
          <w:b/>
          <w:sz w:val="28"/>
          <w:szCs w:val="28"/>
          <w:lang w:val="en-GB"/>
        </w:rPr>
      </w:pPr>
      <w:r w:rsidRPr="00D72AC3">
        <w:rPr>
          <w:rFonts w:eastAsia="Calibri" w:cs="Times New Roman"/>
          <w:b/>
          <w:sz w:val="28"/>
          <w:szCs w:val="28"/>
          <w:lang w:val="en-GB" w:bidi="en-GB"/>
        </w:rPr>
        <w:t>Table 2 - Courses of action of the plan</w:t>
      </w:r>
    </w:p>
    <w:tbl>
      <w:tblPr>
        <w:tblpPr w:leftFromText="180" w:rightFromText="180" w:vertAnchor="text" w:horzAnchor="margin" w:tblpXSpec="center" w:tblpY="196"/>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544"/>
        <w:gridCol w:w="5812"/>
        <w:gridCol w:w="5245"/>
      </w:tblGrid>
      <w:tr w:rsidR="00CE354E" w:rsidRPr="00D72AC3" w:rsidTr="005545EE">
        <w:trPr>
          <w:trHeight w:val="416"/>
        </w:trPr>
        <w:tc>
          <w:tcPr>
            <w:tcW w:w="3544" w:type="dxa"/>
            <w:hideMark/>
          </w:tcPr>
          <w:p w:rsidR="00CE354E" w:rsidRPr="00D72AC3" w:rsidRDefault="00CE354E" w:rsidP="0077246A">
            <w:pPr>
              <w:tabs>
                <w:tab w:val="left" w:pos="0"/>
              </w:tabs>
              <w:jc w:val="center"/>
              <w:rPr>
                <w:rFonts w:eastAsia="Calibri" w:cs="Times New Roman"/>
                <w:b/>
                <w:sz w:val="28"/>
                <w:szCs w:val="28"/>
                <w:lang w:val="en-GB"/>
              </w:rPr>
            </w:pPr>
            <w:r w:rsidRPr="00D72AC3">
              <w:rPr>
                <w:rFonts w:eastAsia="Calibri" w:cs="Times New Roman"/>
                <w:b/>
                <w:sz w:val="28"/>
                <w:szCs w:val="28"/>
                <w:lang w:val="en-GB" w:bidi="en-GB"/>
              </w:rPr>
              <w:lastRenderedPageBreak/>
              <w:t>Moneyval</w:t>
            </w:r>
            <w:r w:rsidRPr="00D72AC3">
              <w:rPr>
                <w:rFonts w:eastAsia="Calibri" w:cs="Times New Roman"/>
                <w:sz w:val="28"/>
                <w:szCs w:val="28"/>
                <w:lang w:val="en-GB" w:bidi="en-GB"/>
              </w:rPr>
              <w:t xml:space="preserve"> i</w:t>
            </w:r>
            <w:r w:rsidRPr="00D72AC3">
              <w:rPr>
                <w:rFonts w:eastAsia="Calibri" w:cs="Times New Roman"/>
                <w:b/>
                <w:sz w:val="28"/>
                <w:szCs w:val="28"/>
                <w:lang w:val="en-GB" w:bidi="en-GB"/>
              </w:rPr>
              <w:t>mmediate outcome</w:t>
            </w:r>
          </w:p>
        </w:tc>
        <w:tc>
          <w:tcPr>
            <w:tcW w:w="5812" w:type="dxa"/>
          </w:tcPr>
          <w:p w:rsidR="00CE354E" w:rsidRPr="00D72AC3" w:rsidRDefault="00CE354E" w:rsidP="0077246A">
            <w:pPr>
              <w:tabs>
                <w:tab w:val="left" w:pos="0"/>
              </w:tabs>
              <w:jc w:val="center"/>
              <w:rPr>
                <w:rFonts w:eastAsia="Calibri" w:cs="Times New Roman"/>
                <w:b/>
                <w:sz w:val="28"/>
                <w:szCs w:val="28"/>
                <w:lang w:val="en-GB"/>
              </w:rPr>
            </w:pPr>
            <w:r w:rsidRPr="00D72AC3">
              <w:rPr>
                <w:rFonts w:eastAsia="Calibri" w:cs="Times New Roman"/>
                <w:b/>
                <w:sz w:val="28"/>
                <w:szCs w:val="28"/>
                <w:lang w:val="en-GB" w:bidi="en-GB"/>
              </w:rPr>
              <w:t>Main courses of action</w:t>
            </w:r>
          </w:p>
        </w:tc>
        <w:tc>
          <w:tcPr>
            <w:tcW w:w="5245" w:type="dxa"/>
          </w:tcPr>
          <w:p w:rsidR="00CE354E" w:rsidRPr="00D72AC3" w:rsidRDefault="00CE354E" w:rsidP="0077246A">
            <w:pPr>
              <w:tabs>
                <w:tab w:val="left" w:pos="0"/>
              </w:tabs>
              <w:jc w:val="center"/>
              <w:rPr>
                <w:rFonts w:eastAsia="Calibri" w:cs="Times New Roman"/>
                <w:b/>
                <w:sz w:val="28"/>
                <w:szCs w:val="28"/>
                <w:lang w:val="en-GB"/>
              </w:rPr>
            </w:pPr>
            <w:r w:rsidRPr="00D72AC3">
              <w:rPr>
                <w:rFonts w:eastAsia="Calibri" w:cs="Times New Roman"/>
                <w:b/>
                <w:sz w:val="28"/>
                <w:szCs w:val="28"/>
                <w:lang w:val="en-GB" w:bidi="en-GB"/>
              </w:rPr>
              <w:t>Main outcomes to be achieved for the implementation of key priorities</w:t>
            </w:r>
          </w:p>
        </w:tc>
      </w:tr>
      <w:tr w:rsidR="00CE354E" w:rsidRPr="00D72AC3" w:rsidTr="005545EE">
        <w:trPr>
          <w:trHeight w:val="680"/>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IO.1 AML/CFT risk assessment, policy and coordination</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By 15 August 2019, the new NRA will be drafted, taking into account Moneyval recommendations and conclusions from the previous NRA process.</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Communication strategy will be drafted regarding anti- money laundering, combating terrorism financing and proliferation.</w:t>
            </w:r>
          </w:p>
          <w:p w:rsidR="00CE354E" w:rsidRPr="00D72AC3" w:rsidRDefault="00CE354E" w:rsidP="0077246A">
            <w:pPr>
              <w:tabs>
                <w:tab w:val="left" w:pos="0"/>
              </w:tabs>
              <w:jc w:val="both"/>
              <w:rPr>
                <w:rFonts w:eastAsia="Calibri" w:cs="Times New Roman"/>
                <w:sz w:val="28"/>
                <w:szCs w:val="28"/>
                <w:lang w:val="en-GB"/>
              </w:rPr>
            </w:pPr>
          </w:p>
        </w:tc>
        <w:tc>
          <w:tcPr>
            <w:tcW w:w="5245" w:type="dxa"/>
          </w:tcPr>
          <w:p w:rsidR="0077246A"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ML/FT risks inherent to Latvia are identified, assessed and understood.</w:t>
            </w:r>
            <w:r w:rsidR="00D72AC3" w:rsidRPr="00D72AC3">
              <w:rPr>
                <w:rFonts w:eastAsia="Calibri" w:cs="Times New Roman"/>
                <w:sz w:val="28"/>
                <w:szCs w:val="28"/>
                <w:lang w:val="en-GB" w:bidi="en-GB"/>
              </w:rPr>
              <w:t xml:space="preserve"> </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Action for ML/FT risks prevention is coordinated at the national level.</w:t>
            </w:r>
            <w:r w:rsidR="00D72AC3" w:rsidRPr="00D72AC3">
              <w:rPr>
                <w:rFonts w:eastAsia="Calibri" w:cs="Times New Roman"/>
                <w:sz w:val="28"/>
                <w:szCs w:val="28"/>
                <w:lang w:val="en-GB" w:bidi="en-GB"/>
              </w:rPr>
              <w:t xml:space="preserve"> </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Measures taken correspond to the identified ML/FT risks.</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IO.2 International cooperation</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The assessment will be carried out regarding the statutory regulation with respect to international cooperation of supervisors. </w:t>
            </w:r>
          </w:p>
          <w:p w:rsidR="00613676" w:rsidRPr="00D72AC3" w:rsidRDefault="00613676"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On the basis of the conclusions, the public discussion will be organised with the CS and the Data State Inspectorate regarding data exchange with the third countries and, under the management of the MoJ, the key principles for international cooperation will be developed, to be further incorporated in internal legal framework of the supervisors.</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regulation of the</w:t>
            </w:r>
            <w:r w:rsidRPr="00D72AC3">
              <w:rPr>
                <w:rFonts w:eastAsia="Calibri" w:cs="Times New Roman"/>
                <w:i/>
                <w:sz w:val="28"/>
                <w:szCs w:val="28"/>
                <w:lang w:val="en-GB" w:bidi="en-GB"/>
              </w:rPr>
              <w:t xml:space="preserve"> Criminal Procedure Law </w:t>
            </w:r>
            <w:r w:rsidRPr="00D72AC3">
              <w:rPr>
                <w:rFonts w:eastAsia="Calibri" w:cs="Times New Roman"/>
                <w:sz w:val="28"/>
                <w:szCs w:val="28"/>
                <w:lang w:val="en-GB" w:bidi="en-GB"/>
              </w:rPr>
              <w:t>will be revised with respect to the possibility to prescribe the delegation to draw up the regulatory enactment on prioritising the legal assistance requests.</w:t>
            </w:r>
          </w:p>
          <w:p w:rsidR="00CE354E" w:rsidRPr="00D72AC3" w:rsidRDefault="00A31F27" w:rsidP="00A31F27">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 xml:space="preserve">The possibilities of enhancing the existing International Criminal Legal Cooperation Requests Information System will be assessed, in order to ensure the management system of the international requests. </w:t>
            </w: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Deficiencies prevented in the legal framework regarding international cooperation in prevention and combating money laundering</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IO.3 Supervision</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work on the change of the business models of the credit institutions will be continued.</w:t>
            </w:r>
          </w:p>
          <w:p w:rsidR="00613676" w:rsidRPr="00D72AC3" w:rsidRDefault="00613676" w:rsidP="0077246A">
            <w:pPr>
              <w:tabs>
                <w:tab w:val="left" w:pos="0"/>
              </w:tabs>
              <w:jc w:val="both"/>
              <w:rPr>
                <w:rFonts w:eastAsia="Calibri" w:cs="Times New Roman"/>
                <w:sz w:val="28"/>
                <w:szCs w:val="28"/>
                <w:lang w:val="en-GB"/>
              </w:rPr>
            </w:pPr>
          </w:p>
          <w:p w:rsidR="00613676" w:rsidRPr="00D72AC3" w:rsidRDefault="00A31F27"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Introduction of a controlled ABLV bank self-liquidation process</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Introduction of a risk-based approach in all supervisory authorities, number of on-site and off-site verifications increased.</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By way of strengthening the resources available to the supervisory authorities, it is intended to establish 6 (six) new job positions in the FCMC*, 25 - in the SRS and 3 (three) - in the NCCH. </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w:t>
            </w:r>
            <w:r w:rsidRPr="00D72AC3">
              <w:rPr>
                <w:rFonts w:eastAsia="Calibri" w:cs="Times New Roman"/>
                <w:sz w:val="20"/>
                <w:szCs w:val="20"/>
                <w:lang w:val="en-GB" w:bidi="en-GB"/>
              </w:rPr>
              <w:t>Following the performance of the OECD system assessment</w:t>
            </w:r>
          </w:p>
          <w:p w:rsidR="00CE354E" w:rsidRPr="00D72AC3" w:rsidRDefault="00CE354E" w:rsidP="0077246A">
            <w:pPr>
              <w:tabs>
                <w:tab w:val="left" w:pos="0"/>
              </w:tabs>
              <w:jc w:val="both"/>
              <w:rPr>
                <w:rFonts w:eastAsia="Calibri" w:cs="Times New Roman"/>
                <w:sz w:val="28"/>
                <w:szCs w:val="28"/>
                <w:lang w:val="en-GB"/>
              </w:rPr>
            </w:pP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A risk-based approach to supervision introduced in all supervisory and control authorities, by ensuring performance of sufficient and risk-compliant verifications and, in case of offences, carrying out proportionate measures, dissuasive of further infringements.</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IO.4 Preventive measures</w:t>
            </w:r>
          </w:p>
        </w:tc>
        <w:tc>
          <w:tcPr>
            <w:tcW w:w="5812" w:type="dxa"/>
          </w:tcPr>
          <w:p w:rsidR="00CE354E" w:rsidRPr="00D72AC3" w:rsidRDefault="00585760"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Unusual and suspicious transactions reporting system revised.</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Enhancing the availability of information necessary for the customer due diligence (information on the UBO, KYC utility, access to public registers).</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Active informing of the subjects of the law, updated guidelines, training, provision of information.</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Subjects of the law understand the ML/FT risks inherent thereto and</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 xml:space="preserve">apply the </w:t>
            </w:r>
            <w:r w:rsidR="004A55EC">
              <w:rPr>
                <w:rFonts w:eastAsia="Calibri" w:cs="Times New Roman"/>
                <w:sz w:val="28"/>
                <w:szCs w:val="28"/>
                <w:lang w:val="en-GB" w:bidi="en-GB"/>
              </w:rPr>
              <w:t>AML</w:t>
            </w:r>
            <w:r w:rsidRPr="00D72AC3">
              <w:rPr>
                <w:rFonts w:eastAsia="Calibri" w:cs="Times New Roman"/>
                <w:sz w:val="28"/>
                <w:szCs w:val="28"/>
                <w:lang w:val="en-GB" w:bidi="en-GB"/>
              </w:rPr>
              <w:t>/CFT measures in accordance with the ML/FT risk level inherent thereto.</w:t>
            </w:r>
          </w:p>
        </w:tc>
      </w:tr>
      <w:tr w:rsidR="00CE354E" w:rsidRPr="00D72AC3" w:rsidTr="005545EE">
        <w:trPr>
          <w:trHeight w:val="523"/>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IO.5 Legal persons and arrangements</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modernisation of the registers kept by the RE will be carried out and the verification of information submitted for registration with the RE will be ensured.</w:t>
            </w:r>
          </w:p>
          <w:p w:rsidR="00585760" w:rsidRPr="00D72AC3" w:rsidRDefault="00585760"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Especially high-risk commercial companies, who would not have disclosed the UBO, will be excluded from the Commercial Register or the applications on the exclusion thereof will be filed to court.</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supervisory authorities will ensure the application of a single methodology with respect to the customer due diligence, with special focus on the UBO.</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Targeted checks of the supervisory authorities will be carried out, especially with respect to those types of economic activity, which are exposed to higher ML/FT risk.</w:t>
            </w:r>
          </w:p>
          <w:p w:rsidR="00CE354E" w:rsidRPr="00D72AC3" w:rsidRDefault="00CE354E" w:rsidP="0077246A">
            <w:pPr>
              <w:tabs>
                <w:tab w:val="left" w:pos="0"/>
              </w:tabs>
              <w:jc w:val="both"/>
              <w:rPr>
                <w:rFonts w:eastAsia="Calibri" w:cs="Times New Roman"/>
                <w:sz w:val="28"/>
                <w:szCs w:val="28"/>
                <w:lang w:val="en-GB"/>
              </w:rPr>
            </w:pP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Registration and availability of information about the ultimate beneficial owners of legal persons corresponding to the requirements of the Law on PMLTF ensured.</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The use of legal persons with the highest risk degree for criminal purposes prevented.</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IO.6 Financial intelligence</w:t>
            </w:r>
          </w:p>
        </w:tc>
        <w:tc>
          <w:tcPr>
            <w:tcW w:w="5812" w:type="dxa"/>
          </w:tcPr>
          <w:p w:rsidR="008E55BD"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The change of the status of the CS will be carried out (following the coordination with </w:t>
            </w:r>
            <w:r w:rsidRPr="00D72AC3">
              <w:rPr>
                <w:rFonts w:eastAsia="Calibri" w:cs="Times New Roman"/>
                <w:i/>
                <w:sz w:val="28"/>
                <w:szCs w:val="28"/>
                <w:lang w:val="en-GB" w:bidi="en-GB"/>
              </w:rPr>
              <w:t>Egmont Group</w:t>
            </w:r>
            <w:r w:rsidRPr="00D72AC3">
              <w:rPr>
                <w:rFonts w:eastAsia="Calibri" w:cs="Times New Roman"/>
                <w:sz w:val="28"/>
                <w:szCs w:val="28"/>
                <w:lang w:val="en-GB" w:bidi="en-GB"/>
              </w:rPr>
              <w:t>), ensuring the autonomy and operational independence of the CS.</w:t>
            </w:r>
          </w:p>
          <w:p w:rsidR="00CE354E" w:rsidRPr="00D72AC3" w:rsidRDefault="00CE354E" w:rsidP="0077246A">
            <w:pPr>
              <w:tabs>
                <w:tab w:val="left" w:pos="0"/>
              </w:tabs>
              <w:jc w:val="both"/>
              <w:rPr>
                <w:rFonts w:eastAsia="Calibri" w:cs="Times New Roman"/>
                <w:sz w:val="28"/>
                <w:szCs w:val="28"/>
                <w:lang w:val="en-GB"/>
              </w:rPr>
            </w:pPr>
          </w:p>
          <w:p w:rsidR="008E55BD"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work of the Advisory Board of the CS enhanced.</w:t>
            </w:r>
          </w:p>
          <w:p w:rsidR="00CE354E" w:rsidRPr="00D72AC3" w:rsidRDefault="00CE354E" w:rsidP="0077246A">
            <w:pPr>
              <w:tabs>
                <w:tab w:val="left" w:pos="0"/>
              </w:tabs>
              <w:jc w:val="both"/>
              <w:rPr>
                <w:rFonts w:eastAsia="Calibri" w:cs="Times New Roman"/>
                <w:sz w:val="28"/>
                <w:szCs w:val="28"/>
                <w:lang w:val="en-GB"/>
              </w:rPr>
            </w:pPr>
          </w:p>
          <w:p w:rsidR="008E55BD"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cooperation coordination group set up with the participation of the private sector and law enforcement authorities, ensuring regular meetings thereof.</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Outreach, training and feedback of the supervisors and </w:t>
            </w:r>
            <w:r w:rsidR="00E37DF3">
              <w:rPr>
                <w:rFonts w:eastAsia="Calibri" w:cs="Times New Roman"/>
                <w:sz w:val="28"/>
                <w:szCs w:val="28"/>
                <w:lang w:val="en-GB" w:bidi="en-GB"/>
              </w:rPr>
              <w:t>obliged entities</w:t>
            </w:r>
            <w:r w:rsidR="00E37DF3" w:rsidRPr="00D72AC3">
              <w:rPr>
                <w:rFonts w:eastAsia="Calibri" w:cs="Times New Roman"/>
                <w:sz w:val="28"/>
                <w:szCs w:val="28"/>
                <w:lang w:val="en-GB" w:bidi="en-GB"/>
              </w:rPr>
              <w:t xml:space="preserve"> </w:t>
            </w:r>
            <w:r w:rsidRPr="00D72AC3">
              <w:rPr>
                <w:rFonts w:eastAsia="Calibri" w:cs="Times New Roman"/>
                <w:sz w:val="28"/>
                <w:szCs w:val="28"/>
                <w:lang w:val="en-GB" w:bidi="en-GB"/>
              </w:rPr>
              <w:t>will be increased. Procedure for reporting suspicious and unusual transactions reviewed.</w:t>
            </w:r>
          </w:p>
          <w:p w:rsidR="002A3E26" w:rsidRPr="00D72AC3" w:rsidRDefault="002A3E26" w:rsidP="0077246A">
            <w:pPr>
              <w:tabs>
                <w:tab w:val="left" w:pos="0"/>
              </w:tabs>
              <w:jc w:val="both"/>
              <w:rPr>
                <w:rFonts w:eastAsia="Calibri" w:cs="Times New Roman"/>
                <w:sz w:val="28"/>
                <w:szCs w:val="28"/>
                <w:lang w:val="en-GB"/>
              </w:rPr>
            </w:pPr>
          </w:p>
          <w:p w:rsidR="002A3E26"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For the needs of control over the ABLV bank self-liquidation, by way of strengthening the operational and strategic analysis capacity of the CS, resources are granted for outsourcing experts.</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E37DF3">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CS capacity </w:t>
            </w:r>
            <w:r w:rsidR="00E37DF3">
              <w:rPr>
                <w:rFonts w:eastAsia="Calibri" w:cs="Times New Roman"/>
                <w:sz w:val="28"/>
                <w:szCs w:val="28"/>
                <w:lang w:val="en-GB" w:bidi="en-GB"/>
              </w:rPr>
              <w:t>strengthened</w:t>
            </w:r>
            <w:r w:rsidRPr="00D72AC3">
              <w:rPr>
                <w:rFonts w:eastAsia="Calibri" w:cs="Times New Roman"/>
                <w:sz w:val="28"/>
                <w:szCs w:val="28"/>
                <w:lang w:val="en-GB" w:bidi="en-GB"/>
              </w:rPr>
              <w:t>, by creating new job positions, increasing the existing staff remuneration, training and enhancement of IT resources ensured.</w:t>
            </w: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System for reporting suspicious and unusual transactions improved.</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Coordination ensured between the CS, supervisory and controlling authorities, law enforcement authorities and subjects of the law.</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IO.7 Investigation and prosecution</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The AML set as a priority and the guidelines developed for prioritisation of the ML cases </w:t>
            </w:r>
            <w:r w:rsidRPr="00D72AC3">
              <w:rPr>
                <w:rFonts w:eastAsia="Calibri" w:cs="Times New Roman"/>
                <w:i/>
                <w:sz w:val="28"/>
                <w:szCs w:val="28"/>
                <w:lang w:val="en-GB" w:bidi="en-GB"/>
              </w:rPr>
              <w:t>(Risk Based Approach)</w:t>
            </w:r>
            <w:r w:rsidRPr="00D72AC3">
              <w:rPr>
                <w:rFonts w:eastAsia="Calibri" w:cs="Times New Roman"/>
                <w:sz w:val="28"/>
                <w:szCs w:val="28"/>
                <w:lang w:val="en-GB" w:bidi="en-GB"/>
              </w:rPr>
              <w:t>,</w:t>
            </w:r>
            <w:r w:rsidR="00E37DF3">
              <w:rPr>
                <w:rFonts w:eastAsia="Calibri" w:cs="Times New Roman"/>
                <w:sz w:val="28"/>
                <w:szCs w:val="28"/>
                <w:lang w:val="en-GB" w:bidi="en-GB"/>
              </w:rPr>
              <w:t xml:space="preserve"> </w:t>
            </w:r>
            <w:r w:rsidRPr="00D72AC3">
              <w:rPr>
                <w:rFonts w:eastAsia="Calibri" w:cs="Times New Roman"/>
                <w:sz w:val="28"/>
                <w:szCs w:val="28"/>
                <w:lang w:val="en-GB" w:bidi="en-GB"/>
              </w:rPr>
              <w:t>setting common principles and criteria, based on which the collection, analysis and assessment of information is to be performed at all stages of information analysis, investigation and prosecution.</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Priority fields and cases defined, where the investigation and prosecution is to be carried out, ensuring that by the third quarter of 2019 several </w:t>
            </w:r>
            <w:r w:rsidR="002E1901">
              <w:rPr>
                <w:rFonts w:eastAsia="Calibri" w:cs="Times New Roman"/>
                <w:sz w:val="28"/>
                <w:szCs w:val="28"/>
                <w:lang w:val="en-GB" w:bidi="en-GB"/>
              </w:rPr>
              <w:t>significant</w:t>
            </w:r>
            <w:r w:rsidRPr="00D72AC3">
              <w:rPr>
                <w:rFonts w:eastAsia="Calibri" w:cs="Times New Roman"/>
                <w:sz w:val="28"/>
                <w:szCs w:val="28"/>
                <w:lang w:val="en-GB" w:bidi="en-GB"/>
              </w:rPr>
              <w:t>, large-scale cases are passed for adjudication.</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2E1901" w:rsidP="0077246A">
            <w:pPr>
              <w:tabs>
                <w:tab w:val="left" w:pos="0"/>
              </w:tabs>
              <w:jc w:val="both"/>
              <w:rPr>
                <w:rFonts w:eastAsia="Calibri" w:cs="Times New Roman"/>
                <w:sz w:val="28"/>
                <w:szCs w:val="28"/>
                <w:lang w:val="en-GB"/>
              </w:rPr>
            </w:pPr>
            <w:r w:rsidRPr="002E1901">
              <w:rPr>
                <w:rFonts w:eastAsia="Calibri" w:cs="Times New Roman"/>
                <w:sz w:val="28"/>
                <w:szCs w:val="28"/>
                <w:lang w:val="en-GB" w:bidi="en-GB"/>
              </w:rPr>
              <w:t>To implement the training of judges, prosecutors and investigators regarding ensuring the necessary scope of evidence for investigating money laundering, inter alia, regarding penal policy</w:t>
            </w:r>
            <w:r w:rsidRPr="002E1901" w:rsidDel="002E1901">
              <w:rPr>
                <w:rFonts w:eastAsia="Calibri" w:cs="Times New Roman"/>
                <w:sz w:val="28"/>
                <w:szCs w:val="28"/>
                <w:lang w:val="en-GB" w:bidi="en-GB"/>
              </w:rPr>
              <w:t xml:space="preserve"> </w:t>
            </w:r>
            <w:r w:rsidR="00C515DE">
              <w:rPr>
                <w:rFonts w:eastAsia="Calibri" w:cs="Times New Roman"/>
                <w:sz w:val="28"/>
                <w:szCs w:val="28"/>
                <w:lang w:val="en-GB" w:bidi="en-GB"/>
              </w:rPr>
              <w:t>for judges</w:t>
            </w:r>
            <w:r w:rsidR="00607923">
              <w:rPr>
                <w:rFonts w:eastAsia="Calibri" w:cs="Times New Roman"/>
                <w:sz w:val="28"/>
                <w:szCs w:val="28"/>
                <w:lang w:val="en-GB" w:bidi="en-GB"/>
              </w:rPr>
              <w:t xml:space="preserve"> on cases involving ML/FT</w:t>
            </w:r>
            <w:r w:rsidR="00C515DE">
              <w:rPr>
                <w:rFonts w:eastAsia="Calibri" w:cs="Times New Roman"/>
                <w:sz w:val="28"/>
                <w:szCs w:val="28"/>
                <w:lang w:val="en-GB" w:bidi="en-GB"/>
              </w:rPr>
              <w:t xml:space="preserve">. </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Strengthening the control over the conduct of the prosecutors with respect to expressing the opinion (protest) on the type and scope of penalty to be determined in ML criminal cases.</w:t>
            </w:r>
          </w:p>
          <w:p w:rsidR="00CE354E" w:rsidRPr="00D72AC3" w:rsidRDefault="00CE354E" w:rsidP="0077246A">
            <w:pPr>
              <w:tabs>
                <w:tab w:val="left" w:pos="0"/>
              </w:tabs>
              <w:jc w:val="both"/>
              <w:rPr>
                <w:rFonts w:eastAsia="Calibri" w:cs="Times New Roman"/>
                <w:sz w:val="28"/>
                <w:szCs w:val="28"/>
                <w:lang w:val="en-GB"/>
              </w:rPr>
            </w:pP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Priority importance granted to combating and investigation of money laundering. The model practice established in investigating ML cases of separate categories. </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IO.8 Confiscation</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Amendments to legal framework will be drafted, in order to effectively combat ML on border, as well as to ensure dissuasive system with respect to </w:t>
            </w:r>
            <w:r w:rsidRPr="00D72AC3">
              <w:rPr>
                <w:rFonts w:eastAsia="Calibri" w:cs="Times New Roman"/>
                <w:sz w:val="28"/>
                <w:szCs w:val="28"/>
                <w:lang w:val="en-GB" w:bidi="en-GB"/>
              </w:rPr>
              <w:lastRenderedPageBreak/>
              <w:t>arrest and confiscation of cash not declared or falsely declared on border.</w:t>
            </w:r>
          </w:p>
          <w:p w:rsidR="00CE354E" w:rsidRPr="00D72AC3" w:rsidRDefault="00CE354E" w:rsidP="0077246A">
            <w:pPr>
              <w:tabs>
                <w:tab w:val="left" w:pos="0"/>
              </w:tabs>
              <w:jc w:val="both"/>
              <w:rPr>
                <w:rFonts w:eastAsia="Calibri" w:cs="Times New Roman"/>
                <w:sz w:val="28"/>
                <w:szCs w:val="28"/>
                <w:lang w:val="en-GB"/>
              </w:rPr>
            </w:pP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A single approach to applying the "reverse burden of proof" in the issues of property confiscation developed and introduced.</w:t>
            </w:r>
          </w:p>
        </w:tc>
      </w:tr>
      <w:tr w:rsidR="00CE354E" w:rsidRPr="00D72AC3" w:rsidTr="005545EE">
        <w:trPr>
          <w:trHeight w:val="454"/>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IO.9 Investigation and prosecution of financing of terrorism</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Separate report will be drafted on FT/FP national risks. On the basis of the report, the FT/FP prevention strategy will be developed.</w:t>
            </w:r>
          </w:p>
          <w:p w:rsidR="00CE354E" w:rsidRPr="00D72AC3" w:rsidRDefault="00CE354E" w:rsidP="0077246A">
            <w:pPr>
              <w:tabs>
                <w:tab w:val="left" w:pos="0"/>
              </w:tabs>
              <w:jc w:val="both"/>
              <w:rPr>
                <w:rFonts w:eastAsia="Calibri" w:cs="Times New Roman"/>
                <w:sz w:val="28"/>
                <w:szCs w:val="28"/>
                <w:lang w:val="en-GB"/>
              </w:rPr>
            </w:pPr>
          </w:p>
          <w:p w:rsidR="002A3E26"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SeP and the CS will ensure the training and supervisory guidelines, as well as will prepare informative materials and provide information to the subjects of the law.</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NGO sector risk assessment will be drafted and elevated FT risk groups will be defined.</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Active operation of the cooperation coordination platform and Counterterrorism Coordination Centre will be ensured.</w:t>
            </w: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Updated national level ML risk assessment and</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financing of terrorism risk assessment is available.</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 xml:space="preserve">The understanding raised among the involved institutions regarding the current financing of terrorism cases. </w:t>
            </w:r>
          </w:p>
        </w:tc>
      </w:tr>
      <w:tr w:rsidR="00CE354E" w:rsidRPr="00D72AC3" w:rsidTr="005545EE">
        <w:trPr>
          <w:trHeight w:val="585"/>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IO.10 Preventive measures and financial sanctions of financing of terrorism</w:t>
            </w:r>
          </w:p>
        </w:tc>
        <w:tc>
          <w:tcPr>
            <w:tcW w:w="5812"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Deficiencies in statutory regulation will be prevented (in the </w:t>
            </w:r>
            <w:r w:rsidRPr="00D72AC3">
              <w:rPr>
                <w:rFonts w:eastAsia="Calibri" w:cs="Times New Roman"/>
                <w:i/>
                <w:sz w:val="28"/>
                <w:szCs w:val="28"/>
                <w:lang w:val="en-GB" w:bidi="en-GB"/>
              </w:rPr>
              <w:t>Law On International Sanctions and National Sanctions of the Republic of Latvia</w:t>
            </w:r>
            <w:r w:rsidRPr="00D72AC3">
              <w:rPr>
                <w:rFonts w:eastAsia="Calibri" w:cs="Times New Roman"/>
                <w:sz w:val="28"/>
                <w:szCs w:val="28"/>
                <w:lang w:val="en-GB" w:bidi="en-GB"/>
              </w:rPr>
              <w:t xml:space="preserve">, the </w:t>
            </w:r>
            <w:r w:rsidRPr="00D72AC3">
              <w:rPr>
                <w:rFonts w:eastAsia="Calibri" w:cs="Times New Roman"/>
                <w:i/>
                <w:sz w:val="28"/>
                <w:szCs w:val="28"/>
                <w:lang w:val="en-GB" w:bidi="en-GB"/>
              </w:rPr>
              <w:t xml:space="preserve">Criminal Law </w:t>
            </w:r>
            <w:r w:rsidRPr="00D72AC3">
              <w:rPr>
                <w:rFonts w:eastAsia="Calibri" w:cs="Times New Roman"/>
                <w:sz w:val="28"/>
                <w:szCs w:val="28"/>
                <w:lang w:val="en-GB" w:bidi="en-GB"/>
              </w:rPr>
              <w:t xml:space="preserve">and the related </w:t>
            </w:r>
            <w:r w:rsidR="00573EA3">
              <w:rPr>
                <w:rFonts w:eastAsia="Calibri" w:cs="Times New Roman"/>
                <w:sz w:val="28"/>
                <w:szCs w:val="28"/>
                <w:lang w:val="en-GB" w:bidi="en-GB"/>
              </w:rPr>
              <w:t>C</w:t>
            </w:r>
            <w:r w:rsidRPr="00D72AC3">
              <w:rPr>
                <w:rFonts w:eastAsia="Calibri" w:cs="Times New Roman"/>
                <w:sz w:val="28"/>
                <w:szCs w:val="28"/>
                <w:lang w:val="en-GB" w:bidi="en-GB"/>
              </w:rPr>
              <w:t>abinet of Ministers regulations).</w:t>
            </w:r>
          </w:p>
          <w:p w:rsidR="00585760" w:rsidRPr="00D72AC3" w:rsidRDefault="00585760" w:rsidP="0077246A">
            <w:pPr>
              <w:tabs>
                <w:tab w:val="left" w:pos="0"/>
              </w:tabs>
              <w:jc w:val="both"/>
              <w:rPr>
                <w:rFonts w:eastAsia="Calibri" w:cs="Times New Roman"/>
                <w:sz w:val="28"/>
                <w:szCs w:val="28"/>
                <w:lang w:val="en-GB"/>
              </w:rPr>
            </w:pPr>
          </w:p>
          <w:p w:rsidR="00CE354E" w:rsidRPr="00D72AC3" w:rsidRDefault="00CE354E" w:rsidP="002A3E26">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A series of lectures organised on the sanctions and latest amendments to the </w:t>
            </w:r>
            <w:r w:rsidRPr="00D72AC3">
              <w:rPr>
                <w:rFonts w:eastAsia="Calibri" w:cs="Times New Roman"/>
                <w:i/>
                <w:sz w:val="28"/>
                <w:szCs w:val="28"/>
                <w:lang w:val="en-GB" w:bidi="en-GB"/>
              </w:rPr>
              <w:t xml:space="preserve">Law On International Sanctions and National Sanctions of the Republic </w:t>
            </w:r>
            <w:r w:rsidRPr="00D72AC3">
              <w:rPr>
                <w:rFonts w:eastAsia="Calibri" w:cs="Times New Roman"/>
                <w:i/>
                <w:sz w:val="28"/>
                <w:szCs w:val="28"/>
                <w:lang w:val="en-GB" w:bidi="en-GB"/>
              </w:rPr>
              <w:lastRenderedPageBreak/>
              <w:t>of Latvia</w:t>
            </w:r>
            <w:r w:rsidRPr="00D72AC3">
              <w:rPr>
                <w:rFonts w:eastAsia="Calibri" w:cs="Times New Roman"/>
                <w:sz w:val="28"/>
                <w:szCs w:val="28"/>
                <w:lang w:val="en-GB" w:bidi="en-GB"/>
              </w:rPr>
              <w:t xml:space="preserve">, providing for public lectures for financial sector, entrepreneurs and public at large as well as closed lectures for the representatives of other institutions. </w:t>
            </w: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lastRenderedPageBreak/>
              <w:t>Well-arranged legal framework,</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clear guidelines for all subjects,</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increased risk awareness level,</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 xml:space="preserve">internal control systems (ICS) for the subjects of the law, development of a risk-based understanding among the subjects of the law. </w:t>
            </w:r>
          </w:p>
        </w:tc>
      </w:tr>
      <w:tr w:rsidR="00CE354E" w:rsidRPr="00D72AC3" w:rsidTr="005545EE">
        <w:trPr>
          <w:trHeight w:val="567"/>
        </w:trPr>
        <w:tc>
          <w:tcPr>
            <w:tcW w:w="3544" w:type="dxa"/>
            <w:hideMark/>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IO.11 Targeted financial sanctions for combating proliferation financing</w:t>
            </w:r>
          </w:p>
        </w:tc>
        <w:tc>
          <w:tcPr>
            <w:tcW w:w="5812" w:type="dxa"/>
          </w:tcPr>
          <w:p w:rsidR="002A3E26"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Revision of the existing legal basis with respect to introduction of proliferation prevention sanctions in the </w:t>
            </w:r>
            <w:r w:rsidRPr="00D72AC3">
              <w:rPr>
                <w:rFonts w:eastAsia="Calibri" w:cs="Times New Roman"/>
                <w:i/>
                <w:sz w:val="28"/>
                <w:szCs w:val="28"/>
                <w:lang w:val="en-GB" w:bidi="en-GB"/>
              </w:rPr>
              <w:t xml:space="preserve">Law On International Sanctions and National Sanctions of the Republic of Latvia </w:t>
            </w:r>
            <w:r w:rsidRPr="00D72AC3">
              <w:rPr>
                <w:rFonts w:eastAsia="Calibri" w:cs="Times New Roman"/>
                <w:sz w:val="28"/>
                <w:szCs w:val="28"/>
                <w:lang w:val="en-GB" w:bidi="en-GB"/>
              </w:rPr>
              <w:t>and the related cabinet of Ministers regulations, in order to set in more detail the responsibility and competencies of supervisory authorities in the proliferation issues.</w:t>
            </w:r>
          </w:p>
          <w:p w:rsidR="00CE354E" w:rsidRPr="00D72AC3" w:rsidRDefault="00CE354E" w:rsidP="0077246A">
            <w:pPr>
              <w:tabs>
                <w:tab w:val="left" w:pos="0"/>
              </w:tabs>
              <w:jc w:val="both"/>
              <w:rPr>
                <w:rFonts w:eastAsia="Calibri" w:cs="Times New Roman"/>
                <w:sz w:val="28"/>
                <w:szCs w:val="28"/>
                <w:lang w:val="en-GB"/>
              </w:rPr>
            </w:pP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To expand the scope of duties of the subjects of </w:t>
            </w:r>
            <w:r w:rsidRPr="00D72AC3">
              <w:rPr>
                <w:rFonts w:eastAsia="Calibri" w:cs="Times New Roman"/>
                <w:i/>
                <w:sz w:val="28"/>
                <w:szCs w:val="28"/>
                <w:lang w:val="en-GB" w:bidi="en-GB"/>
              </w:rPr>
              <w:t xml:space="preserve">Law On International Sanctions and National Sanctions of the Republic of Latvia </w:t>
            </w:r>
            <w:r w:rsidRPr="00D72AC3">
              <w:rPr>
                <w:rFonts w:eastAsia="Calibri" w:cs="Times New Roman"/>
                <w:sz w:val="28"/>
                <w:szCs w:val="28"/>
                <w:lang w:val="en-GB" w:bidi="en-GB"/>
              </w:rPr>
              <w:t>with respect to the development of internal control system.</w:t>
            </w:r>
          </w:p>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CS, in cooperation with Moneyval secretariat, will organise the international level conference in the issues on combating financing of proliferation.</w:t>
            </w:r>
          </w:p>
          <w:p w:rsidR="002A3E26" w:rsidRPr="00D72AC3" w:rsidRDefault="002A3E26" w:rsidP="0077246A">
            <w:pPr>
              <w:tabs>
                <w:tab w:val="left" w:pos="0"/>
              </w:tabs>
              <w:jc w:val="both"/>
              <w:rPr>
                <w:rFonts w:eastAsia="Calibri" w:cs="Times New Roman"/>
                <w:sz w:val="28"/>
                <w:szCs w:val="28"/>
                <w:lang w:val="en-GB"/>
              </w:rPr>
            </w:pPr>
          </w:p>
          <w:p w:rsidR="00CE354E" w:rsidRPr="00D72AC3" w:rsidRDefault="002A3E26"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 xml:space="preserve">The composition of the Committee for Control of Goods of Strategic Significance extended, including therein the representatives from the CS and the FCMC. </w:t>
            </w:r>
          </w:p>
        </w:tc>
        <w:tc>
          <w:tcPr>
            <w:tcW w:w="5245" w:type="dxa"/>
          </w:tcPr>
          <w:p w:rsidR="00CE354E" w:rsidRPr="00D72AC3" w:rsidRDefault="00CE354E" w:rsidP="0077246A">
            <w:pPr>
              <w:tabs>
                <w:tab w:val="left" w:pos="0"/>
              </w:tabs>
              <w:jc w:val="both"/>
              <w:rPr>
                <w:rFonts w:eastAsia="Calibri" w:cs="Times New Roman"/>
                <w:sz w:val="28"/>
                <w:szCs w:val="28"/>
                <w:lang w:val="en-GB"/>
              </w:rPr>
            </w:pPr>
            <w:r w:rsidRPr="00D72AC3">
              <w:rPr>
                <w:rFonts w:eastAsia="Calibri" w:cs="Times New Roman"/>
                <w:sz w:val="28"/>
                <w:szCs w:val="28"/>
                <w:lang w:val="en-GB" w:bidi="en-GB"/>
              </w:rPr>
              <w:t>The legal framework for combating proliferation financing improved,</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adequate resources ensured for supervision of financial sanctions, a duty imposed on the subjects to ensure the establishment of internal control systems,</w:t>
            </w:r>
            <w:r w:rsidR="00D72AC3" w:rsidRPr="00D72AC3">
              <w:rPr>
                <w:rFonts w:eastAsia="Calibri" w:cs="Times New Roman"/>
                <w:sz w:val="28"/>
                <w:szCs w:val="28"/>
                <w:lang w:val="en-GB" w:bidi="en-GB"/>
              </w:rPr>
              <w:t xml:space="preserve"> </w:t>
            </w:r>
            <w:r w:rsidRPr="00D72AC3">
              <w:rPr>
                <w:rFonts w:eastAsia="Calibri" w:cs="Times New Roman"/>
                <w:sz w:val="28"/>
                <w:szCs w:val="28"/>
                <w:lang w:val="en-GB" w:bidi="en-GB"/>
              </w:rPr>
              <w:t xml:space="preserve">the composition of the Committee for Control of Goods of Strategic Significance extended, international cooperation in combating proliferation financing developed. </w:t>
            </w:r>
          </w:p>
        </w:tc>
      </w:tr>
    </w:tbl>
    <w:p w:rsidR="002A3E26" w:rsidRPr="00D72AC3" w:rsidRDefault="002A3E26" w:rsidP="00796432">
      <w:pPr>
        <w:ind w:left="720" w:firstLine="720"/>
        <w:jc w:val="both"/>
        <w:rPr>
          <w:rFonts w:eastAsia="Calibri" w:cs="Times New Roman"/>
          <w:sz w:val="28"/>
          <w:szCs w:val="28"/>
          <w:lang w:val="en-GB"/>
        </w:rPr>
      </w:pPr>
    </w:p>
    <w:p w:rsidR="00796432" w:rsidRPr="00D72AC3" w:rsidRDefault="00796432" w:rsidP="00505985">
      <w:pPr>
        <w:ind w:firstLine="720"/>
        <w:jc w:val="both"/>
        <w:rPr>
          <w:rFonts w:eastAsia="Calibri" w:cs="Times New Roman"/>
          <w:sz w:val="28"/>
          <w:szCs w:val="28"/>
          <w:lang w:val="en-GB"/>
        </w:rPr>
      </w:pPr>
      <w:r w:rsidRPr="00D72AC3">
        <w:rPr>
          <w:rFonts w:eastAsia="Calibri" w:cs="Times New Roman"/>
          <w:sz w:val="28"/>
          <w:szCs w:val="28"/>
          <w:lang w:val="en-GB" w:bidi="en-GB"/>
        </w:rPr>
        <w:lastRenderedPageBreak/>
        <w:t>The Plan covers wide set of measures, the result whereof can only be achieved by cooperation between the institutions and implementing these measures according to the term set by the Plan. By adopting this Plan, developed in professional and results-oriented cooperation of all competent authorities of Latvia, the Cabinet of Ministers:</w:t>
      </w:r>
    </w:p>
    <w:p w:rsidR="00796432" w:rsidRPr="00D72AC3" w:rsidRDefault="009B7E09" w:rsidP="00796432">
      <w:pPr>
        <w:pStyle w:val="ListParagraph"/>
        <w:numPr>
          <w:ilvl w:val="0"/>
          <w:numId w:val="41"/>
        </w:numPr>
        <w:jc w:val="both"/>
        <w:rPr>
          <w:rFonts w:eastAsia="Calibri" w:cs="Times New Roman"/>
          <w:sz w:val="28"/>
          <w:szCs w:val="28"/>
          <w:lang w:val="en-GB"/>
        </w:rPr>
      </w:pPr>
      <w:r w:rsidRPr="00D72AC3">
        <w:rPr>
          <w:rFonts w:eastAsia="Calibri" w:cs="Times New Roman"/>
          <w:sz w:val="28"/>
          <w:szCs w:val="28"/>
          <w:lang w:val="en-GB" w:bidi="en-GB"/>
        </w:rPr>
        <w:t>expects quality and coordinate</w:t>
      </w:r>
      <w:r w:rsidR="00877EA5">
        <w:rPr>
          <w:rFonts w:eastAsia="Calibri" w:cs="Times New Roman"/>
          <w:sz w:val="28"/>
          <w:szCs w:val="28"/>
          <w:lang w:val="en-GB" w:bidi="en-GB"/>
        </w:rPr>
        <w:t>d</w:t>
      </w:r>
      <w:r w:rsidRPr="00D72AC3">
        <w:rPr>
          <w:rFonts w:eastAsia="Calibri" w:cs="Times New Roman"/>
          <w:sz w:val="28"/>
          <w:szCs w:val="28"/>
          <w:lang w:val="en-GB" w:bidi="en-GB"/>
        </w:rPr>
        <w:t xml:space="preserve"> fulfilment of the measures from all involved institutions, involving the best </w:t>
      </w:r>
      <w:r w:rsidR="00877EA5">
        <w:rPr>
          <w:rFonts w:eastAsia="Calibri" w:cs="Times New Roman"/>
          <w:sz w:val="28"/>
          <w:szCs w:val="28"/>
          <w:lang w:val="en-GB" w:bidi="en-GB"/>
        </w:rPr>
        <w:t>industry</w:t>
      </w:r>
      <w:r w:rsidR="00877EA5" w:rsidRPr="00D72AC3">
        <w:rPr>
          <w:rFonts w:eastAsia="Calibri" w:cs="Times New Roman"/>
          <w:sz w:val="28"/>
          <w:szCs w:val="28"/>
          <w:lang w:val="en-GB" w:bidi="en-GB"/>
        </w:rPr>
        <w:t xml:space="preserve"> </w:t>
      </w:r>
      <w:r w:rsidRPr="00D72AC3">
        <w:rPr>
          <w:rFonts w:eastAsia="Calibri" w:cs="Times New Roman"/>
          <w:sz w:val="28"/>
          <w:szCs w:val="28"/>
          <w:lang w:val="en-GB" w:bidi="en-GB"/>
        </w:rPr>
        <w:t>professionals into decision making process;</w:t>
      </w:r>
    </w:p>
    <w:p w:rsidR="00796432" w:rsidRPr="00D72AC3" w:rsidRDefault="009B7E09" w:rsidP="00796432">
      <w:pPr>
        <w:pStyle w:val="ListParagraph"/>
        <w:numPr>
          <w:ilvl w:val="0"/>
          <w:numId w:val="41"/>
        </w:numPr>
        <w:jc w:val="both"/>
        <w:rPr>
          <w:rFonts w:eastAsia="Calibri" w:cs="Times New Roman"/>
          <w:sz w:val="28"/>
          <w:szCs w:val="28"/>
          <w:lang w:val="en-GB"/>
        </w:rPr>
      </w:pPr>
      <w:r w:rsidRPr="00D72AC3">
        <w:rPr>
          <w:rFonts w:eastAsia="Calibri" w:cs="Times New Roman"/>
          <w:sz w:val="28"/>
          <w:szCs w:val="28"/>
          <w:lang w:val="en-GB" w:bidi="en-GB"/>
        </w:rPr>
        <w:t>invites the heads of the institutions to ensure communicating the adoption of the Plan to their subordinates and employees, emphasising its relevance for the international reputation o</w:t>
      </w:r>
      <w:r w:rsidR="0023616A">
        <w:rPr>
          <w:rFonts w:eastAsia="Calibri" w:cs="Times New Roman"/>
          <w:sz w:val="28"/>
          <w:szCs w:val="28"/>
          <w:lang w:val="en-GB" w:bidi="en-GB"/>
        </w:rPr>
        <w:t>f</w:t>
      </w:r>
      <w:r w:rsidRPr="00D72AC3">
        <w:rPr>
          <w:rFonts w:eastAsia="Calibri" w:cs="Times New Roman"/>
          <w:sz w:val="28"/>
          <w:szCs w:val="28"/>
          <w:lang w:val="en-GB" w:bidi="en-GB"/>
        </w:rPr>
        <w:t xml:space="preserve"> the country and the possibility of each involved employee to influence it;</w:t>
      </w:r>
    </w:p>
    <w:p w:rsidR="009B7E09" w:rsidRPr="00D72AC3" w:rsidRDefault="009B7E09" w:rsidP="00796432">
      <w:pPr>
        <w:pStyle w:val="ListParagraph"/>
        <w:numPr>
          <w:ilvl w:val="0"/>
          <w:numId w:val="41"/>
        </w:numPr>
        <w:jc w:val="both"/>
        <w:rPr>
          <w:rFonts w:eastAsia="Calibri" w:cs="Times New Roman"/>
          <w:sz w:val="28"/>
          <w:szCs w:val="28"/>
          <w:lang w:val="en-GB"/>
        </w:rPr>
      </w:pPr>
      <w:r w:rsidRPr="00D72AC3">
        <w:rPr>
          <w:rFonts w:eastAsia="Calibri" w:cs="Times New Roman"/>
          <w:sz w:val="28"/>
          <w:szCs w:val="28"/>
          <w:lang w:val="en-GB" w:bidi="en-GB"/>
        </w:rPr>
        <w:t>emphasises that the achievement of the planned outcome shall not allow for deviations from the terms prescribed by the Plan, postponing or non-fulfilment of the tasks, and invites the involved institutions to take it into account, when planning their work;</w:t>
      </w:r>
    </w:p>
    <w:p w:rsidR="00796432" w:rsidRPr="00D72AC3" w:rsidRDefault="009B7E09" w:rsidP="00796432">
      <w:pPr>
        <w:pStyle w:val="ListParagraph"/>
        <w:numPr>
          <w:ilvl w:val="0"/>
          <w:numId w:val="41"/>
        </w:numPr>
        <w:jc w:val="both"/>
        <w:rPr>
          <w:rFonts w:eastAsia="Calibri" w:cs="Times New Roman"/>
          <w:sz w:val="28"/>
          <w:szCs w:val="28"/>
          <w:lang w:val="en-GB"/>
        </w:rPr>
      </w:pPr>
      <w:r w:rsidRPr="00D72AC3">
        <w:rPr>
          <w:rFonts w:eastAsia="Calibri" w:cs="Times New Roman"/>
          <w:sz w:val="28"/>
          <w:szCs w:val="28"/>
          <w:lang w:val="en-GB" w:bidi="en-GB"/>
        </w:rPr>
        <w:t>will invite the Saeima (Parliament) to review the issues under its competence under priority procedure.</w:t>
      </w:r>
    </w:p>
    <w:p w:rsidR="00796432" w:rsidRPr="00D72AC3" w:rsidRDefault="00796432" w:rsidP="00796432">
      <w:pPr>
        <w:pStyle w:val="Heading1"/>
        <w:rPr>
          <w:sz w:val="40"/>
          <w:szCs w:val="40"/>
        </w:rPr>
      </w:pPr>
      <w:r w:rsidRPr="00D72AC3">
        <w:rPr>
          <w:rFonts w:eastAsia="Calibri"/>
          <w:sz w:val="28"/>
          <w:szCs w:val="28"/>
          <w:lang w:bidi="en-GB"/>
        </w:rPr>
        <w:tab/>
      </w:r>
      <w:bookmarkStart w:id="3" w:name="_Toc526510431"/>
      <w:r w:rsidRPr="00D72AC3">
        <w:rPr>
          <w:sz w:val="40"/>
          <w:szCs w:val="40"/>
          <w:lang w:bidi="en-GB"/>
        </w:rPr>
        <w:t>II. Money Laundering and Terrorism Financing Risk Assessment</w:t>
      </w:r>
      <w:bookmarkEnd w:id="3"/>
      <w:r w:rsidRPr="00D72AC3">
        <w:rPr>
          <w:sz w:val="40"/>
          <w:szCs w:val="40"/>
          <w:lang w:bidi="en-GB"/>
        </w:rPr>
        <w:t xml:space="preserve"> </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The NRA approved in 2017 was prepared according to the methodology, which, for the purposes of risk assessment, contains nine separate interrelated modules - national ML threats assessment, national ML vulnerability assessment, assessment of vulnerability of banking sector, securities sector, insurance sector, other financial institutions, non-financial sector, terrorism financing risk assessment and assessment of the risks of availability of financial services. The NRA provides information on the situation in the fields of combating ML/FT, by means of statistical data for the time period from 2013 till 2016, as well as information on the identified risks and the necessary action for restricting the identified risks.</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In the NRA it was detected that the most significant threats in the AML field are created by the following crimes:</w:t>
      </w:r>
      <w:r w:rsidRPr="00D72AC3">
        <w:rPr>
          <w:rStyle w:val="FootnoteReference"/>
          <w:rFonts w:cs="Times New Roman"/>
          <w:sz w:val="28"/>
          <w:szCs w:val="28"/>
          <w:lang w:val="en-GB" w:bidi="en-GB"/>
        </w:rPr>
        <w:footnoteReference w:id="2"/>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 corruption and bribery (misdemeanour in office);</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 xml:space="preserve">- crimes in the field of taxes; </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lastRenderedPageBreak/>
        <w:tab/>
        <w:t>- fraud;</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 smuggling;</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 crimes committed in large scale and/or by an organised group;</w:t>
      </w:r>
    </w:p>
    <w:p w:rsidR="00796432" w:rsidRPr="00D72AC3" w:rsidRDefault="00796432" w:rsidP="00796432">
      <w:pPr>
        <w:ind w:left="720"/>
        <w:jc w:val="both"/>
        <w:rPr>
          <w:rFonts w:cs="Times New Roman"/>
          <w:bCs/>
          <w:sz w:val="28"/>
          <w:szCs w:val="28"/>
          <w:lang w:val="en-GB"/>
        </w:rPr>
      </w:pPr>
      <w:r w:rsidRPr="00D72AC3">
        <w:rPr>
          <w:rFonts w:cs="Times New Roman"/>
          <w:sz w:val="28"/>
          <w:szCs w:val="28"/>
          <w:lang w:val="en-GB" w:bidi="en-GB"/>
        </w:rPr>
        <w:t>- proportionately larger threat is caused by the crimes committed abroad, as a result whereof the ML takes place in Latvia or by abusing the banking system of Latvia;</w:t>
      </w:r>
    </w:p>
    <w:p w:rsidR="00796432" w:rsidRPr="00D72AC3" w:rsidRDefault="00796432" w:rsidP="00796432">
      <w:pPr>
        <w:ind w:left="720"/>
        <w:jc w:val="both"/>
        <w:rPr>
          <w:rFonts w:cs="Times New Roman"/>
          <w:bCs/>
          <w:sz w:val="28"/>
          <w:szCs w:val="28"/>
          <w:lang w:val="en-GB"/>
        </w:rPr>
      </w:pPr>
      <w:r w:rsidRPr="00D72AC3">
        <w:rPr>
          <w:rFonts w:cs="Times New Roman"/>
          <w:sz w:val="28"/>
          <w:szCs w:val="28"/>
          <w:lang w:val="en-GB" w:bidi="en-GB"/>
        </w:rPr>
        <w:t xml:space="preserve">- the role of the subjects of the </w:t>
      </w:r>
      <w:r w:rsidRPr="00D72AC3">
        <w:rPr>
          <w:rFonts w:cs="Times New Roman"/>
          <w:i/>
          <w:sz w:val="28"/>
          <w:szCs w:val="28"/>
          <w:lang w:val="en-GB" w:bidi="en-GB"/>
        </w:rPr>
        <w:t>Law on PMLTF</w:t>
      </w:r>
      <w:r w:rsidRPr="00D72AC3">
        <w:rPr>
          <w:rFonts w:cs="Times New Roman"/>
          <w:sz w:val="28"/>
          <w:szCs w:val="28"/>
          <w:lang w:val="en-GB" w:bidi="en-GB"/>
        </w:rPr>
        <w:t xml:space="preserve"> of the non-financial field in the sectors of real estate, legal and accounting services, when providing support in ML;</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 xml:space="preserve">- increased concentration of the foreign customer base of the credit institutions </w:t>
      </w:r>
      <w:r w:rsidRPr="00D72AC3">
        <w:rPr>
          <w:rStyle w:val="FootnoteReference"/>
          <w:rFonts w:cs="Times New Roman"/>
          <w:sz w:val="28"/>
          <w:szCs w:val="28"/>
          <w:lang w:val="en-GB" w:bidi="en-GB"/>
        </w:rPr>
        <w:footnoteReference w:id="3"/>
      </w:r>
      <w:r w:rsidRPr="00D72AC3">
        <w:rPr>
          <w:rFonts w:cs="Times New Roman"/>
          <w:sz w:val="28"/>
          <w:szCs w:val="28"/>
          <w:lang w:val="en-GB" w:bidi="en-GB"/>
        </w:rPr>
        <w:t>;</w:t>
      </w:r>
    </w:p>
    <w:p w:rsidR="00796432" w:rsidRPr="00D72AC3" w:rsidRDefault="00796432" w:rsidP="00796432">
      <w:pPr>
        <w:ind w:left="720"/>
        <w:jc w:val="both"/>
        <w:rPr>
          <w:rFonts w:cs="Times New Roman"/>
          <w:bCs/>
          <w:sz w:val="28"/>
          <w:szCs w:val="28"/>
          <w:lang w:val="en-GB"/>
        </w:rPr>
      </w:pPr>
      <w:r w:rsidRPr="00D72AC3">
        <w:rPr>
          <w:rFonts w:cs="Times New Roman"/>
          <w:sz w:val="28"/>
          <w:szCs w:val="28"/>
          <w:lang w:val="en-GB" w:bidi="en-GB"/>
        </w:rPr>
        <w:t>- implementation of violations or evasion from the sanctions set by Latvia, European Union, United Nations Organisation, by means of the Latvian financial system;</w:t>
      </w:r>
    </w:p>
    <w:p w:rsidR="00796432" w:rsidRPr="00D72AC3" w:rsidRDefault="00796432" w:rsidP="00796432">
      <w:pPr>
        <w:ind w:left="720"/>
        <w:jc w:val="both"/>
        <w:rPr>
          <w:rFonts w:cs="Times New Roman"/>
          <w:bCs/>
          <w:sz w:val="28"/>
          <w:szCs w:val="28"/>
          <w:lang w:val="en-GB"/>
        </w:rPr>
      </w:pPr>
      <w:r w:rsidRPr="00D72AC3">
        <w:rPr>
          <w:rFonts w:cs="Times New Roman"/>
          <w:sz w:val="28"/>
          <w:szCs w:val="28"/>
          <w:lang w:val="en-GB" w:bidi="en-GB"/>
        </w:rPr>
        <w:t>- manipulative transactions (both market manipulations and those performed with the purpose of committing unlawful manipulations with the financial information of a foreign enterprise, including bank).</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Main threats of financing terrorism:</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 possible joining of Latvian residents to the terrorist groups;</w:t>
      </w:r>
    </w:p>
    <w:p w:rsidR="00796432" w:rsidRPr="00D72AC3" w:rsidRDefault="00796432" w:rsidP="00796432">
      <w:pPr>
        <w:ind w:left="720"/>
        <w:jc w:val="both"/>
        <w:rPr>
          <w:rFonts w:cs="Times New Roman"/>
          <w:bCs/>
          <w:sz w:val="28"/>
          <w:szCs w:val="28"/>
          <w:lang w:val="en-GB"/>
        </w:rPr>
      </w:pPr>
      <w:r w:rsidRPr="00D72AC3">
        <w:rPr>
          <w:rFonts w:cs="Times New Roman"/>
          <w:sz w:val="28"/>
          <w:szCs w:val="28"/>
          <w:lang w:val="en-GB" w:bidi="en-GB"/>
        </w:rPr>
        <w:t>- possible use of the non-government organisations and entrepreneurial environment for financing terrorism and concealed or disguised channelling of the funds intended for lawful purposes to terrorist organisations or their members;</w:t>
      </w:r>
    </w:p>
    <w:p w:rsidR="00796432" w:rsidRPr="00D72AC3" w:rsidRDefault="00796432" w:rsidP="00796432">
      <w:pPr>
        <w:ind w:left="720"/>
        <w:jc w:val="both"/>
        <w:rPr>
          <w:rFonts w:cs="Times New Roman"/>
          <w:bCs/>
          <w:sz w:val="28"/>
          <w:szCs w:val="28"/>
          <w:lang w:val="en-GB"/>
        </w:rPr>
      </w:pPr>
      <w:r w:rsidRPr="00D72AC3">
        <w:rPr>
          <w:rFonts w:cs="Times New Roman"/>
          <w:sz w:val="28"/>
          <w:szCs w:val="28"/>
          <w:lang w:val="en-GB" w:bidi="en-GB"/>
        </w:rPr>
        <w:t>- possible use of separate subjects of the</w:t>
      </w:r>
      <w:r w:rsidRPr="00D72AC3">
        <w:rPr>
          <w:rFonts w:cs="Times New Roman"/>
          <w:i/>
          <w:sz w:val="28"/>
          <w:szCs w:val="28"/>
          <w:lang w:val="en-GB" w:bidi="en-GB"/>
        </w:rPr>
        <w:t xml:space="preserve"> Law on PMLTF</w:t>
      </w:r>
      <w:r w:rsidRPr="00D72AC3">
        <w:rPr>
          <w:rFonts w:cs="Times New Roman"/>
          <w:sz w:val="28"/>
          <w:szCs w:val="28"/>
          <w:lang w:val="en-GB" w:bidi="en-GB"/>
        </w:rPr>
        <w:t xml:space="preserve"> for acquisition of funds and channelling thereof to the terrorist organisations or their members.</w:t>
      </w:r>
      <w:r w:rsidR="00D72AC3" w:rsidRPr="00D72AC3">
        <w:rPr>
          <w:rFonts w:cs="Times New Roman"/>
          <w:sz w:val="28"/>
          <w:szCs w:val="28"/>
          <w:lang w:val="en-GB" w:bidi="en-GB"/>
        </w:rPr>
        <w:t xml:space="preserve"> </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According to the NRA the level of threats of the ML legalisation has been assessed as moderately high and the level of threats of financing of terrorism - as low.</w:t>
      </w:r>
    </w:p>
    <w:p w:rsidR="00796432" w:rsidRPr="00D72AC3" w:rsidRDefault="00796432" w:rsidP="00796432">
      <w:pPr>
        <w:rPr>
          <w:rFonts w:cs="Times New Roman"/>
          <w:bCs/>
          <w:sz w:val="28"/>
          <w:szCs w:val="28"/>
          <w:lang w:val="en-GB"/>
        </w:rPr>
      </w:pPr>
    </w:p>
    <w:p w:rsidR="00796432" w:rsidRPr="00D72AC3" w:rsidRDefault="00796432" w:rsidP="00796432">
      <w:pPr>
        <w:jc w:val="both"/>
        <w:rPr>
          <w:rFonts w:cs="Times New Roman"/>
          <w:b/>
          <w:bCs/>
          <w:sz w:val="28"/>
          <w:szCs w:val="28"/>
          <w:lang w:val="en-GB"/>
        </w:rPr>
      </w:pPr>
      <w:r w:rsidRPr="00D72AC3">
        <w:rPr>
          <w:rFonts w:cs="Times New Roman"/>
          <w:b/>
          <w:sz w:val="28"/>
          <w:szCs w:val="28"/>
          <w:lang w:val="en-GB" w:bidi="en-GB"/>
        </w:rPr>
        <w:t>National vulnerability</w:t>
      </w:r>
      <w:r w:rsidRPr="00D72AC3">
        <w:rPr>
          <w:rStyle w:val="FootnoteReference"/>
          <w:rFonts w:cs="Times New Roman"/>
          <w:b/>
          <w:sz w:val="28"/>
          <w:szCs w:val="28"/>
          <w:lang w:val="en-GB" w:bidi="en-GB"/>
        </w:rPr>
        <w:footnoteReference w:id="4"/>
      </w:r>
      <w:r w:rsidRPr="00D72AC3">
        <w:rPr>
          <w:rFonts w:cs="Times New Roman"/>
          <w:b/>
          <w:sz w:val="28"/>
          <w:szCs w:val="28"/>
          <w:lang w:val="en-GB" w:bidi="en-GB"/>
        </w:rPr>
        <w:t>:</w:t>
      </w:r>
    </w:p>
    <w:p w:rsidR="00796432" w:rsidRPr="00D72AC3" w:rsidRDefault="00796432" w:rsidP="00796432">
      <w:pPr>
        <w:jc w:val="both"/>
        <w:rPr>
          <w:rFonts w:cs="Times New Roman"/>
          <w:b/>
          <w:bCs/>
          <w:sz w:val="28"/>
          <w:szCs w:val="28"/>
          <w:lang w:val="en-GB"/>
        </w:rPr>
      </w:pP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lastRenderedPageBreak/>
        <w:tab/>
        <w:t xml:space="preserve">When assessing the national vulnerability risks, the capacities of the institutional system of the country in the field of combating ML/FT have been aggregated, the sufficiency of the statutory regulation has been assessed, the capacity and readiness of the institutions and officers involved in combating ML/FT to adequately react to the threats have been assessed. </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In the AML/CFT field the policy is formed in a scattered way, not always ensuring sufficient coordination among the involved institutions, thus impeding the timely identification of the existing and future threats and vulnerabilities in the AML/CFT field and possibilities to timely prevent them;</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different understanding and practice in the AML/CFT and combating issues in the investigatory authority, prosecutor's office and court;</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insufficient involvement of the private sector into enhancement of the AML/CFT system.</w:t>
      </w:r>
    </w:p>
    <w:p w:rsidR="00796432" w:rsidRPr="00D72AC3" w:rsidRDefault="00796432" w:rsidP="00796432">
      <w:pPr>
        <w:jc w:val="both"/>
        <w:rPr>
          <w:rFonts w:cs="Times New Roman"/>
          <w:b/>
          <w:bCs/>
          <w:sz w:val="28"/>
          <w:szCs w:val="28"/>
          <w:lang w:val="en-GB"/>
        </w:rPr>
      </w:pPr>
    </w:p>
    <w:p w:rsidR="00796432" w:rsidRPr="00D72AC3" w:rsidRDefault="00796432" w:rsidP="00796432">
      <w:pPr>
        <w:jc w:val="both"/>
        <w:rPr>
          <w:rFonts w:cs="Times New Roman"/>
          <w:b/>
          <w:bCs/>
          <w:sz w:val="28"/>
          <w:szCs w:val="28"/>
          <w:lang w:val="en-GB"/>
        </w:rPr>
      </w:pPr>
      <w:r w:rsidRPr="00D72AC3">
        <w:rPr>
          <w:rFonts w:cs="Times New Roman"/>
          <w:b/>
          <w:sz w:val="28"/>
          <w:szCs w:val="28"/>
          <w:lang w:val="en-GB" w:bidi="en-GB"/>
        </w:rPr>
        <w:t>Vulnerability of financial sector:</w:t>
      </w:r>
    </w:p>
    <w:p w:rsidR="00796432" w:rsidRPr="00D72AC3" w:rsidRDefault="00796432" w:rsidP="00796432">
      <w:pPr>
        <w:jc w:val="both"/>
        <w:rPr>
          <w:rFonts w:cs="Times New Roman"/>
          <w:bCs/>
          <w:sz w:val="28"/>
          <w:szCs w:val="28"/>
          <w:lang w:val="en-GB"/>
        </w:rPr>
      </w:pP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Assumption of the increased ML/FT risk on the part of the credit institutions operating in the increased ML/FT risk zone (servicing foreign customers), not corresponding to the ability to ensure sufficient management of the said risk, as well as:</w:t>
      </w:r>
    </w:p>
    <w:p w:rsidR="00796432" w:rsidRPr="00D72AC3" w:rsidRDefault="00796432" w:rsidP="00796432">
      <w:pPr>
        <w:ind w:left="720" w:hanging="360"/>
        <w:jc w:val="both"/>
        <w:rPr>
          <w:rFonts w:cs="Times New Roman"/>
          <w:bCs/>
          <w:sz w:val="28"/>
          <w:szCs w:val="28"/>
          <w:lang w:val="en-GB"/>
        </w:rPr>
      </w:pPr>
      <w:r w:rsidRPr="00D72AC3">
        <w:rPr>
          <w:rFonts w:cs="Times New Roman"/>
          <w:sz w:val="28"/>
          <w:szCs w:val="28"/>
          <w:lang w:val="en-GB" w:bidi="en-GB"/>
        </w:rPr>
        <w:t xml:space="preserve">- </w:t>
      </w:r>
      <w:r w:rsidRPr="00D72AC3">
        <w:rPr>
          <w:rFonts w:cs="Times New Roman"/>
          <w:sz w:val="28"/>
          <w:szCs w:val="28"/>
          <w:lang w:val="en-GB" w:bidi="en-GB"/>
        </w:rPr>
        <w:tab/>
        <w:t>considerable part of the banking sector is comprised of the credit institutions, which have focussed on servicing foreign customers, characterised by number of increased risk factors</w:t>
      </w:r>
      <w:r w:rsidRPr="00D72AC3">
        <w:rPr>
          <w:rStyle w:val="FootnoteReference"/>
          <w:rFonts w:cs="Times New Roman"/>
          <w:sz w:val="28"/>
          <w:szCs w:val="28"/>
          <w:lang w:val="en-GB" w:bidi="en-GB"/>
        </w:rPr>
        <w:footnoteReference w:id="5"/>
      </w:r>
      <w:r w:rsidRPr="00D72AC3">
        <w:rPr>
          <w:rFonts w:cs="Times New Roman"/>
          <w:sz w:val="28"/>
          <w:szCs w:val="28"/>
          <w:lang w:val="en-GB" w:bidi="en-GB"/>
        </w:rPr>
        <w:t>;</w:t>
      </w:r>
    </w:p>
    <w:p w:rsidR="00796432" w:rsidRPr="00D72AC3" w:rsidRDefault="00796432" w:rsidP="00796432">
      <w:pPr>
        <w:ind w:left="720" w:hanging="360"/>
        <w:jc w:val="both"/>
        <w:rPr>
          <w:rFonts w:cs="Times New Roman"/>
          <w:bCs/>
          <w:sz w:val="28"/>
          <w:szCs w:val="28"/>
          <w:lang w:val="en-GB"/>
        </w:rPr>
      </w:pPr>
      <w:r w:rsidRPr="00D72AC3">
        <w:rPr>
          <w:rFonts w:cs="Times New Roman"/>
          <w:sz w:val="28"/>
          <w:szCs w:val="28"/>
          <w:lang w:val="en-GB" w:bidi="en-GB"/>
        </w:rPr>
        <w:t>- correspondent banking relationship of the banks servicing foreign customers with the credit institutions of the CIS countries, which, as an integral part, is present in all large-scale fraudulent schemes, where Latvian credit institutions servicing foreign customers are mentioned over the period of last years;</w:t>
      </w:r>
    </w:p>
    <w:p w:rsidR="00796432" w:rsidRPr="00D72AC3" w:rsidRDefault="00796432" w:rsidP="00796432">
      <w:pPr>
        <w:ind w:left="720" w:hanging="360"/>
        <w:jc w:val="both"/>
        <w:rPr>
          <w:rFonts w:cs="Times New Roman"/>
          <w:bCs/>
          <w:sz w:val="28"/>
          <w:szCs w:val="28"/>
          <w:lang w:val="en-GB"/>
        </w:rPr>
      </w:pPr>
      <w:r w:rsidRPr="00D72AC3">
        <w:rPr>
          <w:rFonts w:cs="Times New Roman"/>
          <w:sz w:val="28"/>
          <w:szCs w:val="28"/>
          <w:lang w:val="en-GB" w:bidi="en-GB"/>
        </w:rPr>
        <w:t>- the wish of the credit institutions to obtain profit in large ML/FT risk exposures, without performing adequate risk hedging;</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 xml:space="preserve">insufficient independence of the internal control systems (hereinafter - the ICS), caused by significant flaws in organisational structure (insufficient observance of the corporate governance principles, </w:t>
      </w:r>
      <w:r w:rsidRPr="00D72AC3">
        <w:rPr>
          <w:rFonts w:cs="Times New Roman"/>
          <w:i/>
          <w:sz w:val="28"/>
          <w:szCs w:val="28"/>
          <w:lang w:val="en-GB" w:bidi="en-GB"/>
        </w:rPr>
        <w:t>inter alia</w:t>
      </w:r>
      <w:r w:rsidRPr="00D72AC3">
        <w:rPr>
          <w:rFonts w:cs="Times New Roman"/>
          <w:sz w:val="28"/>
          <w:szCs w:val="28"/>
          <w:lang w:val="en-GB" w:bidi="en-GB"/>
        </w:rPr>
        <w:t>, involvement of the shareholders of the bank into the ICS management);</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insufficient staff competence within the scope of the ICS and flaws in the field of ensuring individual liability;</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lastRenderedPageBreak/>
        <w:t xml:space="preserve">inappropriate IT systems in the ML/FT risk management; </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formal fulfilment of the enhanced customer due diligence requirements.</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ab/>
        <w:t>In the field of payment institutions and investment services the vulnerability is caused by the circumstances similar to the above mentioned factors.</w:t>
      </w:r>
    </w:p>
    <w:p w:rsidR="00796432" w:rsidRPr="00D72AC3" w:rsidRDefault="00796432" w:rsidP="00796432">
      <w:pPr>
        <w:jc w:val="both"/>
        <w:rPr>
          <w:rFonts w:cs="Times New Roman"/>
          <w:bCs/>
          <w:sz w:val="28"/>
          <w:szCs w:val="28"/>
          <w:lang w:val="en-GB"/>
        </w:rPr>
      </w:pPr>
      <w:r w:rsidRPr="00D72AC3">
        <w:rPr>
          <w:rFonts w:cs="Times New Roman"/>
          <w:sz w:val="28"/>
          <w:szCs w:val="28"/>
          <w:lang w:val="en-GB" w:bidi="en-GB"/>
        </w:rPr>
        <w:t>The legal framework does not have a clearly defined supervisory and control authorities with respect to the implementation of the AML/CFT measures by separate financial service providers.</w:t>
      </w:r>
    </w:p>
    <w:p w:rsidR="00796432" w:rsidRPr="00D72AC3" w:rsidRDefault="00796432" w:rsidP="00796432">
      <w:pPr>
        <w:jc w:val="both"/>
        <w:rPr>
          <w:rFonts w:cs="Times New Roman"/>
          <w:bCs/>
          <w:sz w:val="28"/>
          <w:szCs w:val="28"/>
          <w:lang w:val="en-GB"/>
        </w:rPr>
      </w:pPr>
    </w:p>
    <w:p w:rsidR="00796432" w:rsidRPr="00D72AC3" w:rsidRDefault="00796432" w:rsidP="00796432">
      <w:pPr>
        <w:jc w:val="both"/>
        <w:rPr>
          <w:rFonts w:cs="Times New Roman"/>
          <w:b/>
          <w:bCs/>
          <w:sz w:val="28"/>
          <w:szCs w:val="28"/>
          <w:lang w:val="en-GB"/>
        </w:rPr>
      </w:pPr>
      <w:r w:rsidRPr="00D72AC3">
        <w:rPr>
          <w:rFonts w:cs="Times New Roman"/>
          <w:b/>
          <w:sz w:val="28"/>
          <w:szCs w:val="28"/>
          <w:lang w:val="en-GB" w:bidi="en-GB"/>
        </w:rPr>
        <w:t>Vulnerability of non-financial sector:</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insufficient supervision capacity of the supervisory and control authorities of the subjects of non-financial sector;</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lack of understanding and weak knowledge in the AML/CFT field;</w:t>
      </w:r>
    </w:p>
    <w:p w:rsidR="00796432" w:rsidRPr="00D72AC3" w:rsidRDefault="00796432" w:rsidP="00796432">
      <w:pPr>
        <w:pStyle w:val="ListParagraph"/>
        <w:numPr>
          <w:ilvl w:val="0"/>
          <w:numId w:val="2"/>
        </w:numPr>
        <w:jc w:val="both"/>
        <w:rPr>
          <w:rFonts w:cs="Times New Roman"/>
          <w:bCs/>
          <w:sz w:val="28"/>
          <w:szCs w:val="28"/>
          <w:lang w:val="en-GB"/>
        </w:rPr>
      </w:pPr>
      <w:r w:rsidRPr="00D72AC3">
        <w:rPr>
          <w:rFonts w:cs="Times New Roman"/>
          <w:sz w:val="28"/>
          <w:szCs w:val="28"/>
          <w:lang w:val="en-GB" w:bidi="en-GB"/>
        </w:rPr>
        <w:t xml:space="preserve">insufficient AML/CFT regulations and weak supervision; </w:t>
      </w:r>
    </w:p>
    <w:p w:rsidR="00796432" w:rsidRPr="00D72AC3" w:rsidRDefault="00796432" w:rsidP="00796432">
      <w:pPr>
        <w:pStyle w:val="ListParagraph"/>
        <w:numPr>
          <w:ilvl w:val="0"/>
          <w:numId w:val="2"/>
        </w:numPr>
        <w:jc w:val="both"/>
        <w:rPr>
          <w:rFonts w:cs="Times New Roman"/>
          <w:b/>
          <w:bCs/>
          <w:sz w:val="28"/>
          <w:szCs w:val="28"/>
          <w:lang w:val="en-GB"/>
        </w:rPr>
      </w:pPr>
      <w:r w:rsidRPr="00D72AC3">
        <w:rPr>
          <w:rFonts w:cs="Times New Roman"/>
          <w:sz w:val="28"/>
          <w:szCs w:val="28"/>
          <w:lang w:val="en-GB" w:bidi="en-GB"/>
        </w:rPr>
        <w:t>insufficient AML/CFT procedures, including deficiencies in the ICS.</w:t>
      </w:r>
    </w:p>
    <w:p w:rsidR="00796432" w:rsidRPr="00D72AC3" w:rsidRDefault="00796432" w:rsidP="00796432">
      <w:pPr>
        <w:ind w:left="360"/>
        <w:jc w:val="both"/>
        <w:rPr>
          <w:rFonts w:cs="Times New Roman"/>
          <w:b/>
          <w:bCs/>
          <w:sz w:val="28"/>
          <w:szCs w:val="28"/>
          <w:lang w:val="en-GB"/>
        </w:rPr>
      </w:pPr>
    </w:p>
    <w:p w:rsidR="00796432" w:rsidRPr="00D72AC3" w:rsidRDefault="00796432" w:rsidP="00685709">
      <w:pPr>
        <w:ind w:firstLine="720"/>
        <w:jc w:val="both"/>
        <w:rPr>
          <w:rFonts w:eastAsia="Calibri" w:cs="Times New Roman"/>
          <w:sz w:val="28"/>
          <w:szCs w:val="28"/>
          <w:lang w:val="en-GB"/>
        </w:rPr>
      </w:pPr>
      <w:r w:rsidRPr="00D72AC3">
        <w:rPr>
          <w:sz w:val="28"/>
          <w:szCs w:val="28"/>
          <w:lang w:val="en-GB" w:bidi="en-GB"/>
        </w:rPr>
        <w:t>According to the NRA the national ML vulnerability has been assessed as moderate and the general national ML risk - as moderately high.</w:t>
      </w:r>
    </w:p>
    <w:p w:rsidR="00796432" w:rsidRPr="00D72AC3" w:rsidRDefault="00796432" w:rsidP="00685709">
      <w:pPr>
        <w:pStyle w:val="Heading1"/>
        <w:rPr>
          <w:sz w:val="40"/>
          <w:szCs w:val="40"/>
        </w:rPr>
      </w:pPr>
      <w:bookmarkStart w:id="4" w:name="_Toc526510432"/>
      <w:r w:rsidRPr="00D72AC3">
        <w:rPr>
          <w:sz w:val="40"/>
          <w:szCs w:val="40"/>
          <w:lang w:bidi="en-GB"/>
        </w:rPr>
        <w:t>III. Background</w:t>
      </w:r>
      <w:bookmarkEnd w:id="4"/>
    </w:p>
    <w:p w:rsidR="00796432" w:rsidRPr="00D72AC3" w:rsidRDefault="00796432" w:rsidP="00796432">
      <w:pPr>
        <w:ind w:firstLine="709"/>
        <w:jc w:val="both"/>
        <w:rPr>
          <w:sz w:val="28"/>
          <w:szCs w:val="28"/>
          <w:lang w:val="en-GB"/>
        </w:rPr>
      </w:pPr>
      <w:r w:rsidRPr="00D72AC3">
        <w:rPr>
          <w:sz w:val="28"/>
          <w:szCs w:val="28"/>
          <w:lang w:val="en-GB" w:bidi="en-GB"/>
        </w:rPr>
        <w:t>Anti-money laundering and countering the financing of terrorism as a considerable priority derives both from the governmental action plan for the implementation of the Declaration on the action intended by the Cabinet of Ministers led by Māris Kučinskis, and the Financial Sector Development Plan for 2017 - 2019, which clearly defines the need for unconditional and decisive introduction of the risk management and conformity principles meeting the best international practice and standards and zero-tolerance towards violations and unlawful conduct. </w:t>
      </w:r>
    </w:p>
    <w:p w:rsidR="00796432" w:rsidRPr="00D72AC3" w:rsidRDefault="00796432" w:rsidP="00796432">
      <w:pPr>
        <w:ind w:firstLine="709"/>
        <w:jc w:val="both"/>
        <w:rPr>
          <w:sz w:val="28"/>
          <w:szCs w:val="28"/>
          <w:lang w:val="en-GB"/>
        </w:rPr>
      </w:pPr>
      <w:r w:rsidRPr="00D72AC3">
        <w:rPr>
          <w:sz w:val="28"/>
          <w:szCs w:val="28"/>
          <w:lang w:val="en-GB" w:bidi="en-GB"/>
        </w:rPr>
        <w:t xml:space="preserve">According to the declaration on the action intended by the Cabinet of Ministers led by Māris Kučinskis, stating the government priorities, it has undertaken to implement in a coordinated way urgent measures for arrangement of the financial sector policy, by defining the medium and long-term sector development vision, paying special attention to mitigating money laundering and terrorism financing risks. </w:t>
      </w:r>
    </w:p>
    <w:p w:rsidR="00796432" w:rsidRPr="00D72AC3" w:rsidRDefault="00796432" w:rsidP="00796432">
      <w:pPr>
        <w:ind w:firstLine="709"/>
        <w:jc w:val="both"/>
        <w:rPr>
          <w:sz w:val="28"/>
          <w:szCs w:val="28"/>
          <w:lang w:val="en-GB"/>
        </w:rPr>
      </w:pPr>
      <w:r w:rsidRPr="00D72AC3">
        <w:rPr>
          <w:sz w:val="28"/>
          <w:szCs w:val="28"/>
          <w:lang w:val="en-GB" w:bidi="en-GB"/>
        </w:rPr>
        <w:lastRenderedPageBreak/>
        <w:t xml:space="preserve">On 21 March 2017 the Cabinet of Ministers approved the Financial Sector Development Plan for 2017 - 2019, where the purpose of implementing the measures covered is to develop stable, safe and internationally competitive financial sector with the availability of innovative financial services that ensures a sustainable Latvian national economy growth. Increasing the conformity of anti-money laundering and countering the financing of terrorism and raising the reputation of the country was set as one of the cross-cutting issues of the Financial Sector Development Plan. To ensure the implementation of this priority, the Ministry of Finance was assigned, in collaboration with the involved institutions, to develop a comprehensive policy planning document in the field of anti-money laundering and countering the financing of terrorism. </w:t>
      </w:r>
    </w:p>
    <w:p w:rsidR="00796432" w:rsidRPr="00D72AC3" w:rsidRDefault="00796432" w:rsidP="00796432">
      <w:pPr>
        <w:ind w:firstLine="709"/>
        <w:jc w:val="both"/>
        <w:rPr>
          <w:sz w:val="28"/>
          <w:szCs w:val="28"/>
          <w:lang w:val="en-GB"/>
        </w:rPr>
      </w:pPr>
      <w:r w:rsidRPr="00D72AC3">
        <w:rPr>
          <w:sz w:val="28"/>
          <w:szCs w:val="28"/>
          <w:lang w:val="en-GB" w:bidi="en-GB"/>
        </w:rPr>
        <w:t xml:space="preserve">By the 24 May 2017 Order No. 246, the Cabinet of Ministers approved the Plan of Measures for Mitigation of the Money Laundering and Terrorism Financing Risks for 2017-2019 (hereinafter - the Plan for 2017 - 2019), based upon the second national money laundering and terrorism financing risk assessment report. The NRA provides information on the situation in the fields of countering money laundering and terrorism financing, by means of statistical data for the time period from 2013 till 2016, as well as information on the identified risks and the necessary action for restricting the identified risks. </w:t>
      </w:r>
    </w:p>
    <w:p w:rsidR="00796432" w:rsidRPr="00D72AC3" w:rsidRDefault="00796432" w:rsidP="00796432">
      <w:pPr>
        <w:ind w:firstLine="720"/>
        <w:jc w:val="both"/>
        <w:rPr>
          <w:sz w:val="28"/>
          <w:szCs w:val="28"/>
          <w:lang w:val="en-GB"/>
        </w:rPr>
      </w:pPr>
      <w:r w:rsidRPr="00D72AC3">
        <w:rPr>
          <w:sz w:val="28"/>
          <w:szCs w:val="28"/>
          <w:lang w:val="en-GB" w:bidi="en-GB"/>
        </w:rPr>
        <w:t xml:space="preserve">Accomplishments in the first course of action "To enhance the coordination of the development and introduction of the AML/CFT strategy and policy" - on 9 November 2017 the laws </w:t>
      </w:r>
      <w:r w:rsidRPr="00D72AC3">
        <w:rPr>
          <w:i/>
          <w:sz w:val="28"/>
          <w:szCs w:val="28"/>
          <w:lang w:val="en-GB" w:bidi="en-GB"/>
        </w:rPr>
        <w:t>Amendments to the Insurance and Reinsurance Law, Amendments to the Law on the Activities of Insurance and Reinsurance Intermediaries, Amendments to the Financial instruments market Law, Amendments to the Law on Investment Management Companies, Amendments to the Credit Institutions Law, Amendments to the Law on Savings and Loan Associations</w:t>
      </w:r>
      <w:r w:rsidRPr="00D72AC3">
        <w:rPr>
          <w:sz w:val="28"/>
          <w:szCs w:val="28"/>
          <w:lang w:val="en-GB" w:bidi="en-GB"/>
        </w:rPr>
        <w:t xml:space="preserve"> have come into force,</w:t>
      </w:r>
      <w:r w:rsidR="00D72AC3" w:rsidRPr="00D72AC3">
        <w:rPr>
          <w:sz w:val="28"/>
          <w:szCs w:val="28"/>
          <w:lang w:val="en-GB" w:bidi="en-GB"/>
        </w:rPr>
        <w:t xml:space="preserve"> </w:t>
      </w:r>
      <w:r w:rsidRPr="00D72AC3">
        <w:rPr>
          <w:sz w:val="28"/>
          <w:szCs w:val="28"/>
          <w:lang w:val="en-GB" w:bidi="en-GB"/>
        </w:rPr>
        <w:t>in order to ensure adequate sanctioning mechanism for the subjects of the</w:t>
      </w:r>
      <w:r w:rsidRPr="00D72AC3">
        <w:rPr>
          <w:i/>
          <w:sz w:val="28"/>
          <w:szCs w:val="28"/>
          <w:lang w:val="en-GB" w:bidi="en-GB"/>
        </w:rPr>
        <w:t xml:space="preserve"> Law on PMLTF</w:t>
      </w:r>
      <w:r w:rsidRPr="00D72AC3">
        <w:rPr>
          <w:sz w:val="28"/>
          <w:szCs w:val="28"/>
          <w:lang w:val="en-GB" w:bidi="en-GB"/>
        </w:rPr>
        <w:t xml:space="preserve"> in the financial sector with respect to the infringements of the requirements prescribed by the legal framework related to anti-money laundering and counter-terrorist financing.</w:t>
      </w:r>
    </w:p>
    <w:p w:rsidR="00796432" w:rsidRPr="00D72AC3" w:rsidRDefault="00796432" w:rsidP="00796432">
      <w:pPr>
        <w:ind w:firstLine="720"/>
        <w:jc w:val="both"/>
        <w:rPr>
          <w:sz w:val="28"/>
          <w:szCs w:val="28"/>
          <w:lang w:val="en-GB"/>
        </w:rPr>
      </w:pPr>
      <w:r w:rsidRPr="00D72AC3">
        <w:rPr>
          <w:sz w:val="28"/>
          <w:szCs w:val="28"/>
          <w:lang w:val="en-GB" w:bidi="en-GB"/>
        </w:rPr>
        <w:t xml:space="preserve">Accomplishments in the second course of action "To enhance the statutory regulation on AML/CFT" - on 9 November 2017 the law </w:t>
      </w:r>
      <w:r w:rsidRPr="00D72AC3">
        <w:rPr>
          <w:i/>
          <w:sz w:val="28"/>
          <w:szCs w:val="28"/>
          <w:lang w:val="en-GB" w:bidi="en-GB"/>
        </w:rPr>
        <w:t>Amendments to the Law on Prevention of Money Laundering and Terrorism Financing</w:t>
      </w:r>
      <w:r w:rsidRPr="00D72AC3">
        <w:rPr>
          <w:sz w:val="28"/>
          <w:szCs w:val="28"/>
          <w:lang w:val="en-GB" w:bidi="en-GB"/>
        </w:rPr>
        <w:t xml:space="preserve"> has come into force. With respect to introduction of the statutory regulation, Latvia has, ahead of the term, taken over number of requirements contained in AMLD5 Directive - centralised register of the bank accounts, regulation of virtual currencies, the principle of beneficial ownership transparency introduced, the supervisory thresholds for electronic money circulation lowered, reducing them to 150 EUR. </w:t>
      </w:r>
    </w:p>
    <w:p w:rsidR="00796432" w:rsidRPr="00D72AC3" w:rsidRDefault="00796432" w:rsidP="00796432">
      <w:pPr>
        <w:ind w:firstLine="720"/>
        <w:jc w:val="both"/>
        <w:rPr>
          <w:sz w:val="28"/>
          <w:szCs w:val="28"/>
          <w:lang w:val="en-GB"/>
        </w:rPr>
      </w:pPr>
      <w:r w:rsidRPr="00D72AC3">
        <w:rPr>
          <w:sz w:val="28"/>
          <w:szCs w:val="28"/>
          <w:lang w:val="en-GB" w:bidi="en-GB"/>
        </w:rPr>
        <w:t xml:space="preserve">Accomplishments in the third course of action "To improve the effectiveness of investigation, indictment and adjudication and to ensure effective application of the preventive measures and penalties"- capacity building ensured, by </w:t>
      </w:r>
      <w:r w:rsidRPr="00D72AC3">
        <w:rPr>
          <w:sz w:val="28"/>
          <w:szCs w:val="28"/>
          <w:lang w:val="en-GB" w:bidi="en-GB"/>
        </w:rPr>
        <w:lastRenderedPageBreak/>
        <w:t>carrying out the training in the AML/CFT field corresponding to the international standards and best practice, mechanism established for the use of the seized proceeds of crime and funds obtained as a result of selling criminally acquired property.</w:t>
      </w:r>
    </w:p>
    <w:p w:rsidR="00796432" w:rsidRPr="00D72AC3" w:rsidRDefault="00796432" w:rsidP="00796432">
      <w:pPr>
        <w:ind w:firstLine="720"/>
        <w:jc w:val="both"/>
        <w:rPr>
          <w:sz w:val="28"/>
          <w:szCs w:val="28"/>
          <w:lang w:val="en-GB"/>
        </w:rPr>
      </w:pPr>
      <w:r w:rsidRPr="00D72AC3">
        <w:rPr>
          <w:sz w:val="28"/>
          <w:szCs w:val="28"/>
          <w:lang w:val="en-GB" w:bidi="en-GB"/>
        </w:rPr>
        <w:t>Accomplishments in the fourth course of action "To improve the operational efficiency of the Control Service"- the strategic objectives and tasks of the CS are defined, in order to ensure the improvement of effectiveness of its operation and strengthening of the national cooperation, the effectiveness of the software of the CS is assessed and the conclusions made with respect to the necessary improvements for data processing, the quality of the reports on suspicious or unusual transactions facilitated, two additional job positions created, consumption of the CS resources reduced.</w:t>
      </w:r>
    </w:p>
    <w:p w:rsidR="00796432" w:rsidRPr="00D72AC3" w:rsidRDefault="00796432" w:rsidP="00796432">
      <w:pPr>
        <w:ind w:firstLine="720"/>
        <w:jc w:val="both"/>
        <w:rPr>
          <w:sz w:val="28"/>
          <w:szCs w:val="28"/>
          <w:lang w:val="en-GB"/>
        </w:rPr>
      </w:pPr>
      <w:r w:rsidRPr="00D72AC3">
        <w:rPr>
          <w:sz w:val="28"/>
          <w:szCs w:val="28"/>
          <w:lang w:val="en-GB" w:bidi="en-GB"/>
        </w:rPr>
        <w:t xml:space="preserve">Accomplishments in the fifth course of action - "To build the capacity of the subjects in the AML/CFT field"- the training organised for the </w:t>
      </w:r>
      <w:r w:rsidRPr="00D72AC3">
        <w:rPr>
          <w:i/>
          <w:sz w:val="28"/>
          <w:szCs w:val="28"/>
          <w:lang w:val="en-GB" w:bidi="en-GB"/>
        </w:rPr>
        <w:t>Law on the PMLTF</w:t>
      </w:r>
      <w:r w:rsidRPr="00D72AC3">
        <w:rPr>
          <w:sz w:val="28"/>
          <w:szCs w:val="28"/>
          <w:lang w:val="en-GB" w:bidi="en-GB"/>
        </w:rPr>
        <w:t xml:space="preserve"> subjects and their employees. The SRS, at least once per month organises and holds the seminars on the application of the</w:t>
      </w:r>
      <w:r w:rsidRPr="00D72AC3">
        <w:rPr>
          <w:i/>
          <w:sz w:val="28"/>
          <w:szCs w:val="28"/>
          <w:lang w:val="en-GB" w:bidi="en-GB"/>
        </w:rPr>
        <w:t xml:space="preserve"> Law on PMLTF</w:t>
      </w:r>
      <w:r w:rsidRPr="00D72AC3">
        <w:rPr>
          <w:sz w:val="28"/>
          <w:szCs w:val="28"/>
          <w:lang w:val="en-GB" w:bidi="en-GB"/>
        </w:rPr>
        <w:t xml:space="preserve"> for the taxpayers and the representatives of the supervisory authorities; 24 seminars were held from January 2017 till May 2018. The Ministry of Finance organised the training financed by the Structural Reform Support Service of the European Commission on strengthening the understanding in the AML/CFT field for a non-bank sector (attended by 126 participants). In 2018, the Lotteries and Gambling Supervision Inspection, in cooperation with the Control Service, organised practical training for gambling and lotteries operators on the reporting procedures, quality improvement and analysis of the most frequent mistakes and their mitigation or prevention. In the seminar organised by the bank of Latvia in November of 2017 the representatives of the currency exchange capital companies were informed on topicalities in the AML/CFT field, </w:t>
      </w:r>
      <w:r w:rsidRPr="00D72AC3">
        <w:rPr>
          <w:i/>
          <w:sz w:val="28"/>
          <w:szCs w:val="28"/>
          <w:lang w:val="en-GB" w:bidi="en-GB"/>
        </w:rPr>
        <w:t>inter alia</w:t>
      </w:r>
      <w:r w:rsidRPr="00D72AC3">
        <w:rPr>
          <w:sz w:val="28"/>
          <w:szCs w:val="28"/>
          <w:lang w:val="en-GB" w:bidi="en-GB"/>
        </w:rPr>
        <w:t xml:space="preserve">, explaining the application of the requirements of the </w:t>
      </w:r>
      <w:r w:rsidRPr="00D72AC3">
        <w:rPr>
          <w:i/>
          <w:sz w:val="28"/>
          <w:szCs w:val="28"/>
          <w:lang w:val="en-GB" w:bidi="en-GB"/>
        </w:rPr>
        <w:t>Law on the PMLTF</w:t>
      </w:r>
      <w:r w:rsidRPr="00D72AC3">
        <w:rPr>
          <w:sz w:val="28"/>
          <w:szCs w:val="28"/>
          <w:lang w:val="en-GB" w:bidi="en-GB"/>
        </w:rPr>
        <w:t xml:space="preserve"> in the sector. </w:t>
      </w:r>
    </w:p>
    <w:p w:rsidR="00796432" w:rsidRPr="00D72AC3" w:rsidRDefault="00796432" w:rsidP="00796432">
      <w:pPr>
        <w:ind w:firstLine="709"/>
        <w:jc w:val="both"/>
        <w:rPr>
          <w:sz w:val="28"/>
          <w:szCs w:val="28"/>
          <w:lang w:val="en-GB"/>
        </w:rPr>
      </w:pPr>
      <w:r w:rsidRPr="00D72AC3">
        <w:rPr>
          <w:sz w:val="28"/>
          <w:szCs w:val="28"/>
          <w:lang w:val="en-GB" w:bidi="en-GB"/>
        </w:rPr>
        <w:t>Accomplishments in the sixth course of action - "To build the capacity of the supervisory and control authorities in the AML/CFT field"- structural changes introduced in the State Revenue Service, by setting up the structural unit with 21 job positions, including 10 new job positions, the number of on-site supervisory checks increased; a new job position set up in the Lotteries and gambling Supervision Inspection with specialisation in the AML/CFT issues; new division set up in the Consumer Rights Protection Centre, the duties whereof will entail the supervision of the commercial companies licenced by the Consumer Rights protection centre in the AML/CFT field, 8 new job positions established, risk-based approach to supervision introduced and implemented, typology guidelines drafted and updated; the Financial and Capital Market Commission has carried out the verification of the effectiveness of the new IT transactions supervision system of the credit institutions after the introduction thereof, the effectiveness of the supervisory processes raised.</w:t>
      </w:r>
    </w:p>
    <w:p w:rsidR="00796432" w:rsidRPr="00D72AC3" w:rsidRDefault="00796432" w:rsidP="00796432">
      <w:pPr>
        <w:ind w:firstLine="709"/>
        <w:jc w:val="both"/>
        <w:rPr>
          <w:sz w:val="28"/>
          <w:szCs w:val="28"/>
          <w:lang w:val="en-GB"/>
        </w:rPr>
      </w:pPr>
      <w:r w:rsidRPr="00D72AC3">
        <w:rPr>
          <w:sz w:val="28"/>
          <w:szCs w:val="28"/>
          <w:lang w:val="en-GB" w:bidi="en-GB"/>
        </w:rPr>
        <w:lastRenderedPageBreak/>
        <w:t>On February 13</w:t>
      </w:r>
      <w:r w:rsidR="00D72AC3" w:rsidRPr="00D72AC3">
        <w:rPr>
          <w:sz w:val="28"/>
          <w:szCs w:val="28"/>
          <w:lang w:val="en-GB" w:bidi="en-GB"/>
        </w:rPr>
        <w:t xml:space="preserve"> </w:t>
      </w:r>
      <w:r w:rsidRPr="00D72AC3">
        <w:rPr>
          <w:sz w:val="28"/>
          <w:szCs w:val="28"/>
          <w:lang w:val="en-GB" w:bidi="en-GB"/>
        </w:rPr>
        <w:t xml:space="preserve">this year, the Financial Crimes Enforcement Network of the U.S. Department of the Treasury (hereinafter - FinCEN) published the draft decision on application of special measures to the Joint Stock Company "ABLV Bank", by which it intends to prohibit the U.S. financial institutions to open or maintain correspondent relations with or on behalf of the Joint Stock Company "ABLV Bank"(hereinafter - ABLV). The FinCEN report contained number of material reproofs, </w:t>
      </w:r>
      <w:r w:rsidRPr="00D72AC3">
        <w:rPr>
          <w:i/>
          <w:sz w:val="28"/>
          <w:szCs w:val="28"/>
          <w:lang w:val="en-GB" w:bidi="en-GB"/>
        </w:rPr>
        <w:t>inter alia</w:t>
      </w:r>
      <w:r w:rsidRPr="00D72AC3">
        <w:rPr>
          <w:sz w:val="28"/>
          <w:szCs w:val="28"/>
          <w:lang w:val="en-GB" w:bidi="en-GB"/>
        </w:rPr>
        <w:t xml:space="preserve">, that the management, stockholders and shareholder of ABLV have transformed money laundering into one of the business pillars of the bank and that ABLV has been used within the scope of criminal financial activities, </w:t>
      </w:r>
      <w:r w:rsidRPr="00D72AC3">
        <w:rPr>
          <w:i/>
          <w:sz w:val="28"/>
          <w:szCs w:val="28"/>
          <w:lang w:val="en-GB" w:bidi="en-GB"/>
        </w:rPr>
        <w:t>inter alia</w:t>
      </w:r>
      <w:r w:rsidRPr="00D72AC3">
        <w:rPr>
          <w:sz w:val="28"/>
          <w:szCs w:val="28"/>
          <w:lang w:val="en-GB" w:bidi="en-GB"/>
        </w:rPr>
        <w:t>, the transactions were closed with the counterparties related to the institutions included on the USA and UN sanctions lists.</w:t>
      </w:r>
    </w:p>
    <w:p w:rsidR="00796432" w:rsidRPr="00D72AC3" w:rsidRDefault="00796432" w:rsidP="00796432">
      <w:pPr>
        <w:ind w:firstLine="709"/>
        <w:jc w:val="both"/>
        <w:rPr>
          <w:sz w:val="28"/>
          <w:szCs w:val="28"/>
          <w:lang w:val="en-GB"/>
        </w:rPr>
      </w:pPr>
      <w:r w:rsidRPr="00D72AC3">
        <w:rPr>
          <w:sz w:val="28"/>
          <w:szCs w:val="28"/>
          <w:lang w:val="en-GB" w:bidi="en-GB"/>
        </w:rPr>
        <w:t xml:space="preserve">Even though the legal framework of money laundering and financing of terrorism has already been considerably strengthened over the period of last years, the FinCEN report demonstrated the need to more actively turn against the possibilities of using the Latvian financial system for criminal purposes. In light of the need for fast and coordinated action, the Financial Sector Development Board, being the supreme policy coordination group in the field of financial sector development and anti-money laundering and combating financing of terrorism, in its 21 March 2018 meeting approved complementary measures for increasing the level of conformity of anti - money laundering and combating the financing of terrorism, </w:t>
      </w:r>
      <w:r w:rsidRPr="00D72AC3">
        <w:rPr>
          <w:i/>
          <w:sz w:val="28"/>
          <w:szCs w:val="28"/>
          <w:lang w:val="en-GB" w:bidi="en-GB"/>
        </w:rPr>
        <w:t>inter alia</w:t>
      </w:r>
      <w:r w:rsidRPr="00D72AC3">
        <w:rPr>
          <w:sz w:val="28"/>
          <w:szCs w:val="28"/>
          <w:lang w:val="en-GB" w:bidi="en-GB"/>
        </w:rPr>
        <w:t xml:space="preserve">, measures to be implemented under urgency procedure for enhancement of the risk-based supervisory measures and more rapid revision of the </w:t>
      </w:r>
      <w:r w:rsidR="005430AD">
        <w:rPr>
          <w:sz w:val="28"/>
          <w:szCs w:val="28"/>
          <w:lang w:val="en-GB" w:bidi="en-GB"/>
        </w:rPr>
        <w:t>high risk</w:t>
      </w:r>
      <w:r w:rsidRPr="00D72AC3">
        <w:rPr>
          <w:sz w:val="28"/>
          <w:szCs w:val="28"/>
          <w:lang w:val="en-GB" w:bidi="en-GB"/>
        </w:rPr>
        <w:t xml:space="preserve"> business models, capacity building of the supervisory, controlling and investigatory authorities, as well as for improvement of information exchange mechanisms between the financial sector and the State. Part of the complementary measures for increasing the level of conformity of anti- money laundering and combating the financing of terrorism have already been fulfilled:</w:t>
      </w:r>
    </w:p>
    <w:p w:rsidR="00796432" w:rsidRPr="00D72AC3" w:rsidRDefault="00796432" w:rsidP="00796432">
      <w:pPr>
        <w:pStyle w:val="ListParagraph"/>
        <w:numPr>
          <w:ilvl w:val="0"/>
          <w:numId w:val="31"/>
        </w:numPr>
        <w:jc w:val="both"/>
        <w:rPr>
          <w:sz w:val="28"/>
          <w:szCs w:val="28"/>
          <w:lang w:val="en-GB"/>
        </w:rPr>
      </w:pPr>
      <w:r w:rsidRPr="00D72AC3">
        <w:rPr>
          <w:sz w:val="28"/>
          <w:szCs w:val="28"/>
          <w:lang w:val="en-GB" w:bidi="en-GB"/>
        </w:rPr>
        <w:t xml:space="preserve">Suspending and limiting the financial operations of </w:t>
      </w:r>
      <w:r w:rsidR="005430AD">
        <w:rPr>
          <w:sz w:val="28"/>
          <w:szCs w:val="28"/>
          <w:lang w:val="en-GB" w:bidi="en-GB"/>
        </w:rPr>
        <w:t>high risk</w:t>
      </w:r>
      <w:r w:rsidRPr="00D72AC3">
        <w:rPr>
          <w:sz w:val="28"/>
          <w:szCs w:val="28"/>
          <w:lang w:val="en-GB" w:bidi="en-GB"/>
        </w:rPr>
        <w:t xml:space="preserve"> customers - on 9 May 2018 the amendments to the </w:t>
      </w:r>
      <w:r w:rsidRPr="00D72AC3">
        <w:rPr>
          <w:i/>
          <w:sz w:val="28"/>
          <w:szCs w:val="28"/>
          <w:lang w:val="en-GB" w:bidi="en-GB"/>
        </w:rPr>
        <w:t>Law on the Prevention of Money laundering and Terrorism Financing</w:t>
      </w:r>
      <w:r w:rsidRPr="00D72AC3">
        <w:rPr>
          <w:sz w:val="28"/>
          <w:szCs w:val="28"/>
          <w:lang w:val="en-GB" w:bidi="en-GB"/>
        </w:rPr>
        <w:t xml:space="preserve"> took effect, providing for the prohibition for the banks and payment institutions to cooperate with shell arrangement if they meet certain set of features - has no economic operation and is registered in the jurisdiction not imposing a duty to submit financial reports. </w:t>
      </w:r>
    </w:p>
    <w:p w:rsidR="00796432" w:rsidRPr="00D72AC3" w:rsidRDefault="00796432" w:rsidP="00796432">
      <w:pPr>
        <w:pStyle w:val="ListParagraph"/>
        <w:numPr>
          <w:ilvl w:val="0"/>
          <w:numId w:val="31"/>
        </w:numPr>
        <w:jc w:val="both"/>
        <w:rPr>
          <w:sz w:val="28"/>
          <w:szCs w:val="28"/>
          <w:lang w:val="en-GB"/>
        </w:rPr>
      </w:pPr>
      <w:r w:rsidRPr="00D72AC3">
        <w:rPr>
          <w:sz w:val="28"/>
          <w:szCs w:val="28"/>
          <w:lang w:val="en-GB" w:bidi="en-GB"/>
        </w:rPr>
        <w:t xml:space="preserve">Special Task Force for detecting financial crimes </w:t>
      </w:r>
      <w:r w:rsidR="00D72AC3">
        <w:rPr>
          <w:sz w:val="28"/>
          <w:szCs w:val="28"/>
          <w:lang w:val="en-GB" w:bidi="en-GB"/>
        </w:rPr>
        <w:t>–</w:t>
      </w:r>
      <w:r w:rsidRPr="00D72AC3">
        <w:rPr>
          <w:sz w:val="28"/>
          <w:szCs w:val="28"/>
          <w:lang w:val="en-GB" w:bidi="en-GB"/>
        </w:rPr>
        <w:t xml:space="preserve"> the</w:t>
      </w:r>
      <w:r w:rsidR="00D72AC3">
        <w:rPr>
          <w:sz w:val="28"/>
          <w:szCs w:val="28"/>
          <w:lang w:val="en-GB" w:bidi="en-GB"/>
        </w:rPr>
        <w:t xml:space="preserve"> </w:t>
      </w:r>
      <w:r w:rsidRPr="00D72AC3">
        <w:rPr>
          <w:sz w:val="28"/>
          <w:szCs w:val="28"/>
          <w:lang w:val="en-GB" w:bidi="en-GB"/>
        </w:rPr>
        <w:t xml:space="preserve">9 May 2018 amendments to the </w:t>
      </w:r>
      <w:r w:rsidRPr="00D72AC3">
        <w:rPr>
          <w:i/>
          <w:sz w:val="28"/>
          <w:szCs w:val="28"/>
          <w:lang w:val="en-GB" w:bidi="en-GB"/>
        </w:rPr>
        <w:t xml:space="preserve">Law on the Prevention of Money laundering and Terrorism Financing </w:t>
      </w:r>
      <w:r w:rsidRPr="00D72AC3">
        <w:rPr>
          <w:sz w:val="28"/>
          <w:szCs w:val="28"/>
          <w:lang w:val="en-GB" w:bidi="en-GB"/>
        </w:rPr>
        <w:t xml:space="preserve">provide for introducing public and private partnership in combating financial crime. Amendments to the Law state that the Control Service, by convening the cooperation coordination group, shall </w:t>
      </w:r>
      <w:r w:rsidRPr="00D72AC3">
        <w:rPr>
          <w:sz w:val="28"/>
          <w:szCs w:val="28"/>
          <w:lang w:val="en-GB" w:bidi="en-GB"/>
        </w:rPr>
        <w:lastRenderedPageBreak/>
        <w:t>coordinate the cooperation between the subjects of operational activities, investigation authorities, Prosecutor’s Office, the State Revenue Service, as well as the subjects of the Law;</w:t>
      </w:r>
    </w:p>
    <w:p w:rsidR="00796432" w:rsidRPr="00D72AC3" w:rsidRDefault="00796432" w:rsidP="00796432">
      <w:pPr>
        <w:pStyle w:val="ListParagraph"/>
        <w:numPr>
          <w:ilvl w:val="0"/>
          <w:numId w:val="31"/>
        </w:numPr>
        <w:jc w:val="both"/>
        <w:rPr>
          <w:sz w:val="28"/>
          <w:szCs w:val="28"/>
          <w:lang w:val="en-GB"/>
        </w:rPr>
      </w:pPr>
      <w:r w:rsidRPr="00D72AC3">
        <w:rPr>
          <w:sz w:val="28"/>
          <w:szCs w:val="28"/>
          <w:lang w:val="en-GB" w:bidi="en-GB"/>
        </w:rPr>
        <w:t>Information exchange with Russia in accordance with the Global Common Reporting Standard for automatic exchange of financial account information in the field of taxes (CRS) - On 10 April 2018 the amendments to the 5 January 2016 Cabinet of Ministers Regulations No. 20 P</w:t>
      </w:r>
      <w:r w:rsidRPr="00D72AC3">
        <w:rPr>
          <w:i/>
          <w:sz w:val="28"/>
          <w:szCs w:val="28"/>
          <w:lang w:val="en-GB" w:bidi="en-GB"/>
        </w:rPr>
        <w:t xml:space="preserve">rocedures by which a Financial Institution Implements the Due Diligence Procedures for Financial Accounts and Provides Financial Accounts Information to the State Revenue Service </w:t>
      </w:r>
      <w:r w:rsidRPr="00D72AC3">
        <w:rPr>
          <w:sz w:val="28"/>
          <w:szCs w:val="28"/>
          <w:lang w:val="en-GB" w:bidi="en-GB"/>
        </w:rPr>
        <w:t>were approved in the Cabinet of Ministers;</w:t>
      </w:r>
    </w:p>
    <w:p w:rsidR="00796432" w:rsidRPr="00D72AC3" w:rsidRDefault="00796432" w:rsidP="00796432">
      <w:pPr>
        <w:pStyle w:val="ListParagraph"/>
        <w:numPr>
          <w:ilvl w:val="0"/>
          <w:numId w:val="31"/>
        </w:numPr>
        <w:jc w:val="both"/>
        <w:rPr>
          <w:sz w:val="28"/>
          <w:szCs w:val="28"/>
          <w:lang w:val="en-GB"/>
        </w:rPr>
      </w:pPr>
      <w:r w:rsidRPr="00D72AC3">
        <w:rPr>
          <w:sz w:val="28"/>
          <w:szCs w:val="28"/>
          <w:lang w:val="en-GB" w:bidi="en-GB"/>
        </w:rPr>
        <w:t>Selection of the Head of the Control Service - starting from 1 June 2018, the office of the Head of the Control Service is held by Ilze Znotiņa;</w:t>
      </w:r>
    </w:p>
    <w:p w:rsidR="00796432" w:rsidRPr="00D72AC3" w:rsidRDefault="00796432" w:rsidP="00796432">
      <w:pPr>
        <w:pStyle w:val="ListParagraph"/>
        <w:numPr>
          <w:ilvl w:val="0"/>
          <w:numId w:val="31"/>
        </w:numPr>
        <w:jc w:val="both"/>
        <w:rPr>
          <w:sz w:val="28"/>
          <w:szCs w:val="28"/>
          <w:lang w:val="en-GB"/>
        </w:rPr>
      </w:pPr>
      <w:r w:rsidRPr="00D72AC3">
        <w:rPr>
          <w:sz w:val="28"/>
          <w:szCs w:val="28"/>
          <w:lang w:val="en-GB" w:bidi="en-GB"/>
        </w:rPr>
        <w:t xml:space="preserve">Enhancement of the regulation of international sanctions - the amendments to the </w:t>
      </w:r>
      <w:r w:rsidRPr="00D72AC3">
        <w:rPr>
          <w:i/>
          <w:sz w:val="28"/>
          <w:szCs w:val="28"/>
          <w:lang w:val="en-GB" w:bidi="en-GB"/>
        </w:rPr>
        <w:t>Law on International Sanctions and National Sanctions of the Republic of Latvia</w:t>
      </w:r>
      <w:r w:rsidRPr="00D72AC3">
        <w:rPr>
          <w:sz w:val="28"/>
          <w:szCs w:val="28"/>
          <w:lang w:val="en-GB" w:bidi="en-GB"/>
        </w:rPr>
        <w:t xml:space="preserve"> were approved in the Saeima (Parliament) on 21 June 2018 and took effect on 12 July 2018;</w:t>
      </w:r>
    </w:p>
    <w:p w:rsidR="00796432" w:rsidRPr="00D72AC3" w:rsidRDefault="00796432" w:rsidP="00796432">
      <w:pPr>
        <w:pStyle w:val="ListParagraph"/>
        <w:numPr>
          <w:ilvl w:val="0"/>
          <w:numId w:val="31"/>
        </w:numPr>
        <w:jc w:val="both"/>
        <w:rPr>
          <w:sz w:val="28"/>
          <w:szCs w:val="28"/>
          <w:lang w:val="en-GB"/>
        </w:rPr>
      </w:pPr>
      <w:r w:rsidRPr="00D72AC3">
        <w:rPr>
          <w:sz w:val="28"/>
          <w:szCs w:val="28"/>
          <w:lang w:val="en-GB" w:bidi="en-GB"/>
        </w:rPr>
        <w:t>Requirements for the employees of the credit institutions Restrictions for holding the office of the Board Member, Chairperson of the Board or Chairperson of the Council of the credit institution</w:t>
      </w:r>
      <w:r w:rsidR="00D72AC3" w:rsidRPr="00D72AC3">
        <w:rPr>
          <w:sz w:val="28"/>
          <w:szCs w:val="28"/>
          <w:lang w:val="en-GB" w:bidi="en-GB"/>
        </w:rPr>
        <w:t xml:space="preserve"> </w:t>
      </w:r>
      <w:r w:rsidRPr="00D72AC3">
        <w:rPr>
          <w:sz w:val="28"/>
          <w:szCs w:val="28"/>
          <w:lang w:val="en-GB" w:bidi="en-GB"/>
        </w:rPr>
        <w:t xml:space="preserve">Improvement of information exchange between the credit institutions and the State Revenue Service - the Draft Law </w:t>
      </w:r>
      <w:r w:rsidRPr="00D72AC3">
        <w:rPr>
          <w:i/>
          <w:sz w:val="28"/>
          <w:szCs w:val="28"/>
          <w:lang w:val="en-GB" w:bidi="en-GB"/>
        </w:rPr>
        <w:t>Amendments to the Credit Institutions Law</w:t>
      </w:r>
      <w:r w:rsidRPr="00D72AC3">
        <w:rPr>
          <w:sz w:val="28"/>
          <w:szCs w:val="28"/>
          <w:lang w:val="en-GB" w:bidi="en-GB"/>
        </w:rPr>
        <w:t xml:space="preserve"> was approved in the Cabinet of Ministers on 19 June 2018 and it is planned that the Saeima (Parliament) would review the Draft Law in September.</w:t>
      </w:r>
      <w:r w:rsidR="00D72AC3" w:rsidRPr="00D72AC3">
        <w:rPr>
          <w:sz w:val="28"/>
          <w:szCs w:val="28"/>
          <w:lang w:val="en-GB" w:bidi="en-GB"/>
        </w:rPr>
        <w:t xml:space="preserve"> </w:t>
      </w:r>
      <w:r w:rsidRPr="00D72AC3">
        <w:rPr>
          <w:sz w:val="28"/>
          <w:szCs w:val="28"/>
          <w:lang w:val="en-GB" w:bidi="en-GB"/>
        </w:rPr>
        <w:t xml:space="preserve">To verify the conformity of persons willing to work in the credit institutions and persons working therein to their job duties and to ensure the trust of the society in the financial sector, as well as to mitigate the risks that dishonest employees involve the credit institution in a criminal conduct, the referred to draft law prescribes that the persons directly involved in the provision of financial services will not be penalised for intentional commission of a criminal offence (while the criminal record is not deleted or withdrawn) or such persons, who are subject to active insolvency procedure. At the same time, the Draft Law includes the norm on the prohibition to the stockholder of the credit institution - natural person with direct or indirect holding (10% and more) to hold the office of the board Member, Chairperson of the Board of the same credit institution or be the employee of the senior management of such credit institution. </w:t>
      </w:r>
    </w:p>
    <w:p w:rsidR="00796432" w:rsidRPr="00D72AC3" w:rsidRDefault="00796432" w:rsidP="00796432">
      <w:pPr>
        <w:ind w:firstLine="709"/>
        <w:jc w:val="both"/>
        <w:rPr>
          <w:sz w:val="28"/>
          <w:szCs w:val="28"/>
          <w:lang w:val="en-GB"/>
        </w:rPr>
      </w:pPr>
      <w:r w:rsidRPr="00D72AC3">
        <w:rPr>
          <w:sz w:val="28"/>
          <w:szCs w:val="28"/>
          <w:lang w:val="en-GB" w:bidi="en-GB"/>
        </w:rPr>
        <w:t>The Fifth Round Report on the Effectiveness of the Anti-Money Laundering and Counter-Terroris</w:t>
      </w:r>
      <w:r w:rsidR="00607923">
        <w:rPr>
          <w:sz w:val="28"/>
          <w:szCs w:val="28"/>
          <w:lang w:val="en-GB" w:bidi="en-GB"/>
        </w:rPr>
        <w:t>m</w:t>
      </w:r>
      <w:r w:rsidRPr="00D72AC3">
        <w:rPr>
          <w:sz w:val="28"/>
          <w:szCs w:val="28"/>
          <w:lang w:val="en-GB" w:bidi="en-GB"/>
        </w:rPr>
        <w:t xml:space="preserve"> Financing System of Latvia (The Fifth Round Mutual Evaluation Report) was approved at the Plenary Session of the Moneyval Committee of </w:t>
      </w:r>
      <w:r w:rsidRPr="00D72AC3">
        <w:rPr>
          <w:sz w:val="28"/>
          <w:szCs w:val="28"/>
          <w:lang w:val="en-GB" w:bidi="en-GB"/>
        </w:rPr>
        <w:lastRenderedPageBreak/>
        <w:t xml:space="preserve">the Council of Europe on 4 July 2018, which was published on 23 August 2018. The evaluation in accordance with the international Financial Action Task Force (FATF) standards was carried out by the experts of the Moneyval Committee of the Council of Europe during their visit from 30 October till 8 November 2017, therewith the report covers the situation analysis, on the basis of the regulation and activity outcomes in effect as on 8 November 2017. Within the scope of the Fifth Round, the member states of the Moneyval Committee are for the first time evaluated not only in terms of compliance of their legal framework to the FATF standards, but also by evaluating the effectiveness of the system. Thus, the report provides the evaluation on the conformity of Latvia to 40 FATF recommendations, as well as evaluates the effectiveness of the system in accordance with 11 immediate outcomes. </w:t>
      </w:r>
    </w:p>
    <w:p w:rsidR="00796432" w:rsidRPr="00D72AC3" w:rsidRDefault="00796432" w:rsidP="00796432">
      <w:pPr>
        <w:tabs>
          <w:tab w:val="left" w:pos="1152"/>
        </w:tabs>
        <w:ind w:firstLine="709"/>
        <w:jc w:val="both"/>
        <w:rPr>
          <w:sz w:val="28"/>
          <w:szCs w:val="28"/>
          <w:lang w:val="en-GB"/>
        </w:rPr>
      </w:pPr>
      <w:r w:rsidRPr="00D72AC3">
        <w:rPr>
          <w:sz w:val="28"/>
          <w:szCs w:val="28"/>
          <w:lang w:val="en-GB" w:bidi="en-GB"/>
        </w:rPr>
        <w:t>In the Moneyval report it is recognised that, since the Fourth Round Evaluation in 2012, Latvia has taken number of considerable measures, by strengthening the AML/CFT system, however there are still separate deficiencies in technical compliance. When evaluating the effectiveness of the system, Moneyval admits that a considerable effectiveness in the field of international cooperation has been achieved, while the effectiveness in the field of legal persons and arrangements, as well as proliferation sanctions is low. The effectiveness in the rest of the immediate outcomes has been evaluated as moderate. Taking into account that, in ten out of 11 immediate outcomes, the effectiveness of Latvia has been evaluated as moderate or low, elevated reporting regime has been determined for Latvia, namely, the progress report will have to be submitted already at the end on the next year. Please find below a brief information of Moneyval evaluation for immediate outcomes (IO):</w:t>
      </w:r>
    </w:p>
    <w:p w:rsidR="00796432" w:rsidRPr="00D72AC3" w:rsidRDefault="00796432" w:rsidP="00796432">
      <w:pPr>
        <w:tabs>
          <w:tab w:val="left" w:pos="1152"/>
        </w:tabs>
        <w:jc w:val="both"/>
        <w:rPr>
          <w:sz w:val="28"/>
          <w:szCs w:val="28"/>
          <w:lang w:val="en-GB"/>
        </w:rPr>
      </w:pPr>
    </w:p>
    <w:p w:rsidR="000D0FCD" w:rsidRPr="00D72AC3" w:rsidRDefault="000D0FCD" w:rsidP="00C94E2B">
      <w:pPr>
        <w:tabs>
          <w:tab w:val="left" w:pos="1152"/>
        </w:tabs>
        <w:jc w:val="center"/>
        <w:rPr>
          <w:b/>
          <w:sz w:val="28"/>
          <w:szCs w:val="28"/>
          <w:lang w:val="en-GB"/>
        </w:rPr>
      </w:pPr>
      <w:r w:rsidRPr="00D72AC3">
        <w:rPr>
          <w:b/>
          <w:sz w:val="28"/>
          <w:szCs w:val="28"/>
          <w:lang w:val="en-GB" w:bidi="en-GB"/>
        </w:rPr>
        <w:t>Table 3 - Moneyval Evaluation for Immediate Outcomes (IO)</w:t>
      </w:r>
    </w:p>
    <w:p w:rsidR="000D0FCD" w:rsidRPr="00D72AC3" w:rsidRDefault="000D0FCD" w:rsidP="00796432">
      <w:pPr>
        <w:tabs>
          <w:tab w:val="left" w:pos="1152"/>
        </w:tabs>
        <w:jc w:val="both"/>
        <w:rPr>
          <w:sz w:val="28"/>
          <w:szCs w:val="28"/>
          <w:lang w:val="en-GB"/>
        </w:rPr>
      </w:pPr>
    </w:p>
    <w:tbl>
      <w:tblPr>
        <w:tblpPr w:leftFromText="180" w:rightFromText="180" w:vertAnchor="text" w:horzAnchor="margin" w:tblpXSpec="center" w:tblpY="196"/>
        <w:tblOverlap w:val="never"/>
        <w:tblW w:w="8212" w:type="dxa"/>
        <w:tblCellMar>
          <w:left w:w="0" w:type="dxa"/>
          <w:right w:w="0" w:type="dxa"/>
        </w:tblCellMar>
        <w:tblLook w:val="0600" w:firstRow="0" w:lastRow="0" w:firstColumn="0" w:lastColumn="0" w:noHBand="1" w:noVBand="1"/>
      </w:tblPr>
      <w:tblGrid>
        <w:gridCol w:w="4980"/>
        <w:gridCol w:w="3232"/>
      </w:tblGrid>
      <w:tr w:rsidR="00796432" w:rsidRPr="00D72AC3" w:rsidTr="0077246A">
        <w:trPr>
          <w:trHeight w:val="794"/>
        </w:trPr>
        <w:tc>
          <w:tcPr>
            <w:tcW w:w="4980" w:type="dxa"/>
            <w:tcBorders>
              <w:top w:val="single" w:sz="8" w:space="0" w:color="FFFFFF"/>
              <w:left w:val="single" w:sz="8" w:space="0" w:color="FFFFFF"/>
              <w:bottom w:val="single" w:sz="8" w:space="0" w:color="FFFFFF"/>
              <w:right w:val="single" w:sz="8" w:space="0" w:color="FFFFFF"/>
            </w:tcBorders>
            <w:shd w:val="clear" w:color="auto" w:fill="D6D6F5"/>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b/>
                <w:sz w:val="28"/>
                <w:szCs w:val="28"/>
                <w:lang w:val="en-GB" w:bidi="en-GB"/>
              </w:rPr>
              <w:t>Immediate outcome</w:t>
            </w:r>
          </w:p>
        </w:tc>
        <w:tc>
          <w:tcPr>
            <w:tcW w:w="3232" w:type="dxa"/>
            <w:tcBorders>
              <w:top w:val="single" w:sz="8" w:space="0" w:color="FFFFFF"/>
              <w:left w:val="single" w:sz="8" w:space="0" w:color="FFFFFF"/>
              <w:bottom w:val="single" w:sz="8" w:space="0" w:color="FFFFFF"/>
              <w:right w:val="single" w:sz="8" w:space="0" w:color="FFFFFF"/>
            </w:tcBorders>
            <w:shd w:val="clear" w:color="auto" w:fill="D6D6F5"/>
            <w:tcMar>
              <w:top w:w="15" w:type="dxa"/>
              <w:left w:w="15" w:type="dxa"/>
              <w:bottom w:w="0" w:type="dxa"/>
              <w:right w:w="15" w:type="dxa"/>
            </w:tcMar>
            <w:vAlign w:val="center"/>
            <w:hideMark/>
          </w:tcPr>
          <w:p w:rsidR="00796432" w:rsidRPr="00D72AC3" w:rsidRDefault="00796432" w:rsidP="0077246A">
            <w:pPr>
              <w:tabs>
                <w:tab w:val="left" w:pos="1152"/>
              </w:tabs>
              <w:jc w:val="both"/>
              <w:rPr>
                <w:sz w:val="28"/>
                <w:szCs w:val="28"/>
                <w:lang w:val="en-GB"/>
              </w:rPr>
            </w:pPr>
            <w:r w:rsidRPr="00D72AC3">
              <w:rPr>
                <w:b/>
                <w:sz w:val="28"/>
                <w:szCs w:val="28"/>
                <w:lang w:val="en-GB" w:bidi="en-GB"/>
              </w:rPr>
              <w:t>Moneyval evaluation</w:t>
            </w:r>
          </w:p>
        </w:tc>
      </w:tr>
      <w:tr w:rsidR="00796432" w:rsidRPr="00D72AC3" w:rsidTr="0077246A">
        <w:trPr>
          <w:trHeight w:val="680"/>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IO.1 AML/CFT risk assessment, policy and coordination</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60C99C"/>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IO.2 International cooperation</w:t>
            </w:r>
          </w:p>
        </w:tc>
        <w:tc>
          <w:tcPr>
            <w:tcW w:w="3232" w:type="dxa"/>
            <w:tcBorders>
              <w:top w:val="single" w:sz="8" w:space="0" w:color="FFFFFF"/>
              <w:left w:val="single" w:sz="8" w:space="0" w:color="FFFFFF"/>
              <w:bottom w:val="single" w:sz="8" w:space="0" w:color="FFFFFF"/>
              <w:right w:val="single" w:sz="8" w:space="0" w:color="FFFFFF"/>
            </w:tcBorders>
            <w:shd w:val="clear" w:color="auto" w:fill="60C99C"/>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substantial</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lastRenderedPageBreak/>
              <w:t>IO.3 Supervision</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IO.4 Preventive measures</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 moderate</w:t>
            </w:r>
          </w:p>
        </w:tc>
      </w:tr>
      <w:tr w:rsidR="00796432" w:rsidRPr="00D72AC3" w:rsidTr="0077246A">
        <w:trPr>
          <w:trHeight w:val="523"/>
        </w:trPr>
        <w:tc>
          <w:tcPr>
            <w:tcW w:w="4980"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IO.5 Legal persons and arrangements</w:t>
            </w:r>
          </w:p>
        </w:tc>
        <w:tc>
          <w:tcPr>
            <w:tcW w:w="3232"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low </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IO.6 Financial intelligence</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IO.7 Investigation and prosecution</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 </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IO.8 Confiscation</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 </w:t>
            </w:r>
          </w:p>
        </w:tc>
      </w:tr>
      <w:tr w:rsidR="00796432" w:rsidRPr="00D72AC3" w:rsidTr="0077246A">
        <w:trPr>
          <w:trHeight w:val="454"/>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IO.9 Investigation and prosecution of financing of terrorism</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 </w:t>
            </w:r>
          </w:p>
        </w:tc>
      </w:tr>
      <w:tr w:rsidR="00796432" w:rsidRPr="00D72AC3" w:rsidTr="0077246A">
        <w:trPr>
          <w:trHeight w:val="585"/>
        </w:trPr>
        <w:tc>
          <w:tcPr>
            <w:tcW w:w="498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IO.10 Preventive measures and financial sanctions of financing of terrorism</w:t>
            </w:r>
          </w:p>
        </w:tc>
        <w:tc>
          <w:tcPr>
            <w:tcW w:w="3232"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moderate</w:t>
            </w:r>
          </w:p>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 </w:t>
            </w:r>
          </w:p>
        </w:tc>
      </w:tr>
      <w:tr w:rsidR="00796432" w:rsidRPr="00D72AC3" w:rsidTr="0077246A">
        <w:trPr>
          <w:trHeight w:val="567"/>
        </w:trPr>
        <w:tc>
          <w:tcPr>
            <w:tcW w:w="4980"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IO.11 Targeted financial sanctions for combating proliferation financing</w:t>
            </w:r>
          </w:p>
        </w:tc>
        <w:tc>
          <w:tcPr>
            <w:tcW w:w="3232" w:type="dxa"/>
            <w:tcBorders>
              <w:top w:val="single" w:sz="8" w:space="0" w:color="FFFFFF"/>
              <w:left w:val="single" w:sz="8" w:space="0" w:color="FFFFFF"/>
              <w:bottom w:val="single" w:sz="8" w:space="0" w:color="FFFFFF"/>
              <w:right w:val="single" w:sz="8" w:space="0" w:color="FFFFFF"/>
            </w:tcBorders>
            <w:shd w:val="clear" w:color="auto" w:fill="7878DE"/>
            <w:tcMar>
              <w:top w:w="15" w:type="dxa"/>
              <w:left w:w="15" w:type="dxa"/>
              <w:bottom w:w="0" w:type="dxa"/>
              <w:right w:w="15" w:type="dxa"/>
            </w:tcMar>
            <w:vAlign w:val="center"/>
            <w:hideMark/>
          </w:tcPr>
          <w:p w:rsidR="00796432" w:rsidRPr="00D72AC3" w:rsidRDefault="00796432" w:rsidP="0077246A">
            <w:pPr>
              <w:tabs>
                <w:tab w:val="left" w:pos="1152"/>
              </w:tabs>
              <w:ind w:firstLine="709"/>
              <w:jc w:val="both"/>
              <w:rPr>
                <w:sz w:val="28"/>
                <w:szCs w:val="28"/>
                <w:lang w:val="en-GB"/>
              </w:rPr>
            </w:pPr>
            <w:r w:rsidRPr="00D72AC3">
              <w:rPr>
                <w:sz w:val="28"/>
                <w:szCs w:val="28"/>
                <w:lang w:val="en-GB" w:bidi="en-GB"/>
              </w:rPr>
              <w:t> low</w:t>
            </w:r>
          </w:p>
        </w:tc>
      </w:tr>
    </w:tbl>
    <w:p w:rsidR="00796432" w:rsidRPr="00D72AC3" w:rsidRDefault="00796432" w:rsidP="00796432">
      <w:pPr>
        <w:tabs>
          <w:tab w:val="left" w:pos="1152"/>
        </w:tabs>
        <w:ind w:firstLine="709"/>
        <w:jc w:val="both"/>
        <w:rPr>
          <w:sz w:val="28"/>
          <w:szCs w:val="28"/>
          <w:lang w:val="en-GB"/>
        </w:rPr>
      </w:pPr>
      <w:r w:rsidRPr="00D72AC3">
        <w:rPr>
          <w:sz w:val="28"/>
          <w:szCs w:val="28"/>
          <w:lang w:val="en-GB" w:bidi="en-GB"/>
        </w:rPr>
        <w:tab/>
      </w:r>
      <w:r w:rsidRPr="00D72AC3">
        <w:rPr>
          <w:sz w:val="28"/>
          <w:szCs w:val="28"/>
          <w:lang w:val="en-GB" w:bidi="en-GB"/>
        </w:rPr>
        <w:tab/>
      </w:r>
      <w:r w:rsidRPr="00D72AC3">
        <w:rPr>
          <w:sz w:val="28"/>
          <w:szCs w:val="28"/>
          <w:lang w:val="en-GB" w:bidi="en-GB"/>
        </w:rPr>
        <w:tab/>
      </w:r>
      <w:r w:rsidRPr="00D72AC3">
        <w:rPr>
          <w:sz w:val="28"/>
          <w:szCs w:val="28"/>
          <w:lang w:val="en-GB" w:bidi="en-GB"/>
        </w:rPr>
        <w:tab/>
      </w:r>
      <w:r w:rsidRPr="00D72AC3">
        <w:rPr>
          <w:sz w:val="28"/>
          <w:szCs w:val="28"/>
          <w:lang w:val="en-GB" w:bidi="en-GB"/>
        </w:rPr>
        <w:tab/>
      </w:r>
      <w:r w:rsidRPr="00D72AC3">
        <w:rPr>
          <w:sz w:val="28"/>
          <w:szCs w:val="28"/>
          <w:lang w:val="en-GB" w:bidi="en-GB"/>
        </w:rPr>
        <w:tab/>
      </w:r>
      <w:r w:rsidRPr="00D72AC3">
        <w:rPr>
          <w:sz w:val="28"/>
          <w:szCs w:val="28"/>
          <w:lang w:val="en-GB" w:bidi="en-GB"/>
        </w:rPr>
        <w:tab/>
      </w:r>
      <w:r w:rsidRPr="00D72AC3">
        <w:rPr>
          <w:sz w:val="28"/>
          <w:szCs w:val="28"/>
          <w:lang w:val="en-GB" w:bidi="en-GB"/>
        </w:rPr>
        <w:tab/>
      </w:r>
    </w:p>
    <w:p w:rsidR="00796432" w:rsidRPr="00D72AC3" w:rsidRDefault="00796432" w:rsidP="00796432">
      <w:pPr>
        <w:tabs>
          <w:tab w:val="left" w:pos="1152"/>
        </w:tabs>
        <w:ind w:firstLine="709"/>
        <w:jc w:val="both"/>
        <w:rPr>
          <w:sz w:val="28"/>
          <w:szCs w:val="28"/>
          <w:lang w:val="en-GB"/>
        </w:rPr>
      </w:pPr>
    </w:p>
    <w:p w:rsidR="00796432" w:rsidRPr="00D72AC3" w:rsidRDefault="00796432" w:rsidP="00796432">
      <w:pPr>
        <w:tabs>
          <w:tab w:val="left" w:pos="1152"/>
        </w:tabs>
        <w:jc w:val="both"/>
        <w:rPr>
          <w:sz w:val="28"/>
          <w:szCs w:val="28"/>
          <w:lang w:val="en-GB"/>
        </w:rPr>
      </w:pPr>
    </w:p>
    <w:p w:rsidR="00796432" w:rsidRPr="00D72AC3" w:rsidRDefault="00796432" w:rsidP="00796432">
      <w:pPr>
        <w:tabs>
          <w:tab w:val="left" w:pos="1152"/>
        </w:tabs>
        <w:ind w:firstLine="709"/>
        <w:jc w:val="both"/>
        <w:rPr>
          <w:sz w:val="28"/>
          <w:szCs w:val="28"/>
          <w:lang w:val="en-GB"/>
        </w:rPr>
      </w:pPr>
    </w:p>
    <w:p w:rsidR="00796432" w:rsidRPr="00D72AC3" w:rsidRDefault="00796432" w:rsidP="00796432">
      <w:pPr>
        <w:tabs>
          <w:tab w:val="left" w:pos="1152"/>
        </w:tabs>
        <w:ind w:firstLine="709"/>
        <w:jc w:val="both"/>
        <w:rPr>
          <w:sz w:val="28"/>
          <w:szCs w:val="28"/>
          <w:lang w:val="en-GB"/>
        </w:rPr>
      </w:pPr>
    </w:p>
    <w:p w:rsidR="00796432" w:rsidRPr="00D72AC3" w:rsidRDefault="00796432" w:rsidP="00796432">
      <w:pPr>
        <w:tabs>
          <w:tab w:val="left" w:pos="1152"/>
        </w:tabs>
        <w:jc w:val="both"/>
        <w:rPr>
          <w:sz w:val="28"/>
          <w:szCs w:val="28"/>
          <w:lang w:val="en-GB"/>
        </w:rPr>
      </w:pPr>
    </w:p>
    <w:p w:rsidR="00796432" w:rsidRPr="00D72AC3" w:rsidRDefault="00796432" w:rsidP="00685709">
      <w:pPr>
        <w:tabs>
          <w:tab w:val="left" w:pos="1152"/>
        </w:tabs>
        <w:jc w:val="both"/>
        <w:rPr>
          <w:sz w:val="28"/>
          <w:szCs w:val="28"/>
          <w:lang w:val="en-GB"/>
        </w:rPr>
      </w:pPr>
    </w:p>
    <w:p w:rsidR="00685709" w:rsidRPr="00D72AC3" w:rsidRDefault="00685709" w:rsidP="00796432">
      <w:pPr>
        <w:tabs>
          <w:tab w:val="left" w:pos="1152"/>
        </w:tabs>
        <w:ind w:firstLine="709"/>
        <w:jc w:val="both"/>
        <w:rPr>
          <w:sz w:val="28"/>
          <w:szCs w:val="28"/>
          <w:lang w:val="en-GB"/>
        </w:rPr>
      </w:pPr>
    </w:p>
    <w:p w:rsidR="00685709" w:rsidRPr="00D72AC3" w:rsidRDefault="00685709" w:rsidP="00FA6257">
      <w:pPr>
        <w:tabs>
          <w:tab w:val="left" w:pos="1152"/>
        </w:tabs>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sz w:val="28"/>
          <w:szCs w:val="28"/>
          <w:lang w:val="en-GB"/>
        </w:rPr>
      </w:pPr>
    </w:p>
    <w:p w:rsidR="000D0FCD" w:rsidRPr="00D72AC3" w:rsidRDefault="000D0FCD" w:rsidP="00796432">
      <w:pPr>
        <w:tabs>
          <w:tab w:val="left" w:pos="1152"/>
        </w:tabs>
        <w:ind w:firstLine="709"/>
        <w:jc w:val="both"/>
        <w:rPr>
          <w:i/>
          <w:sz w:val="20"/>
          <w:szCs w:val="20"/>
          <w:lang w:val="en-GB"/>
        </w:rPr>
      </w:pPr>
    </w:p>
    <w:p w:rsidR="00430F4C" w:rsidRPr="00D72AC3" w:rsidRDefault="00430F4C" w:rsidP="00430F4C">
      <w:pPr>
        <w:tabs>
          <w:tab w:val="left" w:pos="1152"/>
        </w:tabs>
        <w:ind w:firstLine="709"/>
        <w:jc w:val="both"/>
        <w:rPr>
          <w:i/>
          <w:sz w:val="20"/>
          <w:szCs w:val="20"/>
          <w:lang w:val="en-GB"/>
        </w:rPr>
      </w:pPr>
      <w:r w:rsidRPr="00D72AC3">
        <w:rPr>
          <w:i/>
          <w:sz w:val="20"/>
          <w:szCs w:val="20"/>
          <w:lang w:val="en-GB" w:bidi="en-GB"/>
        </w:rPr>
        <w:t>Information source - Moneyval Fifth Round Report on the Effectiveness of the Anti-Money Laundering and Counter-Terrorist Financing System of Latvia (Fifth Round Mutual Evaluation Report)</w:t>
      </w:r>
    </w:p>
    <w:p w:rsidR="00430F4C" w:rsidRPr="00D72AC3" w:rsidRDefault="00430F4C" w:rsidP="00796432">
      <w:pPr>
        <w:tabs>
          <w:tab w:val="left" w:pos="1152"/>
        </w:tabs>
        <w:ind w:firstLine="709"/>
        <w:jc w:val="both"/>
        <w:rPr>
          <w:sz w:val="28"/>
          <w:szCs w:val="28"/>
          <w:lang w:val="en-GB"/>
        </w:rPr>
      </w:pPr>
    </w:p>
    <w:p w:rsidR="00796432" w:rsidRPr="00D72AC3" w:rsidRDefault="00796432" w:rsidP="00796432">
      <w:pPr>
        <w:tabs>
          <w:tab w:val="left" w:pos="1152"/>
        </w:tabs>
        <w:ind w:firstLine="709"/>
        <w:jc w:val="both"/>
        <w:rPr>
          <w:sz w:val="28"/>
          <w:szCs w:val="28"/>
          <w:lang w:val="en-GB"/>
        </w:rPr>
      </w:pPr>
      <w:r w:rsidRPr="00D72AC3">
        <w:rPr>
          <w:sz w:val="28"/>
          <w:szCs w:val="28"/>
          <w:lang w:val="en-GB" w:bidi="en-GB"/>
        </w:rPr>
        <w:t xml:space="preserve">Recommendations expressed in the Moneyval report for increasing the effectiveness, as well as the detected irregularities in compliance with FATF recommendations are included in Annex 1 and 2 to the Plan. </w:t>
      </w:r>
    </w:p>
    <w:p w:rsidR="005138D7" w:rsidRPr="00D72AC3" w:rsidRDefault="00796432" w:rsidP="005138D7">
      <w:pPr>
        <w:tabs>
          <w:tab w:val="left" w:pos="1152"/>
        </w:tabs>
        <w:ind w:firstLine="709"/>
        <w:jc w:val="both"/>
        <w:rPr>
          <w:sz w:val="28"/>
          <w:szCs w:val="28"/>
          <w:lang w:val="en-GB"/>
        </w:rPr>
      </w:pPr>
      <w:r w:rsidRPr="00D72AC3">
        <w:rPr>
          <w:sz w:val="28"/>
          <w:szCs w:val="28"/>
          <w:lang w:val="en-GB" w:bidi="en-GB"/>
        </w:rPr>
        <w:t xml:space="preserve">In light of the events since the approval of the Plan of Measures for 2017. – 2019, as well as Moneyval evaluation process, it is necessary to considerably revise the previously approved plan of measures, inter alia, jointly with the approved complementary measures for increasing the compliance of financial sector. It is also necessary to commence the work on introduction of the recommendations expressed by Moneyval. Therewith, the Ministry of Finance, in cooperation with the involved institutions, has prepared a revised Plan of Anti-Money Laundering and Counter-Terrorism Financing Measures for </w:t>
      </w:r>
      <w:r w:rsidRPr="00D72AC3">
        <w:rPr>
          <w:sz w:val="28"/>
          <w:szCs w:val="28"/>
          <w:lang w:val="en-GB" w:bidi="en-GB"/>
        </w:rPr>
        <w:lastRenderedPageBreak/>
        <w:t>the Period of Time till 31 December 2019, including therein the measures of the Plan of Measures for 2017 - 2019, the implementation whereof is still pending and is to be completed, complementary measures approved, as well as the new measures for introduction of Moneyval recommendations, in order to ensure considerable progress for strengthening the anti-money laundering and combating the financing of terrorism. The Cabinet of Ministers invites the Saeima (Parliament) under priority procedure, to resolve the issues related to the fulfilment of t</w:t>
      </w:r>
      <w:r w:rsidR="00D72AC3">
        <w:rPr>
          <w:sz w:val="28"/>
          <w:szCs w:val="28"/>
          <w:lang w:val="en-GB" w:bidi="en-GB"/>
        </w:rPr>
        <w:t>h</w:t>
      </w:r>
      <w:r w:rsidRPr="00D72AC3">
        <w:rPr>
          <w:sz w:val="28"/>
          <w:szCs w:val="28"/>
          <w:lang w:val="en-GB" w:bidi="en-GB"/>
        </w:rPr>
        <w:t>e measures included in the Plan, and asks for enhancing the statutory regulation at the level of laws. To strengthen the cooperation between the EU Member States</w:t>
      </w:r>
      <w:r w:rsidR="00D72AC3" w:rsidRPr="00D72AC3">
        <w:rPr>
          <w:sz w:val="28"/>
          <w:szCs w:val="28"/>
          <w:lang w:val="en-GB" w:bidi="en-GB"/>
        </w:rPr>
        <w:t xml:space="preserve"> </w:t>
      </w:r>
      <w:r w:rsidR="005138D7" w:rsidRPr="00D72AC3">
        <w:rPr>
          <w:sz w:val="28"/>
          <w:szCs w:val="28"/>
          <w:lang w:val="en-GB" w:bidi="en-GB"/>
        </w:rPr>
        <w:t>in combating money laundering and financing of terrorism, Latvia supports the new initiatives at the E</w:t>
      </w:r>
      <w:r w:rsidR="002A5E4C">
        <w:rPr>
          <w:sz w:val="28"/>
          <w:szCs w:val="28"/>
          <w:lang w:val="en-GB" w:bidi="en-GB"/>
        </w:rPr>
        <w:t>U</w:t>
      </w:r>
      <w:r w:rsidR="005138D7" w:rsidRPr="00D72AC3">
        <w:rPr>
          <w:sz w:val="28"/>
          <w:szCs w:val="28"/>
          <w:lang w:val="en-GB" w:bidi="en-GB"/>
        </w:rPr>
        <w:t xml:space="preserve"> level for anti-money laundering and combating the financing of terrorism in accordance with the commenced discussions at the EU level.</w:t>
      </w:r>
      <w:r w:rsidR="00D72AC3" w:rsidRPr="00D72AC3">
        <w:rPr>
          <w:sz w:val="28"/>
          <w:szCs w:val="28"/>
          <w:lang w:val="en-GB" w:bidi="en-GB"/>
        </w:rPr>
        <w:t xml:space="preserve"> </w:t>
      </w:r>
    </w:p>
    <w:p w:rsidR="00692A55" w:rsidRPr="00D72AC3" w:rsidRDefault="00692A55" w:rsidP="00796432">
      <w:pPr>
        <w:jc w:val="both"/>
        <w:rPr>
          <w:rFonts w:cs="Times New Roman"/>
          <w:b/>
          <w:bCs/>
          <w:sz w:val="28"/>
          <w:szCs w:val="28"/>
          <w:lang w:val="en-GB"/>
        </w:rPr>
      </w:pPr>
    </w:p>
    <w:p w:rsidR="007E209B" w:rsidRPr="00D72AC3" w:rsidRDefault="007E209B" w:rsidP="00796432">
      <w:pPr>
        <w:jc w:val="both"/>
        <w:rPr>
          <w:rFonts w:cs="Times New Roman"/>
          <w:b/>
          <w:bCs/>
          <w:sz w:val="28"/>
          <w:szCs w:val="28"/>
          <w:lang w:val="en-GB"/>
        </w:rPr>
      </w:pPr>
    </w:p>
    <w:p w:rsidR="00796432" w:rsidRPr="00D72AC3" w:rsidRDefault="00796432" w:rsidP="00796432">
      <w:pPr>
        <w:jc w:val="both"/>
        <w:rPr>
          <w:rFonts w:cs="Times New Roman"/>
          <w:b/>
          <w:bCs/>
          <w:sz w:val="28"/>
          <w:szCs w:val="28"/>
          <w:lang w:val="en-GB"/>
        </w:rPr>
      </w:pPr>
      <w:r w:rsidRPr="00D72AC3">
        <w:rPr>
          <w:rFonts w:cs="Times New Roman"/>
          <w:b/>
          <w:sz w:val="28"/>
          <w:szCs w:val="28"/>
          <w:lang w:val="en-GB" w:bidi="en-GB"/>
        </w:rPr>
        <w:t>Linkage to other policy planning documents</w:t>
      </w:r>
    </w:p>
    <w:p w:rsidR="00796432" w:rsidRPr="00D72AC3" w:rsidRDefault="00796432" w:rsidP="00796432">
      <w:pPr>
        <w:jc w:val="both"/>
        <w:rPr>
          <w:rFonts w:cs="Times New Roman"/>
          <w:b/>
          <w:bCs/>
          <w:sz w:val="28"/>
          <w:szCs w:val="28"/>
          <w:lang w:val="en-GB"/>
        </w:rPr>
      </w:pPr>
    </w:p>
    <w:p w:rsidR="00796432" w:rsidRPr="00D72AC3" w:rsidRDefault="00796432" w:rsidP="00796432">
      <w:pPr>
        <w:spacing w:before="120"/>
        <w:ind w:firstLine="851"/>
        <w:jc w:val="both"/>
        <w:rPr>
          <w:rFonts w:cs="Times New Roman"/>
          <w:bCs/>
          <w:sz w:val="28"/>
          <w:szCs w:val="28"/>
          <w:lang w:val="en-GB"/>
        </w:rPr>
      </w:pPr>
      <w:r w:rsidRPr="00D72AC3">
        <w:rPr>
          <w:rFonts w:cs="Times New Roman"/>
          <w:sz w:val="28"/>
          <w:szCs w:val="28"/>
          <w:lang w:val="en-GB" w:bidi="en-GB"/>
        </w:rPr>
        <w:t xml:space="preserve">The achievement of the objectives of this Plan is closely linked to the achievement of several other policy planning objectives. On 26 November 2017, the Saeima (Parliament) approved the </w:t>
      </w:r>
      <w:r w:rsidRPr="00D72AC3">
        <w:rPr>
          <w:rFonts w:cs="Times New Roman"/>
          <w:b/>
          <w:sz w:val="28"/>
          <w:szCs w:val="28"/>
          <w:lang w:val="en-GB" w:bidi="en-GB"/>
        </w:rPr>
        <w:t>National Security Concept</w:t>
      </w:r>
      <w:r w:rsidRPr="00D72AC3">
        <w:rPr>
          <w:rFonts w:cs="Times New Roman"/>
          <w:sz w:val="28"/>
          <w:szCs w:val="28"/>
          <w:lang w:val="en-GB" w:bidi="en-GB"/>
        </w:rPr>
        <w:t xml:space="preserve">, setting the determination of a stable and foreseeable economic environment as priorities for Latvia in preventing the threats caused to its economy. The Concept prescribes that a special attention must be paid to measures for combating shadow economy and improvement of tax collection, by implementing systematic compiling of tax evasion risks, assessment thereof and adequate control measures. It is important to build the capacity of law enforcement authorities, as well as authorities in charge of combating corruption in detecting and investigating economic and financial crimes and corrupt schemes, as well as the effectiveness of work of the court system in adjudicating such crimes. It is necessary to improve the supervision </w:t>
      </w:r>
      <w:r w:rsidR="00D72AC3" w:rsidRPr="00D72AC3">
        <w:rPr>
          <w:rFonts w:cs="Times New Roman"/>
          <w:sz w:val="28"/>
          <w:szCs w:val="28"/>
          <w:lang w:val="en-GB" w:bidi="en-GB"/>
        </w:rPr>
        <w:t>of</w:t>
      </w:r>
      <w:r w:rsidRPr="00D72AC3">
        <w:rPr>
          <w:rFonts w:cs="Times New Roman"/>
          <w:sz w:val="28"/>
          <w:szCs w:val="28"/>
          <w:lang w:val="en-GB" w:bidi="en-GB"/>
        </w:rPr>
        <w:t xml:space="preserve"> the financial sector, in order to prevent the possibilities of laundering proceeds from crime.</w:t>
      </w:r>
    </w:p>
    <w:p w:rsidR="00796432" w:rsidRPr="00D72AC3" w:rsidRDefault="00796432" w:rsidP="00796432">
      <w:pPr>
        <w:spacing w:before="120"/>
        <w:ind w:firstLine="851"/>
        <w:jc w:val="both"/>
        <w:rPr>
          <w:rFonts w:cs="Times New Roman"/>
          <w:bCs/>
          <w:sz w:val="28"/>
          <w:szCs w:val="28"/>
          <w:lang w:val="en-GB"/>
        </w:rPr>
      </w:pPr>
      <w:r w:rsidRPr="00D72AC3">
        <w:rPr>
          <w:sz w:val="28"/>
          <w:szCs w:val="28"/>
          <w:lang w:val="en-GB" w:bidi="en-GB"/>
        </w:rPr>
        <w:t xml:space="preserve">By the 28 February 2018 Order No. 90 of the Cabinet of Ministers the </w:t>
      </w:r>
      <w:r w:rsidRPr="00D72AC3">
        <w:rPr>
          <w:b/>
          <w:sz w:val="28"/>
          <w:szCs w:val="28"/>
          <w:lang w:val="en-GB" w:bidi="en-GB"/>
        </w:rPr>
        <w:t>Organised Crime Prevention and Combating Plan for 2018 - 2020</w:t>
      </w:r>
      <w:r w:rsidRPr="00D72AC3">
        <w:rPr>
          <w:sz w:val="28"/>
          <w:szCs w:val="28"/>
          <w:lang w:val="en-GB" w:bidi="en-GB"/>
        </w:rPr>
        <w:t xml:space="preserve"> was approved. The objective of this plan is to raise the effectiveness of prevention and combating criminal offences related to organised crime, by reducing the adverse economic effects thereof, and to create full-fledged conditions for law enforcement authorities for combating organised crime. Two courses of action have been set for implementation of the objective:</w:t>
      </w:r>
    </w:p>
    <w:p w:rsidR="00796432" w:rsidRPr="00D72AC3" w:rsidRDefault="00796432" w:rsidP="00796432">
      <w:pPr>
        <w:pStyle w:val="NormalWeb"/>
        <w:shd w:val="clear" w:color="auto" w:fill="FFFFFF"/>
        <w:spacing w:before="120" w:beforeAutospacing="0" w:after="0" w:afterAutospacing="0" w:line="293" w:lineRule="atLeast"/>
        <w:ind w:firstLine="300"/>
        <w:jc w:val="both"/>
        <w:rPr>
          <w:bCs/>
          <w:sz w:val="28"/>
          <w:szCs w:val="28"/>
        </w:rPr>
      </w:pPr>
      <w:r w:rsidRPr="00D72AC3">
        <w:rPr>
          <w:sz w:val="28"/>
          <w:szCs w:val="28"/>
          <w:lang w:bidi="en-GB"/>
        </w:rPr>
        <w:lastRenderedPageBreak/>
        <w:tab/>
        <w:t>1. To shape uniform understanding and knowledge of the employees of public administration institutions about the priority activity areas and effects of</w:t>
      </w:r>
      <w:r w:rsidR="00D72AC3" w:rsidRPr="00D72AC3">
        <w:rPr>
          <w:sz w:val="28"/>
          <w:szCs w:val="28"/>
          <w:lang w:bidi="en-GB"/>
        </w:rPr>
        <w:t xml:space="preserve"> </w:t>
      </w:r>
      <w:r w:rsidRPr="00D72AC3">
        <w:rPr>
          <w:sz w:val="28"/>
          <w:szCs w:val="28"/>
          <w:lang w:bidi="en-GB"/>
        </w:rPr>
        <w:tab/>
        <w:t>organised</w:t>
      </w:r>
      <w:r w:rsidR="00D72AC3" w:rsidRPr="00D72AC3">
        <w:rPr>
          <w:sz w:val="28"/>
          <w:szCs w:val="28"/>
          <w:lang w:bidi="en-GB"/>
        </w:rPr>
        <w:t xml:space="preserve"> </w:t>
      </w:r>
      <w:r w:rsidRPr="00D72AC3">
        <w:rPr>
          <w:sz w:val="28"/>
          <w:szCs w:val="28"/>
          <w:lang w:bidi="en-GB"/>
        </w:rPr>
        <w:tab/>
        <w:t xml:space="preserve">crime (level of threats, trends, dynamics, structure) on the economic </w:t>
      </w:r>
      <w:r w:rsidRPr="00D72AC3">
        <w:rPr>
          <w:sz w:val="28"/>
          <w:szCs w:val="28"/>
          <w:lang w:bidi="en-GB"/>
        </w:rPr>
        <w:tab/>
        <w:t xml:space="preserve"> (financial) interests of the State and safety of population.</w:t>
      </w:r>
    </w:p>
    <w:p w:rsidR="00796432" w:rsidRPr="00D72AC3" w:rsidRDefault="00796432" w:rsidP="00796432">
      <w:pPr>
        <w:pStyle w:val="NormalWeb"/>
        <w:shd w:val="clear" w:color="auto" w:fill="FFFFFF"/>
        <w:spacing w:before="120" w:beforeAutospacing="0" w:after="0" w:afterAutospacing="0" w:line="293" w:lineRule="atLeast"/>
        <w:ind w:firstLine="300"/>
        <w:rPr>
          <w:bCs/>
          <w:sz w:val="28"/>
          <w:szCs w:val="28"/>
        </w:rPr>
      </w:pPr>
      <w:r w:rsidRPr="00D72AC3">
        <w:rPr>
          <w:sz w:val="28"/>
          <w:szCs w:val="28"/>
          <w:lang w:bidi="en-GB"/>
        </w:rPr>
        <w:tab/>
        <w:t>2. To raise the effectiveness of operation of law enforcement authorities in priority areas of organised crime prevention and combating</w:t>
      </w:r>
      <w:r w:rsidR="00D72AC3" w:rsidRPr="00D72AC3">
        <w:rPr>
          <w:sz w:val="28"/>
          <w:szCs w:val="28"/>
          <w:lang w:bidi="en-GB"/>
        </w:rPr>
        <w:t xml:space="preserve"> </w:t>
      </w:r>
      <w:r w:rsidRPr="00D72AC3">
        <w:rPr>
          <w:sz w:val="28"/>
          <w:szCs w:val="28"/>
          <w:lang w:bidi="en-GB"/>
        </w:rPr>
        <w:t xml:space="preserve">, </w:t>
      </w:r>
      <w:r w:rsidRPr="00D72AC3">
        <w:rPr>
          <w:i/>
          <w:sz w:val="28"/>
          <w:szCs w:val="28"/>
          <w:lang w:bidi="en-GB"/>
        </w:rPr>
        <w:t>inter alia</w:t>
      </w:r>
      <w:r w:rsidRPr="00D72AC3">
        <w:rPr>
          <w:sz w:val="28"/>
          <w:szCs w:val="28"/>
          <w:lang w:bidi="en-GB"/>
        </w:rPr>
        <w:t>, by enhancing the cooperation with other institutions and society.</w:t>
      </w:r>
    </w:p>
    <w:p w:rsidR="00796432" w:rsidRPr="00D72AC3" w:rsidRDefault="00796432" w:rsidP="00796432">
      <w:pPr>
        <w:ind w:firstLine="851"/>
        <w:jc w:val="both"/>
        <w:rPr>
          <w:rFonts w:eastAsia="Times New Roman" w:cs="Times New Roman"/>
          <w:bCs/>
          <w:sz w:val="28"/>
          <w:szCs w:val="28"/>
          <w:lang w:val="en-GB" w:eastAsia="en-GB"/>
        </w:rPr>
      </w:pPr>
    </w:p>
    <w:p w:rsidR="00796432" w:rsidRPr="00D72AC3" w:rsidRDefault="00796432" w:rsidP="00796432">
      <w:pPr>
        <w:pStyle w:val="NormalWeb"/>
        <w:shd w:val="clear" w:color="auto" w:fill="FFFFFF"/>
        <w:spacing w:before="0" w:beforeAutospacing="0" w:after="0" w:afterAutospacing="0"/>
        <w:ind w:firstLine="720"/>
        <w:contextualSpacing/>
        <w:jc w:val="both"/>
        <w:rPr>
          <w:bCs/>
          <w:sz w:val="28"/>
          <w:szCs w:val="28"/>
        </w:rPr>
      </w:pPr>
      <w:r w:rsidRPr="00D72AC3">
        <w:rPr>
          <w:sz w:val="28"/>
          <w:szCs w:val="28"/>
          <w:lang w:bidi="en-GB"/>
        </w:rPr>
        <w:t xml:space="preserve">On 10 June 2016, the Council for Combating Illegal Economy approved the </w:t>
      </w:r>
      <w:r w:rsidRPr="00D72AC3">
        <w:rPr>
          <w:b/>
          <w:sz w:val="28"/>
          <w:szCs w:val="28"/>
          <w:lang w:bidi="en-GB"/>
        </w:rPr>
        <w:t>Work Plan of State Institutions for the Limitation of Illegal Economy for 2016-2020</w:t>
      </w:r>
      <w:r w:rsidRPr="00D72AC3">
        <w:rPr>
          <w:sz w:val="28"/>
          <w:szCs w:val="28"/>
          <w:lang w:bidi="en-GB"/>
        </w:rPr>
        <w:t>. The plan entails measures aimed at combating shadow (illegal) economy in Latvia, as well as sets the terms for implementation of the measures. Measures covered by the plan of measures are grouped according to six courses of action: tax payment promotion - limiting shadow economy and promotion fair competition, reducing administrative burden, complex solutions for reducing shadow economy (in construction, trade, field of services, field of transport), capacity building of controlling authorities (facilitating information exchange, effective use of IT possibilities), effective dispute resolution and penal system, explaining the need for paying taxes via communication and educating, as well as effective tax policy.</w:t>
      </w:r>
    </w:p>
    <w:p w:rsidR="00796432" w:rsidRPr="00D72AC3" w:rsidRDefault="00796432" w:rsidP="00796432">
      <w:pPr>
        <w:pStyle w:val="NormalWeb"/>
        <w:shd w:val="clear" w:color="auto" w:fill="FFFFFF"/>
        <w:spacing w:before="0" w:beforeAutospacing="0" w:after="0" w:afterAutospacing="0"/>
        <w:ind w:firstLine="720"/>
        <w:contextualSpacing/>
        <w:jc w:val="both"/>
        <w:rPr>
          <w:bCs/>
          <w:sz w:val="28"/>
          <w:szCs w:val="28"/>
        </w:rPr>
      </w:pPr>
      <w:r w:rsidRPr="00D72AC3">
        <w:rPr>
          <w:sz w:val="28"/>
          <w:szCs w:val="28"/>
          <w:lang w:bidi="en-GB"/>
        </w:rPr>
        <w:t xml:space="preserve">By the 16 July 2015 Cabinet of Ministers Order No. 393 </w:t>
      </w:r>
      <w:r w:rsidRPr="00D72AC3">
        <w:rPr>
          <w:b/>
          <w:sz w:val="28"/>
          <w:szCs w:val="28"/>
          <w:lang w:bidi="en-GB"/>
        </w:rPr>
        <w:t xml:space="preserve">Corruption Prevention and Combating Guidelines for 2015 - 2020 </w:t>
      </w:r>
      <w:r w:rsidRPr="00D72AC3">
        <w:rPr>
          <w:sz w:val="28"/>
          <w:szCs w:val="28"/>
          <w:lang w:bidi="en-GB"/>
        </w:rPr>
        <w:t>were approved, stating that the overriding objective of the corruption prevention and combating policy is - observing the principle of sound governance and effective human resources management, to ensure reliable operation of any institution or organisation. The priorities of the corruption and fraud prevention and combating policy set in the Concept:</w:t>
      </w:r>
    </w:p>
    <w:p w:rsidR="00796432" w:rsidRPr="00D72AC3" w:rsidRDefault="00796432" w:rsidP="00796432">
      <w:pPr>
        <w:pStyle w:val="tvhtml"/>
        <w:shd w:val="clear" w:color="auto" w:fill="FFFFFF"/>
        <w:spacing w:before="0" w:beforeAutospacing="0" w:after="0" w:afterAutospacing="0"/>
        <w:ind w:firstLine="300"/>
        <w:contextualSpacing/>
        <w:jc w:val="both"/>
        <w:rPr>
          <w:bCs/>
          <w:sz w:val="28"/>
          <w:szCs w:val="28"/>
          <w:lang w:val="en-GB" w:eastAsia="en-GB"/>
        </w:rPr>
      </w:pPr>
      <w:r w:rsidRPr="00D72AC3">
        <w:rPr>
          <w:sz w:val="28"/>
          <w:szCs w:val="28"/>
          <w:lang w:val="en-GB" w:bidi="en-GB"/>
        </w:rPr>
        <w:tab/>
        <w:t xml:space="preserve">1. To reorient anti-corruption and fraud combating policy from the external control, implemented by control institutions, </w:t>
      </w:r>
      <w:r w:rsidRPr="00D72AC3">
        <w:rPr>
          <w:sz w:val="28"/>
          <w:szCs w:val="28"/>
          <w:lang w:val="en-GB" w:bidi="en-GB"/>
        </w:rPr>
        <w:tab/>
        <w:t>to the internal control of the departments and institutions;</w:t>
      </w:r>
    </w:p>
    <w:p w:rsidR="00796432" w:rsidRPr="00D72AC3" w:rsidRDefault="00796432" w:rsidP="00796432">
      <w:pPr>
        <w:pStyle w:val="tvhtml"/>
        <w:shd w:val="clear" w:color="auto" w:fill="FFFFFF"/>
        <w:spacing w:before="0" w:beforeAutospacing="0" w:after="0" w:afterAutospacing="0"/>
        <w:ind w:firstLine="300"/>
        <w:contextualSpacing/>
        <w:jc w:val="both"/>
        <w:rPr>
          <w:bCs/>
          <w:sz w:val="28"/>
          <w:szCs w:val="28"/>
          <w:lang w:val="en-GB" w:eastAsia="en-GB"/>
        </w:rPr>
      </w:pPr>
      <w:r w:rsidRPr="00D72AC3">
        <w:rPr>
          <w:sz w:val="28"/>
          <w:szCs w:val="28"/>
          <w:lang w:val="en-GB" w:bidi="en-GB"/>
        </w:rPr>
        <w:tab/>
        <w:t>2. To achieve openness in the human resources selection in public administration and provision of</w:t>
      </w:r>
      <w:r w:rsidR="00D72AC3" w:rsidRPr="00D72AC3">
        <w:rPr>
          <w:sz w:val="28"/>
          <w:szCs w:val="28"/>
          <w:lang w:val="en-GB" w:bidi="en-GB"/>
        </w:rPr>
        <w:t xml:space="preserve"> </w:t>
      </w:r>
      <w:r w:rsidRPr="00D72AC3">
        <w:rPr>
          <w:sz w:val="28"/>
          <w:szCs w:val="28"/>
          <w:lang w:val="en-GB" w:bidi="en-GB"/>
        </w:rPr>
        <w:tab/>
        <w:t>ethical, motivated, competent staff in the entire public administration and judicial power;</w:t>
      </w:r>
    </w:p>
    <w:p w:rsidR="00796432" w:rsidRPr="00D72AC3" w:rsidRDefault="00796432" w:rsidP="00796432">
      <w:pPr>
        <w:pStyle w:val="tvhtml"/>
        <w:shd w:val="clear" w:color="auto" w:fill="FFFFFF"/>
        <w:spacing w:before="0" w:beforeAutospacing="0" w:after="0" w:afterAutospacing="0"/>
        <w:ind w:firstLine="300"/>
        <w:contextualSpacing/>
        <w:jc w:val="both"/>
        <w:rPr>
          <w:bCs/>
          <w:sz w:val="28"/>
          <w:szCs w:val="28"/>
          <w:lang w:val="en-GB" w:eastAsia="en-GB"/>
        </w:rPr>
      </w:pPr>
      <w:r w:rsidRPr="00D72AC3">
        <w:rPr>
          <w:sz w:val="28"/>
          <w:szCs w:val="28"/>
          <w:lang w:val="en-GB" w:bidi="en-GB"/>
        </w:rPr>
        <w:tab/>
        <w:t>3.</w:t>
      </w:r>
      <w:r w:rsidR="00D72AC3">
        <w:rPr>
          <w:sz w:val="28"/>
          <w:szCs w:val="28"/>
          <w:lang w:val="en-GB" w:bidi="en-GB"/>
        </w:rPr>
        <w:t xml:space="preserve"> </w:t>
      </w:r>
      <w:r w:rsidRPr="00D72AC3">
        <w:rPr>
          <w:sz w:val="28"/>
          <w:szCs w:val="28"/>
          <w:lang w:val="en-GB" w:bidi="en-GB"/>
        </w:rPr>
        <w:t>To promote reduction of public tolerance towards corruption and public participation in policy making process;</w:t>
      </w:r>
    </w:p>
    <w:p w:rsidR="00A401DB" w:rsidRPr="00D72AC3" w:rsidRDefault="00796432" w:rsidP="00685709">
      <w:pPr>
        <w:pStyle w:val="tvhtml"/>
        <w:shd w:val="clear" w:color="auto" w:fill="FFFFFF"/>
        <w:spacing w:before="0" w:beforeAutospacing="0" w:after="0" w:afterAutospacing="0"/>
        <w:ind w:firstLine="300"/>
        <w:contextualSpacing/>
        <w:jc w:val="both"/>
        <w:rPr>
          <w:bCs/>
          <w:sz w:val="28"/>
          <w:szCs w:val="28"/>
          <w:lang w:val="en-GB" w:eastAsia="en-GB"/>
        </w:rPr>
      </w:pPr>
      <w:r w:rsidRPr="00D72AC3">
        <w:rPr>
          <w:sz w:val="28"/>
          <w:szCs w:val="28"/>
          <w:lang w:val="en-GB" w:bidi="en-GB"/>
        </w:rPr>
        <w:tab/>
        <w:t>4. To start implementing measures for restricting corruption and fraud in private sector.</w:t>
      </w:r>
    </w:p>
    <w:p w:rsidR="00015DD2" w:rsidRPr="00D72AC3" w:rsidRDefault="00015DD2" w:rsidP="00685709">
      <w:pPr>
        <w:pStyle w:val="tvhtml"/>
        <w:shd w:val="clear" w:color="auto" w:fill="FFFFFF"/>
        <w:spacing w:before="0" w:beforeAutospacing="0" w:after="0" w:afterAutospacing="0"/>
        <w:ind w:firstLine="300"/>
        <w:contextualSpacing/>
        <w:jc w:val="both"/>
        <w:rPr>
          <w:bCs/>
          <w:sz w:val="28"/>
          <w:szCs w:val="28"/>
          <w:lang w:val="en-GB" w:eastAsia="en-GB"/>
        </w:rPr>
      </w:pPr>
    </w:p>
    <w:p w:rsidR="00015DD2" w:rsidRPr="00D72AC3" w:rsidRDefault="00015DD2" w:rsidP="00685709">
      <w:pPr>
        <w:pStyle w:val="tvhtml"/>
        <w:shd w:val="clear" w:color="auto" w:fill="FFFFFF"/>
        <w:spacing w:before="0" w:beforeAutospacing="0" w:after="0" w:afterAutospacing="0"/>
        <w:ind w:firstLine="300"/>
        <w:contextualSpacing/>
        <w:jc w:val="both"/>
        <w:rPr>
          <w:bCs/>
          <w:sz w:val="28"/>
          <w:szCs w:val="28"/>
          <w:lang w:val="en-GB" w:eastAsia="en-GB"/>
        </w:rPr>
      </w:pPr>
    </w:p>
    <w:p w:rsidR="00015DD2" w:rsidRPr="00D72AC3" w:rsidRDefault="00015DD2" w:rsidP="00685709">
      <w:pPr>
        <w:pStyle w:val="tvhtml"/>
        <w:shd w:val="clear" w:color="auto" w:fill="FFFFFF"/>
        <w:spacing w:before="0" w:beforeAutospacing="0" w:after="0" w:afterAutospacing="0"/>
        <w:ind w:firstLine="300"/>
        <w:contextualSpacing/>
        <w:jc w:val="both"/>
        <w:rPr>
          <w:bCs/>
          <w:sz w:val="28"/>
          <w:szCs w:val="28"/>
          <w:lang w:val="en-GB" w:eastAsia="en-GB"/>
        </w:rPr>
      </w:pPr>
    </w:p>
    <w:p w:rsidR="00015DD2" w:rsidRPr="00D72AC3" w:rsidRDefault="00015DD2" w:rsidP="00685709">
      <w:pPr>
        <w:pStyle w:val="tvhtml"/>
        <w:shd w:val="clear" w:color="auto" w:fill="FFFFFF"/>
        <w:spacing w:before="0" w:beforeAutospacing="0" w:after="0" w:afterAutospacing="0"/>
        <w:ind w:firstLine="300"/>
        <w:contextualSpacing/>
        <w:jc w:val="both"/>
        <w:rPr>
          <w:bCs/>
          <w:sz w:val="28"/>
          <w:szCs w:val="28"/>
          <w:lang w:val="en-GB" w:eastAsia="en-GB"/>
        </w:rPr>
      </w:pPr>
    </w:p>
    <w:p w:rsidR="00015DD2" w:rsidRPr="00D72AC3" w:rsidRDefault="00015DD2" w:rsidP="00685709">
      <w:pPr>
        <w:pStyle w:val="tvhtml"/>
        <w:shd w:val="clear" w:color="auto" w:fill="FFFFFF"/>
        <w:spacing w:before="0" w:beforeAutospacing="0" w:after="0" w:afterAutospacing="0"/>
        <w:ind w:firstLine="300"/>
        <w:contextualSpacing/>
        <w:jc w:val="both"/>
        <w:rPr>
          <w:bCs/>
          <w:sz w:val="28"/>
          <w:szCs w:val="28"/>
          <w:lang w:val="en-GB" w:eastAsia="en-GB"/>
        </w:rPr>
      </w:pPr>
    </w:p>
    <w:p w:rsidR="00015DD2" w:rsidRPr="00D72AC3" w:rsidRDefault="00015DD2" w:rsidP="00685709">
      <w:pPr>
        <w:pStyle w:val="tvhtml"/>
        <w:shd w:val="clear" w:color="auto" w:fill="FFFFFF"/>
        <w:spacing w:before="0" w:beforeAutospacing="0" w:after="0" w:afterAutospacing="0"/>
        <w:ind w:firstLine="300"/>
        <w:contextualSpacing/>
        <w:jc w:val="both"/>
        <w:rPr>
          <w:bCs/>
          <w:sz w:val="28"/>
          <w:szCs w:val="28"/>
          <w:lang w:val="en-GB" w:eastAsia="en-GB"/>
        </w:rPr>
      </w:pPr>
    </w:p>
    <w:p w:rsidR="008D79D5" w:rsidRPr="00D72AC3" w:rsidRDefault="008D79D5" w:rsidP="00E24F37">
      <w:pPr>
        <w:pStyle w:val="Heading1"/>
        <w:rPr>
          <w:sz w:val="40"/>
          <w:szCs w:val="40"/>
        </w:rPr>
      </w:pPr>
      <w:bookmarkStart w:id="5" w:name="_Toc526510433"/>
      <w:r w:rsidRPr="00D72AC3">
        <w:rPr>
          <w:sz w:val="40"/>
          <w:szCs w:val="40"/>
          <w:lang w:bidi="en-GB"/>
        </w:rPr>
        <w:t>IV. Objective and courses of action of the plan</w:t>
      </w:r>
      <w:bookmarkEnd w:id="5"/>
    </w:p>
    <w:p w:rsidR="0000507F" w:rsidRPr="00D72AC3" w:rsidRDefault="0000507F" w:rsidP="00232E53">
      <w:pPr>
        <w:jc w:val="both"/>
        <w:rPr>
          <w:rFonts w:cs="Times New Roman"/>
          <w:b/>
          <w:bCs/>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90"/>
        <w:gridCol w:w="11158"/>
      </w:tblGrid>
      <w:tr w:rsidR="00780D18" w:rsidRPr="00D72AC3" w:rsidTr="001F76B5">
        <w:tc>
          <w:tcPr>
            <w:tcW w:w="1000" w:type="pct"/>
            <w:shd w:val="clear" w:color="auto" w:fill="FFFFFF"/>
            <w:hideMark/>
          </w:tcPr>
          <w:p w:rsidR="00780D18" w:rsidRPr="00D72AC3" w:rsidRDefault="00780D18" w:rsidP="00780D18">
            <w:pPr>
              <w:rPr>
                <w:rFonts w:eastAsia="Times New Roman" w:cs="Times New Roman"/>
                <w:b/>
                <w:bCs/>
                <w:color w:val="414142"/>
                <w:sz w:val="20"/>
                <w:szCs w:val="20"/>
                <w:lang w:val="en-GB" w:eastAsia="lv-LV"/>
              </w:rPr>
            </w:pPr>
            <w:r w:rsidRPr="00D72AC3">
              <w:rPr>
                <w:rFonts w:eastAsia="Times New Roman" w:cs="Times New Roman"/>
                <w:b/>
                <w:color w:val="414142"/>
                <w:sz w:val="20"/>
                <w:szCs w:val="20"/>
                <w:lang w:val="en-GB" w:bidi="en-GB"/>
              </w:rPr>
              <w:t>Objective of the plan</w:t>
            </w:r>
          </w:p>
        </w:tc>
        <w:tc>
          <w:tcPr>
            <w:tcW w:w="4000" w:type="pct"/>
            <w:shd w:val="clear" w:color="auto" w:fill="FFFFFF"/>
          </w:tcPr>
          <w:p w:rsidR="00780D18" w:rsidRPr="00D72AC3" w:rsidRDefault="001F76B5" w:rsidP="00482384">
            <w:pPr>
              <w:jc w:val="both"/>
              <w:rPr>
                <w:rFonts w:eastAsia="Times New Roman" w:cs="Times New Roman"/>
                <w:color w:val="000000" w:themeColor="text1"/>
                <w:sz w:val="20"/>
                <w:szCs w:val="20"/>
                <w:lang w:val="en-GB" w:eastAsia="lv-LV"/>
              </w:rPr>
            </w:pPr>
            <w:r w:rsidRPr="00D72AC3">
              <w:rPr>
                <w:rFonts w:eastAsia="Times New Roman" w:cs="Times New Roman"/>
                <w:color w:val="000000" w:themeColor="text1"/>
                <w:sz w:val="20"/>
                <w:szCs w:val="20"/>
                <w:lang w:val="en-GB" w:bidi="en-GB"/>
              </w:rPr>
              <w:t>To strengthen the capacities of Latvia to combat money laundering, financing of terrorism and proliferation and to mitigate the overall money laundering and terrorism financing risks, by ensuring conformity with the international commitments and standards in the field of AML/CFT and promoting the public safety, competitiveness of economic environment and confidence in jurisdiction of Latvia.</w:t>
            </w:r>
          </w:p>
        </w:tc>
      </w:tr>
      <w:tr w:rsidR="00914F28" w:rsidRPr="00D72AC3" w:rsidTr="001F76B5">
        <w:tc>
          <w:tcPr>
            <w:tcW w:w="1000" w:type="pct"/>
            <w:shd w:val="clear" w:color="auto" w:fill="FFFFFF"/>
            <w:hideMark/>
          </w:tcPr>
          <w:p w:rsidR="00780D18" w:rsidRPr="00D72AC3" w:rsidRDefault="00780D18" w:rsidP="00914F28">
            <w:pPr>
              <w:rPr>
                <w:rFonts w:eastAsia="Times New Roman" w:cs="Times New Roman"/>
                <w:b/>
                <w:bCs/>
                <w:color w:val="000000" w:themeColor="text1"/>
                <w:sz w:val="20"/>
                <w:szCs w:val="20"/>
                <w:lang w:val="en-GB" w:eastAsia="lv-LV"/>
              </w:rPr>
            </w:pPr>
            <w:r w:rsidRPr="00D72AC3">
              <w:rPr>
                <w:rFonts w:eastAsia="Times New Roman" w:cs="Times New Roman"/>
                <w:b/>
                <w:color w:val="000000" w:themeColor="text1"/>
                <w:sz w:val="20"/>
                <w:szCs w:val="20"/>
                <w:lang w:val="en-GB" w:bidi="en-GB"/>
              </w:rPr>
              <w:t>Policy outcome/-s and outcome indicator/-s</w:t>
            </w:r>
          </w:p>
        </w:tc>
        <w:tc>
          <w:tcPr>
            <w:tcW w:w="4000" w:type="pct"/>
            <w:shd w:val="clear" w:color="auto" w:fill="FFFFFF"/>
            <w:hideMark/>
          </w:tcPr>
          <w:p w:rsidR="00780D18" w:rsidRPr="00D72AC3" w:rsidRDefault="00914F28" w:rsidP="00914F28">
            <w:pPr>
              <w:rPr>
                <w:rFonts w:eastAsia="Times New Roman" w:cs="Times New Roman"/>
                <w:color w:val="000000" w:themeColor="text1"/>
                <w:sz w:val="20"/>
                <w:szCs w:val="20"/>
                <w:lang w:val="en-GB" w:eastAsia="lv-LV"/>
              </w:rPr>
            </w:pPr>
            <w:r w:rsidRPr="00D72AC3">
              <w:rPr>
                <w:rFonts w:eastAsia="Times New Roman" w:cs="Times New Roman"/>
                <w:color w:val="000000" w:themeColor="text1"/>
                <w:sz w:val="20"/>
                <w:szCs w:val="20"/>
                <w:lang w:val="en-GB" w:bidi="en-GB"/>
              </w:rPr>
              <w:t>Increased effectiveness of system of anti-money laundering, combating terrorism and proliferation in Latvia.</w:t>
            </w:r>
          </w:p>
        </w:tc>
      </w:tr>
    </w:tbl>
    <w:p w:rsidR="00780D18" w:rsidRPr="00D72AC3" w:rsidRDefault="00780D18" w:rsidP="00914F28">
      <w:pPr>
        <w:rPr>
          <w:rFonts w:cs="Times New Roman"/>
          <w:b/>
          <w:bCs/>
          <w:color w:val="000000" w:themeColor="text1"/>
          <w:sz w:val="28"/>
          <w:szCs w:val="28"/>
          <w:lang w:val="en-GB"/>
        </w:rPr>
      </w:pPr>
    </w:p>
    <w:p w:rsidR="00F63FEF" w:rsidRPr="00D72AC3" w:rsidRDefault="00F63FEF" w:rsidP="00E24F37">
      <w:pPr>
        <w:pStyle w:val="Heading2"/>
        <w:rPr>
          <w:rFonts w:ascii="Times New Roman" w:hAnsi="Times New Roman" w:cs="Times New Roman"/>
          <w:b/>
          <w:color w:val="auto"/>
          <w:sz w:val="28"/>
          <w:szCs w:val="28"/>
          <w:lang w:val="en-GB"/>
        </w:rPr>
      </w:pPr>
      <w:bookmarkStart w:id="6" w:name="_Toc526510434"/>
      <w:r w:rsidRPr="00D72AC3">
        <w:rPr>
          <w:rFonts w:ascii="Times New Roman" w:eastAsia="Times New Roman" w:hAnsi="Times New Roman" w:cs="Times New Roman"/>
          <w:b/>
          <w:color w:val="auto"/>
          <w:sz w:val="28"/>
          <w:szCs w:val="28"/>
          <w:lang w:val="en-GB" w:bidi="en-GB"/>
        </w:rPr>
        <w:t>First course of action - Risks, policy and coordination</w:t>
      </w:r>
      <w:bookmarkEnd w:id="6"/>
      <w:r w:rsidR="00D72AC3" w:rsidRPr="00D72AC3">
        <w:rPr>
          <w:rFonts w:ascii="Times New Roman" w:eastAsia="Times New Roman" w:hAnsi="Times New Roman" w:cs="Times New Roman"/>
          <w:b/>
          <w:color w:val="auto"/>
          <w:sz w:val="28"/>
          <w:szCs w:val="28"/>
          <w:lang w:val="en-GB" w:bidi="en-GB"/>
        </w:rPr>
        <w:t xml:space="preserve"> </w:t>
      </w:r>
    </w:p>
    <w:p w:rsidR="00EA30AC" w:rsidRPr="00D72AC3" w:rsidRDefault="00EA30AC" w:rsidP="00E24F37">
      <w:pPr>
        <w:pStyle w:val="Heading2"/>
        <w:rPr>
          <w:rFonts w:ascii="Times New Roman" w:hAnsi="Times New Roman" w:cs="Times New Roman"/>
          <w:b/>
          <w:color w:val="auto"/>
          <w:sz w:val="28"/>
          <w:szCs w:val="28"/>
          <w:lang w:val="en-GB"/>
        </w:rPr>
      </w:pPr>
    </w:p>
    <w:p w:rsidR="00280A6F" w:rsidRPr="00D72AC3" w:rsidRDefault="0041676C" w:rsidP="0000507F">
      <w:pPr>
        <w:jc w:val="both"/>
        <w:rPr>
          <w:szCs w:val="24"/>
          <w:lang w:val="en-GB"/>
        </w:rPr>
      </w:pPr>
      <w:r w:rsidRPr="00D72AC3">
        <w:rPr>
          <w:szCs w:val="24"/>
          <w:lang w:val="en-GB" w:bidi="en-GB"/>
        </w:rPr>
        <w:t>Authority in charge of the course of action: MoF - for the measures related to drafting the policy and coordinating the introduction thereof</w:t>
      </w:r>
    </w:p>
    <w:p w:rsidR="0041676C" w:rsidRPr="00D72AC3" w:rsidRDefault="001B243A" w:rsidP="0000507F">
      <w:pPr>
        <w:jc w:val="both"/>
        <w:rPr>
          <w:szCs w:val="24"/>
          <w:lang w:val="en-GB"/>
        </w:rPr>
      </w:pP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t>CS - for the measures related to the ML/FT risk assessment</w:t>
      </w:r>
    </w:p>
    <w:p w:rsidR="0041676C" w:rsidRPr="00D72AC3" w:rsidRDefault="0041676C" w:rsidP="0000507F">
      <w:pPr>
        <w:jc w:val="both"/>
        <w:rPr>
          <w:szCs w:val="24"/>
          <w:lang w:val="en-GB"/>
        </w:rPr>
      </w:pPr>
      <w:r w:rsidRPr="00D72AC3">
        <w:rPr>
          <w:szCs w:val="24"/>
          <w:lang w:val="en-GB" w:bidi="en-GB"/>
        </w:rPr>
        <w:t>Co-responsible authorities: MoJ, MoFA, MoI, GPO, CPCB, FCMC, BoL, LGSI, LCSA, LCSN, LACA, NCCH, CRPC</w:t>
      </w:r>
    </w:p>
    <w:p w:rsidR="00780D18" w:rsidRPr="00D72AC3" w:rsidRDefault="00780D18" w:rsidP="00BC1A64">
      <w:pPr>
        <w:jc w:val="both"/>
        <w:rPr>
          <w:sz w:val="28"/>
          <w:szCs w:val="28"/>
          <w:lang w:val="en-GB"/>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560"/>
      </w:tblGrid>
      <w:tr w:rsidR="00C01BB0" w:rsidRPr="00D72AC3" w:rsidTr="00F76636">
        <w:tc>
          <w:tcPr>
            <w:tcW w:w="4395" w:type="dxa"/>
            <w:gridSpan w:val="2"/>
          </w:tcPr>
          <w:p w:rsidR="00C01BB0" w:rsidRPr="00D72AC3" w:rsidRDefault="00C01BB0" w:rsidP="00C01BB0">
            <w:pPr>
              <w:rPr>
                <w:rFonts w:cs="Times New Roman"/>
                <w:b/>
                <w:bCs/>
                <w:sz w:val="20"/>
                <w:szCs w:val="20"/>
                <w:lang w:val="en-GB"/>
              </w:rPr>
            </w:pPr>
            <w:r w:rsidRPr="00D72AC3">
              <w:rPr>
                <w:rFonts w:cs="Times New Roman"/>
                <w:b/>
                <w:sz w:val="20"/>
                <w:szCs w:val="20"/>
                <w:lang w:val="en-GB" w:bidi="en-GB"/>
              </w:rPr>
              <w:t>First course of action</w:t>
            </w:r>
          </w:p>
        </w:tc>
        <w:tc>
          <w:tcPr>
            <w:tcW w:w="10773" w:type="dxa"/>
            <w:gridSpan w:val="6"/>
          </w:tcPr>
          <w:p w:rsidR="00C01BB0" w:rsidRPr="00D72AC3" w:rsidRDefault="00D026CE" w:rsidP="00C01BB0">
            <w:pPr>
              <w:jc w:val="both"/>
              <w:rPr>
                <w:rFonts w:cs="Times New Roman"/>
                <w:b/>
                <w:bCs/>
                <w:sz w:val="20"/>
                <w:szCs w:val="20"/>
                <w:lang w:val="en-GB"/>
              </w:rPr>
            </w:pPr>
            <w:r w:rsidRPr="00D72AC3">
              <w:rPr>
                <w:rFonts w:cs="Times New Roman"/>
                <w:b/>
                <w:sz w:val="20"/>
                <w:szCs w:val="20"/>
                <w:lang w:val="en-GB" w:bidi="en-GB"/>
              </w:rPr>
              <w:t>RISKS, POLICY AND COORDINATION</w:t>
            </w:r>
          </w:p>
        </w:tc>
      </w:tr>
      <w:tr w:rsidR="00C01BB0" w:rsidRPr="00D72AC3" w:rsidTr="00F76636">
        <w:tc>
          <w:tcPr>
            <w:tcW w:w="4395" w:type="dxa"/>
            <w:gridSpan w:val="2"/>
          </w:tcPr>
          <w:p w:rsidR="00C01BB0" w:rsidRPr="00D72AC3" w:rsidRDefault="00C01BB0" w:rsidP="00C01BB0">
            <w:pPr>
              <w:rPr>
                <w:rFonts w:cs="Times New Roman"/>
                <w:b/>
                <w:bCs/>
                <w:sz w:val="20"/>
                <w:szCs w:val="20"/>
                <w:lang w:val="en-GB"/>
              </w:rPr>
            </w:pPr>
            <w:r w:rsidRPr="00D72AC3">
              <w:rPr>
                <w:rFonts w:cs="Times New Roman"/>
                <w:b/>
                <w:sz w:val="20"/>
                <w:szCs w:val="20"/>
                <w:lang w:val="en-GB" w:bidi="en-GB"/>
              </w:rPr>
              <w:t>Sub-objectives to be achieved:</w:t>
            </w:r>
          </w:p>
        </w:tc>
        <w:tc>
          <w:tcPr>
            <w:tcW w:w="10773" w:type="dxa"/>
            <w:gridSpan w:val="6"/>
          </w:tcPr>
          <w:p w:rsidR="00C01BB0" w:rsidRPr="00D72AC3" w:rsidRDefault="00C01BB0" w:rsidP="00C01BB0">
            <w:pPr>
              <w:jc w:val="both"/>
              <w:rPr>
                <w:rFonts w:cs="Times New Roman"/>
                <w:b/>
                <w:bCs/>
                <w:sz w:val="20"/>
                <w:szCs w:val="20"/>
                <w:lang w:val="en-GB"/>
              </w:rPr>
            </w:pPr>
            <w:r w:rsidRPr="00D72AC3">
              <w:rPr>
                <w:rFonts w:cs="Times New Roman"/>
                <w:b/>
                <w:sz w:val="20"/>
                <w:szCs w:val="20"/>
                <w:lang w:val="en-GB" w:bidi="en-GB"/>
              </w:rPr>
              <w:t>1. ML/FT risks inherent to Latvia are identified, assessed and understood.</w:t>
            </w:r>
          </w:p>
        </w:tc>
      </w:tr>
      <w:tr w:rsidR="00C01BB0" w:rsidRPr="00D72AC3" w:rsidTr="00F76636">
        <w:tc>
          <w:tcPr>
            <w:tcW w:w="4395" w:type="dxa"/>
            <w:gridSpan w:val="2"/>
          </w:tcPr>
          <w:p w:rsidR="00C01BB0" w:rsidRPr="00D72AC3" w:rsidRDefault="00C01BB0" w:rsidP="00C01BB0">
            <w:pPr>
              <w:rPr>
                <w:rFonts w:cs="Times New Roman"/>
                <w:b/>
                <w:bCs/>
                <w:sz w:val="20"/>
                <w:szCs w:val="20"/>
                <w:lang w:val="en-GB"/>
              </w:rPr>
            </w:pPr>
          </w:p>
        </w:tc>
        <w:tc>
          <w:tcPr>
            <w:tcW w:w="10773" w:type="dxa"/>
            <w:gridSpan w:val="6"/>
          </w:tcPr>
          <w:p w:rsidR="00C01BB0" w:rsidRPr="00D72AC3" w:rsidRDefault="00C01BB0" w:rsidP="00C01BB0">
            <w:pPr>
              <w:jc w:val="both"/>
              <w:rPr>
                <w:rFonts w:cs="Times New Roman"/>
                <w:b/>
                <w:bCs/>
                <w:sz w:val="20"/>
                <w:szCs w:val="20"/>
                <w:lang w:val="en-GB"/>
              </w:rPr>
            </w:pPr>
            <w:r w:rsidRPr="00D72AC3">
              <w:rPr>
                <w:rFonts w:cs="Times New Roman"/>
                <w:b/>
                <w:sz w:val="20"/>
                <w:szCs w:val="20"/>
                <w:lang w:val="en-GB" w:bidi="en-GB"/>
              </w:rPr>
              <w:t>2. Action for preventing ML/FT risks is coordinated at the national level</w:t>
            </w:r>
          </w:p>
        </w:tc>
      </w:tr>
      <w:tr w:rsidR="00C01BB0" w:rsidRPr="00D72AC3" w:rsidTr="00F76636">
        <w:tc>
          <w:tcPr>
            <w:tcW w:w="4395" w:type="dxa"/>
            <w:gridSpan w:val="2"/>
          </w:tcPr>
          <w:p w:rsidR="00C01BB0" w:rsidRPr="00D72AC3" w:rsidRDefault="00C01BB0" w:rsidP="00C01BB0">
            <w:pPr>
              <w:rPr>
                <w:rFonts w:cs="Times New Roman"/>
                <w:b/>
                <w:bCs/>
                <w:sz w:val="20"/>
                <w:szCs w:val="20"/>
                <w:lang w:val="en-GB"/>
              </w:rPr>
            </w:pPr>
          </w:p>
        </w:tc>
        <w:tc>
          <w:tcPr>
            <w:tcW w:w="10773" w:type="dxa"/>
            <w:gridSpan w:val="6"/>
          </w:tcPr>
          <w:p w:rsidR="00C01BB0" w:rsidRPr="00D72AC3" w:rsidRDefault="00C01BB0" w:rsidP="00C01BB0">
            <w:pPr>
              <w:jc w:val="both"/>
              <w:rPr>
                <w:rFonts w:cs="Times New Roman"/>
                <w:b/>
                <w:bCs/>
                <w:sz w:val="20"/>
                <w:szCs w:val="20"/>
                <w:lang w:val="en-GB"/>
              </w:rPr>
            </w:pPr>
            <w:r w:rsidRPr="00D72AC3">
              <w:rPr>
                <w:rFonts w:cs="Times New Roman"/>
                <w:b/>
                <w:sz w:val="20"/>
                <w:szCs w:val="20"/>
                <w:lang w:val="en-GB" w:bidi="en-GB"/>
              </w:rPr>
              <w:t>3. Measures taken correspond to the identified ML/FT risks</w:t>
            </w:r>
          </w:p>
        </w:tc>
      </w:tr>
      <w:tr w:rsidR="00C01BB0" w:rsidRPr="00D72AC3" w:rsidTr="00F76636">
        <w:trPr>
          <w:trHeight w:val="543"/>
        </w:trPr>
        <w:tc>
          <w:tcPr>
            <w:tcW w:w="709" w:type="dxa"/>
          </w:tcPr>
          <w:p w:rsidR="00C01BB0" w:rsidRPr="00D72AC3" w:rsidRDefault="00C01BB0" w:rsidP="00C01BB0">
            <w:pPr>
              <w:jc w:val="center"/>
              <w:rPr>
                <w:rFonts w:cs="Times New Roman"/>
                <w:bCs/>
                <w:sz w:val="20"/>
                <w:szCs w:val="20"/>
                <w:lang w:val="en-GB"/>
              </w:rPr>
            </w:pPr>
            <w:r w:rsidRPr="00D72AC3">
              <w:rPr>
                <w:rFonts w:cs="Times New Roman"/>
                <w:sz w:val="20"/>
                <w:szCs w:val="20"/>
                <w:lang w:val="en-GB" w:bidi="en-GB"/>
              </w:rPr>
              <w:t>No.</w:t>
            </w:r>
          </w:p>
        </w:tc>
        <w:tc>
          <w:tcPr>
            <w:tcW w:w="3686" w:type="dxa"/>
            <w:shd w:val="clear" w:color="auto" w:fill="auto"/>
          </w:tcPr>
          <w:p w:rsidR="00C01BB0" w:rsidRPr="00D72AC3" w:rsidRDefault="00C01BB0" w:rsidP="00C01BB0">
            <w:pPr>
              <w:jc w:val="center"/>
              <w:rPr>
                <w:rFonts w:cs="Times New Roman"/>
                <w:bCs/>
                <w:i/>
                <w:sz w:val="20"/>
                <w:szCs w:val="20"/>
                <w:lang w:val="en-GB"/>
              </w:rPr>
            </w:pPr>
            <w:r w:rsidRPr="00D72AC3">
              <w:rPr>
                <w:rFonts w:cs="Times New Roman"/>
                <w:b/>
                <w:sz w:val="20"/>
                <w:szCs w:val="20"/>
                <w:lang w:val="en-GB" w:bidi="en-GB"/>
              </w:rPr>
              <w:t>Measure</w:t>
            </w:r>
          </w:p>
        </w:tc>
        <w:tc>
          <w:tcPr>
            <w:tcW w:w="1559" w:type="dxa"/>
          </w:tcPr>
          <w:p w:rsidR="00C01BB0" w:rsidRPr="00D72AC3" w:rsidRDefault="00C01BB0" w:rsidP="00505985">
            <w:pPr>
              <w:jc w:val="center"/>
              <w:rPr>
                <w:rFonts w:cs="Times New Roman"/>
                <w:b/>
                <w:sz w:val="20"/>
                <w:szCs w:val="20"/>
                <w:lang w:val="en-GB"/>
              </w:rPr>
            </w:pPr>
            <w:r w:rsidRPr="00D72AC3">
              <w:rPr>
                <w:rFonts w:cs="Times New Roman"/>
                <w:b/>
                <w:sz w:val="20"/>
                <w:szCs w:val="20"/>
                <w:lang w:val="en-GB" w:bidi="en-GB"/>
              </w:rPr>
              <w:t>Justification</w:t>
            </w:r>
          </w:p>
        </w:tc>
        <w:tc>
          <w:tcPr>
            <w:tcW w:w="2551" w:type="dxa"/>
            <w:shd w:val="clear" w:color="auto" w:fill="auto"/>
          </w:tcPr>
          <w:p w:rsidR="00C01BB0" w:rsidRPr="00D72AC3" w:rsidRDefault="00C01BB0" w:rsidP="00505985">
            <w:pPr>
              <w:jc w:val="center"/>
              <w:rPr>
                <w:rFonts w:cs="Times New Roman"/>
                <w:b/>
                <w:bCs/>
                <w:i/>
                <w:sz w:val="20"/>
                <w:szCs w:val="20"/>
                <w:lang w:val="en-GB"/>
              </w:rPr>
            </w:pPr>
            <w:r w:rsidRPr="00D72AC3">
              <w:rPr>
                <w:rFonts w:cs="Times New Roman"/>
                <w:b/>
                <w:sz w:val="20"/>
                <w:szCs w:val="20"/>
                <w:lang w:val="en-GB" w:bidi="en-GB"/>
              </w:rPr>
              <w:t>Activity outcome</w:t>
            </w:r>
          </w:p>
        </w:tc>
        <w:tc>
          <w:tcPr>
            <w:tcW w:w="2694" w:type="dxa"/>
          </w:tcPr>
          <w:p w:rsidR="00C01BB0" w:rsidRPr="00D72AC3" w:rsidRDefault="00C01BB0" w:rsidP="00C01BB0">
            <w:pPr>
              <w:jc w:val="center"/>
              <w:rPr>
                <w:rFonts w:cs="Times New Roman"/>
                <w:bCs/>
                <w:i/>
                <w:sz w:val="20"/>
                <w:szCs w:val="20"/>
                <w:lang w:val="en-GB"/>
              </w:rPr>
            </w:pPr>
            <w:r w:rsidRPr="00D72AC3">
              <w:rPr>
                <w:rFonts w:cs="Times New Roman"/>
                <w:b/>
                <w:sz w:val="20"/>
                <w:szCs w:val="20"/>
                <w:lang w:val="en-GB" w:bidi="en-GB"/>
              </w:rPr>
              <w:t>Outcome indicator</w:t>
            </w:r>
          </w:p>
        </w:tc>
        <w:tc>
          <w:tcPr>
            <w:tcW w:w="1134" w:type="dxa"/>
            <w:shd w:val="clear" w:color="auto" w:fill="auto"/>
          </w:tcPr>
          <w:p w:rsidR="00C01BB0" w:rsidRPr="00D72AC3" w:rsidRDefault="00C01BB0" w:rsidP="00C01BB0">
            <w:pPr>
              <w:jc w:val="center"/>
              <w:rPr>
                <w:rFonts w:cs="Times New Roman"/>
                <w:bCs/>
                <w:i/>
                <w:sz w:val="20"/>
                <w:szCs w:val="20"/>
                <w:lang w:val="en-GB"/>
              </w:rPr>
            </w:pPr>
            <w:r w:rsidRPr="00D72AC3">
              <w:rPr>
                <w:rFonts w:cs="Times New Roman"/>
                <w:b/>
                <w:sz w:val="20"/>
                <w:szCs w:val="20"/>
                <w:lang w:val="en-GB" w:bidi="en-GB"/>
              </w:rPr>
              <w:t>Responsible authority</w:t>
            </w:r>
          </w:p>
        </w:tc>
        <w:tc>
          <w:tcPr>
            <w:tcW w:w="1275" w:type="dxa"/>
            <w:shd w:val="clear" w:color="auto" w:fill="auto"/>
          </w:tcPr>
          <w:p w:rsidR="00A37320" w:rsidRPr="00D72AC3" w:rsidRDefault="00C01BB0" w:rsidP="00C01BB0">
            <w:pPr>
              <w:jc w:val="center"/>
              <w:rPr>
                <w:rFonts w:cs="Times New Roman"/>
                <w:b/>
                <w:bCs/>
                <w:sz w:val="20"/>
                <w:szCs w:val="20"/>
                <w:lang w:val="en-GB"/>
              </w:rPr>
            </w:pPr>
            <w:r w:rsidRPr="00D72AC3">
              <w:rPr>
                <w:rFonts w:cs="Times New Roman"/>
                <w:b/>
                <w:sz w:val="20"/>
                <w:szCs w:val="20"/>
                <w:lang w:val="en-GB" w:bidi="en-GB"/>
              </w:rPr>
              <w:t>Till-</w:t>
            </w:r>
          </w:p>
          <w:p w:rsidR="00C01BB0" w:rsidRPr="00D72AC3" w:rsidRDefault="00C01BB0" w:rsidP="00C01BB0">
            <w:pPr>
              <w:jc w:val="center"/>
              <w:rPr>
                <w:rFonts w:cs="Times New Roman"/>
                <w:bCs/>
                <w:i/>
                <w:sz w:val="20"/>
                <w:szCs w:val="20"/>
                <w:lang w:val="en-GB"/>
              </w:rPr>
            </w:pPr>
            <w:r w:rsidRPr="00D72AC3">
              <w:rPr>
                <w:rFonts w:cs="Times New Roman"/>
                <w:b/>
                <w:sz w:val="20"/>
                <w:szCs w:val="20"/>
                <w:lang w:val="en-GB" w:bidi="en-GB"/>
              </w:rPr>
              <w:t>responsible authorities</w:t>
            </w:r>
          </w:p>
        </w:tc>
        <w:tc>
          <w:tcPr>
            <w:tcW w:w="1560" w:type="dxa"/>
            <w:shd w:val="clear" w:color="auto" w:fill="auto"/>
          </w:tcPr>
          <w:p w:rsidR="00C01BB0" w:rsidRPr="00D72AC3" w:rsidRDefault="00C01BB0" w:rsidP="00C01BB0">
            <w:pPr>
              <w:jc w:val="center"/>
              <w:rPr>
                <w:rFonts w:cs="Times New Roman"/>
                <w:bCs/>
                <w:i/>
                <w:sz w:val="20"/>
                <w:szCs w:val="20"/>
                <w:lang w:val="en-GB"/>
              </w:rPr>
            </w:pPr>
            <w:r w:rsidRPr="00D72AC3">
              <w:rPr>
                <w:rFonts w:cs="Times New Roman"/>
                <w:b/>
                <w:sz w:val="20"/>
                <w:szCs w:val="20"/>
                <w:lang w:val="en-GB" w:bidi="en-GB"/>
              </w:rPr>
              <w:t>Term for implementation</w:t>
            </w:r>
          </w:p>
        </w:tc>
      </w:tr>
      <w:tr w:rsidR="0080332D" w:rsidRPr="00D72AC3" w:rsidTr="00F76636">
        <w:trPr>
          <w:trHeight w:val="543"/>
        </w:trPr>
        <w:tc>
          <w:tcPr>
            <w:tcW w:w="709" w:type="dxa"/>
            <w:vMerge w:val="restart"/>
          </w:tcPr>
          <w:p w:rsidR="0080332D" w:rsidRPr="00D72AC3" w:rsidRDefault="0080332D" w:rsidP="00C01BB0">
            <w:pPr>
              <w:jc w:val="center"/>
              <w:rPr>
                <w:rFonts w:cs="Times New Roman"/>
                <w:bCs/>
                <w:sz w:val="20"/>
                <w:szCs w:val="20"/>
                <w:lang w:val="en-GB"/>
              </w:rPr>
            </w:pPr>
            <w:r w:rsidRPr="00D72AC3">
              <w:rPr>
                <w:rFonts w:cs="Times New Roman"/>
                <w:sz w:val="20"/>
                <w:szCs w:val="20"/>
                <w:lang w:val="en-GB" w:bidi="en-GB"/>
              </w:rPr>
              <w:t>1.1.</w:t>
            </w:r>
          </w:p>
        </w:tc>
        <w:tc>
          <w:tcPr>
            <w:tcW w:w="3686" w:type="dxa"/>
            <w:vMerge w:val="restart"/>
            <w:shd w:val="clear" w:color="auto" w:fill="auto"/>
          </w:tcPr>
          <w:p w:rsidR="0080332D" w:rsidRPr="00D72AC3" w:rsidRDefault="0080332D" w:rsidP="00BA706C">
            <w:pPr>
              <w:jc w:val="both"/>
              <w:rPr>
                <w:sz w:val="20"/>
                <w:szCs w:val="20"/>
                <w:lang w:val="en-GB"/>
              </w:rPr>
            </w:pPr>
            <w:r w:rsidRPr="00D72AC3">
              <w:rPr>
                <w:sz w:val="20"/>
                <w:szCs w:val="20"/>
                <w:lang w:val="en-GB" w:bidi="en-GB"/>
              </w:rPr>
              <w:t>To carry out the ML/FT risk assessment for the period 2017 - 2018, including:</w:t>
            </w:r>
          </w:p>
          <w:p w:rsidR="0080332D" w:rsidRPr="00D72AC3" w:rsidRDefault="0080332D" w:rsidP="008B4FF0">
            <w:pPr>
              <w:jc w:val="both"/>
              <w:rPr>
                <w:rFonts w:cs="Times New Roman"/>
                <w:sz w:val="20"/>
                <w:szCs w:val="20"/>
                <w:lang w:val="en-GB"/>
              </w:rPr>
            </w:pPr>
            <w:r w:rsidRPr="00D72AC3">
              <w:rPr>
                <w:rFonts w:cs="Times New Roman"/>
                <w:sz w:val="20"/>
                <w:szCs w:val="20"/>
                <w:lang w:val="en-GB" w:bidi="en-GB"/>
              </w:rPr>
              <w:t>- to ensure a full-fledged participation of competent authorities in all stages of the NRA process;</w:t>
            </w:r>
          </w:p>
          <w:p w:rsidR="0080332D" w:rsidRPr="00D72AC3" w:rsidRDefault="0080332D" w:rsidP="008B4FF0">
            <w:pPr>
              <w:jc w:val="both"/>
              <w:rPr>
                <w:rFonts w:cs="Times New Roman"/>
                <w:sz w:val="20"/>
                <w:szCs w:val="20"/>
                <w:lang w:val="en-GB"/>
              </w:rPr>
            </w:pPr>
            <w:r w:rsidRPr="00D72AC3">
              <w:rPr>
                <w:rFonts w:cs="Times New Roman"/>
                <w:sz w:val="20"/>
                <w:szCs w:val="20"/>
                <w:lang w:val="en-GB" w:bidi="en-GB"/>
              </w:rPr>
              <w:lastRenderedPageBreak/>
              <w:t>- to enhance the analysis and understanding of the material ML threats and vulnerability ;</w:t>
            </w:r>
          </w:p>
          <w:p w:rsidR="0080332D" w:rsidRPr="00D72AC3" w:rsidRDefault="0080332D" w:rsidP="008B4FF0">
            <w:pPr>
              <w:jc w:val="both"/>
              <w:rPr>
                <w:rFonts w:cs="Times New Roman"/>
                <w:sz w:val="20"/>
                <w:szCs w:val="20"/>
                <w:lang w:val="en-GB"/>
              </w:rPr>
            </w:pPr>
            <w:r w:rsidRPr="00D72AC3">
              <w:rPr>
                <w:rFonts w:cs="Times New Roman"/>
                <w:sz w:val="20"/>
                <w:szCs w:val="20"/>
                <w:lang w:val="en-GB" w:bidi="en-GB"/>
              </w:rPr>
              <w:t>- to enhance the analysis and understanding of the FT threats and vulnerability inherent to financial centres, as a whole, and, more specifically, to Latvian economy and society</w:t>
            </w:r>
          </w:p>
          <w:p w:rsidR="0080332D" w:rsidRPr="00D72AC3" w:rsidRDefault="0080332D" w:rsidP="008B4FF0">
            <w:pPr>
              <w:jc w:val="both"/>
              <w:rPr>
                <w:rFonts w:cs="Times New Roman"/>
                <w:sz w:val="20"/>
                <w:szCs w:val="20"/>
                <w:lang w:val="en-GB"/>
              </w:rPr>
            </w:pPr>
            <w:r w:rsidRPr="00D72AC3">
              <w:rPr>
                <w:rFonts w:cs="Times New Roman"/>
                <w:sz w:val="20"/>
                <w:szCs w:val="20"/>
                <w:lang w:val="en-GB" w:bidi="en-GB"/>
              </w:rPr>
              <w:t>- to include in the assessment also the new trends that might cause emerging threats;</w:t>
            </w:r>
          </w:p>
          <w:p w:rsidR="0080332D" w:rsidRPr="00D72AC3" w:rsidRDefault="0080332D" w:rsidP="008B4FF0">
            <w:pPr>
              <w:jc w:val="both"/>
              <w:rPr>
                <w:rFonts w:cs="Times New Roman"/>
                <w:sz w:val="20"/>
                <w:szCs w:val="20"/>
                <w:lang w:val="en-GB"/>
              </w:rPr>
            </w:pPr>
            <w:r w:rsidRPr="00D72AC3">
              <w:rPr>
                <w:rFonts w:cs="Times New Roman"/>
                <w:sz w:val="20"/>
                <w:szCs w:val="20"/>
                <w:lang w:val="en-GB" w:bidi="en-GB"/>
              </w:rPr>
              <w:t>-to identify the risk jurisdictions determined for the Latvia’s risk profile.</w:t>
            </w:r>
          </w:p>
          <w:p w:rsidR="0080332D" w:rsidRPr="00D72AC3" w:rsidRDefault="0080332D" w:rsidP="00BA706C">
            <w:pPr>
              <w:jc w:val="both"/>
              <w:rPr>
                <w:rFonts w:cs="Times New Roman"/>
                <w:bCs/>
                <w:sz w:val="20"/>
                <w:szCs w:val="20"/>
                <w:lang w:val="en-GB"/>
              </w:rPr>
            </w:pPr>
          </w:p>
        </w:tc>
        <w:tc>
          <w:tcPr>
            <w:tcW w:w="1559" w:type="dxa"/>
            <w:vMerge w:val="restart"/>
          </w:tcPr>
          <w:p w:rsidR="0080332D" w:rsidRPr="00D72AC3" w:rsidRDefault="0080332D" w:rsidP="00C01BB0">
            <w:pPr>
              <w:rPr>
                <w:rFonts w:cs="Times New Roman"/>
                <w:sz w:val="20"/>
                <w:szCs w:val="20"/>
                <w:lang w:val="en-GB"/>
              </w:rPr>
            </w:pPr>
            <w:r w:rsidRPr="00D72AC3">
              <w:rPr>
                <w:rFonts w:cs="Times New Roman"/>
                <w:sz w:val="20"/>
                <w:szCs w:val="20"/>
                <w:lang w:val="en-GB" w:bidi="en-GB"/>
              </w:rPr>
              <w:lastRenderedPageBreak/>
              <w:t>Moneyval recommendation 1.1., 1.2., 3.8., 5.3.</w:t>
            </w:r>
          </w:p>
          <w:p w:rsidR="0080332D" w:rsidRPr="00D72AC3" w:rsidRDefault="0080332D" w:rsidP="00BD2BE0">
            <w:pPr>
              <w:jc w:val="both"/>
              <w:rPr>
                <w:rFonts w:cs="Times New Roman"/>
                <w:sz w:val="20"/>
                <w:szCs w:val="20"/>
                <w:lang w:val="en-GB"/>
              </w:rPr>
            </w:pPr>
          </w:p>
        </w:tc>
        <w:tc>
          <w:tcPr>
            <w:tcW w:w="2551" w:type="dxa"/>
            <w:vMerge w:val="restart"/>
            <w:shd w:val="clear" w:color="auto" w:fill="auto"/>
          </w:tcPr>
          <w:p w:rsidR="0080332D" w:rsidRPr="00D72AC3" w:rsidRDefault="0080332D" w:rsidP="0025344E">
            <w:pPr>
              <w:jc w:val="both"/>
              <w:rPr>
                <w:rFonts w:cs="Times New Roman"/>
                <w:sz w:val="20"/>
                <w:szCs w:val="20"/>
                <w:lang w:val="en-GB"/>
              </w:rPr>
            </w:pPr>
            <w:r w:rsidRPr="00D72AC3">
              <w:rPr>
                <w:rFonts w:cs="Times New Roman"/>
                <w:sz w:val="20"/>
                <w:szCs w:val="20"/>
                <w:lang w:val="en-GB" w:bidi="en-GB"/>
              </w:rPr>
              <w:t xml:space="preserve">ML/FT risks inherent to Latvia are identified and understood </w:t>
            </w:r>
          </w:p>
        </w:tc>
        <w:tc>
          <w:tcPr>
            <w:tcW w:w="2694" w:type="dxa"/>
          </w:tcPr>
          <w:p w:rsidR="0080332D" w:rsidRPr="00D72AC3" w:rsidRDefault="0080332D">
            <w:pPr>
              <w:jc w:val="both"/>
              <w:rPr>
                <w:rFonts w:cs="Times New Roman"/>
                <w:sz w:val="20"/>
                <w:szCs w:val="20"/>
                <w:lang w:val="en-GB"/>
              </w:rPr>
            </w:pPr>
            <w:r w:rsidRPr="00D72AC3">
              <w:rPr>
                <w:rFonts w:cs="Times New Roman"/>
                <w:sz w:val="20"/>
                <w:szCs w:val="20"/>
                <w:lang w:val="en-GB" w:bidi="en-GB"/>
              </w:rPr>
              <w:t>1. For the needs of preparation of the sectoral risk assessment, the risk evaluation methodology i</w:t>
            </w:r>
            <w:r w:rsidR="00B63EAF">
              <w:rPr>
                <w:rFonts w:cs="Times New Roman"/>
                <w:sz w:val="20"/>
                <w:szCs w:val="20"/>
                <w:lang w:val="en-GB" w:bidi="en-GB"/>
              </w:rPr>
              <w:t>s</w:t>
            </w:r>
            <w:r w:rsidRPr="00D72AC3">
              <w:rPr>
                <w:rFonts w:cs="Times New Roman"/>
                <w:sz w:val="20"/>
                <w:szCs w:val="20"/>
                <w:lang w:val="en-GB" w:bidi="en-GB"/>
              </w:rPr>
              <w:t xml:space="preserve"> explained to </w:t>
            </w:r>
            <w:r w:rsidRPr="00D72AC3">
              <w:rPr>
                <w:rFonts w:cs="Times New Roman"/>
                <w:sz w:val="20"/>
                <w:szCs w:val="20"/>
                <w:lang w:val="en-GB" w:bidi="en-GB"/>
              </w:rPr>
              <w:lastRenderedPageBreak/>
              <w:t>the supervisory and control authorities</w:t>
            </w: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lastRenderedPageBreak/>
              <w:t>CS</w:t>
            </w:r>
          </w:p>
          <w:p w:rsidR="0080332D" w:rsidRPr="00D72AC3" w:rsidRDefault="0080332D" w:rsidP="00A37320">
            <w:pPr>
              <w:jc w:val="center"/>
              <w:rPr>
                <w:sz w:val="20"/>
                <w:szCs w:val="20"/>
                <w:lang w:val="en-GB"/>
              </w:rPr>
            </w:pPr>
          </w:p>
        </w:tc>
        <w:tc>
          <w:tcPr>
            <w:tcW w:w="1275" w:type="dxa"/>
            <w:shd w:val="clear" w:color="auto" w:fill="auto"/>
          </w:tcPr>
          <w:p w:rsidR="0080332D" w:rsidRPr="00D72AC3" w:rsidRDefault="0080332D">
            <w:pPr>
              <w:jc w:val="center"/>
              <w:rPr>
                <w:rFonts w:cs="Times New Roman"/>
                <w:bCs/>
                <w:sz w:val="20"/>
                <w:szCs w:val="20"/>
                <w:lang w:val="en-GB"/>
              </w:rPr>
            </w:pPr>
            <w:r w:rsidRPr="00D72AC3">
              <w:rPr>
                <w:sz w:val="20"/>
                <w:szCs w:val="20"/>
                <w:lang w:val="en-GB" w:bidi="en-GB"/>
              </w:rPr>
              <w:t xml:space="preserve"> FCMC, SRS, BoL, LGSI, LCSA, LCSN, </w:t>
            </w:r>
            <w:r w:rsidRPr="00D72AC3">
              <w:rPr>
                <w:sz w:val="20"/>
                <w:szCs w:val="20"/>
                <w:lang w:val="en-GB" w:bidi="en-GB"/>
              </w:rPr>
              <w:lastRenderedPageBreak/>
              <w:t xml:space="preserve">LACA, NCCH, CRPC, MoT </w:t>
            </w:r>
          </w:p>
        </w:tc>
        <w:tc>
          <w:tcPr>
            <w:tcW w:w="1560" w:type="dxa"/>
            <w:shd w:val="clear" w:color="auto" w:fill="auto"/>
          </w:tcPr>
          <w:p w:rsidR="0080332D" w:rsidRPr="00D72AC3" w:rsidRDefault="0080332D" w:rsidP="00AE7B8A">
            <w:pPr>
              <w:jc w:val="center"/>
              <w:rPr>
                <w:rFonts w:cs="Times New Roman"/>
                <w:bCs/>
                <w:sz w:val="20"/>
                <w:szCs w:val="20"/>
                <w:lang w:val="en-GB"/>
              </w:rPr>
            </w:pPr>
            <w:r w:rsidRPr="00D72AC3">
              <w:rPr>
                <w:rFonts w:cs="Times New Roman"/>
                <w:sz w:val="20"/>
                <w:szCs w:val="20"/>
                <w:lang w:val="en-GB" w:bidi="en-GB"/>
              </w:rPr>
              <w:lastRenderedPageBreak/>
              <w:t>30 October 2018</w:t>
            </w:r>
          </w:p>
          <w:p w:rsidR="0080332D" w:rsidRPr="00D72AC3" w:rsidRDefault="0080332D" w:rsidP="00F50D7E">
            <w:pPr>
              <w:jc w:val="center"/>
              <w:rPr>
                <w:rFonts w:cs="Times New Roman"/>
                <w:bCs/>
                <w:sz w:val="20"/>
                <w:szCs w:val="20"/>
                <w:lang w:val="en-GB"/>
              </w:rPr>
            </w:pP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8D4220">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80332D" w:rsidP="008B4FF0">
            <w:pPr>
              <w:jc w:val="both"/>
              <w:rPr>
                <w:rFonts w:cs="Times New Roman"/>
                <w:sz w:val="20"/>
                <w:szCs w:val="20"/>
                <w:lang w:val="en-GB"/>
              </w:rPr>
            </w:pPr>
            <w:r w:rsidRPr="00D72AC3">
              <w:rPr>
                <w:rFonts w:cs="Times New Roman"/>
                <w:sz w:val="20"/>
                <w:szCs w:val="20"/>
                <w:lang w:val="en-GB" w:bidi="en-GB"/>
              </w:rPr>
              <w:t>2. Deficiencies of the existing NRA defined</w:t>
            </w:r>
          </w:p>
          <w:p w:rsidR="0080332D" w:rsidRPr="00D72AC3" w:rsidRDefault="0080332D" w:rsidP="00F50D7E">
            <w:pPr>
              <w:jc w:val="both"/>
              <w:rPr>
                <w:rFonts w:cs="Times New Roman"/>
                <w:sz w:val="20"/>
                <w:szCs w:val="20"/>
                <w:lang w:val="en-GB"/>
              </w:rPr>
            </w:pPr>
          </w:p>
        </w:tc>
        <w:tc>
          <w:tcPr>
            <w:tcW w:w="1134" w:type="dxa"/>
            <w:shd w:val="clear" w:color="auto" w:fill="auto"/>
          </w:tcPr>
          <w:p w:rsidR="0080332D" w:rsidRPr="00D72AC3" w:rsidRDefault="0080332D" w:rsidP="00F50D7E">
            <w:pPr>
              <w:jc w:val="center"/>
              <w:rPr>
                <w:sz w:val="20"/>
                <w:szCs w:val="20"/>
                <w:lang w:val="en-GB"/>
              </w:rPr>
            </w:pPr>
            <w:r w:rsidRPr="00D72AC3">
              <w:rPr>
                <w:sz w:val="20"/>
                <w:szCs w:val="20"/>
                <w:lang w:val="en-GB" w:bidi="en-GB"/>
              </w:rPr>
              <w:t>CS</w:t>
            </w:r>
          </w:p>
        </w:tc>
        <w:tc>
          <w:tcPr>
            <w:tcW w:w="1275" w:type="dxa"/>
            <w:shd w:val="clear" w:color="auto" w:fill="auto"/>
          </w:tcPr>
          <w:p w:rsidR="0080332D" w:rsidRPr="00D72AC3" w:rsidRDefault="0080332D">
            <w:pPr>
              <w:jc w:val="center"/>
              <w:rPr>
                <w:sz w:val="20"/>
                <w:szCs w:val="20"/>
                <w:lang w:val="en-GB"/>
              </w:rPr>
            </w:pPr>
            <w:r w:rsidRPr="00D72AC3">
              <w:rPr>
                <w:sz w:val="20"/>
                <w:szCs w:val="20"/>
                <w:lang w:val="en-GB" w:bidi="en-GB"/>
              </w:rPr>
              <w:t>FCMC, SRS, BoL, LGSI, LCSA, LCSN, LACA, NCCH, CRPC, MoT, SP, CPCB, SeP, GPO, MoI, MoF, MoJ, MoFA</w:t>
            </w:r>
          </w:p>
        </w:tc>
        <w:tc>
          <w:tcPr>
            <w:tcW w:w="1560" w:type="dxa"/>
            <w:shd w:val="clear" w:color="auto" w:fill="auto"/>
          </w:tcPr>
          <w:p w:rsidR="0080332D" w:rsidRPr="00D72AC3" w:rsidRDefault="00F35F5F" w:rsidP="00F50D7E">
            <w:pPr>
              <w:jc w:val="center"/>
              <w:rPr>
                <w:rFonts w:cs="Times New Roman"/>
                <w:bCs/>
                <w:sz w:val="20"/>
                <w:szCs w:val="20"/>
                <w:lang w:val="en-GB"/>
              </w:rPr>
            </w:pPr>
            <w:r w:rsidRPr="00D72AC3">
              <w:rPr>
                <w:rFonts w:cs="Times New Roman"/>
                <w:sz w:val="20"/>
                <w:szCs w:val="20"/>
                <w:lang w:val="en-GB" w:bidi="en-GB"/>
              </w:rPr>
              <w:t>30 November 2018</w:t>
            </w:r>
          </w:p>
        </w:tc>
      </w:tr>
      <w:tr w:rsidR="00711A01" w:rsidRPr="00D72AC3" w:rsidTr="00F76636">
        <w:trPr>
          <w:trHeight w:val="543"/>
        </w:trPr>
        <w:tc>
          <w:tcPr>
            <w:tcW w:w="709" w:type="dxa"/>
            <w:vMerge/>
          </w:tcPr>
          <w:p w:rsidR="00711A01" w:rsidRPr="00D72AC3" w:rsidRDefault="00711A01" w:rsidP="00C01BB0">
            <w:pPr>
              <w:jc w:val="center"/>
              <w:rPr>
                <w:rFonts w:cs="Times New Roman"/>
                <w:bCs/>
                <w:sz w:val="20"/>
                <w:szCs w:val="20"/>
                <w:lang w:val="en-GB"/>
              </w:rPr>
            </w:pPr>
          </w:p>
        </w:tc>
        <w:tc>
          <w:tcPr>
            <w:tcW w:w="3686" w:type="dxa"/>
            <w:vMerge/>
            <w:shd w:val="clear" w:color="auto" w:fill="auto"/>
          </w:tcPr>
          <w:p w:rsidR="00711A01" w:rsidRPr="00D72AC3" w:rsidRDefault="00711A01" w:rsidP="008D4220">
            <w:pPr>
              <w:jc w:val="both"/>
              <w:rPr>
                <w:sz w:val="20"/>
                <w:szCs w:val="20"/>
                <w:lang w:val="en-GB"/>
              </w:rPr>
            </w:pPr>
          </w:p>
        </w:tc>
        <w:tc>
          <w:tcPr>
            <w:tcW w:w="1559" w:type="dxa"/>
            <w:vMerge/>
          </w:tcPr>
          <w:p w:rsidR="00711A01" w:rsidRPr="00D72AC3" w:rsidRDefault="00711A01" w:rsidP="00C01BB0">
            <w:pPr>
              <w:rPr>
                <w:rFonts w:cs="Times New Roman"/>
                <w:sz w:val="20"/>
                <w:szCs w:val="20"/>
                <w:lang w:val="en-GB"/>
              </w:rPr>
            </w:pPr>
          </w:p>
        </w:tc>
        <w:tc>
          <w:tcPr>
            <w:tcW w:w="2551" w:type="dxa"/>
            <w:vMerge/>
            <w:shd w:val="clear" w:color="auto" w:fill="auto"/>
          </w:tcPr>
          <w:p w:rsidR="00711A01" w:rsidRPr="00D72AC3" w:rsidRDefault="00711A01" w:rsidP="00C01BB0">
            <w:pPr>
              <w:rPr>
                <w:rFonts w:cs="Times New Roman"/>
                <w:sz w:val="20"/>
                <w:szCs w:val="20"/>
                <w:lang w:val="en-GB"/>
              </w:rPr>
            </w:pPr>
          </w:p>
        </w:tc>
        <w:tc>
          <w:tcPr>
            <w:tcW w:w="2694" w:type="dxa"/>
          </w:tcPr>
          <w:p w:rsidR="00711A01" w:rsidRPr="00D72AC3" w:rsidRDefault="00711A01" w:rsidP="0087476E">
            <w:pPr>
              <w:jc w:val="both"/>
              <w:rPr>
                <w:rFonts w:cs="Times New Roman"/>
                <w:sz w:val="20"/>
                <w:szCs w:val="20"/>
                <w:lang w:val="en-GB"/>
              </w:rPr>
            </w:pPr>
            <w:r w:rsidRPr="00D72AC3">
              <w:rPr>
                <w:rFonts w:cs="Times New Roman"/>
                <w:sz w:val="20"/>
                <w:szCs w:val="20"/>
                <w:lang w:val="en-GB" w:bidi="en-GB"/>
              </w:rPr>
              <w:t>3. Report drafted on the ML/FT risks of the legal persons, including NGO sector</w:t>
            </w:r>
          </w:p>
        </w:tc>
        <w:tc>
          <w:tcPr>
            <w:tcW w:w="1134" w:type="dxa"/>
            <w:shd w:val="clear" w:color="auto" w:fill="auto"/>
          </w:tcPr>
          <w:p w:rsidR="00711A01" w:rsidRPr="00D72AC3" w:rsidRDefault="00711A01" w:rsidP="00F50D7E">
            <w:pPr>
              <w:jc w:val="center"/>
              <w:rPr>
                <w:sz w:val="20"/>
                <w:szCs w:val="20"/>
                <w:lang w:val="en-GB"/>
              </w:rPr>
            </w:pPr>
            <w:r w:rsidRPr="00D72AC3">
              <w:rPr>
                <w:sz w:val="20"/>
                <w:szCs w:val="20"/>
                <w:lang w:val="en-GB" w:bidi="en-GB"/>
              </w:rPr>
              <w:t>CS</w:t>
            </w:r>
          </w:p>
        </w:tc>
        <w:tc>
          <w:tcPr>
            <w:tcW w:w="1275" w:type="dxa"/>
            <w:shd w:val="clear" w:color="auto" w:fill="auto"/>
          </w:tcPr>
          <w:p w:rsidR="00711A01" w:rsidRPr="00D72AC3" w:rsidRDefault="00711A01" w:rsidP="00C01BB0">
            <w:pPr>
              <w:jc w:val="center"/>
              <w:rPr>
                <w:sz w:val="20"/>
                <w:szCs w:val="20"/>
                <w:lang w:val="en-GB"/>
              </w:rPr>
            </w:pPr>
            <w:r w:rsidRPr="00D72AC3">
              <w:rPr>
                <w:sz w:val="20"/>
                <w:szCs w:val="20"/>
                <w:lang w:val="en-GB" w:bidi="en-GB"/>
              </w:rPr>
              <w:t>SRS, RE, SeP MoF, MoJ</w:t>
            </w:r>
          </w:p>
        </w:tc>
        <w:tc>
          <w:tcPr>
            <w:tcW w:w="1560" w:type="dxa"/>
            <w:shd w:val="clear" w:color="auto" w:fill="auto"/>
          </w:tcPr>
          <w:p w:rsidR="00711A01" w:rsidRPr="00D72AC3" w:rsidRDefault="00711A01" w:rsidP="00F50D7E">
            <w:pPr>
              <w:jc w:val="center"/>
              <w:rPr>
                <w:rFonts w:cs="Times New Roman"/>
                <w:bCs/>
                <w:sz w:val="20"/>
                <w:szCs w:val="20"/>
                <w:lang w:val="en-GB"/>
              </w:rPr>
            </w:pPr>
            <w:r w:rsidRPr="00D72AC3">
              <w:rPr>
                <w:rFonts w:cs="Times New Roman"/>
                <w:sz w:val="20"/>
                <w:szCs w:val="20"/>
                <w:lang w:val="en-GB" w:bidi="en-GB"/>
              </w:rPr>
              <w:t>31 December 2018</w:t>
            </w:r>
          </w:p>
        </w:tc>
      </w:tr>
      <w:tr w:rsidR="0074070A" w:rsidRPr="00D72AC3" w:rsidTr="00F76636">
        <w:trPr>
          <w:trHeight w:val="543"/>
        </w:trPr>
        <w:tc>
          <w:tcPr>
            <w:tcW w:w="709" w:type="dxa"/>
            <w:vMerge/>
          </w:tcPr>
          <w:p w:rsidR="0074070A" w:rsidRPr="00D72AC3" w:rsidRDefault="0074070A" w:rsidP="00C01BB0">
            <w:pPr>
              <w:jc w:val="center"/>
              <w:rPr>
                <w:rFonts w:cs="Times New Roman"/>
                <w:bCs/>
                <w:sz w:val="20"/>
                <w:szCs w:val="20"/>
                <w:lang w:val="en-GB"/>
              </w:rPr>
            </w:pPr>
          </w:p>
        </w:tc>
        <w:tc>
          <w:tcPr>
            <w:tcW w:w="3686" w:type="dxa"/>
            <w:vMerge/>
            <w:shd w:val="clear" w:color="auto" w:fill="auto"/>
          </w:tcPr>
          <w:p w:rsidR="0074070A" w:rsidRPr="00D72AC3" w:rsidRDefault="0074070A" w:rsidP="008D4220">
            <w:pPr>
              <w:jc w:val="both"/>
              <w:rPr>
                <w:sz w:val="20"/>
                <w:szCs w:val="20"/>
                <w:lang w:val="en-GB"/>
              </w:rPr>
            </w:pPr>
          </w:p>
        </w:tc>
        <w:tc>
          <w:tcPr>
            <w:tcW w:w="1559" w:type="dxa"/>
            <w:vMerge/>
          </w:tcPr>
          <w:p w:rsidR="0074070A" w:rsidRPr="00D72AC3" w:rsidRDefault="0074070A" w:rsidP="00C01BB0">
            <w:pPr>
              <w:rPr>
                <w:rFonts w:cs="Times New Roman"/>
                <w:sz w:val="20"/>
                <w:szCs w:val="20"/>
                <w:lang w:val="en-GB"/>
              </w:rPr>
            </w:pPr>
          </w:p>
        </w:tc>
        <w:tc>
          <w:tcPr>
            <w:tcW w:w="2551" w:type="dxa"/>
            <w:vMerge/>
            <w:shd w:val="clear" w:color="auto" w:fill="auto"/>
          </w:tcPr>
          <w:p w:rsidR="0074070A" w:rsidRPr="00D72AC3" w:rsidRDefault="0074070A" w:rsidP="00C01BB0">
            <w:pPr>
              <w:rPr>
                <w:rFonts w:cs="Times New Roman"/>
                <w:sz w:val="20"/>
                <w:szCs w:val="20"/>
                <w:lang w:val="en-GB"/>
              </w:rPr>
            </w:pPr>
          </w:p>
        </w:tc>
        <w:tc>
          <w:tcPr>
            <w:tcW w:w="2694" w:type="dxa"/>
          </w:tcPr>
          <w:p w:rsidR="0074070A" w:rsidRPr="00D72AC3" w:rsidRDefault="0074070A" w:rsidP="0087476E">
            <w:pPr>
              <w:jc w:val="both"/>
              <w:rPr>
                <w:rFonts w:cs="Times New Roman"/>
                <w:sz w:val="20"/>
                <w:szCs w:val="20"/>
                <w:lang w:val="en-GB"/>
              </w:rPr>
            </w:pPr>
            <w:r w:rsidRPr="00D72AC3">
              <w:rPr>
                <w:rFonts w:cs="Times New Roman"/>
                <w:sz w:val="20"/>
                <w:szCs w:val="20"/>
                <w:lang w:val="en-GB" w:bidi="en-GB"/>
              </w:rPr>
              <w:t>4. Work groups organised for drafting the NRA (at least twice per month)</w:t>
            </w:r>
          </w:p>
        </w:tc>
        <w:tc>
          <w:tcPr>
            <w:tcW w:w="1134" w:type="dxa"/>
            <w:shd w:val="clear" w:color="auto" w:fill="auto"/>
          </w:tcPr>
          <w:p w:rsidR="0074070A" w:rsidRPr="00D72AC3" w:rsidRDefault="0074070A" w:rsidP="00F50D7E">
            <w:pPr>
              <w:jc w:val="center"/>
              <w:rPr>
                <w:sz w:val="20"/>
                <w:szCs w:val="20"/>
                <w:lang w:val="en-GB"/>
              </w:rPr>
            </w:pPr>
            <w:r w:rsidRPr="00D72AC3">
              <w:rPr>
                <w:sz w:val="20"/>
                <w:szCs w:val="20"/>
                <w:lang w:val="en-GB" w:bidi="en-GB"/>
              </w:rPr>
              <w:t>CS</w:t>
            </w:r>
          </w:p>
        </w:tc>
        <w:tc>
          <w:tcPr>
            <w:tcW w:w="1275" w:type="dxa"/>
            <w:shd w:val="clear" w:color="auto" w:fill="auto"/>
          </w:tcPr>
          <w:p w:rsidR="0074070A" w:rsidRPr="00D72AC3" w:rsidRDefault="0074070A" w:rsidP="00C01BB0">
            <w:pPr>
              <w:jc w:val="center"/>
              <w:rPr>
                <w:sz w:val="20"/>
                <w:szCs w:val="20"/>
                <w:lang w:val="en-GB"/>
              </w:rPr>
            </w:pPr>
            <w:r w:rsidRPr="00D72AC3">
              <w:rPr>
                <w:sz w:val="20"/>
                <w:szCs w:val="20"/>
                <w:lang w:val="en-GB" w:bidi="en-GB"/>
              </w:rPr>
              <w:t>FCMC, SRS, BoL, LGSI, LCSA, LCSN, LACA, NCCH, CRPC, MoT, MoI, SP, CPCB, SeP</w:t>
            </w:r>
          </w:p>
        </w:tc>
        <w:tc>
          <w:tcPr>
            <w:tcW w:w="1560" w:type="dxa"/>
            <w:shd w:val="clear" w:color="auto" w:fill="auto"/>
          </w:tcPr>
          <w:p w:rsidR="0074070A" w:rsidRPr="00D72AC3" w:rsidRDefault="0074070A" w:rsidP="00F50D7E">
            <w:pPr>
              <w:jc w:val="center"/>
              <w:rPr>
                <w:rFonts w:cs="Times New Roman"/>
                <w:bCs/>
                <w:sz w:val="20"/>
                <w:szCs w:val="20"/>
                <w:lang w:val="en-GB"/>
              </w:rPr>
            </w:pPr>
            <w:r w:rsidRPr="00D72AC3">
              <w:rPr>
                <w:rFonts w:cs="Times New Roman"/>
                <w:sz w:val="20"/>
                <w:szCs w:val="20"/>
                <w:lang w:val="en-GB" w:bidi="en-GB"/>
              </w:rPr>
              <w:t>From 1 January 2019</w:t>
            </w:r>
          </w:p>
        </w:tc>
      </w:tr>
      <w:tr w:rsidR="00547042" w:rsidRPr="00D72AC3" w:rsidTr="00F76636">
        <w:trPr>
          <w:trHeight w:val="543"/>
        </w:trPr>
        <w:tc>
          <w:tcPr>
            <w:tcW w:w="709" w:type="dxa"/>
            <w:vMerge/>
          </w:tcPr>
          <w:p w:rsidR="00547042" w:rsidRPr="00D72AC3" w:rsidRDefault="00547042" w:rsidP="00C01BB0">
            <w:pPr>
              <w:jc w:val="center"/>
              <w:rPr>
                <w:rFonts w:cs="Times New Roman"/>
                <w:bCs/>
                <w:sz w:val="20"/>
                <w:szCs w:val="20"/>
                <w:lang w:val="en-GB"/>
              </w:rPr>
            </w:pPr>
          </w:p>
        </w:tc>
        <w:tc>
          <w:tcPr>
            <w:tcW w:w="3686" w:type="dxa"/>
            <w:vMerge/>
            <w:shd w:val="clear" w:color="auto" w:fill="auto"/>
          </w:tcPr>
          <w:p w:rsidR="00547042" w:rsidRPr="00D72AC3" w:rsidRDefault="00547042" w:rsidP="008D4220">
            <w:pPr>
              <w:jc w:val="both"/>
              <w:rPr>
                <w:sz w:val="20"/>
                <w:szCs w:val="20"/>
                <w:lang w:val="en-GB"/>
              </w:rPr>
            </w:pPr>
          </w:p>
        </w:tc>
        <w:tc>
          <w:tcPr>
            <w:tcW w:w="1559" w:type="dxa"/>
            <w:vMerge/>
          </w:tcPr>
          <w:p w:rsidR="00547042" w:rsidRPr="00D72AC3" w:rsidRDefault="00547042" w:rsidP="00C01BB0">
            <w:pPr>
              <w:rPr>
                <w:rFonts w:cs="Times New Roman"/>
                <w:sz w:val="20"/>
                <w:szCs w:val="20"/>
                <w:lang w:val="en-GB"/>
              </w:rPr>
            </w:pPr>
          </w:p>
        </w:tc>
        <w:tc>
          <w:tcPr>
            <w:tcW w:w="2551" w:type="dxa"/>
            <w:vMerge/>
            <w:shd w:val="clear" w:color="auto" w:fill="auto"/>
          </w:tcPr>
          <w:p w:rsidR="00547042" w:rsidRPr="00D72AC3" w:rsidRDefault="00547042" w:rsidP="00C01BB0">
            <w:pPr>
              <w:rPr>
                <w:rFonts w:cs="Times New Roman"/>
                <w:sz w:val="20"/>
                <w:szCs w:val="20"/>
                <w:lang w:val="en-GB"/>
              </w:rPr>
            </w:pPr>
          </w:p>
        </w:tc>
        <w:tc>
          <w:tcPr>
            <w:tcW w:w="2694" w:type="dxa"/>
          </w:tcPr>
          <w:p w:rsidR="00547042" w:rsidRPr="00D72AC3" w:rsidRDefault="00547042" w:rsidP="003E3569">
            <w:pPr>
              <w:jc w:val="both"/>
              <w:rPr>
                <w:sz w:val="20"/>
                <w:szCs w:val="20"/>
                <w:lang w:val="en-GB"/>
              </w:rPr>
            </w:pPr>
            <w:r w:rsidRPr="00D72AC3">
              <w:rPr>
                <w:sz w:val="20"/>
                <w:szCs w:val="20"/>
                <w:lang w:val="en-GB" w:bidi="en-GB"/>
              </w:rPr>
              <w:t>5. Sectoral risk assessment developed</w:t>
            </w:r>
          </w:p>
        </w:tc>
        <w:tc>
          <w:tcPr>
            <w:tcW w:w="1134" w:type="dxa"/>
            <w:shd w:val="clear" w:color="auto" w:fill="auto"/>
          </w:tcPr>
          <w:p w:rsidR="00547042" w:rsidRPr="00D72AC3" w:rsidRDefault="00547042" w:rsidP="0087476E">
            <w:pPr>
              <w:jc w:val="center"/>
              <w:rPr>
                <w:sz w:val="20"/>
                <w:szCs w:val="20"/>
                <w:lang w:val="en-GB"/>
              </w:rPr>
            </w:pPr>
            <w:r w:rsidRPr="00D72AC3">
              <w:rPr>
                <w:sz w:val="20"/>
                <w:szCs w:val="20"/>
                <w:lang w:val="en-GB" w:bidi="en-GB"/>
              </w:rPr>
              <w:t xml:space="preserve">FCMC, SRS, BoL, LGSI, LCSA, LCSN, LACA, NCCH, </w:t>
            </w:r>
            <w:r w:rsidRPr="00D72AC3">
              <w:rPr>
                <w:sz w:val="20"/>
                <w:szCs w:val="20"/>
                <w:lang w:val="en-GB" w:bidi="en-GB"/>
              </w:rPr>
              <w:lastRenderedPageBreak/>
              <w:t>CRPC, MoT</w:t>
            </w:r>
          </w:p>
        </w:tc>
        <w:tc>
          <w:tcPr>
            <w:tcW w:w="1275" w:type="dxa"/>
            <w:shd w:val="clear" w:color="auto" w:fill="auto"/>
          </w:tcPr>
          <w:p w:rsidR="00547042" w:rsidRPr="00D72AC3" w:rsidRDefault="00547042" w:rsidP="0087476E">
            <w:pPr>
              <w:jc w:val="center"/>
              <w:rPr>
                <w:sz w:val="20"/>
                <w:szCs w:val="20"/>
                <w:lang w:val="en-GB"/>
              </w:rPr>
            </w:pPr>
            <w:r w:rsidRPr="00D72AC3">
              <w:rPr>
                <w:sz w:val="20"/>
                <w:szCs w:val="20"/>
                <w:lang w:val="en-GB" w:bidi="en-GB"/>
              </w:rPr>
              <w:lastRenderedPageBreak/>
              <w:t>CS</w:t>
            </w:r>
          </w:p>
        </w:tc>
        <w:tc>
          <w:tcPr>
            <w:tcW w:w="1560" w:type="dxa"/>
            <w:shd w:val="clear" w:color="auto" w:fill="auto"/>
          </w:tcPr>
          <w:p w:rsidR="00547042" w:rsidRPr="00D72AC3" w:rsidRDefault="00547042" w:rsidP="0087476E">
            <w:pPr>
              <w:jc w:val="center"/>
              <w:rPr>
                <w:rFonts w:cs="Times New Roman"/>
                <w:bCs/>
                <w:sz w:val="20"/>
                <w:szCs w:val="20"/>
                <w:lang w:val="en-GB"/>
              </w:rPr>
            </w:pPr>
            <w:r w:rsidRPr="00D72AC3">
              <w:rPr>
                <w:rFonts w:cs="Times New Roman"/>
                <w:sz w:val="20"/>
                <w:szCs w:val="20"/>
                <w:lang w:val="en-GB" w:bidi="en-GB"/>
              </w:rPr>
              <w:t>1 February 2019</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8D4220">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547042" w:rsidP="003E3569">
            <w:pPr>
              <w:jc w:val="both"/>
              <w:rPr>
                <w:rFonts w:cs="Times New Roman"/>
                <w:sz w:val="20"/>
                <w:szCs w:val="20"/>
                <w:lang w:val="en-GB"/>
              </w:rPr>
            </w:pPr>
            <w:r w:rsidRPr="00D72AC3">
              <w:rPr>
                <w:sz w:val="20"/>
                <w:szCs w:val="20"/>
                <w:lang w:val="en-GB" w:bidi="en-GB"/>
              </w:rPr>
              <w:t>6. The assessment prepared on the foreign customer deposit base and the cross-border flows related thereto, within the context of the identified and potential ML/FT risks</w:t>
            </w:r>
          </w:p>
        </w:tc>
        <w:tc>
          <w:tcPr>
            <w:tcW w:w="1134" w:type="dxa"/>
            <w:shd w:val="clear" w:color="auto" w:fill="auto"/>
          </w:tcPr>
          <w:p w:rsidR="0080332D" w:rsidRPr="00D72AC3" w:rsidRDefault="0080332D" w:rsidP="0087476E">
            <w:pPr>
              <w:jc w:val="center"/>
              <w:rPr>
                <w:sz w:val="20"/>
                <w:szCs w:val="20"/>
                <w:lang w:val="en-GB"/>
              </w:rPr>
            </w:pPr>
            <w:r w:rsidRPr="00D72AC3">
              <w:rPr>
                <w:sz w:val="20"/>
                <w:szCs w:val="20"/>
                <w:lang w:val="en-GB" w:bidi="en-GB"/>
              </w:rPr>
              <w:t>FCMC</w:t>
            </w:r>
          </w:p>
        </w:tc>
        <w:tc>
          <w:tcPr>
            <w:tcW w:w="1275" w:type="dxa"/>
            <w:shd w:val="clear" w:color="auto" w:fill="auto"/>
          </w:tcPr>
          <w:p w:rsidR="0080332D" w:rsidRPr="00D72AC3" w:rsidRDefault="0080332D" w:rsidP="0087476E">
            <w:pPr>
              <w:jc w:val="center"/>
              <w:rPr>
                <w:sz w:val="20"/>
                <w:szCs w:val="20"/>
                <w:lang w:val="en-GB"/>
              </w:rPr>
            </w:pPr>
            <w:r w:rsidRPr="00D72AC3">
              <w:rPr>
                <w:sz w:val="20"/>
                <w:szCs w:val="20"/>
                <w:lang w:val="en-GB" w:bidi="en-GB"/>
              </w:rPr>
              <w:t>BoL, CS</w:t>
            </w:r>
          </w:p>
        </w:tc>
        <w:tc>
          <w:tcPr>
            <w:tcW w:w="1560" w:type="dxa"/>
            <w:shd w:val="clear" w:color="auto" w:fill="auto"/>
          </w:tcPr>
          <w:p w:rsidR="0080332D" w:rsidRPr="00D72AC3" w:rsidRDefault="0080332D" w:rsidP="0087476E">
            <w:pPr>
              <w:jc w:val="center"/>
              <w:rPr>
                <w:rFonts w:cs="Times New Roman"/>
                <w:bCs/>
                <w:sz w:val="20"/>
                <w:szCs w:val="20"/>
                <w:highlight w:val="yellow"/>
                <w:lang w:val="en-GB"/>
              </w:rPr>
            </w:pPr>
            <w:r w:rsidRPr="00D72AC3">
              <w:rPr>
                <w:rFonts w:cs="Times New Roman"/>
                <w:sz w:val="20"/>
                <w:szCs w:val="20"/>
                <w:lang w:val="en-GB" w:bidi="en-GB"/>
              </w:rPr>
              <w:t>1 March 2019</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8D4220">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3B3DC7" w:rsidP="008B4FF0">
            <w:pPr>
              <w:jc w:val="both"/>
              <w:rPr>
                <w:rFonts w:cs="Times New Roman"/>
                <w:sz w:val="20"/>
                <w:szCs w:val="20"/>
                <w:lang w:val="en-GB"/>
              </w:rPr>
            </w:pPr>
            <w:r w:rsidRPr="00D72AC3">
              <w:rPr>
                <w:rFonts w:cs="Times New Roman"/>
                <w:sz w:val="20"/>
                <w:szCs w:val="20"/>
                <w:lang w:val="en-GB" w:bidi="en-GB"/>
              </w:rPr>
              <w:t>7. Report drawn up on the risks of using virtual currency as the new ML/FT method</w:t>
            </w:r>
          </w:p>
          <w:p w:rsidR="0080332D" w:rsidRPr="00D72AC3" w:rsidRDefault="0080332D" w:rsidP="00AE7B8A">
            <w:pPr>
              <w:jc w:val="both"/>
              <w:rPr>
                <w:rFonts w:cs="Times New Roman"/>
                <w:sz w:val="20"/>
                <w:szCs w:val="20"/>
                <w:lang w:val="en-GB"/>
              </w:rPr>
            </w:pP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t>CS</w:t>
            </w:r>
          </w:p>
        </w:tc>
        <w:tc>
          <w:tcPr>
            <w:tcW w:w="1275" w:type="dxa"/>
            <w:shd w:val="clear" w:color="auto" w:fill="auto"/>
          </w:tcPr>
          <w:p w:rsidR="0080332D" w:rsidRPr="00D72AC3" w:rsidRDefault="00547042" w:rsidP="005078A1">
            <w:pPr>
              <w:jc w:val="center"/>
              <w:rPr>
                <w:sz w:val="20"/>
                <w:szCs w:val="20"/>
                <w:lang w:val="en-GB"/>
              </w:rPr>
            </w:pPr>
            <w:r w:rsidRPr="00D72AC3">
              <w:rPr>
                <w:sz w:val="20"/>
                <w:szCs w:val="20"/>
                <w:lang w:val="en-GB" w:bidi="en-GB"/>
              </w:rPr>
              <w:t>MoF, SRS, BoL</w:t>
            </w:r>
          </w:p>
        </w:tc>
        <w:tc>
          <w:tcPr>
            <w:tcW w:w="1560" w:type="dxa"/>
            <w:shd w:val="clear" w:color="auto" w:fill="auto"/>
          </w:tcPr>
          <w:p w:rsidR="0080332D" w:rsidRPr="00D72AC3" w:rsidRDefault="0080332D" w:rsidP="00AE7B8A">
            <w:pPr>
              <w:jc w:val="center"/>
              <w:rPr>
                <w:rFonts w:cs="Times New Roman"/>
                <w:bCs/>
                <w:sz w:val="20"/>
                <w:szCs w:val="20"/>
                <w:lang w:val="en-GB"/>
              </w:rPr>
            </w:pPr>
            <w:r w:rsidRPr="00D72AC3">
              <w:rPr>
                <w:rFonts w:cs="Times New Roman"/>
                <w:sz w:val="20"/>
                <w:szCs w:val="20"/>
                <w:lang w:val="en-GB" w:bidi="en-GB"/>
              </w:rPr>
              <w:t>31 March 2019</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8D4220">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3B3DC7">
            <w:pPr>
              <w:jc w:val="both"/>
              <w:rPr>
                <w:rFonts w:cs="Times New Roman"/>
                <w:sz w:val="20"/>
                <w:szCs w:val="20"/>
                <w:lang w:val="en-GB"/>
              </w:rPr>
            </w:pPr>
            <w:r w:rsidRPr="00D72AC3">
              <w:rPr>
                <w:rFonts w:cs="Times New Roman"/>
                <w:sz w:val="20"/>
                <w:szCs w:val="20"/>
                <w:lang w:val="en-GB" w:bidi="en-GB"/>
              </w:rPr>
              <w:t xml:space="preserve">8. Report drawn up on ML/FT risks of lawyers and tax advisors </w:t>
            </w: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t>CS</w:t>
            </w:r>
          </w:p>
        </w:tc>
        <w:tc>
          <w:tcPr>
            <w:tcW w:w="1275" w:type="dxa"/>
            <w:shd w:val="clear" w:color="auto" w:fill="auto"/>
          </w:tcPr>
          <w:p w:rsidR="0080332D" w:rsidRPr="00D72AC3" w:rsidRDefault="0080332D" w:rsidP="005078A1">
            <w:pPr>
              <w:jc w:val="center"/>
              <w:rPr>
                <w:sz w:val="20"/>
                <w:szCs w:val="20"/>
                <w:lang w:val="en-GB"/>
              </w:rPr>
            </w:pPr>
            <w:r w:rsidRPr="00D72AC3">
              <w:rPr>
                <w:sz w:val="20"/>
                <w:szCs w:val="20"/>
                <w:lang w:val="en-GB" w:bidi="en-GB"/>
              </w:rPr>
              <w:t>SRS, LCSA, LACA, LCSN</w:t>
            </w:r>
          </w:p>
        </w:tc>
        <w:tc>
          <w:tcPr>
            <w:tcW w:w="1560" w:type="dxa"/>
            <w:shd w:val="clear" w:color="auto" w:fill="auto"/>
          </w:tcPr>
          <w:p w:rsidR="0080332D" w:rsidRPr="00D72AC3" w:rsidRDefault="0080332D">
            <w:pPr>
              <w:jc w:val="center"/>
              <w:rPr>
                <w:rFonts w:cs="Times New Roman"/>
                <w:bCs/>
                <w:sz w:val="20"/>
                <w:szCs w:val="20"/>
                <w:lang w:val="en-GB"/>
              </w:rPr>
            </w:pPr>
            <w:r w:rsidRPr="00D72AC3">
              <w:rPr>
                <w:rFonts w:cs="Times New Roman"/>
                <w:sz w:val="20"/>
                <w:szCs w:val="20"/>
                <w:lang w:val="en-GB" w:bidi="en-GB"/>
              </w:rPr>
              <w:t>30 April 2019</w:t>
            </w:r>
          </w:p>
        </w:tc>
      </w:tr>
      <w:tr w:rsidR="00454062" w:rsidRPr="00D72AC3" w:rsidTr="00F76636">
        <w:trPr>
          <w:trHeight w:val="543"/>
        </w:trPr>
        <w:tc>
          <w:tcPr>
            <w:tcW w:w="709" w:type="dxa"/>
            <w:vMerge/>
          </w:tcPr>
          <w:p w:rsidR="00454062" w:rsidRPr="00D72AC3" w:rsidRDefault="00454062" w:rsidP="00C01BB0">
            <w:pPr>
              <w:jc w:val="center"/>
              <w:rPr>
                <w:rFonts w:cs="Times New Roman"/>
                <w:bCs/>
                <w:sz w:val="20"/>
                <w:szCs w:val="20"/>
                <w:lang w:val="en-GB"/>
              </w:rPr>
            </w:pPr>
          </w:p>
        </w:tc>
        <w:tc>
          <w:tcPr>
            <w:tcW w:w="3686" w:type="dxa"/>
            <w:vMerge/>
            <w:shd w:val="clear" w:color="auto" w:fill="auto"/>
          </w:tcPr>
          <w:p w:rsidR="00454062" w:rsidRPr="00D72AC3" w:rsidRDefault="00454062" w:rsidP="008D4220">
            <w:pPr>
              <w:jc w:val="both"/>
              <w:rPr>
                <w:sz w:val="20"/>
                <w:szCs w:val="20"/>
                <w:lang w:val="en-GB"/>
              </w:rPr>
            </w:pPr>
          </w:p>
        </w:tc>
        <w:tc>
          <w:tcPr>
            <w:tcW w:w="1559" w:type="dxa"/>
            <w:vMerge/>
          </w:tcPr>
          <w:p w:rsidR="00454062" w:rsidRPr="00D72AC3" w:rsidRDefault="00454062" w:rsidP="00C01BB0">
            <w:pPr>
              <w:rPr>
                <w:rFonts w:cs="Times New Roman"/>
                <w:sz w:val="20"/>
                <w:szCs w:val="20"/>
                <w:lang w:val="en-GB"/>
              </w:rPr>
            </w:pPr>
          </w:p>
        </w:tc>
        <w:tc>
          <w:tcPr>
            <w:tcW w:w="2551" w:type="dxa"/>
            <w:vMerge/>
            <w:shd w:val="clear" w:color="auto" w:fill="auto"/>
          </w:tcPr>
          <w:p w:rsidR="00454062" w:rsidRPr="00D72AC3" w:rsidRDefault="00454062" w:rsidP="00C01BB0">
            <w:pPr>
              <w:rPr>
                <w:rFonts w:cs="Times New Roman"/>
                <w:sz w:val="20"/>
                <w:szCs w:val="20"/>
                <w:lang w:val="en-GB"/>
              </w:rPr>
            </w:pPr>
          </w:p>
        </w:tc>
        <w:tc>
          <w:tcPr>
            <w:tcW w:w="2694" w:type="dxa"/>
          </w:tcPr>
          <w:p w:rsidR="00454062" w:rsidRPr="00D72AC3" w:rsidRDefault="00454062" w:rsidP="00AE7B8A">
            <w:pPr>
              <w:jc w:val="both"/>
              <w:rPr>
                <w:rFonts w:cs="Times New Roman"/>
                <w:sz w:val="20"/>
                <w:szCs w:val="20"/>
                <w:lang w:val="en-GB"/>
              </w:rPr>
            </w:pPr>
            <w:r w:rsidRPr="00D72AC3">
              <w:rPr>
                <w:rFonts w:cs="Times New Roman"/>
                <w:sz w:val="20"/>
                <w:szCs w:val="20"/>
                <w:lang w:val="en-GB" w:bidi="en-GB"/>
              </w:rPr>
              <w:t>9. Study on the scope of a latent crime carried out</w:t>
            </w:r>
          </w:p>
        </w:tc>
        <w:tc>
          <w:tcPr>
            <w:tcW w:w="1134" w:type="dxa"/>
            <w:shd w:val="clear" w:color="auto" w:fill="auto"/>
          </w:tcPr>
          <w:p w:rsidR="00454062" w:rsidRPr="00D72AC3" w:rsidRDefault="00454062" w:rsidP="00A37320">
            <w:pPr>
              <w:jc w:val="center"/>
              <w:rPr>
                <w:sz w:val="20"/>
                <w:szCs w:val="20"/>
                <w:lang w:val="en-GB"/>
              </w:rPr>
            </w:pPr>
            <w:r w:rsidRPr="00D72AC3">
              <w:rPr>
                <w:sz w:val="20"/>
                <w:szCs w:val="20"/>
                <w:lang w:val="en-GB" w:bidi="en-GB"/>
              </w:rPr>
              <w:t>CS</w:t>
            </w:r>
          </w:p>
        </w:tc>
        <w:tc>
          <w:tcPr>
            <w:tcW w:w="1275" w:type="dxa"/>
            <w:shd w:val="clear" w:color="auto" w:fill="auto"/>
          </w:tcPr>
          <w:p w:rsidR="00454062" w:rsidRPr="00D72AC3" w:rsidRDefault="00454062" w:rsidP="005078A1">
            <w:pPr>
              <w:jc w:val="center"/>
              <w:rPr>
                <w:sz w:val="20"/>
                <w:szCs w:val="20"/>
                <w:lang w:val="en-GB"/>
              </w:rPr>
            </w:pPr>
            <w:r w:rsidRPr="00D72AC3">
              <w:rPr>
                <w:sz w:val="20"/>
                <w:szCs w:val="20"/>
                <w:lang w:val="en-GB" w:bidi="en-GB"/>
              </w:rPr>
              <w:t>MoJ, MoI, GPO, SP, CPCB, SeP, NCCH, State Police College UL, RSU</w:t>
            </w:r>
          </w:p>
        </w:tc>
        <w:tc>
          <w:tcPr>
            <w:tcW w:w="1560" w:type="dxa"/>
            <w:shd w:val="clear" w:color="auto" w:fill="auto"/>
          </w:tcPr>
          <w:p w:rsidR="00454062" w:rsidRPr="00D72AC3" w:rsidRDefault="00BA6A7D" w:rsidP="00AE7B8A">
            <w:pPr>
              <w:jc w:val="center"/>
              <w:rPr>
                <w:rFonts w:cs="Times New Roman"/>
                <w:bCs/>
                <w:sz w:val="20"/>
                <w:szCs w:val="20"/>
                <w:lang w:val="en-GB"/>
              </w:rPr>
            </w:pPr>
            <w:r w:rsidRPr="00D72AC3">
              <w:rPr>
                <w:rFonts w:cs="Times New Roman"/>
                <w:sz w:val="20"/>
                <w:szCs w:val="20"/>
                <w:lang w:val="en-GB" w:bidi="en-GB"/>
              </w:rPr>
              <w:t>1 June 2018</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8D4220">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4D19A8" w:rsidP="00AE7B8A">
            <w:pPr>
              <w:jc w:val="both"/>
              <w:rPr>
                <w:rFonts w:cs="Times New Roman"/>
                <w:sz w:val="20"/>
                <w:szCs w:val="20"/>
                <w:lang w:val="en-GB"/>
              </w:rPr>
            </w:pPr>
            <w:r w:rsidRPr="00D72AC3">
              <w:rPr>
                <w:rFonts w:cs="Times New Roman"/>
                <w:sz w:val="20"/>
                <w:szCs w:val="20"/>
                <w:lang w:val="en-GB" w:bidi="en-GB"/>
              </w:rPr>
              <w:t>10. The third national ML/FT risk assessment drawn up, incorporating the results of the assessment carried out within Measure 9.1</w:t>
            </w: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t>CS</w:t>
            </w:r>
          </w:p>
        </w:tc>
        <w:tc>
          <w:tcPr>
            <w:tcW w:w="1275" w:type="dxa"/>
            <w:shd w:val="clear" w:color="auto" w:fill="auto"/>
          </w:tcPr>
          <w:p w:rsidR="0080332D" w:rsidRPr="00D72AC3" w:rsidRDefault="0080332D" w:rsidP="005078A1">
            <w:pPr>
              <w:jc w:val="center"/>
              <w:rPr>
                <w:sz w:val="20"/>
                <w:szCs w:val="20"/>
                <w:lang w:val="en-GB"/>
              </w:rPr>
            </w:pPr>
            <w:r w:rsidRPr="00D72AC3">
              <w:rPr>
                <w:sz w:val="20"/>
                <w:szCs w:val="20"/>
                <w:lang w:val="en-GB" w:bidi="en-GB"/>
              </w:rPr>
              <w:t>FCMC, SRS, BoL, LGSI, LCSA, LCSN, LACA, NCCH, CRPC, MoT, SP, CPCB, SeP, GPO, MoI, MoF, MoJ</w:t>
            </w:r>
          </w:p>
        </w:tc>
        <w:tc>
          <w:tcPr>
            <w:tcW w:w="1560" w:type="dxa"/>
            <w:shd w:val="clear" w:color="auto" w:fill="auto"/>
          </w:tcPr>
          <w:p w:rsidR="0080332D" w:rsidRPr="00D72AC3" w:rsidRDefault="0080332D" w:rsidP="00AE7B8A">
            <w:pPr>
              <w:jc w:val="center"/>
              <w:rPr>
                <w:rFonts w:cs="Times New Roman"/>
                <w:bCs/>
                <w:sz w:val="20"/>
                <w:szCs w:val="20"/>
                <w:highlight w:val="yellow"/>
                <w:lang w:val="en-GB"/>
              </w:rPr>
            </w:pPr>
            <w:r w:rsidRPr="00D72AC3">
              <w:rPr>
                <w:rFonts w:cs="Times New Roman"/>
                <w:sz w:val="20"/>
                <w:szCs w:val="20"/>
                <w:lang w:val="en-GB" w:bidi="en-GB"/>
              </w:rPr>
              <w:t>15 August 2019</w:t>
            </w:r>
          </w:p>
        </w:tc>
      </w:tr>
      <w:tr w:rsidR="0080332D" w:rsidRPr="00D72AC3" w:rsidTr="00F76636">
        <w:trPr>
          <w:trHeight w:val="543"/>
        </w:trPr>
        <w:tc>
          <w:tcPr>
            <w:tcW w:w="709" w:type="dxa"/>
            <w:vMerge w:val="restart"/>
          </w:tcPr>
          <w:p w:rsidR="0080332D" w:rsidRPr="00D72AC3" w:rsidRDefault="0080332D" w:rsidP="00C01BB0">
            <w:pPr>
              <w:jc w:val="center"/>
              <w:rPr>
                <w:rFonts w:cs="Times New Roman"/>
                <w:bCs/>
                <w:sz w:val="20"/>
                <w:szCs w:val="20"/>
                <w:lang w:val="en-GB"/>
              </w:rPr>
            </w:pPr>
            <w:r w:rsidRPr="00D72AC3">
              <w:rPr>
                <w:rFonts w:cs="Times New Roman"/>
                <w:sz w:val="20"/>
                <w:szCs w:val="20"/>
                <w:lang w:val="en-GB" w:bidi="en-GB"/>
              </w:rPr>
              <w:t>1.2.</w:t>
            </w:r>
          </w:p>
        </w:tc>
        <w:tc>
          <w:tcPr>
            <w:tcW w:w="3686" w:type="dxa"/>
            <w:vMerge w:val="restart"/>
            <w:shd w:val="clear" w:color="auto" w:fill="auto"/>
          </w:tcPr>
          <w:p w:rsidR="0080332D" w:rsidRPr="00D72AC3" w:rsidRDefault="0080332D" w:rsidP="008D4220">
            <w:pPr>
              <w:jc w:val="both"/>
              <w:rPr>
                <w:sz w:val="20"/>
                <w:szCs w:val="20"/>
                <w:lang w:val="en-GB"/>
              </w:rPr>
            </w:pPr>
            <w:r w:rsidRPr="00D72AC3">
              <w:rPr>
                <w:sz w:val="20"/>
                <w:szCs w:val="20"/>
                <w:lang w:val="en-GB" w:bidi="en-GB"/>
              </w:rPr>
              <w:t xml:space="preserve">To draw up the communication strategy regarding anti - money laundering, </w:t>
            </w:r>
            <w:r w:rsidRPr="00D72AC3">
              <w:rPr>
                <w:sz w:val="20"/>
                <w:szCs w:val="20"/>
                <w:lang w:val="en-GB" w:bidi="en-GB"/>
              </w:rPr>
              <w:lastRenderedPageBreak/>
              <w:t>combating terrorism financing and proliferation</w:t>
            </w:r>
          </w:p>
          <w:p w:rsidR="0080332D" w:rsidRPr="00D72AC3" w:rsidRDefault="0080332D" w:rsidP="008D4220">
            <w:pPr>
              <w:jc w:val="both"/>
              <w:rPr>
                <w:rFonts w:cs="Times New Roman"/>
                <w:sz w:val="20"/>
                <w:szCs w:val="20"/>
                <w:lang w:val="en-GB"/>
              </w:rPr>
            </w:pPr>
          </w:p>
          <w:p w:rsidR="0080332D" w:rsidRPr="00D72AC3" w:rsidRDefault="0080332D" w:rsidP="008D4220">
            <w:pPr>
              <w:jc w:val="both"/>
              <w:rPr>
                <w:sz w:val="20"/>
                <w:szCs w:val="20"/>
                <w:lang w:val="en-GB"/>
              </w:rPr>
            </w:pPr>
          </w:p>
        </w:tc>
        <w:tc>
          <w:tcPr>
            <w:tcW w:w="1559" w:type="dxa"/>
            <w:vMerge w:val="restart"/>
          </w:tcPr>
          <w:p w:rsidR="0080332D" w:rsidRPr="00D72AC3" w:rsidRDefault="0080332D" w:rsidP="00C01BB0">
            <w:pPr>
              <w:rPr>
                <w:rFonts w:cs="Times New Roman"/>
                <w:sz w:val="20"/>
                <w:szCs w:val="20"/>
                <w:lang w:val="en-GB"/>
              </w:rPr>
            </w:pPr>
            <w:r w:rsidRPr="00D72AC3">
              <w:rPr>
                <w:rFonts w:cs="Times New Roman"/>
                <w:sz w:val="20"/>
                <w:szCs w:val="20"/>
                <w:lang w:val="en-GB" w:bidi="en-GB"/>
              </w:rPr>
              <w:lastRenderedPageBreak/>
              <w:t>Moneyval recommendation 1.3.</w:t>
            </w:r>
          </w:p>
        </w:tc>
        <w:tc>
          <w:tcPr>
            <w:tcW w:w="2551" w:type="dxa"/>
            <w:vMerge w:val="restart"/>
            <w:shd w:val="clear" w:color="auto" w:fill="auto"/>
          </w:tcPr>
          <w:p w:rsidR="0080332D" w:rsidRPr="00D72AC3" w:rsidRDefault="0080332D" w:rsidP="008B4FF0">
            <w:pPr>
              <w:jc w:val="both"/>
              <w:rPr>
                <w:rFonts w:cs="Times New Roman"/>
                <w:sz w:val="20"/>
                <w:szCs w:val="20"/>
                <w:lang w:val="en-GB"/>
              </w:rPr>
            </w:pPr>
            <w:r w:rsidRPr="00D72AC3">
              <w:rPr>
                <w:rFonts w:cs="Times New Roman"/>
                <w:sz w:val="20"/>
                <w:szCs w:val="20"/>
                <w:lang w:val="en-GB" w:bidi="en-GB"/>
              </w:rPr>
              <w:t>Explanation of the risk assessment outcomes to private sector.</w:t>
            </w:r>
          </w:p>
          <w:p w:rsidR="0080332D" w:rsidRPr="00D72AC3" w:rsidRDefault="0080332D" w:rsidP="008B4FF0">
            <w:pPr>
              <w:jc w:val="both"/>
              <w:rPr>
                <w:rFonts w:cs="Times New Roman"/>
                <w:sz w:val="20"/>
                <w:szCs w:val="20"/>
                <w:lang w:val="en-GB"/>
              </w:rPr>
            </w:pPr>
            <w:r w:rsidRPr="00D72AC3">
              <w:rPr>
                <w:rFonts w:cs="Times New Roman"/>
                <w:sz w:val="20"/>
                <w:szCs w:val="20"/>
                <w:lang w:val="en-GB" w:bidi="en-GB"/>
              </w:rPr>
              <w:lastRenderedPageBreak/>
              <w:t>Provision of information on accomplishments in the AML/CFT field.</w:t>
            </w:r>
          </w:p>
          <w:p w:rsidR="0080332D" w:rsidRPr="00D72AC3" w:rsidRDefault="0080332D" w:rsidP="004D19A8">
            <w:pPr>
              <w:jc w:val="both"/>
              <w:rPr>
                <w:rFonts w:cs="Times New Roman"/>
                <w:sz w:val="20"/>
                <w:szCs w:val="20"/>
                <w:lang w:val="en-GB"/>
              </w:rPr>
            </w:pPr>
            <w:r w:rsidRPr="00D72AC3">
              <w:rPr>
                <w:rFonts w:cs="Times New Roman"/>
                <w:sz w:val="20"/>
                <w:szCs w:val="20"/>
                <w:lang w:val="en-GB" w:bidi="en-GB"/>
              </w:rPr>
              <w:t xml:space="preserve">Increased public awareness and understanding about the issues on the AML/CFT and international sanctions. The number of criminal offences, where persons get engaged into ML/FT, without knowing it, </w:t>
            </w:r>
            <w:r w:rsidR="00B63EAF">
              <w:rPr>
                <w:rFonts w:cs="Times New Roman"/>
                <w:sz w:val="20"/>
                <w:szCs w:val="20"/>
                <w:lang w:val="en-GB" w:bidi="en-GB"/>
              </w:rPr>
              <w:t xml:space="preserve">is </w:t>
            </w:r>
            <w:r w:rsidRPr="00D72AC3">
              <w:rPr>
                <w:rFonts w:cs="Times New Roman"/>
                <w:sz w:val="20"/>
                <w:szCs w:val="20"/>
                <w:lang w:val="en-GB" w:bidi="en-GB"/>
              </w:rPr>
              <w:t>decreased.</w:t>
            </w:r>
          </w:p>
        </w:tc>
        <w:tc>
          <w:tcPr>
            <w:tcW w:w="2694" w:type="dxa"/>
          </w:tcPr>
          <w:p w:rsidR="0080332D" w:rsidRPr="00D72AC3" w:rsidRDefault="00F8172B" w:rsidP="00AE7B8A">
            <w:pPr>
              <w:jc w:val="both"/>
              <w:rPr>
                <w:rFonts w:cs="Times New Roman"/>
                <w:sz w:val="20"/>
                <w:szCs w:val="20"/>
                <w:lang w:val="en-GB"/>
              </w:rPr>
            </w:pPr>
            <w:r w:rsidRPr="00D72AC3">
              <w:rPr>
                <w:rFonts w:cs="Times New Roman"/>
                <w:sz w:val="20"/>
                <w:szCs w:val="20"/>
                <w:lang w:val="en-GB" w:bidi="en-GB"/>
              </w:rPr>
              <w:lastRenderedPageBreak/>
              <w:t xml:space="preserve">1. Moneyval Fifth Round Evaluation Report translated into Latvian and the society </w:t>
            </w:r>
            <w:r w:rsidRPr="00D72AC3">
              <w:rPr>
                <w:rFonts w:cs="Times New Roman"/>
                <w:sz w:val="20"/>
                <w:szCs w:val="20"/>
                <w:lang w:val="en-GB" w:bidi="en-GB"/>
              </w:rPr>
              <w:lastRenderedPageBreak/>
              <w:t>information has been carried out.</w:t>
            </w: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lastRenderedPageBreak/>
              <w:t>CS</w:t>
            </w:r>
          </w:p>
        </w:tc>
        <w:tc>
          <w:tcPr>
            <w:tcW w:w="1275" w:type="dxa"/>
            <w:shd w:val="clear" w:color="auto" w:fill="auto"/>
          </w:tcPr>
          <w:p w:rsidR="0080332D" w:rsidRPr="00D72AC3" w:rsidRDefault="0080332D" w:rsidP="00C01BB0">
            <w:pPr>
              <w:jc w:val="center"/>
              <w:rPr>
                <w:sz w:val="20"/>
                <w:szCs w:val="20"/>
                <w:lang w:val="en-GB"/>
              </w:rPr>
            </w:pPr>
          </w:p>
        </w:tc>
        <w:tc>
          <w:tcPr>
            <w:tcW w:w="1560" w:type="dxa"/>
            <w:shd w:val="clear" w:color="auto" w:fill="auto"/>
          </w:tcPr>
          <w:p w:rsidR="0080332D" w:rsidRPr="00D72AC3" w:rsidRDefault="0080332D" w:rsidP="00AE7B8A">
            <w:pPr>
              <w:jc w:val="center"/>
              <w:rPr>
                <w:rFonts w:cs="Times New Roman"/>
                <w:bCs/>
                <w:sz w:val="20"/>
                <w:szCs w:val="20"/>
                <w:lang w:val="en-GB"/>
              </w:rPr>
            </w:pPr>
            <w:r w:rsidRPr="00D72AC3">
              <w:rPr>
                <w:rFonts w:cs="Times New Roman"/>
                <w:sz w:val="20"/>
                <w:szCs w:val="20"/>
                <w:lang w:val="en-GB" w:bidi="en-GB"/>
              </w:rPr>
              <w:t>1 March 2018</w:t>
            </w:r>
          </w:p>
        </w:tc>
      </w:tr>
      <w:tr w:rsidR="001E1C4E" w:rsidRPr="00D72AC3" w:rsidTr="00F76636">
        <w:trPr>
          <w:trHeight w:val="543"/>
        </w:trPr>
        <w:tc>
          <w:tcPr>
            <w:tcW w:w="709" w:type="dxa"/>
            <w:vMerge/>
          </w:tcPr>
          <w:p w:rsidR="001E1C4E" w:rsidRPr="00D72AC3" w:rsidRDefault="001E1C4E" w:rsidP="00C01BB0">
            <w:pPr>
              <w:jc w:val="center"/>
              <w:rPr>
                <w:rFonts w:cs="Times New Roman"/>
                <w:bCs/>
                <w:sz w:val="20"/>
                <w:szCs w:val="20"/>
                <w:lang w:val="en-GB"/>
              </w:rPr>
            </w:pPr>
          </w:p>
        </w:tc>
        <w:tc>
          <w:tcPr>
            <w:tcW w:w="3686" w:type="dxa"/>
            <w:vMerge/>
            <w:shd w:val="clear" w:color="auto" w:fill="auto"/>
          </w:tcPr>
          <w:p w:rsidR="001E1C4E" w:rsidRPr="00D72AC3" w:rsidRDefault="001E1C4E" w:rsidP="008D4220">
            <w:pPr>
              <w:jc w:val="both"/>
              <w:rPr>
                <w:sz w:val="20"/>
                <w:szCs w:val="20"/>
                <w:lang w:val="en-GB"/>
              </w:rPr>
            </w:pPr>
          </w:p>
        </w:tc>
        <w:tc>
          <w:tcPr>
            <w:tcW w:w="1559" w:type="dxa"/>
            <w:vMerge/>
          </w:tcPr>
          <w:p w:rsidR="001E1C4E" w:rsidRPr="00D72AC3" w:rsidRDefault="001E1C4E" w:rsidP="00C01BB0">
            <w:pPr>
              <w:rPr>
                <w:rFonts w:cs="Times New Roman"/>
                <w:sz w:val="20"/>
                <w:szCs w:val="20"/>
                <w:lang w:val="en-GB"/>
              </w:rPr>
            </w:pPr>
          </w:p>
        </w:tc>
        <w:tc>
          <w:tcPr>
            <w:tcW w:w="2551" w:type="dxa"/>
            <w:vMerge/>
            <w:shd w:val="clear" w:color="auto" w:fill="auto"/>
          </w:tcPr>
          <w:p w:rsidR="001E1C4E" w:rsidRPr="00D72AC3" w:rsidRDefault="001E1C4E" w:rsidP="008B4FF0">
            <w:pPr>
              <w:jc w:val="both"/>
              <w:rPr>
                <w:rFonts w:cs="Times New Roman"/>
                <w:sz w:val="20"/>
                <w:szCs w:val="20"/>
                <w:lang w:val="en-GB"/>
              </w:rPr>
            </w:pPr>
          </w:p>
        </w:tc>
        <w:tc>
          <w:tcPr>
            <w:tcW w:w="2694" w:type="dxa"/>
          </w:tcPr>
          <w:p w:rsidR="001E1C4E" w:rsidRPr="00D72AC3" w:rsidRDefault="00F8172B" w:rsidP="00AE7B8A">
            <w:pPr>
              <w:jc w:val="both"/>
              <w:rPr>
                <w:rFonts w:cs="Times New Roman"/>
                <w:sz w:val="20"/>
                <w:szCs w:val="20"/>
                <w:lang w:val="en-GB"/>
              </w:rPr>
            </w:pPr>
            <w:r w:rsidRPr="00D72AC3">
              <w:rPr>
                <w:rFonts w:cs="Times New Roman"/>
                <w:sz w:val="20"/>
                <w:szCs w:val="20"/>
                <w:lang w:val="en-GB" w:bidi="en-GB"/>
              </w:rPr>
              <w:t>2. Communication strategy developed.</w:t>
            </w:r>
          </w:p>
        </w:tc>
        <w:tc>
          <w:tcPr>
            <w:tcW w:w="1134" w:type="dxa"/>
            <w:shd w:val="clear" w:color="auto" w:fill="auto"/>
          </w:tcPr>
          <w:p w:rsidR="001E1C4E" w:rsidRPr="00D72AC3" w:rsidRDefault="001E1C4E" w:rsidP="00A37320">
            <w:pPr>
              <w:jc w:val="center"/>
              <w:rPr>
                <w:sz w:val="20"/>
                <w:szCs w:val="20"/>
                <w:lang w:val="en-GB"/>
              </w:rPr>
            </w:pPr>
            <w:r w:rsidRPr="00D72AC3">
              <w:rPr>
                <w:sz w:val="20"/>
                <w:szCs w:val="20"/>
                <w:lang w:val="en-GB" w:bidi="en-GB"/>
              </w:rPr>
              <w:t>MoF, CS</w:t>
            </w:r>
          </w:p>
        </w:tc>
        <w:tc>
          <w:tcPr>
            <w:tcW w:w="1275" w:type="dxa"/>
            <w:shd w:val="clear" w:color="auto" w:fill="auto"/>
          </w:tcPr>
          <w:p w:rsidR="001E1C4E" w:rsidRPr="00D72AC3" w:rsidRDefault="001E1C4E" w:rsidP="00C01BB0">
            <w:pPr>
              <w:jc w:val="center"/>
              <w:rPr>
                <w:sz w:val="20"/>
                <w:szCs w:val="20"/>
                <w:lang w:val="en-GB"/>
              </w:rPr>
            </w:pPr>
            <w:r w:rsidRPr="00D72AC3">
              <w:rPr>
                <w:sz w:val="20"/>
                <w:szCs w:val="20"/>
                <w:lang w:val="en-GB" w:bidi="en-GB"/>
              </w:rPr>
              <w:t>FCMC, SRS, BoL, LGSI, LCSA, LCSN</w:t>
            </w:r>
          </w:p>
          <w:p w:rsidR="001E1C4E" w:rsidRPr="00D72AC3" w:rsidRDefault="001E1C4E" w:rsidP="00C01BB0">
            <w:pPr>
              <w:jc w:val="center"/>
              <w:rPr>
                <w:sz w:val="20"/>
                <w:szCs w:val="20"/>
                <w:lang w:val="en-GB"/>
              </w:rPr>
            </w:pPr>
            <w:r w:rsidRPr="00D72AC3">
              <w:rPr>
                <w:sz w:val="20"/>
                <w:szCs w:val="20"/>
                <w:lang w:val="en-GB" w:bidi="en-GB"/>
              </w:rPr>
              <w:t>LACA, NCCH, CRPC, MoT, SP, CPCB, SeP, GPO, MoI, MoJ, MoFA</w:t>
            </w:r>
          </w:p>
        </w:tc>
        <w:tc>
          <w:tcPr>
            <w:tcW w:w="1560" w:type="dxa"/>
            <w:shd w:val="clear" w:color="auto" w:fill="auto"/>
          </w:tcPr>
          <w:p w:rsidR="001E1C4E" w:rsidRPr="00D72AC3" w:rsidRDefault="001E1C4E" w:rsidP="00AE7B8A">
            <w:pPr>
              <w:jc w:val="center"/>
              <w:rPr>
                <w:rFonts w:cs="Times New Roman"/>
                <w:bCs/>
                <w:sz w:val="20"/>
                <w:szCs w:val="20"/>
                <w:lang w:val="en-GB"/>
              </w:rPr>
            </w:pPr>
            <w:r w:rsidRPr="00D72AC3">
              <w:rPr>
                <w:rFonts w:cs="Times New Roman"/>
                <w:sz w:val="20"/>
                <w:szCs w:val="20"/>
                <w:lang w:val="en-GB" w:bidi="en-GB"/>
              </w:rPr>
              <w:t>1 March 2019</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8D4220">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F8172B" w:rsidP="002A5952">
            <w:pPr>
              <w:jc w:val="both"/>
              <w:rPr>
                <w:rFonts w:cs="Times New Roman"/>
                <w:sz w:val="20"/>
                <w:szCs w:val="20"/>
                <w:lang w:val="en-GB"/>
              </w:rPr>
            </w:pPr>
            <w:r w:rsidRPr="00D72AC3">
              <w:rPr>
                <w:rFonts w:cs="Times New Roman"/>
                <w:sz w:val="20"/>
                <w:szCs w:val="20"/>
                <w:lang w:val="en-GB" w:bidi="en-GB"/>
              </w:rPr>
              <w:t>3. Informative campaign organised, informing the public about current crimes for the purposes of warning about the risks of getting involved, with a special focus on separate society groups, for example, youth.</w:t>
            </w: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t>CS, FCMC, SRS, BoL, LGSI, LCSA, LCSN, LACA, NCCH, CRPC, MoT, SP, CPCB, SeP, GPO, MoI, MoF, MoJ, MoFA</w:t>
            </w:r>
          </w:p>
        </w:tc>
        <w:tc>
          <w:tcPr>
            <w:tcW w:w="1275" w:type="dxa"/>
            <w:shd w:val="clear" w:color="auto" w:fill="auto"/>
          </w:tcPr>
          <w:p w:rsidR="0080332D" w:rsidRPr="00D72AC3" w:rsidRDefault="0080332D" w:rsidP="00C01BB0">
            <w:pPr>
              <w:jc w:val="center"/>
              <w:rPr>
                <w:sz w:val="20"/>
                <w:szCs w:val="20"/>
                <w:lang w:val="en-GB"/>
              </w:rPr>
            </w:pPr>
          </w:p>
        </w:tc>
        <w:tc>
          <w:tcPr>
            <w:tcW w:w="1560" w:type="dxa"/>
            <w:shd w:val="clear" w:color="auto" w:fill="auto"/>
          </w:tcPr>
          <w:p w:rsidR="0080332D" w:rsidRPr="00D72AC3" w:rsidRDefault="00D539CA" w:rsidP="00AE7B8A">
            <w:pPr>
              <w:jc w:val="center"/>
              <w:rPr>
                <w:rFonts w:cs="Times New Roman"/>
                <w:bCs/>
                <w:sz w:val="20"/>
                <w:szCs w:val="20"/>
                <w:highlight w:val="yellow"/>
                <w:lang w:val="en-GB"/>
              </w:rPr>
            </w:pPr>
            <w:r w:rsidRPr="00D72AC3">
              <w:rPr>
                <w:rFonts w:cs="Times New Roman"/>
                <w:sz w:val="20"/>
                <w:szCs w:val="20"/>
                <w:lang w:val="en-GB" w:bidi="en-GB"/>
              </w:rPr>
              <w:t>1 April 2019</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186872">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F8172B" w:rsidP="00FC417E">
            <w:pPr>
              <w:jc w:val="both"/>
              <w:rPr>
                <w:rFonts w:cs="Times New Roman"/>
                <w:sz w:val="20"/>
                <w:szCs w:val="20"/>
                <w:lang w:val="en-GB"/>
              </w:rPr>
            </w:pPr>
            <w:r w:rsidRPr="00D72AC3">
              <w:rPr>
                <w:rFonts w:cs="Times New Roman"/>
                <w:sz w:val="20"/>
                <w:szCs w:val="20"/>
                <w:lang w:val="en-GB" w:bidi="en-GB"/>
              </w:rPr>
              <w:t>4. Informative booklets developed in the CS for the needs of the AML/CFT subjects, supervisory and control authorities and other persons.</w:t>
            </w:r>
          </w:p>
          <w:p w:rsidR="0080332D" w:rsidRPr="00D72AC3" w:rsidRDefault="0080332D" w:rsidP="00FC7C5D">
            <w:pPr>
              <w:jc w:val="both"/>
              <w:rPr>
                <w:rFonts w:cs="Times New Roman"/>
                <w:sz w:val="20"/>
                <w:szCs w:val="20"/>
                <w:lang w:val="en-GB"/>
              </w:rPr>
            </w:pP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t>CS</w:t>
            </w:r>
          </w:p>
        </w:tc>
        <w:tc>
          <w:tcPr>
            <w:tcW w:w="1275" w:type="dxa"/>
            <w:shd w:val="clear" w:color="auto" w:fill="auto"/>
          </w:tcPr>
          <w:p w:rsidR="0080332D" w:rsidRPr="00D72AC3" w:rsidRDefault="0080332D" w:rsidP="00C01BB0">
            <w:pPr>
              <w:jc w:val="center"/>
              <w:rPr>
                <w:sz w:val="20"/>
                <w:szCs w:val="20"/>
                <w:lang w:val="en-GB"/>
              </w:rPr>
            </w:pPr>
          </w:p>
        </w:tc>
        <w:tc>
          <w:tcPr>
            <w:tcW w:w="1560" w:type="dxa"/>
            <w:shd w:val="clear" w:color="auto" w:fill="auto"/>
          </w:tcPr>
          <w:p w:rsidR="0080332D" w:rsidRPr="00D72AC3" w:rsidRDefault="0080332D" w:rsidP="00AE7B8A">
            <w:pPr>
              <w:jc w:val="center"/>
              <w:rPr>
                <w:rFonts w:cs="Times New Roman"/>
                <w:bCs/>
                <w:sz w:val="20"/>
                <w:szCs w:val="20"/>
                <w:lang w:val="en-GB"/>
              </w:rPr>
            </w:pPr>
            <w:r w:rsidRPr="00D72AC3">
              <w:rPr>
                <w:rFonts w:cs="Times New Roman"/>
                <w:sz w:val="20"/>
                <w:szCs w:val="20"/>
                <w:lang w:val="en-GB" w:bidi="en-GB"/>
              </w:rPr>
              <w:t>15 September 2019</w:t>
            </w:r>
          </w:p>
        </w:tc>
      </w:tr>
      <w:tr w:rsidR="0080332D" w:rsidRPr="00D72AC3" w:rsidTr="00F76636">
        <w:trPr>
          <w:trHeight w:val="543"/>
        </w:trPr>
        <w:tc>
          <w:tcPr>
            <w:tcW w:w="709" w:type="dxa"/>
            <w:vMerge/>
          </w:tcPr>
          <w:p w:rsidR="0080332D" w:rsidRPr="00D72AC3" w:rsidRDefault="0080332D" w:rsidP="00C01BB0">
            <w:pPr>
              <w:jc w:val="center"/>
              <w:rPr>
                <w:rFonts w:cs="Times New Roman"/>
                <w:bCs/>
                <w:sz w:val="20"/>
                <w:szCs w:val="20"/>
                <w:lang w:val="en-GB"/>
              </w:rPr>
            </w:pPr>
          </w:p>
        </w:tc>
        <w:tc>
          <w:tcPr>
            <w:tcW w:w="3686" w:type="dxa"/>
            <w:vMerge/>
            <w:shd w:val="clear" w:color="auto" w:fill="auto"/>
          </w:tcPr>
          <w:p w:rsidR="0080332D" w:rsidRPr="00D72AC3" w:rsidRDefault="0080332D" w:rsidP="00186872">
            <w:pPr>
              <w:jc w:val="both"/>
              <w:rPr>
                <w:sz w:val="20"/>
                <w:szCs w:val="20"/>
                <w:lang w:val="en-GB"/>
              </w:rPr>
            </w:pPr>
          </w:p>
        </w:tc>
        <w:tc>
          <w:tcPr>
            <w:tcW w:w="1559" w:type="dxa"/>
            <w:vMerge/>
          </w:tcPr>
          <w:p w:rsidR="0080332D" w:rsidRPr="00D72AC3" w:rsidRDefault="0080332D" w:rsidP="00C01BB0">
            <w:pPr>
              <w:rPr>
                <w:rFonts w:cs="Times New Roman"/>
                <w:sz w:val="20"/>
                <w:szCs w:val="20"/>
                <w:lang w:val="en-GB"/>
              </w:rPr>
            </w:pPr>
          </w:p>
        </w:tc>
        <w:tc>
          <w:tcPr>
            <w:tcW w:w="2551" w:type="dxa"/>
            <w:vMerge/>
            <w:shd w:val="clear" w:color="auto" w:fill="auto"/>
          </w:tcPr>
          <w:p w:rsidR="0080332D" w:rsidRPr="00D72AC3" w:rsidRDefault="0080332D" w:rsidP="00C01BB0">
            <w:pPr>
              <w:rPr>
                <w:rFonts w:cs="Times New Roman"/>
                <w:sz w:val="20"/>
                <w:szCs w:val="20"/>
                <w:lang w:val="en-GB"/>
              </w:rPr>
            </w:pPr>
          </w:p>
        </w:tc>
        <w:tc>
          <w:tcPr>
            <w:tcW w:w="2694" w:type="dxa"/>
          </w:tcPr>
          <w:p w:rsidR="0080332D" w:rsidRPr="00D72AC3" w:rsidRDefault="00F8172B" w:rsidP="00A830DE">
            <w:pPr>
              <w:jc w:val="both"/>
              <w:rPr>
                <w:rFonts w:cs="Times New Roman"/>
                <w:sz w:val="20"/>
                <w:szCs w:val="20"/>
                <w:lang w:val="en-GB"/>
              </w:rPr>
            </w:pPr>
            <w:r w:rsidRPr="00D72AC3">
              <w:rPr>
                <w:rFonts w:cs="Times New Roman"/>
                <w:sz w:val="20"/>
                <w:szCs w:val="20"/>
                <w:lang w:val="en-GB" w:bidi="en-GB"/>
              </w:rPr>
              <w:t xml:space="preserve">5. The AML/CFT days organised </w:t>
            </w:r>
          </w:p>
        </w:tc>
        <w:tc>
          <w:tcPr>
            <w:tcW w:w="1134" w:type="dxa"/>
            <w:shd w:val="clear" w:color="auto" w:fill="auto"/>
          </w:tcPr>
          <w:p w:rsidR="0080332D" w:rsidRPr="00D72AC3" w:rsidRDefault="0080332D" w:rsidP="00A37320">
            <w:pPr>
              <w:jc w:val="center"/>
              <w:rPr>
                <w:sz w:val="20"/>
                <w:szCs w:val="20"/>
                <w:lang w:val="en-GB"/>
              </w:rPr>
            </w:pPr>
            <w:r w:rsidRPr="00D72AC3">
              <w:rPr>
                <w:sz w:val="20"/>
                <w:szCs w:val="20"/>
                <w:lang w:val="en-GB" w:bidi="en-GB"/>
              </w:rPr>
              <w:t>CS</w:t>
            </w:r>
          </w:p>
        </w:tc>
        <w:tc>
          <w:tcPr>
            <w:tcW w:w="1275" w:type="dxa"/>
            <w:shd w:val="clear" w:color="auto" w:fill="auto"/>
          </w:tcPr>
          <w:p w:rsidR="0080332D" w:rsidRPr="00D72AC3" w:rsidRDefault="003F5AAD" w:rsidP="00C01BB0">
            <w:pPr>
              <w:jc w:val="center"/>
              <w:rPr>
                <w:sz w:val="20"/>
                <w:szCs w:val="20"/>
                <w:lang w:val="en-GB"/>
              </w:rPr>
            </w:pPr>
            <w:r w:rsidRPr="00D72AC3">
              <w:rPr>
                <w:sz w:val="20"/>
                <w:szCs w:val="20"/>
                <w:lang w:val="en-GB" w:bidi="en-GB"/>
              </w:rPr>
              <w:t>FCMC, SRS, BoL, LGSI, LCSA, LCSN, LACA, NCCH, CRPC, MoT, SP, CPCB, SeP, GPO, MoI MoF, MoJ, MoFA</w:t>
            </w:r>
          </w:p>
        </w:tc>
        <w:tc>
          <w:tcPr>
            <w:tcW w:w="1560" w:type="dxa"/>
            <w:shd w:val="clear" w:color="auto" w:fill="auto"/>
          </w:tcPr>
          <w:p w:rsidR="0080332D" w:rsidRPr="00D72AC3" w:rsidRDefault="0080332D" w:rsidP="00AE7B8A">
            <w:pPr>
              <w:jc w:val="center"/>
              <w:rPr>
                <w:rFonts w:cs="Times New Roman"/>
                <w:bCs/>
                <w:sz w:val="20"/>
                <w:szCs w:val="20"/>
                <w:lang w:val="en-GB"/>
              </w:rPr>
            </w:pPr>
            <w:r w:rsidRPr="00D72AC3">
              <w:rPr>
                <w:rFonts w:cs="Times New Roman"/>
                <w:sz w:val="20"/>
                <w:szCs w:val="20"/>
                <w:lang w:val="en-GB" w:bidi="en-GB"/>
              </w:rPr>
              <w:t>15 September 2019</w:t>
            </w:r>
          </w:p>
        </w:tc>
      </w:tr>
      <w:tr w:rsidR="009C3DCE" w:rsidRPr="00D72AC3" w:rsidTr="00F76636">
        <w:trPr>
          <w:trHeight w:val="543"/>
        </w:trPr>
        <w:tc>
          <w:tcPr>
            <w:tcW w:w="709" w:type="dxa"/>
          </w:tcPr>
          <w:p w:rsidR="009C3DCE" w:rsidRPr="00D72AC3" w:rsidRDefault="0072746E" w:rsidP="00C01BB0">
            <w:pPr>
              <w:jc w:val="center"/>
              <w:rPr>
                <w:rFonts w:cs="Times New Roman"/>
                <w:bCs/>
                <w:sz w:val="20"/>
                <w:szCs w:val="20"/>
                <w:lang w:val="en-GB"/>
              </w:rPr>
            </w:pPr>
            <w:r w:rsidRPr="00D72AC3">
              <w:rPr>
                <w:rFonts w:cs="Times New Roman"/>
                <w:sz w:val="20"/>
                <w:szCs w:val="20"/>
                <w:lang w:val="en-GB" w:bidi="en-GB"/>
              </w:rPr>
              <w:t xml:space="preserve">1.3. </w:t>
            </w:r>
          </w:p>
        </w:tc>
        <w:tc>
          <w:tcPr>
            <w:tcW w:w="3686" w:type="dxa"/>
            <w:shd w:val="clear" w:color="auto" w:fill="auto"/>
          </w:tcPr>
          <w:p w:rsidR="0072746E" w:rsidRPr="00D72AC3" w:rsidRDefault="0072746E" w:rsidP="00B63EAF">
            <w:pPr>
              <w:jc w:val="both"/>
              <w:rPr>
                <w:sz w:val="20"/>
                <w:szCs w:val="20"/>
                <w:lang w:val="en-GB"/>
              </w:rPr>
            </w:pPr>
            <w:r w:rsidRPr="00D72AC3">
              <w:rPr>
                <w:sz w:val="20"/>
                <w:szCs w:val="20"/>
                <w:lang w:val="en-GB" w:bidi="en-GB"/>
              </w:rPr>
              <w:t xml:space="preserve">On the basis of the </w:t>
            </w:r>
            <w:r w:rsidR="00B63EAF" w:rsidRPr="00D72AC3">
              <w:rPr>
                <w:sz w:val="20"/>
                <w:szCs w:val="20"/>
                <w:lang w:val="en-GB" w:bidi="en-GB"/>
              </w:rPr>
              <w:t>p</w:t>
            </w:r>
            <w:r w:rsidR="00B63EAF">
              <w:rPr>
                <w:sz w:val="20"/>
                <w:szCs w:val="20"/>
                <w:lang w:val="en-GB" w:bidi="en-GB"/>
              </w:rPr>
              <w:t>er</w:t>
            </w:r>
            <w:r w:rsidR="00B63EAF" w:rsidRPr="00D72AC3">
              <w:rPr>
                <w:sz w:val="20"/>
                <w:szCs w:val="20"/>
                <w:lang w:val="en-GB" w:bidi="en-GB"/>
              </w:rPr>
              <w:t xml:space="preserve">formed </w:t>
            </w:r>
            <w:r w:rsidRPr="00D72AC3">
              <w:rPr>
                <w:sz w:val="20"/>
                <w:szCs w:val="20"/>
                <w:lang w:val="en-GB" w:bidi="en-GB"/>
              </w:rPr>
              <w:t>sectoral ML/FT risk assessment, to update the guidelines on identified risks and recommended risk mitigating measures, as well as on performance of company risk assessment</w:t>
            </w:r>
          </w:p>
        </w:tc>
        <w:tc>
          <w:tcPr>
            <w:tcW w:w="1559" w:type="dxa"/>
          </w:tcPr>
          <w:p w:rsidR="009C3DCE" w:rsidRPr="00D72AC3" w:rsidRDefault="00186872" w:rsidP="00C01BB0">
            <w:pPr>
              <w:rPr>
                <w:rFonts w:cs="Times New Roman"/>
                <w:sz w:val="20"/>
                <w:szCs w:val="20"/>
                <w:lang w:val="en-GB"/>
              </w:rPr>
            </w:pPr>
            <w:r w:rsidRPr="00D72AC3">
              <w:rPr>
                <w:rFonts w:cs="Times New Roman"/>
                <w:sz w:val="20"/>
                <w:szCs w:val="20"/>
                <w:lang w:val="en-GB" w:bidi="en-GB"/>
              </w:rPr>
              <w:t>Moneyval recommendation 1.4., 1.5, 1.9.</w:t>
            </w:r>
          </w:p>
        </w:tc>
        <w:tc>
          <w:tcPr>
            <w:tcW w:w="2551" w:type="dxa"/>
            <w:shd w:val="clear" w:color="auto" w:fill="auto"/>
          </w:tcPr>
          <w:p w:rsidR="00DD7E4F" w:rsidRPr="00D72AC3" w:rsidRDefault="00DD7E4F" w:rsidP="008B4FF0">
            <w:pPr>
              <w:jc w:val="both"/>
              <w:rPr>
                <w:rFonts w:cs="Times New Roman"/>
                <w:sz w:val="20"/>
                <w:szCs w:val="20"/>
                <w:lang w:val="en-GB"/>
              </w:rPr>
            </w:pPr>
            <w:r w:rsidRPr="00D72AC3">
              <w:rPr>
                <w:rFonts w:cs="Times New Roman"/>
                <w:sz w:val="20"/>
                <w:szCs w:val="20"/>
                <w:lang w:val="en-GB" w:bidi="en-GB"/>
              </w:rPr>
              <w:t>Ensured informing of the subjects of the AML/CFT laws about the identified risks and recommended risk mitigating measures.</w:t>
            </w:r>
          </w:p>
          <w:p w:rsidR="00DD7E4F" w:rsidRPr="00D72AC3" w:rsidRDefault="00DD7E4F" w:rsidP="00FC417E">
            <w:pPr>
              <w:jc w:val="both"/>
              <w:rPr>
                <w:rFonts w:cs="Times New Roman"/>
                <w:sz w:val="20"/>
                <w:szCs w:val="20"/>
                <w:lang w:val="en-GB"/>
              </w:rPr>
            </w:pPr>
            <w:r w:rsidRPr="00D72AC3">
              <w:rPr>
                <w:rFonts w:cs="Times New Roman"/>
                <w:sz w:val="20"/>
                <w:szCs w:val="20"/>
                <w:lang w:val="en-GB" w:bidi="en-GB"/>
              </w:rPr>
              <w:t>The subjects of the law are using the NRA outcomes, when performing their risk assessments.</w:t>
            </w:r>
          </w:p>
        </w:tc>
        <w:tc>
          <w:tcPr>
            <w:tcW w:w="2694" w:type="dxa"/>
          </w:tcPr>
          <w:p w:rsidR="009C3DCE" w:rsidRPr="00D72AC3" w:rsidRDefault="00DD7E4F" w:rsidP="00AE7B8A">
            <w:pPr>
              <w:jc w:val="both"/>
              <w:rPr>
                <w:rFonts w:cs="Times New Roman"/>
                <w:sz w:val="20"/>
                <w:szCs w:val="20"/>
                <w:lang w:val="en-GB"/>
              </w:rPr>
            </w:pPr>
            <w:r w:rsidRPr="00D72AC3">
              <w:rPr>
                <w:rFonts w:cs="Times New Roman"/>
                <w:sz w:val="20"/>
                <w:szCs w:val="20"/>
                <w:lang w:val="en-GB" w:bidi="en-GB"/>
              </w:rPr>
              <w:t xml:space="preserve">Guidelines for the subjects of the law updated. </w:t>
            </w:r>
          </w:p>
        </w:tc>
        <w:tc>
          <w:tcPr>
            <w:tcW w:w="1134" w:type="dxa"/>
            <w:shd w:val="clear" w:color="auto" w:fill="auto"/>
          </w:tcPr>
          <w:p w:rsidR="009C3DCE" w:rsidRPr="00D72AC3" w:rsidRDefault="00186872" w:rsidP="00A37320">
            <w:pPr>
              <w:jc w:val="center"/>
              <w:rPr>
                <w:sz w:val="20"/>
                <w:szCs w:val="20"/>
                <w:lang w:val="en-GB"/>
              </w:rPr>
            </w:pPr>
            <w:r w:rsidRPr="00D72AC3">
              <w:rPr>
                <w:sz w:val="20"/>
                <w:szCs w:val="20"/>
                <w:lang w:val="en-GB" w:bidi="en-GB"/>
              </w:rPr>
              <w:t>FCMC, SRS, BoL, LGSI, LCSA, LCSN, LACA, NCCH, CRPC, MoT</w:t>
            </w:r>
          </w:p>
        </w:tc>
        <w:tc>
          <w:tcPr>
            <w:tcW w:w="1275" w:type="dxa"/>
            <w:shd w:val="clear" w:color="auto" w:fill="auto"/>
          </w:tcPr>
          <w:p w:rsidR="009C3DCE" w:rsidRPr="00D72AC3" w:rsidRDefault="009C3DCE" w:rsidP="00C01BB0">
            <w:pPr>
              <w:jc w:val="center"/>
              <w:rPr>
                <w:sz w:val="20"/>
                <w:szCs w:val="20"/>
                <w:lang w:val="en-GB"/>
              </w:rPr>
            </w:pPr>
          </w:p>
        </w:tc>
        <w:tc>
          <w:tcPr>
            <w:tcW w:w="1560" w:type="dxa"/>
            <w:shd w:val="clear" w:color="auto" w:fill="auto"/>
          </w:tcPr>
          <w:p w:rsidR="009C3DCE" w:rsidRPr="00D72AC3" w:rsidRDefault="00186872" w:rsidP="008F0044">
            <w:pPr>
              <w:jc w:val="center"/>
              <w:rPr>
                <w:rFonts w:cs="Times New Roman"/>
                <w:bCs/>
                <w:sz w:val="20"/>
                <w:szCs w:val="20"/>
                <w:lang w:val="en-GB"/>
              </w:rPr>
            </w:pPr>
            <w:r w:rsidRPr="00D72AC3">
              <w:rPr>
                <w:rFonts w:cs="Times New Roman"/>
                <w:sz w:val="20"/>
                <w:szCs w:val="20"/>
                <w:lang w:val="en-GB" w:bidi="en-GB"/>
              </w:rPr>
              <w:t>1 April 2019</w:t>
            </w:r>
          </w:p>
        </w:tc>
      </w:tr>
      <w:tr w:rsidR="009C3DCE" w:rsidRPr="00D72AC3" w:rsidTr="00F76636">
        <w:trPr>
          <w:trHeight w:val="543"/>
        </w:trPr>
        <w:tc>
          <w:tcPr>
            <w:tcW w:w="709" w:type="dxa"/>
          </w:tcPr>
          <w:p w:rsidR="009C3DCE" w:rsidRPr="00D72AC3" w:rsidRDefault="00DD7E4F" w:rsidP="00C01BB0">
            <w:pPr>
              <w:jc w:val="center"/>
              <w:rPr>
                <w:rFonts w:cs="Times New Roman"/>
                <w:bCs/>
                <w:sz w:val="20"/>
                <w:szCs w:val="20"/>
                <w:lang w:val="en-GB"/>
              </w:rPr>
            </w:pPr>
            <w:r w:rsidRPr="00D72AC3">
              <w:rPr>
                <w:rFonts w:cs="Times New Roman"/>
                <w:sz w:val="20"/>
                <w:szCs w:val="20"/>
                <w:lang w:val="en-GB" w:bidi="en-GB"/>
              </w:rPr>
              <w:t>1.4.</w:t>
            </w:r>
          </w:p>
        </w:tc>
        <w:tc>
          <w:tcPr>
            <w:tcW w:w="3686" w:type="dxa"/>
            <w:shd w:val="clear" w:color="auto" w:fill="auto"/>
          </w:tcPr>
          <w:p w:rsidR="009C3DCE" w:rsidRPr="00D72AC3" w:rsidRDefault="00DD7E4F" w:rsidP="00DD7E4F">
            <w:pPr>
              <w:jc w:val="both"/>
              <w:rPr>
                <w:sz w:val="20"/>
                <w:szCs w:val="20"/>
                <w:lang w:val="en-GB"/>
              </w:rPr>
            </w:pPr>
            <w:r w:rsidRPr="00D72AC3">
              <w:rPr>
                <w:sz w:val="20"/>
                <w:szCs w:val="20"/>
                <w:lang w:val="en-GB" w:bidi="en-GB"/>
              </w:rPr>
              <w:t>According to the 3rd national ML/FT risk assessment, to introduce the necessary changes to the policy planning documents and legal framework.</w:t>
            </w:r>
          </w:p>
        </w:tc>
        <w:tc>
          <w:tcPr>
            <w:tcW w:w="1559" w:type="dxa"/>
          </w:tcPr>
          <w:p w:rsidR="009C3DCE" w:rsidRPr="00D72AC3" w:rsidRDefault="00DD7E4F" w:rsidP="00C01BB0">
            <w:pPr>
              <w:rPr>
                <w:rFonts w:cs="Times New Roman"/>
                <w:sz w:val="20"/>
                <w:szCs w:val="20"/>
                <w:lang w:val="en-GB"/>
              </w:rPr>
            </w:pPr>
            <w:r w:rsidRPr="00D72AC3">
              <w:rPr>
                <w:rFonts w:cs="Times New Roman"/>
                <w:sz w:val="20"/>
                <w:szCs w:val="20"/>
                <w:lang w:val="en-GB" w:bidi="en-GB"/>
              </w:rPr>
              <w:t>Moneyval recommendation 1.8., 1.11.</w:t>
            </w:r>
          </w:p>
        </w:tc>
        <w:tc>
          <w:tcPr>
            <w:tcW w:w="2551" w:type="dxa"/>
            <w:shd w:val="clear" w:color="auto" w:fill="auto"/>
          </w:tcPr>
          <w:p w:rsidR="009C3DCE" w:rsidRPr="00D72AC3" w:rsidRDefault="00DD7E4F" w:rsidP="00FC417E">
            <w:pPr>
              <w:jc w:val="both"/>
              <w:rPr>
                <w:rFonts w:cs="Times New Roman"/>
                <w:sz w:val="20"/>
                <w:szCs w:val="20"/>
                <w:lang w:val="en-GB"/>
              </w:rPr>
            </w:pPr>
            <w:r w:rsidRPr="00D72AC3">
              <w:rPr>
                <w:rFonts w:cs="Times New Roman"/>
                <w:sz w:val="20"/>
                <w:szCs w:val="20"/>
                <w:lang w:val="en-GB" w:bidi="en-GB"/>
              </w:rPr>
              <w:t>To ensure that the policy planning documents and legal framework corresponds to the identified ML/FT risks.</w:t>
            </w:r>
          </w:p>
        </w:tc>
        <w:tc>
          <w:tcPr>
            <w:tcW w:w="2694" w:type="dxa"/>
          </w:tcPr>
          <w:p w:rsidR="009C3DCE" w:rsidRPr="00D72AC3" w:rsidRDefault="00C34DB8" w:rsidP="003E3569">
            <w:pPr>
              <w:jc w:val="both"/>
              <w:rPr>
                <w:rFonts w:cs="Times New Roman"/>
                <w:sz w:val="20"/>
                <w:szCs w:val="20"/>
                <w:lang w:val="en-GB"/>
              </w:rPr>
            </w:pPr>
            <w:r w:rsidRPr="00D72AC3">
              <w:rPr>
                <w:rFonts w:cs="Times New Roman"/>
                <w:sz w:val="20"/>
                <w:szCs w:val="20"/>
                <w:lang w:val="en-GB" w:bidi="en-GB"/>
              </w:rPr>
              <w:t>Proposals prepared for the necessary amendments to the policy planning documents and legal framework.</w:t>
            </w:r>
          </w:p>
        </w:tc>
        <w:tc>
          <w:tcPr>
            <w:tcW w:w="1134" w:type="dxa"/>
            <w:shd w:val="clear" w:color="auto" w:fill="auto"/>
          </w:tcPr>
          <w:p w:rsidR="009C3DCE" w:rsidRPr="00D72AC3" w:rsidRDefault="00C34DB8" w:rsidP="00A37320">
            <w:pPr>
              <w:jc w:val="center"/>
              <w:rPr>
                <w:sz w:val="20"/>
                <w:szCs w:val="20"/>
                <w:lang w:val="en-GB"/>
              </w:rPr>
            </w:pPr>
            <w:r w:rsidRPr="00D72AC3">
              <w:rPr>
                <w:sz w:val="20"/>
                <w:szCs w:val="20"/>
                <w:lang w:val="en-GB" w:bidi="en-GB"/>
              </w:rPr>
              <w:t>MoF, MoJ, MoI, MoFA, MoE</w:t>
            </w:r>
          </w:p>
        </w:tc>
        <w:tc>
          <w:tcPr>
            <w:tcW w:w="1275" w:type="dxa"/>
            <w:shd w:val="clear" w:color="auto" w:fill="auto"/>
          </w:tcPr>
          <w:p w:rsidR="009C3DCE" w:rsidRPr="00D72AC3" w:rsidRDefault="009C3DCE" w:rsidP="00C01BB0">
            <w:pPr>
              <w:jc w:val="center"/>
              <w:rPr>
                <w:sz w:val="20"/>
                <w:szCs w:val="20"/>
                <w:lang w:val="en-GB"/>
              </w:rPr>
            </w:pPr>
          </w:p>
        </w:tc>
        <w:tc>
          <w:tcPr>
            <w:tcW w:w="1560" w:type="dxa"/>
            <w:shd w:val="clear" w:color="auto" w:fill="auto"/>
          </w:tcPr>
          <w:p w:rsidR="009C3DCE" w:rsidRPr="00D72AC3" w:rsidRDefault="00A34EB7" w:rsidP="00AE7B8A">
            <w:pPr>
              <w:jc w:val="center"/>
              <w:rPr>
                <w:rFonts w:cs="Times New Roman"/>
                <w:bCs/>
                <w:sz w:val="20"/>
                <w:szCs w:val="20"/>
                <w:lang w:val="en-GB"/>
              </w:rPr>
            </w:pPr>
            <w:r w:rsidRPr="00D72AC3">
              <w:rPr>
                <w:rFonts w:cs="Times New Roman"/>
                <w:sz w:val="20"/>
                <w:szCs w:val="20"/>
                <w:lang w:val="en-GB" w:bidi="en-GB"/>
              </w:rPr>
              <w:t>30 November 2019</w:t>
            </w:r>
          </w:p>
        </w:tc>
      </w:tr>
      <w:tr w:rsidR="00C34DB8" w:rsidRPr="00D72AC3" w:rsidTr="00F76636">
        <w:trPr>
          <w:trHeight w:val="543"/>
        </w:trPr>
        <w:tc>
          <w:tcPr>
            <w:tcW w:w="709" w:type="dxa"/>
          </w:tcPr>
          <w:p w:rsidR="00C34DB8" w:rsidRPr="00D72AC3" w:rsidRDefault="00C34DB8" w:rsidP="00C34DB8">
            <w:pPr>
              <w:jc w:val="center"/>
              <w:rPr>
                <w:rFonts w:cs="Times New Roman"/>
                <w:bCs/>
                <w:sz w:val="20"/>
                <w:szCs w:val="20"/>
                <w:lang w:val="en-GB"/>
              </w:rPr>
            </w:pPr>
            <w:r w:rsidRPr="00D72AC3">
              <w:rPr>
                <w:rFonts w:cs="Times New Roman"/>
                <w:sz w:val="20"/>
                <w:szCs w:val="20"/>
                <w:lang w:val="en-GB" w:bidi="en-GB"/>
              </w:rPr>
              <w:t>1.5.</w:t>
            </w:r>
          </w:p>
        </w:tc>
        <w:tc>
          <w:tcPr>
            <w:tcW w:w="3686" w:type="dxa"/>
            <w:shd w:val="clear" w:color="auto" w:fill="auto"/>
          </w:tcPr>
          <w:p w:rsidR="0063784C" w:rsidRPr="00D72AC3" w:rsidRDefault="003E3569" w:rsidP="00505985">
            <w:pPr>
              <w:jc w:val="both"/>
              <w:rPr>
                <w:rFonts w:cs="Times New Roman"/>
                <w:sz w:val="20"/>
                <w:szCs w:val="20"/>
                <w:lang w:val="en-GB"/>
              </w:rPr>
            </w:pPr>
            <w:r w:rsidRPr="00D72AC3">
              <w:rPr>
                <w:rFonts w:cs="Times New Roman"/>
                <w:sz w:val="20"/>
                <w:szCs w:val="20"/>
                <w:lang w:val="en-GB" w:bidi="en-GB"/>
              </w:rPr>
              <w:t>To update the action plans of the competent authorities in accordance with the current ML/FT risks.</w:t>
            </w:r>
          </w:p>
          <w:p w:rsidR="00C34DB8" w:rsidRPr="00D72AC3" w:rsidRDefault="00C34DB8" w:rsidP="00C34DB8">
            <w:pPr>
              <w:jc w:val="both"/>
              <w:rPr>
                <w:sz w:val="20"/>
                <w:szCs w:val="20"/>
                <w:lang w:val="en-GB"/>
              </w:rPr>
            </w:pPr>
          </w:p>
        </w:tc>
        <w:tc>
          <w:tcPr>
            <w:tcW w:w="1559" w:type="dxa"/>
          </w:tcPr>
          <w:p w:rsidR="00C34DB8" w:rsidRPr="00D72AC3" w:rsidRDefault="00C34DB8" w:rsidP="00C34DB8">
            <w:pPr>
              <w:rPr>
                <w:rFonts w:cs="Times New Roman"/>
                <w:sz w:val="20"/>
                <w:szCs w:val="20"/>
                <w:lang w:val="en-GB"/>
              </w:rPr>
            </w:pPr>
            <w:r w:rsidRPr="00D72AC3">
              <w:rPr>
                <w:rFonts w:cs="Times New Roman"/>
                <w:sz w:val="20"/>
                <w:szCs w:val="20"/>
                <w:lang w:val="en-GB" w:bidi="en-GB"/>
              </w:rPr>
              <w:t>Moneyval recommendation 1.10., 1.12.</w:t>
            </w:r>
          </w:p>
        </w:tc>
        <w:tc>
          <w:tcPr>
            <w:tcW w:w="2551" w:type="dxa"/>
            <w:shd w:val="clear" w:color="auto" w:fill="auto"/>
          </w:tcPr>
          <w:p w:rsidR="00C34DB8" w:rsidRPr="00D72AC3" w:rsidRDefault="008F0044" w:rsidP="0025344E">
            <w:pPr>
              <w:jc w:val="both"/>
              <w:rPr>
                <w:rFonts w:cs="Times New Roman"/>
                <w:sz w:val="20"/>
                <w:szCs w:val="20"/>
                <w:lang w:val="en-GB"/>
              </w:rPr>
            </w:pPr>
            <w:r w:rsidRPr="00D72AC3">
              <w:rPr>
                <w:rFonts w:cs="Times New Roman"/>
                <w:sz w:val="20"/>
                <w:szCs w:val="20"/>
                <w:lang w:val="en-GB" w:bidi="en-GB"/>
              </w:rPr>
              <w:t xml:space="preserve">Action plans of the competent authorities correspond to the risks identified in the NRA, define forward-looking and correspondingly prioritised measures, set precise terms and measurable introduction outcomes, and they are introduced reasonably reducing the tolerance towards formal approach of </w:t>
            </w:r>
            <w:r w:rsidRPr="00D72AC3">
              <w:rPr>
                <w:rFonts w:cs="Times New Roman"/>
                <w:sz w:val="20"/>
                <w:szCs w:val="20"/>
                <w:lang w:val="en-GB" w:bidi="en-GB"/>
              </w:rPr>
              <w:lastRenderedPageBreak/>
              <w:t>the subjects of the law to compliance.</w:t>
            </w:r>
          </w:p>
        </w:tc>
        <w:tc>
          <w:tcPr>
            <w:tcW w:w="2694" w:type="dxa"/>
          </w:tcPr>
          <w:p w:rsidR="00C34DB8" w:rsidRPr="00D72AC3" w:rsidRDefault="0063784C" w:rsidP="00FC0F83">
            <w:pPr>
              <w:jc w:val="both"/>
              <w:rPr>
                <w:rFonts w:cs="Times New Roman"/>
                <w:sz w:val="20"/>
                <w:szCs w:val="20"/>
                <w:lang w:val="en-GB"/>
              </w:rPr>
            </w:pPr>
            <w:r w:rsidRPr="00D72AC3">
              <w:rPr>
                <w:sz w:val="20"/>
                <w:szCs w:val="20"/>
                <w:lang w:val="en-GB" w:bidi="en-GB"/>
              </w:rPr>
              <w:lastRenderedPageBreak/>
              <w:t>Action plans of the competent authorities updated in accordance with the 3rd national ML/FT risk assessment</w:t>
            </w:r>
          </w:p>
        </w:tc>
        <w:tc>
          <w:tcPr>
            <w:tcW w:w="1134" w:type="dxa"/>
            <w:shd w:val="clear" w:color="auto" w:fill="auto"/>
          </w:tcPr>
          <w:p w:rsidR="00C34DB8" w:rsidRPr="00D72AC3" w:rsidRDefault="0063784C" w:rsidP="00A37320">
            <w:pPr>
              <w:jc w:val="center"/>
              <w:rPr>
                <w:sz w:val="20"/>
                <w:szCs w:val="20"/>
                <w:lang w:val="en-GB"/>
              </w:rPr>
            </w:pPr>
            <w:r w:rsidRPr="00D72AC3">
              <w:rPr>
                <w:sz w:val="20"/>
                <w:szCs w:val="20"/>
                <w:lang w:val="en-GB" w:bidi="en-GB"/>
              </w:rPr>
              <w:t>FCMC, SRS, BoL, LGSI, LCSA, LCSN, LACA, NCCH, CRPC, MoT, GPO, SP, CPCB</w:t>
            </w:r>
          </w:p>
        </w:tc>
        <w:tc>
          <w:tcPr>
            <w:tcW w:w="1275" w:type="dxa"/>
            <w:shd w:val="clear" w:color="auto" w:fill="auto"/>
          </w:tcPr>
          <w:p w:rsidR="00C34DB8" w:rsidRPr="00D72AC3" w:rsidRDefault="00C34DB8" w:rsidP="00FC0F83">
            <w:pPr>
              <w:jc w:val="center"/>
              <w:rPr>
                <w:sz w:val="20"/>
                <w:szCs w:val="20"/>
                <w:lang w:val="en-GB"/>
              </w:rPr>
            </w:pPr>
          </w:p>
        </w:tc>
        <w:tc>
          <w:tcPr>
            <w:tcW w:w="1560" w:type="dxa"/>
            <w:shd w:val="clear" w:color="auto" w:fill="auto"/>
          </w:tcPr>
          <w:p w:rsidR="00C34DB8" w:rsidRPr="00D72AC3" w:rsidRDefault="00C34DB8" w:rsidP="0063784C">
            <w:pPr>
              <w:jc w:val="center"/>
              <w:rPr>
                <w:rFonts w:cs="Times New Roman"/>
                <w:bCs/>
                <w:sz w:val="20"/>
                <w:szCs w:val="20"/>
                <w:lang w:val="en-GB"/>
              </w:rPr>
            </w:pPr>
            <w:r w:rsidRPr="00D72AC3">
              <w:rPr>
                <w:rFonts w:cs="Times New Roman"/>
                <w:sz w:val="20"/>
                <w:szCs w:val="20"/>
                <w:lang w:val="en-GB" w:bidi="en-GB"/>
              </w:rPr>
              <w:t>30 November 2019</w:t>
            </w:r>
          </w:p>
        </w:tc>
      </w:tr>
      <w:tr w:rsidR="00C34DB8" w:rsidRPr="00D72AC3" w:rsidTr="00F76636">
        <w:trPr>
          <w:trHeight w:val="543"/>
        </w:trPr>
        <w:tc>
          <w:tcPr>
            <w:tcW w:w="709" w:type="dxa"/>
          </w:tcPr>
          <w:p w:rsidR="00C34DB8" w:rsidRPr="00D72AC3" w:rsidRDefault="00A832FD" w:rsidP="00C01BB0">
            <w:pPr>
              <w:jc w:val="center"/>
              <w:rPr>
                <w:rFonts w:cs="Times New Roman"/>
                <w:bCs/>
                <w:sz w:val="20"/>
                <w:szCs w:val="20"/>
                <w:lang w:val="en-GB"/>
              </w:rPr>
            </w:pPr>
            <w:r w:rsidRPr="00D72AC3">
              <w:rPr>
                <w:rFonts w:cs="Times New Roman"/>
                <w:sz w:val="20"/>
                <w:szCs w:val="20"/>
                <w:lang w:val="en-GB" w:bidi="en-GB"/>
              </w:rPr>
              <w:t xml:space="preserve">1.6 </w:t>
            </w:r>
          </w:p>
        </w:tc>
        <w:tc>
          <w:tcPr>
            <w:tcW w:w="3686" w:type="dxa"/>
            <w:shd w:val="clear" w:color="auto" w:fill="auto"/>
          </w:tcPr>
          <w:p w:rsidR="00C34DB8" w:rsidRPr="00D72AC3" w:rsidRDefault="00A832FD" w:rsidP="00A832FD">
            <w:pPr>
              <w:jc w:val="both"/>
              <w:rPr>
                <w:sz w:val="20"/>
                <w:szCs w:val="20"/>
                <w:lang w:val="en-GB"/>
              </w:rPr>
            </w:pPr>
            <w:r w:rsidRPr="00D72AC3">
              <w:rPr>
                <w:sz w:val="20"/>
                <w:szCs w:val="20"/>
                <w:lang w:val="en-GB" w:bidi="en-GB"/>
              </w:rPr>
              <w:t>To review the composition and mandate of the Financial Sector Development Board.</w:t>
            </w:r>
          </w:p>
        </w:tc>
        <w:tc>
          <w:tcPr>
            <w:tcW w:w="1559" w:type="dxa"/>
          </w:tcPr>
          <w:p w:rsidR="00C34DB8" w:rsidRPr="00D72AC3" w:rsidRDefault="00A832FD" w:rsidP="00C01BB0">
            <w:pPr>
              <w:rPr>
                <w:rFonts w:cs="Times New Roman"/>
                <w:sz w:val="20"/>
                <w:szCs w:val="20"/>
                <w:lang w:val="en-GB"/>
              </w:rPr>
            </w:pPr>
            <w:r w:rsidRPr="00D72AC3">
              <w:rPr>
                <w:rFonts w:cs="Times New Roman"/>
                <w:sz w:val="20"/>
                <w:szCs w:val="20"/>
                <w:lang w:val="en-GB" w:bidi="en-GB"/>
              </w:rPr>
              <w:t>Moneyval recommendation 1.13., 1.14.</w:t>
            </w:r>
          </w:p>
          <w:p w:rsidR="00BD2BE0" w:rsidRPr="00D72AC3" w:rsidRDefault="00BD2BE0" w:rsidP="00C01BB0">
            <w:pPr>
              <w:rPr>
                <w:rFonts w:cs="Times New Roman"/>
                <w:sz w:val="20"/>
                <w:szCs w:val="20"/>
                <w:lang w:val="en-GB"/>
              </w:rPr>
            </w:pPr>
          </w:p>
          <w:p w:rsidR="00BD2BE0" w:rsidRPr="00D72AC3" w:rsidRDefault="00BD2BE0" w:rsidP="00BD2BE0">
            <w:pPr>
              <w:jc w:val="both"/>
              <w:rPr>
                <w:sz w:val="20"/>
                <w:szCs w:val="20"/>
                <w:lang w:val="en-GB"/>
              </w:rPr>
            </w:pPr>
            <w:r w:rsidRPr="00D72AC3">
              <w:rPr>
                <w:sz w:val="20"/>
                <w:szCs w:val="20"/>
                <w:lang w:val="en-GB" w:bidi="en-GB"/>
              </w:rPr>
              <w:t>Plan of Measures for 2017-2019 Measure 1.1.</w:t>
            </w:r>
          </w:p>
          <w:p w:rsidR="00BD2BE0" w:rsidRPr="00D72AC3" w:rsidRDefault="00BD2BE0" w:rsidP="00C01BB0">
            <w:pPr>
              <w:rPr>
                <w:rFonts w:cs="Times New Roman"/>
                <w:sz w:val="20"/>
                <w:szCs w:val="20"/>
                <w:lang w:val="en-GB"/>
              </w:rPr>
            </w:pPr>
          </w:p>
        </w:tc>
        <w:tc>
          <w:tcPr>
            <w:tcW w:w="2551" w:type="dxa"/>
            <w:shd w:val="clear" w:color="auto" w:fill="auto"/>
          </w:tcPr>
          <w:p w:rsidR="00C34DB8" w:rsidRPr="00D72AC3" w:rsidRDefault="00A832FD" w:rsidP="00505985">
            <w:pPr>
              <w:jc w:val="both"/>
              <w:rPr>
                <w:rFonts w:cs="Times New Roman"/>
                <w:sz w:val="20"/>
                <w:szCs w:val="20"/>
                <w:lang w:val="en-GB"/>
              </w:rPr>
            </w:pPr>
            <w:r w:rsidRPr="00D72AC3">
              <w:rPr>
                <w:rFonts w:cs="Times New Roman"/>
                <w:sz w:val="20"/>
                <w:szCs w:val="20"/>
                <w:lang w:val="en-GB" w:bidi="en-GB"/>
              </w:rPr>
              <w:t>To ensure the assessment of the ML/FT global trends and their influence at the local level.</w:t>
            </w:r>
          </w:p>
        </w:tc>
        <w:tc>
          <w:tcPr>
            <w:tcW w:w="2694" w:type="dxa"/>
          </w:tcPr>
          <w:p w:rsidR="00C15031" w:rsidRPr="00D72AC3" w:rsidRDefault="002A5952" w:rsidP="00A832FD">
            <w:pPr>
              <w:jc w:val="both"/>
              <w:rPr>
                <w:rFonts w:cs="Times New Roman"/>
                <w:sz w:val="20"/>
                <w:szCs w:val="20"/>
                <w:lang w:val="en-GB"/>
              </w:rPr>
            </w:pPr>
            <w:r w:rsidRPr="00D72AC3">
              <w:rPr>
                <w:rFonts w:cs="Times New Roman"/>
                <w:sz w:val="20"/>
                <w:szCs w:val="20"/>
                <w:lang w:val="en-GB" w:bidi="en-GB"/>
              </w:rPr>
              <w:t>Changes introduced to the by-laws of the Financial Sector Development Board, stating that:</w:t>
            </w:r>
          </w:p>
          <w:p w:rsidR="00C34DB8" w:rsidRPr="00D72AC3" w:rsidRDefault="00C15031" w:rsidP="00A832FD">
            <w:pPr>
              <w:jc w:val="both"/>
              <w:rPr>
                <w:rFonts w:cs="Times New Roman"/>
                <w:sz w:val="20"/>
                <w:szCs w:val="20"/>
                <w:lang w:val="en-GB"/>
              </w:rPr>
            </w:pPr>
            <w:r w:rsidRPr="00D72AC3">
              <w:rPr>
                <w:rFonts w:cs="Times New Roman"/>
                <w:sz w:val="20"/>
                <w:szCs w:val="20"/>
                <w:lang w:val="en-GB" w:bidi="en-GB"/>
              </w:rPr>
              <w:t>- the Financial Sector Development Board regularly reviews the information about the ML/FT global trends and their influence at the local level;</w:t>
            </w:r>
          </w:p>
          <w:p w:rsidR="008F0044" w:rsidRPr="00D72AC3" w:rsidRDefault="008F0044" w:rsidP="007D1989">
            <w:pPr>
              <w:jc w:val="both"/>
              <w:rPr>
                <w:rFonts w:cs="Times New Roman"/>
                <w:sz w:val="20"/>
                <w:szCs w:val="20"/>
                <w:lang w:val="en-GB"/>
              </w:rPr>
            </w:pPr>
            <w:r w:rsidRPr="00D72AC3">
              <w:rPr>
                <w:rFonts w:cs="Times New Roman"/>
                <w:sz w:val="20"/>
                <w:szCs w:val="20"/>
                <w:lang w:val="en-GB" w:bidi="en-GB"/>
              </w:rPr>
              <w:t>- the relevant institutions and non-governmental organisations are represented in its composition.</w:t>
            </w:r>
          </w:p>
        </w:tc>
        <w:tc>
          <w:tcPr>
            <w:tcW w:w="1134" w:type="dxa"/>
            <w:shd w:val="clear" w:color="auto" w:fill="auto"/>
          </w:tcPr>
          <w:p w:rsidR="00C34DB8" w:rsidRPr="00D72AC3" w:rsidRDefault="00A832FD" w:rsidP="00A37320">
            <w:pPr>
              <w:jc w:val="center"/>
              <w:rPr>
                <w:sz w:val="20"/>
                <w:szCs w:val="20"/>
                <w:lang w:val="en-GB"/>
              </w:rPr>
            </w:pPr>
            <w:r w:rsidRPr="00D72AC3">
              <w:rPr>
                <w:sz w:val="20"/>
                <w:szCs w:val="20"/>
                <w:lang w:val="en-GB" w:bidi="en-GB"/>
              </w:rPr>
              <w:t>MoF</w:t>
            </w:r>
          </w:p>
        </w:tc>
        <w:tc>
          <w:tcPr>
            <w:tcW w:w="1275" w:type="dxa"/>
            <w:shd w:val="clear" w:color="auto" w:fill="auto"/>
          </w:tcPr>
          <w:p w:rsidR="00C34DB8" w:rsidRPr="00D72AC3" w:rsidRDefault="00C34DB8" w:rsidP="00C01BB0">
            <w:pPr>
              <w:jc w:val="center"/>
              <w:rPr>
                <w:sz w:val="20"/>
                <w:szCs w:val="20"/>
                <w:lang w:val="en-GB"/>
              </w:rPr>
            </w:pPr>
          </w:p>
        </w:tc>
        <w:tc>
          <w:tcPr>
            <w:tcW w:w="1560" w:type="dxa"/>
            <w:shd w:val="clear" w:color="auto" w:fill="auto"/>
          </w:tcPr>
          <w:p w:rsidR="00C34DB8" w:rsidRPr="00D72AC3" w:rsidRDefault="00A832FD" w:rsidP="007466C4">
            <w:pPr>
              <w:jc w:val="center"/>
              <w:rPr>
                <w:rFonts w:cs="Times New Roman"/>
                <w:bCs/>
                <w:sz w:val="20"/>
                <w:szCs w:val="20"/>
                <w:lang w:val="en-GB"/>
              </w:rPr>
            </w:pPr>
            <w:r w:rsidRPr="00D72AC3">
              <w:rPr>
                <w:rFonts w:cs="Times New Roman"/>
                <w:sz w:val="20"/>
                <w:szCs w:val="20"/>
                <w:lang w:val="en-GB" w:bidi="en-GB"/>
              </w:rPr>
              <w:t>15 December 2018</w:t>
            </w:r>
          </w:p>
        </w:tc>
      </w:tr>
      <w:tr w:rsidR="00DD7E4F" w:rsidRPr="00D72AC3" w:rsidTr="00F76636">
        <w:trPr>
          <w:trHeight w:val="543"/>
        </w:trPr>
        <w:tc>
          <w:tcPr>
            <w:tcW w:w="709" w:type="dxa"/>
          </w:tcPr>
          <w:p w:rsidR="00DD7E4F" w:rsidRPr="00D72AC3" w:rsidRDefault="003E16BD" w:rsidP="00C01BB0">
            <w:pPr>
              <w:jc w:val="center"/>
              <w:rPr>
                <w:rFonts w:cs="Times New Roman"/>
                <w:bCs/>
                <w:sz w:val="20"/>
                <w:szCs w:val="20"/>
                <w:lang w:val="en-GB"/>
              </w:rPr>
            </w:pPr>
            <w:r w:rsidRPr="00D72AC3">
              <w:rPr>
                <w:rFonts w:cs="Times New Roman"/>
                <w:sz w:val="20"/>
                <w:szCs w:val="20"/>
                <w:lang w:val="en-GB" w:bidi="en-GB"/>
              </w:rPr>
              <w:t>1.7.</w:t>
            </w:r>
          </w:p>
        </w:tc>
        <w:tc>
          <w:tcPr>
            <w:tcW w:w="3686" w:type="dxa"/>
            <w:shd w:val="clear" w:color="auto" w:fill="auto"/>
          </w:tcPr>
          <w:p w:rsidR="00DD7E4F" w:rsidRPr="00D72AC3" w:rsidRDefault="00A832FD" w:rsidP="00DD7E4F">
            <w:pPr>
              <w:jc w:val="both"/>
              <w:rPr>
                <w:sz w:val="20"/>
                <w:szCs w:val="20"/>
                <w:lang w:val="en-GB"/>
              </w:rPr>
            </w:pPr>
            <w:r w:rsidRPr="00D72AC3">
              <w:rPr>
                <w:sz w:val="20"/>
                <w:szCs w:val="20"/>
                <w:lang w:val="en-GB" w:bidi="en-GB"/>
              </w:rPr>
              <w:t>To review the mandate of the Advisory Board of the Control Service</w:t>
            </w:r>
          </w:p>
        </w:tc>
        <w:tc>
          <w:tcPr>
            <w:tcW w:w="1559" w:type="dxa"/>
          </w:tcPr>
          <w:p w:rsidR="00DD7E4F" w:rsidRPr="00D72AC3" w:rsidRDefault="0064100C" w:rsidP="00C01BB0">
            <w:pPr>
              <w:rPr>
                <w:rFonts w:cs="Times New Roman"/>
                <w:sz w:val="20"/>
                <w:szCs w:val="20"/>
                <w:lang w:val="en-GB"/>
              </w:rPr>
            </w:pPr>
            <w:r w:rsidRPr="00D72AC3">
              <w:rPr>
                <w:rFonts w:cs="Times New Roman"/>
                <w:sz w:val="20"/>
                <w:szCs w:val="20"/>
                <w:lang w:val="en-GB" w:bidi="en-GB"/>
              </w:rPr>
              <w:t>Moneyval recommendation 1.14., 1.15.</w:t>
            </w:r>
          </w:p>
          <w:p w:rsidR="00BD2BE0" w:rsidRPr="00D72AC3" w:rsidRDefault="00BD2BE0" w:rsidP="00C01BB0">
            <w:pPr>
              <w:rPr>
                <w:rFonts w:cs="Times New Roman"/>
                <w:sz w:val="20"/>
                <w:szCs w:val="20"/>
                <w:lang w:val="en-GB"/>
              </w:rPr>
            </w:pPr>
          </w:p>
          <w:p w:rsidR="00BD2BE0" w:rsidRPr="00D72AC3" w:rsidRDefault="00BD2BE0" w:rsidP="00BD2BE0">
            <w:pPr>
              <w:jc w:val="both"/>
              <w:rPr>
                <w:sz w:val="20"/>
                <w:szCs w:val="20"/>
                <w:lang w:val="en-GB"/>
              </w:rPr>
            </w:pPr>
            <w:r w:rsidRPr="00D72AC3">
              <w:rPr>
                <w:sz w:val="20"/>
                <w:szCs w:val="20"/>
                <w:lang w:val="en-GB" w:bidi="en-GB"/>
              </w:rPr>
              <w:t>Plan of Measures for 2017-2019 Measure 1.1., 1.3.</w:t>
            </w:r>
          </w:p>
          <w:p w:rsidR="00BD2BE0" w:rsidRPr="00D72AC3" w:rsidRDefault="00BD2BE0" w:rsidP="00C01BB0">
            <w:pPr>
              <w:rPr>
                <w:rFonts w:cs="Times New Roman"/>
                <w:sz w:val="20"/>
                <w:szCs w:val="20"/>
                <w:lang w:val="en-GB"/>
              </w:rPr>
            </w:pPr>
          </w:p>
        </w:tc>
        <w:tc>
          <w:tcPr>
            <w:tcW w:w="2551" w:type="dxa"/>
            <w:shd w:val="clear" w:color="auto" w:fill="auto"/>
          </w:tcPr>
          <w:p w:rsidR="00DD7E4F" w:rsidRPr="00D72AC3" w:rsidRDefault="0064100C" w:rsidP="008B4FF0">
            <w:pPr>
              <w:jc w:val="both"/>
              <w:rPr>
                <w:rFonts w:cs="Times New Roman"/>
                <w:sz w:val="20"/>
                <w:szCs w:val="20"/>
                <w:lang w:val="en-GB"/>
              </w:rPr>
            </w:pPr>
            <w:r w:rsidRPr="00D72AC3">
              <w:rPr>
                <w:rFonts w:cs="Times New Roman"/>
                <w:sz w:val="20"/>
                <w:szCs w:val="20"/>
                <w:lang w:val="en-GB" w:bidi="en-GB"/>
              </w:rPr>
              <w:t>To ensure coordinated action of the competent authorities, as well as the regular analysis of the ML/FT risks, trends and strategic analysis.</w:t>
            </w:r>
          </w:p>
        </w:tc>
        <w:tc>
          <w:tcPr>
            <w:tcW w:w="2694" w:type="dxa"/>
          </w:tcPr>
          <w:p w:rsidR="00DD7E4F" w:rsidRPr="00D72AC3" w:rsidRDefault="002A5952" w:rsidP="00A832FD">
            <w:pPr>
              <w:jc w:val="both"/>
              <w:rPr>
                <w:rFonts w:cs="Times New Roman"/>
                <w:sz w:val="20"/>
                <w:szCs w:val="20"/>
                <w:lang w:val="en-GB"/>
              </w:rPr>
            </w:pPr>
            <w:r w:rsidRPr="00D72AC3">
              <w:rPr>
                <w:rFonts w:cs="Times New Roman"/>
                <w:sz w:val="20"/>
                <w:szCs w:val="20"/>
                <w:lang w:val="en-GB" w:bidi="en-GB"/>
              </w:rPr>
              <w:t>Changes introduced to the mandate of the Advisory Board of the Control Service, stating that the Board:</w:t>
            </w:r>
          </w:p>
          <w:p w:rsidR="00C15031" w:rsidRPr="00D72AC3" w:rsidRDefault="00C15031" w:rsidP="00C15031">
            <w:pPr>
              <w:jc w:val="both"/>
              <w:rPr>
                <w:rFonts w:cs="Times New Roman"/>
                <w:sz w:val="20"/>
                <w:szCs w:val="20"/>
                <w:lang w:val="en-GB"/>
              </w:rPr>
            </w:pPr>
            <w:r w:rsidRPr="00D72AC3">
              <w:rPr>
                <w:rFonts w:cs="Times New Roman"/>
                <w:sz w:val="20"/>
                <w:szCs w:val="20"/>
                <w:lang w:val="en-GB" w:bidi="en-GB"/>
              </w:rPr>
              <w:t>- carries out horizontal information exchange regarding the ML/FT risks, trends and affairs;</w:t>
            </w:r>
          </w:p>
          <w:p w:rsidR="00C15031" w:rsidRPr="00D72AC3" w:rsidRDefault="00C15031" w:rsidP="00C15031">
            <w:pPr>
              <w:jc w:val="both"/>
              <w:rPr>
                <w:rFonts w:cs="Times New Roman"/>
                <w:sz w:val="20"/>
                <w:szCs w:val="20"/>
                <w:lang w:val="en-GB"/>
              </w:rPr>
            </w:pPr>
            <w:r w:rsidRPr="00D72AC3">
              <w:rPr>
                <w:rFonts w:cs="Times New Roman"/>
                <w:sz w:val="20"/>
                <w:szCs w:val="20"/>
                <w:lang w:val="en-GB" w:bidi="en-GB"/>
              </w:rPr>
              <w:t>- regularly informs the FSDB about the ML/FT global trends and their influence at the local level;</w:t>
            </w:r>
          </w:p>
          <w:p w:rsidR="00C15031" w:rsidRPr="00D72AC3" w:rsidRDefault="00C15031" w:rsidP="00C15031">
            <w:pPr>
              <w:jc w:val="both"/>
              <w:rPr>
                <w:rFonts w:cs="Times New Roman"/>
                <w:sz w:val="20"/>
                <w:szCs w:val="20"/>
                <w:lang w:val="en-GB"/>
              </w:rPr>
            </w:pPr>
            <w:r w:rsidRPr="00D72AC3">
              <w:rPr>
                <w:rFonts w:cs="Times New Roman"/>
                <w:sz w:val="20"/>
                <w:szCs w:val="20"/>
                <w:lang w:val="en-GB" w:bidi="en-GB"/>
              </w:rPr>
              <w:t>- gathers information about the strategic analysis carried out by the competent authorities.</w:t>
            </w:r>
          </w:p>
          <w:p w:rsidR="00C15031" w:rsidRPr="00D72AC3" w:rsidRDefault="00C15031" w:rsidP="00C15031">
            <w:pPr>
              <w:jc w:val="both"/>
              <w:rPr>
                <w:rFonts w:cs="Times New Roman"/>
                <w:sz w:val="20"/>
                <w:szCs w:val="20"/>
                <w:lang w:val="en-GB"/>
              </w:rPr>
            </w:pPr>
          </w:p>
        </w:tc>
        <w:tc>
          <w:tcPr>
            <w:tcW w:w="1134" w:type="dxa"/>
            <w:shd w:val="clear" w:color="auto" w:fill="auto"/>
          </w:tcPr>
          <w:p w:rsidR="00DD7E4F" w:rsidRPr="00D72AC3" w:rsidRDefault="00783E10" w:rsidP="00783E10">
            <w:pPr>
              <w:jc w:val="center"/>
              <w:rPr>
                <w:sz w:val="20"/>
                <w:szCs w:val="20"/>
                <w:lang w:val="en-GB"/>
              </w:rPr>
            </w:pPr>
            <w:r w:rsidRPr="00D72AC3">
              <w:rPr>
                <w:sz w:val="20"/>
                <w:szCs w:val="20"/>
                <w:lang w:val="en-GB" w:bidi="en-GB"/>
              </w:rPr>
              <w:t>MoF</w:t>
            </w:r>
          </w:p>
        </w:tc>
        <w:tc>
          <w:tcPr>
            <w:tcW w:w="1275" w:type="dxa"/>
            <w:shd w:val="clear" w:color="auto" w:fill="auto"/>
          </w:tcPr>
          <w:p w:rsidR="00DD7E4F" w:rsidRPr="00D72AC3" w:rsidRDefault="00783E10" w:rsidP="00C01BB0">
            <w:pPr>
              <w:jc w:val="center"/>
              <w:rPr>
                <w:sz w:val="20"/>
                <w:szCs w:val="20"/>
                <w:lang w:val="en-GB"/>
              </w:rPr>
            </w:pPr>
            <w:r w:rsidRPr="00D72AC3">
              <w:rPr>
                <w:sz w:val="20"/>
                <w:szCs w:val="20"/>
                <w:lang w:val="en-GB" w:bidi="en-GB"/>
              </w:rPr>
              <w:t>CS</w:t>
            </w:r>
          </w:p>
        </w:tc>
        <w:tc>
          <w:tcPr>
            <w:tcW w:w="1560" w:type="dxa"/>
            <w:shd w:val="clear" w:color="auto" w:fill="auto"/>
          </w:tcPr>
          <w:p w:rsidR="00DD7E4F" w:rsidRPr="00D72AC3" w:rsidRDefault="003E16BD" w:rsidP="008F0044">
            <w:pPr>
              <w:jc w:val="center"/>
              <w:rPr>
                <w:rFonts w:cs="Times New Roman"/>
                <w:bCs/>
                <w:sz w:val="20"/>
                <w:szCs w:val="20"/>
                <w:lang w:val="en-GB"/>
              </w:rPr>
            </w:pPr>
            <w:r w:rsidRPr="00D72AC3">
              <w:rPr>
                <w:rFonts w:cs="Times New Roman"/>
                <w:sz w:val="20"/>
                <w:szCs w:val="20"/>
                <w:lang w:val="en-GB" w:bidi="en-GB"/>
              </w:rPr>
              <w:t>15 December 2018</w:t>
            </w:r>
          </w:p>
        </w:tc>
      </w:tr>
    </w:tbl>
    <w:p w:rsidR="00BE193D" w:rsidRPr="00D72AC3" w:rsidRDefault="00BE193D" w:rsidP="00E24F37">
      <w:pPr>
        <w:pStyle w:val="Heading2"/>
        <w:rPr>
          <w:rFonts w:ascii="Times New Roman" w:hAnsi="Times New Roman" w:cs="Times New Roman"/>
          <w:b/>
          <w:color w:val="auto"/>
          <w:sz w:val="28"/>
          <w:szCs w:val="28"/>
          <w:lang w:val="en-GB"/>
        </w:rPr>
      </w:pPr>
    </w:p>
    <w:p w:rsidR="00FF0BBA" w:rsidRPr="00D72AC3" w:rsidRDefault="00FF0BBA" w:rsidP="00E24F37">
      <w:pPr>
        <w:pStyle w:val="Heading2"/>
        <w:rPr>
          <w:rFonts w:ascii="Times New Roman" w:hAnsi="Times New Roman" w:cs="Times New Roman"/>
          <w:b/>
          <w:color w:val="auto"/>
          <w:sz w:val="28"/>
          <w:szCs w:val="28"/>
          <w:lang w:val="en-GB"/>
        </w:rPr>
      </w:pPr>
      <w:bookmarkStart w:id="7" w:name="_Toc526510435"/>
      <w:r w:rsidRPr="00D72AC3">
        <w:rPr>
          <w:rFonts w:ascii="Times New Roman" w:eastAsia="Times New Roman" w:hAnsi="Times New Roman" w:cs="Times New Roman"/>
          <w:b/>
          <w:color w:val="auto"/>
          <w:sz w:val="28"/>
          <w:szCs w:val="28"/>
          <w:lang w:val="en-GB" w:bidi="en-GB"/>
        </w:rPr>
        <w:t>Second course of action - International cooperation</w:t>
      </w:r>
      <w:bookmarkEnd w:id="7"/>
      <w:r w:rsidR="00D72AC3" w:rsidRPr="00D72AC3">
        <w:rPr>
          <w:rFonts w:ascii="Times New Roman" w:eastAsia="Times New Roman" w:hAnsi="Times New Roman" w:cs="Times New Roman"/>
          <w:b/>
          <w:color w:val="auto"/>
          <w:sz w:val="28"/>
          <w:szCs w:val="28"/>
          <w:lang w:val="en-GB" w:bidi="en-GB"/>
        </w:rPr>
        <w:t xml:space="preserve"> </w:t>
      </w:r>
    </w:p>
    <w:p w:rsidR="00FF0BBA" w:rsidRPr="00D72AC3" w:rsidRDefault="00FF0BBA"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MoJ</w:t>
      </w:r>
    </w:p>
    <w:p w:rsidR="009C6D67" w:rsidRPr="00D72AC3" w:rsidRDefault="00FF0BBA" w:rsidP="009C6D67">
      <w:pPr>
        <w:jc w:val="both"/>
        <w:rPr>
          <w:szCs w:val="24"/>
          <w:lang w:val="en-GB"/>
        </w:rPr>
      </w:pPr>
      <w:r w:rsidRPr="00D72AC3">
        <w:rPr>
          <w:szCs w:val="24"/>
          <w:lang w:val="en-GB" w:bidi="en-GB"/>
        </w:rPr>
        <w:lastRenderedPageBreak/>
        <w:t>Co-responsible authorities: CS, SP, SRS, SeP, GPO, CPCB, FCMC, BoL, LGSI, LCSA, LCSN, LACA, NCCH, CRPC</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410"/>
        <w:gridCol w:w="2693"/>
        <w:gridCol w:w="1276"/>
        <w:gridCol w:w="1275"/>
        <w:gridCol w:w="1418"/>
      </w:tblGrid>
      <w:tr w:rsidR="00A37320" w:rsidRPr="00D72AC3" w:rsidTr="00A37320">
        <w:tc>
          <w:tcPr>
            <w:tcW w:w="4395" w:type="dxa"/>
            <w:gridSpan w:val="2"/>
          </w:tcPr>
          <w:p w:rsidR="00A37320" w:rsidRPr="00D72AC3" w:rsidRDefault="00A37320" w:rsidP="000215A6">
            <w:pPr>
              <w:rPr>
                <w:rFonts w:cs="Times New Roman"/>
                <w:b/>
                <w:bCs/>
                <w:sz w:val="20"/>
                <w:szCs w:val="20"/>
                <w:lang w:val="en-GB"/>
              </w:rPr>
            </w:pPr>
            <w:r w:rsidRPr="00D72AC3">
              <w:rPr>
                <w:rFonts w:cs="Times New Roman"/>
                <w:b/>
                <w:sz w:val="20"/>
                <w:szCs w:val="20"/>
                <w:lang w:val="en-GB" w:bidi="en-GB"/>
              </w:rPr>
              <w:t>Second course of action</w:t>
            </w:r>
          </w:p>
        </w:tc>
        <w:tc>
          <w:tcPr>
            <w:tcW w:w="10631" w:type="dxa"/>
            <w:gridSpan w:val="6"/>
          </w:tcPr>
          <w:p w:rsidR="00A37320" w:rsidRPr="00D72AC3" w:rsidRDefault="00A37320" w:rsidP="000215A6">
            <w:pPr>
              <w:jc w:val="both"/>
              <w:rPr>
                <w:rFonts w:cs="Times New Roman"/>
                <w:b/>
                <w:bCs/>
                <w:sz w:val="20"/>
                <w:szCs w:val="20"/>
                <w:lang w:val="en-GB"/>
              </w:rPr>
            </w:pPr>
            <w:r w:rsidRPr="00D72AC3">
              <w:rPr>
                <w:rFonts w:cs="Times New Roman"/>
                <w:b/>
                <w:sz w:val="20"/>
                <w:szCs w:val="20"/>
                <w:lang w:val="en-GB" w:bidi="en-GB"/>
              </w:rPr>
              <w:t>International cooperation</w:t>
            </w:r>
          </w:p>
        </w:tc>
      </w:tr>
      <w:tr w:rsidR="00A37320" w:rsidRPr="00D72AC3" w:rsidTr="00A37320">
        <w:tc>
          <w:tcPr>
            <w:tcW w:w="4395" w:type="dxa"/>
            <w:gridSpan w:val="2"/>
          </w:tcPr>
          <w:p w:rsidR="00A37320" w:rsidRPr="00D72AC3" w:rsidRDefault="00A37320" w:rsidP="000215A6">
            <w:pPr>
              <w:rPr>
                <w:rFonts w:cs="Times New Roman"/>
                <w:b/>
                <w:bCs/>
                <w:sz w:val="20"/>
                <w:szCs w:val="20"/>
                <w:lang w:val="en-GB"/>
              </w:rPr>
            </w:pPr>
            <w:r w:rsidRPr="00D72AC3">
              <w:rPr>
                <w:rFonts w:cs="Times New Roman"/>
                <w:b/>
                <w:sz w:val="20"/>
                <w:szCs w:val="20"/>
                <w:lang w:val="en-GB" w:bidi="en-GB"/>
              </w:rPr>
              <w:t>Sub-objectives to be achieved:</w:t>
            </w:r>
          </w:p>
        </w:tc>
        <w:tc>
          <w:tcPr>
            <w:tcW w:w="10631" w:type="dxa"/>
            <w:gridSpan w:val="6"/>
          </w:tcPr>
          <w:p w:rsidR="00A37320" w:rsidRPr="00D72AC3" w:rsidRDefault="00A37320" w:rsidP="000215A6">
            <w:pPr>
              <w:jc w:val="both"/>
              <w:rPr>
                <w:rFonts w:cs="Times New Roman"/>
                <w:b/>
                <w:bCs/>
                <w:sz w:val="20"/>
                <w:szCs w:val="20"/>
                <w:lang w:val="en-GB"/>
              </w:rPr>
            </w:pPr>
            <w:r w:rsidRPr="00D72AC3">
              <w:rPr>
                <w:rFonts w:cs="Times New Roman"/>
                <w:b/>
                <w:sz w:val="20"/>
                <w:szCs w:val="20"/>
                <w:lang w:val="en-GB" w:bidi="en-GB"/>
              </w:rPr>
              <w:t>1. Deficiencies prevented in the legal framework regarding international cooperation in prevention and combating money laundering</w:t>
            </w:r>
          </w:p>
        </w:tc>
      </w:tr>
      <w:tr w:rsidR="00A37320" w:rsidRPr="00D72AC3" w:rsidTr="00A37320">
        <w:tc>
          <w:tcPr>
            <w:tcW w:w="4395" w:type="dxa"/>
            <w:gridSpan w:val="2"/>
          </w:tcPr>
          <w:p w:rsidR="00A37320" w:rsidRPr="00D72AC3" w:rsidRDefault="00A37320" w:rsidP="000215A6">
            <w:pPr>
              <w:rPr>
                <w:rFonts w:cs="Times New Roman"/>
                <w:b/>
                <w:bCs/>
                <w:sz w:val="20"/>
                <w:szCs w:val="20"/>
                <w:lang w:val="en-GB"/>
              </w:rPr>
            </w:pPr>
          </w:p>
        </w:tc>
        <w:tc>
          <w:tcPr>
            <w:tcW w:w="10631" w:type="dxa"/>
            <w:gridSpan w:val="6"/>
          </w:tcPr>
          <w:p w:rsidR="00A37320" w:rsidRPr="00D72AC3" w:rsidRDefault="00A37320" w:rsidP="000215A6">
            <w:pPr>
              <w:jc w:val="both"/>
              <w:rPr>
                <w:rFonts w:cs="Times New Roman"/>
                <w:b/>
                <w:bCs/>
                <w:sz w:val="20"/>
                <w:szCs w:val="20"/>
                <w:lang w:val="en-GB"/>
              </w:rPr>
            </w:pPr>
            <w:r w:rsidRPr="00D72AC3">
              <w:rPr>
                <w:rFonts w:cs="Times New Roman"/>
                <w:b/>
                <w:sz w:val="20"/>
                <w:szCs w:val="20"/>
                <w:lang w:val="en-GB" w:bidi="en-GB"/>
              </w:rPr>
              <w:t>2. Effective and fast international cooperation ensured in prevention and combating money laundering</w:t>
            </w:r>
          </w:p>
        </w:tc>
      </w:tr>
      <w:tr w:rsidR="00A37320" w:rsidRPr="00D72AC3" w:rsidTr="00A37320">
        <w:tc>
          <w:tcPr>
            <w:tcW w:w="4395" w:type="dxa"/>
            <w:gridSpan w:val="2"/>
          </w:tcPr>
          <w:p w:rsidR="00A37320" w:rsidRPr="00D72AC3" w:rsidRDefault="00A37320" w:rsidP="000215A6">
            <w:pPr>
              <w:rPr>
                <w:rFonts w:cs="Times New Roman"/>
                <w:b/>
                <w:bCs/>
                <w:sz w:val="20"/>
                <w:szCs w:val="20"/>
                <w:lang w:val="en-GB"/>
              </w:rPr>
            </w:pPr>
          </w:p>
        </w:tc>
        <w:tc>
          <w:tcPr>
            <w:tcW w:w="10631" w:type="dxa"/>
            <w:gridSpan w:val="6"/>
          </w:tcPr>
          <w:p w:rsidR="00A37320" w:rsidRPr="00D72AC3" w:rsidRDefault="00A37320" w:rsidP="000215A6">
            <w:pPr>
              <w:jc w:val="both"/>
              <w:rPr>
                <w:rFonts w:cs="Times New Roman"/>
                <w:b/>
                <w:bCs/>
                <w:sz w:val="20"/>
                <w:szCs w:val="20"/>
                <w:lang w:val="en-GB"/>
              </w:rPr>
            </w:pPr>
            <w:r w:rsidRPr="00D72AC3">
              <w:rPr>
                <w:rFonts w:cs="Times New Roman"/>
                <w:b/>
                <w:sz w:val="20"/>
                <w:szCs w:val="20"/>
                <w:lang w:val="en-GB" w:bidi="en-GB"/>
              </w:rPr>
              <w:t>3. The system of criteria established, allowing to prioritise international assistance requests</w:t>
            </w:r>
          </w:p>
        </w:tc>
      </w:tr>
      <w:tr w:rsidR="00A37320" w:rsidRPr="00D72AC3" w:rsidTr="00A37320">
        <w:tc>
          <w:tcPr>
            <w:tcW w:w="4395" w:type="dxa"/>
            <w:gridSpan w:val="2"/>
          </w:tcPr>
          <w:p w:rsidR="00A37320" w:rsidRPr="00D72AC3" w:rsidRDefault="00A37320" w:rsidP="000215A6">
            <w:pPr>
              <w:rPr>
                <w:rFonts w:cs="Times New Roman"/>
                <w:b/>
                <w:bCs/>
                <w:sz w:val="20"/>
                <w:szCs w:val="20"/>
                <w:lang w:val="en-GB"/>
              </w:rPr>
            </w:pPr>
          </w:p>
        </w:tc>
        <w:tc>
          <w:tcPr>
            <w:tcW w:w="10631" w:type="dxa"/>
            <w:gridSpan w:val="6"/>
          </w:tcPr>
          <w:p w:rsidR="00A37320" w:rsidRPr="00D72AC3" w:rsidRDefault="00A37320" w:rsidP="000215A6">
            <w:pPr>
              <w:jc w:val="both"/>
              <w:rPr>
                <w:rFonts w:cs="Times New Roman"/>
                <w:b/>
                <w:bCs/>
                <w:sz w:val="20"/>
                <w:szCs w:val="20"/>
                <w:lang w:val="en-GB"/>
              </w:rPr>
            </w:pPr>
            <w:r w:rsidRPr="00D72AC3">
              <w:rPr>
                <w:rFonts w:cs="Times New Roman"/>
                <w:b/>
                <w:sz w:val="20"/>
                <w:szCs w:val="20"/>
                <w:lang w:val="en-GB" w:bidi="en-GB"/>
              </w:rPr>
              <w:t>4. Effective international cooperation cases management system introduced</w:t>
            </w:r>
          </w:p>
        </w:tc>
      </w:tr>
      <w:tr w:rsidR="00A37320" w:rsidRPr="00D72AC3" w:rsidTr="00A37320">
        <w:tc>
          <w:tcPr>
            <w:tcW w:w="709" w:type="dxa"/>
          </w:tcPr>
          <w:p w:rsidR="00A37320" w:rsidRPr="00D72AC3" w:rsidRDefault="00A37320" w:rsidP="000215A6">
            <w:pPr>
              <w:jc w:val="center"/>
              <w:rPr>
                <w:rFonts w:cs="Times New Roman"/>
                <w:bCs/>
                <w:sz w:val="20"/>
                <w:szCs w:val="20"/>
                <w:lang w:val="en-GB"/>
              </w:rPr>
            </w:pPr>
            <w:r w:rsidRPr="00D72AC3">
              <w:rPr>
                <w:rFonts w:cs="Times New Roman"/>
                <w:sz w:val="20"/>
                <w:szCs w:val="20"/>
                <w:lang w:val="en-GB" w:bidi="en-GB"/>
              </w:rPr>
              <w:t>No.</w:t>
            </w:r>
          </w:p>
        </w:tc>
        <w:tc>
          <w:tcPr>
            <w:tcW w:w="3686" w:type="dxa"/>
            <w:shd w:val="clear" w:color="auto" w:fill="auto"/>
          </w:tcPr>
          <w:p w:rsidR="00A37320" w:rsidRPr="00D72AC3" w:rsidRDefault="00A37320" w:rsidP="000215A6">
            <w:pPr>
              <w:jc w:val="center"/>
              <w:rPr>
                <w:rFonts w:cs="Times New Roman"/>
                <w:bCs/>
                <w:i/>
                <w:sz w:val="20"/>
                <w:szCs w:val="20"/>
                <w:lang w:val="en-GB"/>
              </w:rPr>
            </w:pPr>
            <w:r w:rsidRPr="00D72AC3">
              <w:rPr>
                <w:rFonts w:cs="Times New Roman"/>
                <w:b/>
                <w:sz w:val="20"/>
                <w:szCs w:val="20"/>
                <w:lang w:val="en-GB" w:bidi="en-GB"/>
              </w:rPr>
              <w:t>Measure</w:t>
            </w:r>
          </w:p>
        </w:tc>
        <w:tc>
          <w:tcPr>
            <w:tcW w:w="1559" w:type="dxa"/>
          </w:tcPr>
          <w:p w:rsidR="00A37320" w:rsidRPr="00D72AC3" w:rsidRDefault="00A37320" w:rsidP="000215A6">
            <w:pPr>
              <w:ind w:right="-108"/>
              <w:rPr>
                <w:rFonts w:cs="Times New Roman"/>
                <w:b/>
                <w:sz w:val="20"/>
                <w:szCs w:val="20"/>
                <w:lang w:val="en-GB"/>
              </w:rPr>
            </w:pPr>
            <w:r w:rsidRPr="00D72AC3">
              <w:rPr>
                <w:rFonts w:cs="Times New Roman"/>
                <w:b/>
                <w:sz w:val="20"/>
                <w:szCs w:val="20"/>
                <w:lang w:val="en-GB" w:bidi="en-GB"/>
              </w:rPr>
              <w:t xml:space="preserve">Source </w:t>
            </w:r>
          </w:p>
        </w:tc>
        <w:tc>
          <w:tcPr>
            <w:tcW w:w="2410" w:type="dxa"/>
            <w:shd w:val="clear" w:color="auto" w:fill="auto"/>
          </w:tcPr>
          <w:p w:rsidR="00A37320" w:rsidRPr="00D72AC3" w:rsidRDefault="00A37320" w:rsidP="000215A6">
            <w:pPr>
              <w:rPr>
                <w:rFonts w:cs="Times New Roman"/>
                <w:b/>
                <w:bCs/>
                <w:i/>
                <w:sz w:val="20"/>
                <w:szCs w:val="20"/>
                <w:lang w:val="en-GB"/>
              </w:rPr>
            </w:pPr>
            <w:r w:rsidRPr="00D72AC3">
              <w:rPr>
                <w:rFonts w:cs="Times New Roman"/>
                <w:b/>
                <w:sz w:val="20"/>
                <w:szCs w:val="20"/>
                <w:lang w:val="en-GB" w:bidi="en-GB"/>
              </w:rPr>
              <w:t>Activity outcome</w:t>
            </w:r>
          </w:p>
        </w:tc>
        <w:tc>
          <w:tcPr>
            <w:tcW w:w="2693" w:type="dxa"/>
          </w:tcPr>
          <w:p w:rsidR="00A37320" w:rsidRPr="00D72AC3" w:rsidRDefault="00A37320" w:rsidP="000215A6">
            <w:pPr>
              <w:jc w:val="center"/>
              <w:rPr>
                <w:rFonts w:cs="Times New Roman"/>
                <w:bCs/>
                <w:i/>
                <w:sz w:val="20"/>
                <w:szCs w:val="20"/>
                <w:lang w:val="en-GB"/>
              </w:rPr>
            </w:pPr>
            <w:r w:rsidRPr="00D72AC3">
              <w:rPr>
                <w:rFonts w:cs="Times New Roman"/>
                <w:b/>
                <w:sz w:val="20"/>
                <w:szCs w:val="20"/>
                <w:lang w:val="en-GB" w:bidi="en-GB"/>
              </w:rPr>
              <w:t>Outcome indicator</w:t>
            </w:r>
          </w:p>
        </w:tc>
        <w:tc>
          <w:tcPr>
            <w:tcW w:w="1276" w:type="dxa"/>
            <w:shd w:val="clear" w:color="auto" w:fill="auto"/>
          </w:tcPr>
          <w:p w:rsidR="00A37320" w:rsidRPr="00D72AC3" w:rsidRDefault="00A37320" w:rsidP="000215A6">
            <w:pPr>
              <w:jc w:val="center"/>
              <w:rPr>
                <w:rFonts w:cs="Times New Roman"/>
                <w:bCs/>
                <w:i/>
                <w:sz w:val="20"/>
                <w:szCs w:val="20"/>
                <w:lang w:val="en-GB"/>
              </w:rPr>
            </w:pPr>
            <w:r w:rsidRPr="00D72AC3">
              <w:rPr>
                <w:rFonts w:cs="Times New Roman"/>
                <w:b/>
                <w:sz w:val="20"/>
                <w:szCs w:val="20"/>
                <w:lang w:val="en-GB" w:bidi="en-GB"/>
              </w:rPr>
              <w:t>Responsible authority</w:t>
            </w:r>
          </w:p>
        </w:tc>
        <w:tc>
          <w:tcPr>
            <w:tcW w:w="1275" w:type="dxa"/>
            <w:shd w:val="clear" w:color="auto" w:fill="auto"/>
          </w:tcPr>
          <w:p w:rsidR="00A37320" w:rsidRPr="00D72AC3" w:rsidRDefault="00A37320" w:rsidP="000215A6">
            <w:pPr>
              <w:jc w:val="center"/>
              <w:rPr>
                <w:rFonts w:cs="Times New Roman"/>
                <w:bCs/>
                <w:i/>
                <w:sz w:val="20"/>
                <w:szCs w:val="20"/>
                <w:lang w:val="en-GB"/>
              </w:rPr>
            </w:pPr>
            <w:r w:rsidRPr="00D72AC3">
              <w:rPr>
                <w:rFonts w:cs="Times New Roman"/>
                <w:b/>
                <w:sz w:val="20"/>
                <w:szCs w:val="20"/>
                <w:lang w:val="en-GB" w:bidi="en-GB"/>
              </w:rPr>
              <w:t>Co-responsible authorities</w:t>
            </w:r>
          </w:p>
        </w:tc>
        <w:tc>
          <w:tcPr>
            <w:tcW w:w="1418" w:type="dxa"/>
            <w:shd w:val="clear" w:color="auto" w:fill="auto"/>
          </w:tcPr>
          <w:p w:rsidR="00A37320" w:rsidRPr="00D72AC3" w:rsidRDefault="00A37320" w:rsidP="000215A6">
            <w:pPr>
              <w:jc w:val="center"/>
              <w:rPr>
                <w:rFonts w:cs="Times New Roman"/>
                <w:bCs/>
                <w:i/>
                <w:sz w:val="20"/>
                <w:szCs w:val="20"/>
                <w:lang w:val="en-GB"/>
              </w:rPr>
            </w:pPr>
            <w:r w:rsidRPr="00D72AC3">
              <w:rPr>
                <w:rFonts w:cs="Times New Roman"/>
                <w:b/>
                <w:sz w:val="20"/>
                <w:szCs w:val="20"/>
                <w:lang w:val="en-GB" w:bidi="en-GB"/>
              </w:rPr>
              <w:t>Term for implementation</w:t>
            </w:r>
          </w:p>
        </w:tc>
      </w:tr>
      <w:tr w:rsidR="00A37320" w:rsidRPr="00D72AC3" w:rsidTr="00A37320">
        <w:trPr>
          <w:trHeight w:val="1228"/>
        </w:trPr>
        <w:tc>
          <w:tcPr>
            <w:tcW w:w="709" w:type="dxa"/>
            <w:vMerge w:val="restart"/>
            <w:shd w:val="clear" w:color="auto" w:fill="FFFFFF" w:themeFill="background1"/>
          </w:tcPr>
          <w:p w:rsidR="00A37320" w:rsidRPr="00D72AC3" w:rsidRDefault="00A37320" w:rsidP="000215A6">
            <w:pPr>
              <w:rPr>
                <w:rFonts w:cs="Times New Roman"/>
                <w:sz w:val="20"/>
                <w:szCs w:val="20"/>
                <w:lang w:val="en-GB"/>
              </w:rPr>
            </w:pPr>
            <w:r w:rsidRPr="00D72AC3">
              <w:rPr>
                <w:rFonts w:cs="Times New Roman"/>
                <w:sz w:val="20"/>
                <w:szCs w:val="20"/>
                <w:lang w:val="en-GB" w:bidi="en-GB"/>
              </w:rPr>
              <w:t>2.1.</w:t>
            </w:r>
          </w:p>
          <w:p w:rsidR="00A37320" w:rsidRPr="00D72AC3" w:rsidRDefault="00A37320" w:rsidP="000215A6">
            <w:pPr>
              <w:rPr>
                <w:rFonts w:cs="Times New Roman"/>
                <w:sz w:val="20"/>
                <w:szCs w:val="20"/>
                <w:lang w:val="en-GB"/>
              </w:rPr>
            </w:pP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1. To assess the statutory regulation with respect to international cooperation of supervisory authorities.</w:t>
            </w:r>
          </w:p>
        </w:tc>
        <w:tc>
          <w:tcPr>
            <w:tcW w:w="1559" w:type="dxa"/>
            <w:vMerge w:val="restart"/>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Moneyval recommendation 2.1., 2.2., 2.3.</w:t>
            </w:r>
          </w:p>
          <w:p w:rsidR="00A37320" w:rsidRPr="00D72AC3" w:rsidRDefault="00A37320" w:rsidP="000215A6">
            <w:pPr>
              <w:jc w:val="both"/>
              <w:rPr>
                <w:rFonts w:cs="Times New Roman"/>
                <w:sz w:val="20"/>
                <w:szCs w:val="20"/>
                <w:lang w:val="en-GB"/>
              </w:rPr>
            </w:pPr>
          </w:p>
        </w:tc>
        <w:tc>
          <w:tcPr>
            <w:tcW w:w="2410"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International cooperation of supervisory authorities improved in the field of anti-money laundering and counter-terrorist financing. </w:t>
            </w:r>
          </w:p>
        </w:tc>
        <w:tc>
          <w:tcPr>
            <w:tcW w:w="2693"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Report prepared on the statutory regulation with respect to international cooperation of supervisory authorities and submitted to the Ministry of Justice.</w:t>
            </w: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SRS, FCMC, BoL, LGSI, LCSA, LCSN, LACA, NCCH, CRPC, SLI, CS</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November 2018</w:t>
            </w:r>
          </w:p>
        </w:tc>
      </w:tr>
      <w:tr w:rsidR="00A37320" w:rsidRPr="00D72AC3" w:rsidTr="00A37320">
        <w:trPr>
          <w:trHeight w:val="1228"/>
        </w:trPr>
        <w:tc>
          <w:tcPr>
            <w:tcW w:w="709" w:type="dxa"/>
            <w:vMerge/>
            <w:shd w:val="clear" w:color="auto" w:fill="FFFFFF" w:themeFill="background1"/>
          </w:tcPr>
          <w:p w:rsidR="00A37320" w:rsidRPr="00D72AC3" w:rsidRDefault="00A37320" w:rsidP="000215A6">
            <w:pPr>
              <w:rPr>
                <w:rFonts w:cs="Times New Roman"/>
                <w:sz w:val="20"/>
                <w:szCs w:val="20"/>
                <w:lang w:val="en-GB"/>
              </w:rPr>
            </w:pP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2. To aggregate the outcomes of the assessment and to prepare the report to the FSDB </w:t>
            </w:r>
          </w:p>
        </w:tc>
        <w:tc>
          <w:tcPr>
            <w:tcW w:w="1559" w:type="dxa"/>
            <w:vMerge/>
            <w:shd w:val="clear" w:color="auto" w:fill="FFFFFF" w:themeFill="background1"/>
          </w:tcPr>
          <w:p w:rsidR="00A37320" w:rsidRPr="00D72AC3" w:rsidRDefault="00A37320" w:rsidP="000215A6">
            <w:pPr>
              <w:jc w:val="both"/>
              <w:rPr>
                <w:rFonts w:cs="Times New Roman"/>
                <w:sz w:val="20"/>
                <w:szCs w:val="20"/>
                <w:lang w:val="en-GB"/>
              </w:rPr>
            </w:pPr>
          </w:p>
        </w:tc>
        <w:tc>
          <w:tcPr>
            <w:tcW w:w="2410"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Deficiencies prevented in the legal framework regarding international cooperation between the supervisory authorities in prevention and combating money laundering</w:t>
            </w:r>
          </w:p>
        </w:tc>
        <w:tc>
          <w:tcPr>
            <w:tcW w:w="2693"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The report submitted to the FSDB</w:t>
            </w: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MoJ</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SRS, CS, SLI,FCMC, BoL, LGSI, LCSA, LCSN, LACA, NCCH, CRPC</w:t>
            </w: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February 2019</w:t>
            </w:r>
          </w:p>
        </w:tc>
      </w:tr>
      <w:tr w:rsidR="00A37320" w:rsidRPr="00D72AC3" w:rsidTr="00A37320">
        <w:trPr>
          <w:trHeight w:val="1228"/>
        </w:trPr>
        <w:tc>
          <w:tcPr>
            <w:tcW w:w="709" w:type="dxa"/>
            <w:shd w:val="clear" w:color="auto" w:fill="FFFFFF" w:themeFill="background1"/>
          </w:tcPr>
          <w:p w:rsidR="00A37320" w:rsidRPr="00D72AC3" w:rsidRDefault="00A37320" w:rsidP="000215A6">
            <w:pPr>
              <w:rPr>
                <w:rFonts w:cs="Times New Roman"/>
                <w:sz w:val="20"/>
                <w:szCs w:val="20"/>
                <w:lang w:val="en-GB"/>
              </w:rPr>
            </w:pPr>
            <w:r w:rsidRPr="00D72AC3">
              <w:rPr>
                <w:rFonts w:cs="Times New Roman"/>
                <w:sz w:val="20"/>
                <w:szCs w:val="20"/>
                <w:lang w:val="en-GB" w:bidi="en-GB"/>
              </w:rPr>
              <w:t>2.2.</w:t>
            </w: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To develop the key principles for international cooperation (clear and safe ways, mechanisms and channels for submission and fulfilment of the requests, clear priority cases management system for these purposes and clear processes for protection of the received information), to be further incorporated in internal legal framework of the supervisors.</w:t>
            </w:r>
          </w:p>
        </w:tc>
        <w:tc>
          <w:tcPr>
            <w:tcW w:w="1559"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Moneyval recommendation 2.1., 2.2., 2.3.</w:t>
            </w:r>
          </w:p>
        </w:tc>
        <w:tc>
          <w:tcPr>
            <w:tcW w:w="2410"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Clear and safe ways, mechanisms and channels for submission and fulfilment of the requests, clear priority cases management system for these purposes and clear processes for protection of the received information </w:t>
            </w:r>
            <w:r w:rsidRPr="00D72AC3">
              <w:rPr>
                <w:rFonts w:cs="Times New Roman"/>
                <w:sz w:val="20"/>
                <w:szCs w:val="20"/>
                <w:lang w:val="en-GB" w:bidi="en-GB"/>
              </w:rPr>
              <w:lastRenderedPageBreak/>
              <w:t>ensured for the supervisory authorities.</w:t>
            </w:r>
          </w:p>
        </w:tc>
        <w:tc>
          <w:tcPr>
            <w:tcW w:w="2693" w:type="dxa"/>
            <w:shd w:val="clear" w:color="auto" w:fill="FFFFFF" w:themeFill="background1"/>
          </w:tcPr>
          <w:p w:rsidR="00A37320" w:rsidRPr="00D72AC3" w:rsidRDefault="00A37320" w:rsidP="00106386">
            <w:pPr>
              <w:jc w:val="both"/>
              <w:rPr>
                <w:rFonts w:cs="Times New Roman"/>
                <w:sz w:val="20"/>
                <w:szCs w:val="20"/>
                <w:lang w:val="en-GB"/>
              </w:rPr>
            </w:pPr>
            <w:r w:rsidRPr="00D72AC3">
              <w:rPr>
                <w:rFonts w:cs="Times New Roman"/>
                <w:sz w:val="20"/>
                <w:szCs w:val="20"/>
                <w:lang w:val="en-GB" w:bidi="en-GB"/>
              </w:rPr>
              <w:lastRenderedPageBreak/>
              <w:t>Key principles developed for the international cooperation of the supervisors in anti-money laundering and combating the financing of terrorism and submitted to the FSDB</w:t>
            </w: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MoJ</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SRS, FCMC, BoL, LGSI, LCSA, LCSN, LACA, NCCH, CRPC</w:t>
            </w: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July 2019</w:t>
            </w:r>
          </w:p>
        </w:tc>
      </w:tr>
      <w:tr w:rsidR="00A37320" w:rsidRPr="00D72AC3" w:rsidTr="00A37320">
        <w:trPr>
          <w:trHeight w:val="1228"/>
        </w:trPr>
        <w:tc>
          <w:tcPr>
            <w:tcW w:w="709" w:type="dxa"/>
            <w:shd w:val="clear" w:color="auto" w:fill="FFFFFF" w:themeFill="background1"/>
          </w:tcPr>
          <w:p w:rsidR="00A37320" w:rsidRPr="00D72AC3" w:rsidRDefault="00A37320" w:rsidP="000215A6">
            <w:pPr>
              <w:rPr>
                <w:rFonts w:cs="Times New Roman"/>
                <w:sz w:val="20"/>
                <w:szCs w:val="20"/>
                <w:lang w:val="en-GB"/>
              </w:rPr>
            </w:pPr>
            <w:r w:rsidRPr="00D72AC3">
              <w:rPr>
                <w:rFonts w:cs="Times New Roman"/>
                <w:sz w:val="20"/>
                <w:szCs w:val="20"/>
                <w:lang w:val="en-GB" w:bidi="en-GB"/>
              </w:rPr>
              <w:t>2.3.</w:t>
            </w: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Proposals developed for amendments to the legal framework with respect to the authorisation to place request on behalf of foreign partners.</w:t>
            </w:r>
          </w:p>
        </w:tc>
        <w:tc>
          <w:tcPr>
            <w:tcW w:w="1559"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Moneyval recommendation 2.3.</w:t>
            </w:r>
          </w:p>
        </w:tc>
        <w:tc>
          <w:tcPr>
            <w:tcW w:w="2410"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The rights of the supervisory authorities ensured to fulfil the requests of foreign partners in the field of anti-money laundering and combating the financing of terrorism</w:t>
            </w:r>
          </w:p>
        </w:tc>
        <w:tc>
          <w:tcPr>
            <w:tcW w:w="2693"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Proposals developed and submitted to the FSDB</w:t>
            </w: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MoJ</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SRS, FCMC, BoL, LGSI, LCSA, LCSN, LACA, NCCH, CRPC</w:t>
            </w: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July 2019</w:t>
            </w:r>
          </w:p>
        </w:tc>
      </w:tr>
      <w:tr w:rsidR="00106386" w:rsidRPr="00D72AC3" w:rsidTr="00A37320">
        <w:trPr>
          <w:trHeight w:val="1228"/>
        </w:trPr>
        <w:tc>
          <w:tcPr>
            <w:tcW w:w="709" w:type="dxa"/>
            <w:vMerge w:val="restart"/>
            <w:shd w:val="clear" w:color="auto" w:fill="FFFFFF" w:themeFill="background1"/>
          </w:tcPr>
          <w:p w:rsidR="00106386" w:rsidRPr="00D72AC3" w:rsidRDefault="00106386" w:rsidP="000215A6">
            <w:pPr>
              <w:rPr>
                <w:rFonts w:cs="Times New Roman"/>
                <w:sz w:val="20"/>
                <w:szCs w:val="20"/>
                <w:lang w:val="en-GB"/>
              </w:rPr>
            </w:pPr>
            <w:bookmarkStart w:id="8" w:name="_Hlk524707587"/>
            <w:r w:rsidRPr="00D72AC3">
              <w:rPr>
                <w:rFonts w:cs="Times New Roman"/>
                <w:sz w:val="20"/>
                <w:szCs w:val="20"/>
                <w:lang w:val="en-GB" w:bidi="en-GB"/>
              </w:rPr>
              <w:t>2.4.</w:t>
            </w:r>
          </w:p>
        </w:tc>
        <w:tc>
          <w:tcPr>
            <w:tcW w:w="3686" w:type="dxa"/>
            <w:shd w:val="clear" w:color="auto" w:fill="FFFFFF" w:themeFill="background1"/>
          </w:tcPr>
          <w:p w:rsidR="00106386" w:rsidRDefault="00106386" w:rsidP="000215A6">
            <w:pPr>
              <w:jc w:val="both"/>
              <w:rPr>
                <w:rFonts w:cs="Times New Roman"/>
                <w:sz w:val="20"/>
                <w:szCs w:val="20"/>
                <w:lang w:val="en-GB" w:bidi="en-GB"/>
              </w:rPr>
            </w:pPr>
            <w:r>
              <w:rPr>
                <w:rFonts w:cs="Times New Roman"/>
                <w:sz w:val="20"/>
                <w:szCs w:val="20"/>
                <w:lang w:val="en-GB" w:bidi="en-GB"/>
              </w:rPr>
              <w:t xml:space="preserve">1. </w:t>
            </w:r>
            <w:r w:rsidRPr="00D72AC3">
              <w:rPr>
                <w:rFonts w:cs="Times New Roman"/>
                <w:sz w:val="20"/>
                <w:szCs w:val="20"/>
                <w:lang w:val="en-GB" w:bidi="en-GB"/>
              </w:rPr>
              <w:t>To prepare the budgetary request, in order to ensure the necessary human resources for international cooperation</w:t>
            </w:r>
            <w:r>
              <w:rPr>
                <w:rFonts w:cs="Times New Roman"/>
                <w:sz w:val="20"/>
                <w:szCs w:val="20"/>
                <w:lang w:val="en-GB" w:bidi="en-GB"/>
              </w:rPr>
              <w:t>.</w:t>
            </w:r>
          </w:p>
          <w:p w:rsidR="00106386" w:rsidRPr="00D72AC3" w:rsidRDefault="00106386" w:rsidP="000215A6">
            <w:pPr>
              <w:jc w:val="both"/>
              <w:rPr>
                <w:rFonts w:cs="Times New Roman"/>
                <w:sz w:val="20"/>
                <w:szCs w:val="20"/>
                <w:lang w:val="en-GB"/>
              </w:rPr>
            </w:pPr>
          </w:p>
        </w:tc>
        <w:tc>
          <w:tcPr>
            <w:tcW w:w="1559" w:type="dxa"/>
            <w:vMerge w:val="restart"/>
            <w:shd w:val="clear" w:color="auto" w:fill="FFFFFF" w:themeFill="background1"/>
          </w:tcPr>
          <w:p w:rsidR="00106386" w:rsidRPr="00D72AC3" w:rsidRDefault="00106386" w:rsidP="000215A6">
            <w:pPr>
              <w:jc w:val="both"/>
              <w:rPr>
                <w:rFonts w:cs="Times New Roman"/>
                <w:sz w:val="20"/>
                <w:szCs w:val="20"/>
                <w:lang w:val="en-GB"/>
              </w:rPr>
            </w:pPr>
            <w:r w:rsidRPr="00D72AC3">
              <w:rPr>
                <w:rFonts w:cs="Times New Roman"/>
                <w:sz w:val="20"/>
                <w:szCs w:val="20"/>
                <w:lang w:val="en-GB" w:bidi="en-GB"/>
              </w:rPr>
              <w:t>Moneyval recommendation 2.4.</w:t>
            </w:r>
          </w:p>
        </w:tc>
        <w:tc>
          <w:tcPr>
            <w:tcW w:w="2410" w:type="dxa"/>
            <w:vMerge w:val="restart"/>
            <w:shd w:val="clear" w:color="auto" w:fill="FFFFFF" w:themeFill="background1"/>
          </w:tcPr>
          <w:p w:rsidR="00106386" w:rsidRPr="00D72AC3" w:rsidRDefault="00106386" w:rsidP="000215A6">
            <w:pPr>
              <w:jc w:val="both"/>
              <w:rPr>
                <w:rFonts w:cs="Times New Roman"/>
                <w:sz w:val="20"/>
                <w:szCs w:val="20"/>
                <w:lang w:val="en-GB"/>
              </w:rPr>
            </w:pPr>
            <w:r w:rsidRPr="00D72AC3">
              <w:rPr>
                <w:rFonts w:cs="Times New Roman"/>
                <w:sz w:val="20"/>
                <w:szCs w:val="20"/>
                <w:lang w:val="en-GB" w:bidi="en-GB"/>
              </w:rPr>
              <w:t>Human resources capacity ensured for effective international cooperation in the field of criminal law</w:t>
            </w:r>
          </w:p>
        </w:tc>
        <w:tc>
          <w:tcPr>
            <w:tcW w:w="2693" w:type="dxa"/>
            <w:shd w:val="clear" w:color="auto" w:fill="FFFFFF" w:themeFill="background1"/>
          </w:tcPr>
          <w:p w:rsidR="00106386" w:rsidRPr="00D72AC3" w:rsidRDefault="002A5E4C" w:rsidP="000215A6">
            <w:pPr>
              <w:jc w:val="both"/>
              <w:rPr>
                <w:rFonts w:cs="Times New Roman"/>
                <w:sz w:val="20"/>
                <w:szCs w:val="20"/>
                <w:lang w:val="en-GB"/>
              </w:rPr>
            </w:pPr>
            <w:r>
              <w:rPr>
                <w:rFonts w:cs="Times New Roman"/>
                <w:sz w:val="20"/>
                <w:szCs w:val="20"/>
                <w:lang w:val="en-GB" w:bidi="en-GB"/>
              </w:rPr>
              <w:t>1.</w:t>
            </w:r>
            <w:r w:rsidR="00106386" w:rsidRPr="00D72AC3">
              <w:rPr>
                <w:rFonts w:cs="Times New Roman"/>
                <w:sz w:val="20"/>
                <w:szCs w:val="20"/>
                <w:lang w:val="en-GB" w:bidi="en-GB"/>
              </w:rPr>
              <w:t>The budgetary request prepared, in order to ensure the necessary additional staff units starting from 1 January 2020.</w:t>
            </w:r>
          </w:p>
        </w:tc>
        <w:tc>
          <w:tcPr>
            <w:tcW w:w="1276" w:type="dxa"/>
            <w:shd w:val="clear" w:color="auto" w:fill="FFFFFF" w:themeFill="background1"/>
          </w:tcPr>
          <w:p w:rsidR="00106386" w:rsidRPr="00D72AC3" w:rsidRDefault="00106386" w:rsidP="00F40752">
            <w:pPr>
              <w:jc w:val="center"/>
              <w:rPr>
                <w:rFonts w:cs="Times New Roman"/>
                <w:sz w:val="20"/>
                <w:szCs w:val="20"/>
                <w:lang w:val="en-GB"/>
              </w:rPr>
            </w:pPr>
            <w:r w:rsidRPr="00D72AC3">
              <w:rPr>
                <w:rFonts w:cs="Times New Roman"/>
                <w:sz w:val="20"/>
                <w:szCs w:val="20"/>
                <w:lang w:val="en-GB" w:bidi="en-GB"/>
              </w:rPr>
              <w:t>MoI (SP)</w:t>
            </w:r>
          </w:p>
        </w:tc>
        <w:tc>
          <w:tcPr>
            <w:tcW w:w="1275" w:type="dxa"/>
            <w:shd w:val="clear" w:color="auto" w:fill="FFFFFF" w:themeFill="background1"/>
          </w:tcPr>
          <w:p w:rsidR="00106386" w:rsidRPr="00D72AC3" w:rsidRDefault="00106386" w:rsidP="000215A6">
            <w:pPr>
              <w:jc w:val="center"/>
              <w:rPr>
                <w:rFonts w:cs="Times New Roman"/>
                <w:sz w:val="20"/>
                <w:szCs w:val="20"/>
                <w:lang w:val="en-GB"/>
              </w:rPr>
            </w:pPr>
            <w:r w:rsidRPr="00D72AC3">
              <w:rPr>
                <w:rFonts w:cs="Times New Roman"/>
                <w:sz w:val="20"/>
                <w:szCs w:val="20"/>
                <w:lang w:val="en-GB" w:bidi="en-GB"/>
              </w:rPr>
              <w:t>MoF</w:t>
            </w:r>
          </w:p>
        </w:tc>
        <w:tc>
          <w:tcPr>
            <w:tcW w:w="1418" w:type="dxa"/>
            <w:shd w:val="clear" w:color="auto" w:fill="FFFFFF" w:themeFill="background1"/>
          </w:tcPr>
          <w:p w:rsidR="00106386" w:rsidRPr="00D72AC3" w:rsidRDefault="00106386" w:rsidP="000215A6">
            <w:pPr>
              <w:jc w:val="center"/>
              <w:rPr>
                <w:rFonts w:cs="Times New Roman"/>
                <w:sz w:val="20"/>
                <w:szCs w:val="20"/>
                <w:lang w:val="en-GB"/>
              </w:rPr>
            </w:pPr>
            <w:r w:rsidRPr="00D72AC3">
              <w:rPr>
                <w:rFonts w:cs="Times New Roman"/>
                <w:sz w:val="20"/>
                <w:szCs w:val="20"/>
                <w:lang w:val="en-GB" w:bidi="en-GB"/>
              </w:rPr>
              <w:t>1 May 2019</w:t>
            </w:r>
          </w:p>
        </w:tc>
      </w:tr>
      <w:tr w:rsidR="00106386" w:rsidRPr="00D72AC3" w:rsidTr="00A37320">
        <w:trPr>
          <w:trHeight w:val="1228"/>
        </w:trPr>
        <w:tc>
          <w:tcPr>
            <w:tcW w:w="709" w:type="dxa"/>
            <w:vMerge/>
            <w:shd w:val="clear" w:color="auto" w:fill="FFFFFF" w:themeFill="background1"/>
          </w:tcPr>
          <w:p w:rsidR="00106386" w:rsidRPr="00D72AC3" w:rsidRDefault="00106386" w:rsidP="000215A6">
            <w:pPr>
              <w:rPr>
                <w:rFonts w:cs="Times New Roman"/>
                <w:sz w:val="20"/>
                <w:szCs w:val="20"/>
                <w:lang w:val="en-GB" w:bidi="en-GB"/>
              </w:rPr>
            </w:pPr>
          </w:p>
        </w:tc>
        <w:tc>
          <w:tcPr>
            <w:tcW w:w="3686" w:type="dxa"/>
            <w:shd w:val="clear" w:color="auto" w:fill="FFFFFF" w:themeFill="background1"/>
          </w:tcPr>
          <w:p w:rsidR="00106386" w:rsidRDefault="00106386" w:rsidP="000215A6">
            <w:pPr>
              <w:jc w:val="both"/>
              <w:rPr>
                <w:rFonts w:cs="Times New Roman"/>
                <w:sz w:val="20"/>
                <w:szCs w:val="20"/>
                <w:lang w:val="en-GB" w:bidi="en-GB"/>
              </w:rPr>
            </w:pPr>
            <w:r w:rsidRPr="00106386">
              <w:rPr>
                <w:rFonts w:cs="Times New Roman"/>
                <w:sz w:val="20"/>
                <w:szCs w:val="20"/>
                <w:lang w:val="en-GB" w:bidi="en-GB"/>
              </w:rPr>
              <w:t>2. Evaluate the need to strengthen capacity in criminal justice international cooperation.</w:t>
            </w:r>
          </w:p>
        </w:tc>
        <w:tc>
          <w:tcPr>
            <w:tcW w:w="1559" w:type="dxa"/>
            <w:vMerge/>
            <w:shd w:val="clear" w:color="auto" w:fill="FFFFFF" w:themeFill="background1"/>
          </w:tcPr>
          <w:p w:rsidR="00106386" w:rsidRPr="00D72AC3" w:rsidRDefault="00106386" w:rsidP="000215A6">
            <w:pPr>
              <w:jc w:val="both"/>
              <w:rPr>
                <w:rFonts w:cs="Times New Roman"/>
                <w:sz w:val="20"/>
                <w:szCs w:val="20"/>
                <w:lang w:val="en-GB" w:bidi="en-GB"/>
              </w:rPr>
            </w:pPr>
          </w:p>
        </w:tc>
        <w:tc>
          <w:tcPr>
            <w:tcW w:w="2410" w:type="dxa"/>
            <w:vMerge/>
            <w:shd w:val="clear" w:color="auto" w:fill="FFFFFF" w:themeFill="background1"/>
          </w:tcPr>
          <w:p w:rsidR="00106386" w:rsidRPr="00D72AC3" w:rsidRDefault="00106386" w:rsidP="000215A6">
            <w:pPr>
              <w:jc w:val="both"/>
              <w:rPr>
                <w:rFonts w:cs="Times New Roman"/>
                <w:sz w:val="20"/>
                <w:szCs w:val="20"/>
                <w:lang w:val="en-GB" w:bidi="en-GB"/>
              </w:rPr>
            </w:pPr>
          </w:p>
        </w:tc>
        <w:tc>
          <w:tcPr>
            <w:tcW w:w="2693" w:type="dxa"/>
            <w:shd w:val="clear" w:color="auto" w:fill="FFFFFF" w:themeFill="background1"/>
          </w:tcPr>
          <w:p w:rsidR="00106386" w:rsidRPr="00D72AC3" w:rsidRDefault="002A5E4C" w:rsidP="00C53B77">
            <w:pPr>
              <w:jc w:val="both"/>
              <w:rPr>
                <w:rFonts w:cs="Times New Roman"/>
                <w:sz w:val="20"/>
                <w:szCs w:val="20"/>
                <w:lang w:val="en-GB" w:bidi="en-GB"/>
              </w:rPr>
            </w:pPr>
            <w:r>
              <w:rPr>
                <w:rFonts w:cs="Times New Roman"/>
                <w:sz w:val="20"/>
                <w:szCs w:val="20"/>
                <w:lang w:val="en-GB" w:bidi="en-GB"/>
              </w:rPr>
              <w:t>2.</w:t>
            </w:r>
            <w:r w:rsidR="00106386" w:rsidRPr="00106386">
              <w:rPr>
                <w:rFonts w:cs="Times New Roman"/>
                <w:sz w:val="20"/>
                <w:szCs w:val="20"/>
                <w:lang w:val="en-GB" w:bidi="en-GB"/>
              </w:rPr>
              <w:t xml:space="preserve">Assessment of the human resources needed to ensure </w:t>
            </w:r>
            <w:r w:rsidR="00106386">
              <w:rPr>
                <w:rFonts w:cs="Times New Roman"/>
                <w:sz w:val="20"/>
                <w:szCs w:val="20"/>
                <w:lang w:val="en-GB" w:bidi="en-GB"/>
              </w:rPr>
              <w:t>effective</w:t>
            </w:r>
            <w:r w:rsidR="00106386" w:rsidRPr="00106386">
              <w:rPr>
                <w:rFonts w:cs="Times New Roman"/>
                <w:sz w:val="20"/>
                <w:szCs w:val="20"/>
                <w:lang w:val="en-GB" w:bidi="en-GB"/>
              </w:rPr>
              <w:t xml:space="preserve"> international </w:t>
            </w:r>
            <w:r w:rsidR="00C53B77">
              <w:rPr>
                <w:rFonts w:cs="Times New Roman"/>
                <w:sz w:val="20"/>
                <w:szCs w:val="20"/>
                <w:lang w:val="en-GB" w:bidi="en-GB"/>
              </w:rPr>
              <w:t xml:space="preserve">cooperation on </w:t>
            </w:r>
            <w:r w:rsidR="00106386" w:rsidRPr="00106386">
              <w:rPr>
                <w:rFonts w:cs="Times New Roman"/>
                <w:sz w:val="20"/>
                <w:szCs w:val="20"/>
                <w:lang w:val="en-GB" w:bidi="en-GB"/>
              </w:rPr>
              <w:t xml:space="preserve">criminal </w:t>
            </w:r>
            <w:r w:rsidR="00C53B77">
              <w:rPr>
                <w:rFonts w:cs="Times New Roman"/>
                <w:sz w:val="20"/>
                <w:szCs w:val="20"/>
                <w:lang w:val="en-GB" w:bidi="en-GB"/>
              </w:rPr>
              <w:t>justice</w:t>
            </w:r>
            <w:r w:rsidR="00106386" w:rsidRPr="00106386">
              <w:rPr>
                <w:rFonts w:cs="Times New Roman"/>
                <w:sz w:val="20"/>
                <w:szCs w:val="20"/>
                <w:lang w:val="en-GB" w:bidi="en-GB"/>
              </w:rPr>
              <w:t xml:space="preserve"> </w:t>
            </w:r>
            <w:r w:rsidR="00C53B77">
              <w:rPr>
                <w:rFonts w:cs="Times New Roman"/>
                <w:sz w:val="20"/>
                <w:szCs w:val="20"/>
                <w:lang w:val="en-GB" w:bidi="en-GB"/>
              </w:rPr>
              <w:t>matters.</w:t>
            </w:r>
          </w:p>
        </w:tc>
        <w:tc>
          <w:tcPr>
            <w:tcW w:w="1276" w:type="dxa"/>
            <w:shd w:val="clear" w:color="auto" w:fill="FFFFFF" w:themeFill="background1"/>
          </w:tcPr>
          <w:p w:rsidR="00106386" w:rsidRPr="00D72AC3" w:rsidRDefault="00106386" w:rsidP="00F40752">
            <w:pPr>
              <w:jc w:val="center"/>
              <w:rPr>
                <w:rFonts w:cs="Times New Roman"/>
                <w:sz w:val="20"/>
                <w:szCs w:val="20"/>
                <w:lang w:val="en-GB" w:bidi="en-GB"/>
              </w:rPr>
            </w:pPr>
            <w:r>
              <w:rPr>
                <w:rFonts w:cs="Times New Roman"/>
                <w:sz w:val="20"/>
                <w:szCs w:val="20"/>
                <w:lang w:val="en-GB" w:bidi="en-GB"/>
              </w:rPr>
              <w:t>GPO</w:t>
            </w:r>
          </w:p>
        </w:tc>
        <w:tc>
          <w:tcPr>
            <w:tcW w:w="1275" w:type="dxa"/>
            <w:shd w:val="clear" w:color="auto" w:fill="FFFFFF" w:themeFill="background1"/>
          </w:tcPr>
          <w:p w:rsidR="00106386" w:rsidRPr="00D72AC3" w:rsidRDefault="00106386" w:rsidP="000215A6">
            <w:pPr>
              <w:jc w:val="center"/>
              <w:rPr>
                <w:rFonts w:cs="Times New Roman"/>
                <w:sz w:val="20"/>
                <w:szCs w:val="20"/>
                <w:lang w:val="en-GB" w:bidi="en-GB"/>
              </w:rPr>
            </w:pPr>
          </w:p>
        </w:tc>
        <w:tc>
          <w:tcPr>
            <w:tcW w:w="1418" w:type="dxa"/>
            <w:shd w:val="clear" w:color="auto" w:fill="FFFFFF" w:themeFill="background1"/>
          </w:tcPr>
          <w:p w:rsidR="00106386" w:rsidRPr="00D72AC3" w:rsidRDefault="00106386" w:rsidP="000215A6">
            <w:pPr>
              <w:jc w:val="center"/>
              <w:rPr>
                <w:rFonts w:cs="Times New Roman"/>
                <w:sz w:val="20"/>
                <w:szCs w:val="20"/>
                <w:lang w:val="en-GB" w:bidi="en-GB"/>
              </w:rPr>
            </w:pPr>
            <w:r>
              <w:rPr>
                <w:rFonts w:cs="Times New Roman"/>
                <w:sz w:val="20"/>
                <w:szCs w:val="20"/>
                <w:lang w:val="en-GB" w:bidi="en-GB"/>
              </w:rPr>
              <w:t>28 December 2019</w:t>
            </w:r>
          </w:p>
        </w:tc>
      </w:tr>
      <w:bookmarkEnd w:id="8"/>
      <w:tr w:rsidR="00A37320" w:rsidRPr="00D72AC3" w:rsidTr="00A37320">
        <w:trPr>
          <w:trHeight w:val="1228"/>
        </w:trPr>
        <w:tc>
          <w:tcPr>
            <w:tcW w:w="709" w:type="dxa"/>
            <w:shd w:val="clear" w:color="auto" w:fill="FFFFFF" w:themeFill="background1"/>
          </w:tcPr>
          <w:p w:rsidR="00A37320" w:rsidRPr="00D72AC3" w:rsidRDefault="00CF2B71" w:rsidP="000215A6">
            <w:pPr>
              <w:rPr>
                <w:rFonts w:cs="Times New Roman"/>
                <w:sz w:val="20"/>
                <w:szCs w:val="20"/>
                <w:lang w:val="en-GB"/>
              </w:rPr>
            </w:pPr>
            <w:r w:rsidRPr="00D72AC3">
              <w:rPr>
                <w:rFonts w:cs="Times New Roman"/>
                <w:sz w:val="20"/>
                <w:szCs w:val="20"/>
                <w:lang w:val="en-GB" w:bidi="en-GB"/>
              </w:rPr>
              <w:t>2.5.</w:t>
            </w: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To assess the regulation of the CPL with respect to the possibility to provide for the delegation to develop the regulatory enactment on prioritisation of legal assistance requests, which will correspondingly, in practice, ensure fact response with respect to the fulfilment of le</w:t>
            </w:r>
            <w:r w:rsidR="00D72AC3">
              <w:rPr>
                <w:rFonts w:cs="Times New Roman"/>
                <w:sz w:val="20"/>
                <w:szCs w:val="20"/>
                <w:lang w:val="en-GB" w:bidi="en-GB"/>
              </w:rPr>
              <w:t>g</w:t>
            </w:r>
            <w:r w:rsidRPr="00D72AC3">
              <w:rPr>
                <w:rFonts w:cs="Times New Roman"/>
                <w:sz w:val="20"/>
                <w:szCs w:val="20"/>
                <w:lang w:val="en-GB" w:bidi="en-GB"/>
              </w:rPr>
              <w:t xml:space="preserve">al assistance request and, if necessary, to draw up amendments to the </w:t>
            </w:r>
            <w:r w:rsidRPr="00D72AC3">
              <w:rPr>
                <w:rFonts w:cs="Times New Roman"/>
                <w:i/>
                <w:sz w:val="20"/>
                <w:szCs w:val="20"/>
                <w:lang w:val="en-GB" w:bidi="en-GB"/>
              </w:rPr>
              <w:t>Criminal Procedure Law</w:t>
            </w:r>
          </w:p>
        </w:tc>
        <w:tc>
          <w:tcPr>
            <w:tcW w:w="1559"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Moneyval recommendation 2.5. </w:t>
            </w:r>
          </w:p>
        </w:tc>
        <w:tc>
          <w:tcPr>
            <w:tcW w:w="2410"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Criteria established in prioritisation of the legal assistance requests</w:t>
            </w:r>
          </w:p>
        </w:tc>
        <w:tc>
          <w:tcPr>
            <w:tcW w:w="2693"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Amendments to the </w:t>
            </w:r>
            <w:r w:rsidRPr="00D72AC3">
              <w:rPr>
                <w:rFonts w:cs="Times New Roman"/>
                <w:i/>
                <w:sz w:val="20"/>
                <w:szCs w:val="20"/>
                <w:lang w:val="en-GB" w:bidi="en-GB"/>
              </w:rPr>
              <w:t>Criminal Procedure Law</w:t>
            </w: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MoJ</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MoI (SP)</w:t>
            </w: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March 2019</w:t>
            </w:r>
          </w:p>
        </w:tc>
      </w:tr>
      <w:tr w:rsidR="00A37320" w:rsidRPr="00D72AC3" w:rsidTr="00A37320">
        <w:trPr>
          <w:trHeight w:val="1228"/>
        </w:trPr>
        <w:tc>
          <w:tcPr>
            <w:tcW w:w="709" w:type="dxa"/>
            <w:shd w:val="clear" w:color="auto" w:fill="FFFFFF" w:themeFill="background1"/>
          </w:tcPr>
          <w:p w:rsidR="00A37320" w:rsidRPr="00D72AC3" w:rsidRDefault="00CF2B71" w:rsidP="000215A6">
            <w:pPr>
              <w:rPr>
                <w:rFonts w:cs="Times New Roman"/>
                <w:sz w:val="20"/>
                <w:szCs w:val="20"/>
                <w:lang w:val="en-GB"/>
              </w:rPr>
            </w:pPr>
            <w:r w:rsidRPr="00D72AC3">
              <w:rPr>
                <w:rFonts w:cs="Times New Roman"/>
                <w:sz w:val="20"/>
                <w:szCs w:val="20"/>
                <w:lang w:val="en-GB" w:bidi="en-GB"/>
              </w:rPr>
              <w:lastRenderedPageBreak/>
              <w:t>2.6.</w:t>
            </w: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To develop the criteria for the processing and determination of priority of Latvian ARO requests and cases (both national and foreign).</w:t>
            </w:r>
          </w:p>
        </w:tc>
        <w:tc>
          <w:tcPr>
            <w:tcW w:w="1559"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Moneyval recommendation 2.5.</w:t>
            </w:r>
          </w:p>
        </w:tc>
        <w:tc>
          <w:tcPr>
            <w:tcW w:w="2410" w:type="dxa"/>
            <w:shd w:val="clear" w:color="auto" w:fill="FFFFFF" w:themeFill="background1"/>
          </w:tcPr>
          <w:p w:rsidR="00A37320" w:rsidRPr="00D72AC3" w:rsidRDefault="00A37320" w:rsidP="00505985">
            <w:pPr>
              <w:jc w:val="both"/>
              <w:rPr>
                <w:rFonts w:cs="Times New Roman"/>
                <w:sz w:val="20"/>
                <w:szCs w:val="20"/>
                <w:lang w:val="en-GB"/>
              </w:rPr>
            </w:pPr>
            <w:r w:rsidRPr="00D72AC3">
              <w:rPr>
                <w:rFonts w:cs="Times New Roman"/>
                <w:sz w:val="20"/>
                <w:szCs w:val="20"/>
                <w:lang w:val="en-GB" w:bidi="en-GB"/>
              </w:rPr>
              <w:t>Raised effectiveness of examination and fulfilment of Latvian ARO requests/cases, as well as the use of resources thereof</w:t>
            </w:r>
          </w:p>
          <w:p w:rsidR="00A37320" w:rsidRPr="00D72AC3" w:rsidRDefault="00A37320" w:rsidP="00BE193D">
            <w:pPr>
              <w:jc w:val="both"/>
              <w:rPr>
                <w:rFonts w:cs="Times New Roman"/>
                <w:sz w:val="20"/>
                <w:szCs w:val="20"/>
                <w:lang w:val="en-GB"/>
              </w:rPr>
            </w:pPr>
          </w:p>
        </w:tc>
        <w:tc>
          <w:tcPr>
            <w:tcW w:w="2693" w:type="dxa"/>
            <w:shd w:val="clear" w:color="auto" w:fill="FFFFFF" w:themeFill="background1"/>
          </w:tcPr>
          <w:p w:rsidR="00A37320" w:rsidRPr="00D72AC3" w:rsidRDefault="00A37320" w:rsidP="00505985">
            <w:pPr>
              <w:jc w:val="both"/>
              <w:rPr>
                <w:rFonts w:cs="Times New Roman"/>
                <w:sz w:val="20"/>
                <w:szCs w:val="20"/>
                <w:lang w:val="en-GB"/>
              </w:rPr>
            </w:pPr>
            <w:r w:rsidRPr="00D72AC3">
              <w:rPr>
                <w:rFonts w:cs="Times New Roman"/>
                <w:sz w:val="20"/>
                <w:szCs w:val="20"/>
                <w:lang w:val="en-GB" w:bidi="en-GB"/>
              </w:rPr>
              <w:t xml:space="preserve">Improved quality of the received requests/cases and accelerated processing and fulfilment process </w:t>
            </w:r>
          </w:p>
          <w:p w:rsidR="00A37320" w:rsidRPr="00D72AC3" w:rsidRDefault="00A37320" w:rsidP="00BE193D">
            <w:pPr>
              <w:jc w:val="both"/>
              <w:rPr>
                <w:rFonts w:cs="Times New Roman"/>
                <w:sz w:val="20"/>
                <w:szCs w:val="20"/>
                <w:lang w:val="en-GB"/>
              </w:rPr>
            </w:pP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MoI (SP)</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March 2019</w:t>
            </w:r>
          </w:p>
        </w:tc>
      </w:tr>
      <w:tr w:rsidR="00A37320" w:rsidRPr="00D72AC3" w:rsidTr="00A37320">
        <w:trPr>
          <w:trHeight w:val="1228"/>
        </w:trPr>
        <w:tc>
          <w:tcPr>
            <w:tcW w:w="709" w:type="dxa"/>
            <w:shd w:val="clear" w:color="auto" w:fill="FFFFFF" w:themeFill="background1"/>
          </w:tcPr>
          <w:p w:rsidR="00A37320" w:rsidRPr="00D72AC3" w:rsidRDefault="00CF2B71" w:rsidP="000215A6">
            <w:pPr>
              <w:rPr>
                <w:rFonts w:cs="Times New Roman"/>
                <w:sz w:val="20"/>
                <w:szCs w:val="20"/>
                <w:lang w:val="en-GB"/>
              </w:rPr>
            </w:pPr>
            <w:r w:rsidRPr="00D72AC3">
              <w:rPr>
                <w:rFonts w:cs="Times New Roman"/>
                <w:sz w:val="20"/>
                <w:szCs w:val="20"/>
                <w:lang w:val="en-GB" w:bidi="en-GB"/>
              </w:rPr>
              <w:t>2.7.</w:t>
            </w:r>
          </w:p>
        </w:tc>
        <w:tc>
          <w:tcPr>
            <w:tcW w:w="3686"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To assess the possibilities to improve the International Criminal Legal Cooperation Requests Information System in interrelation with the planned changes to the CIS. </w:t>
            </w:r>
          </w:p>
        </w:tc>
        <w:tc>
          <w:tcPr>
            <w:tcW w:w="1559"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Moneyval recommendation 2.5.</w:t>
            </w:r>
          </w:p>
        </w:tc>
        <w:tc>
          <w:tcPr>
            <w:tcW w:w="2410"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Ensured functioning of the International Criminal Legal Cooperation Requests Information System</w:t>
            </w:r>
          </w:p>
        </w:tc>
        <w:tc>
          <w:tcPr>
            <w:tcW w:w="2693" w:type="dxa"/>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Proposals developed for improvement of the International Criminal Legal Cooperation Requests Information System</w:t>
            </w:r>
          </w:p>
        </w:tc>
        <w:tc>
          <w:tcPr>
            <w:tcW w:w="1276"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MoJ</w:t>
            </w:r>
          </w:p>
        </w:tc>
        <w:tc>
          <w:tcPr>
            <w:tcW w:w="1275"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GPO, MoI (SP)</w:t>
            </w:r>
          </w:p>
        </w:tc>
        <w:tc>
          <w:tcPr>
            <w:tcW w:w="1418" w:type="dxa"/>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1 March 2019</w:t>
            </w:r>
          </w:p>
        </w:tc>
      </w:tr>
      <w:tr w:rsidR="00A37320" w:rsidRPr="00D72AC3" w:rsidTr="00A37320">
        <w:trPr>
          <w:trHeight w:val="122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CF2B71" w:rsidP="000215A6">
            <w:pPr>
              <w:rPr>
                <w:rFonts w:cs="Times New Roman"/>
                <w:sz w:val="20"/>
                <w:szCs w:val="20"/>
                <w:lang w:val="en-GB"/>
              </w:rPr>
            </w:pPr>
            <w:r w:rsidRPr="00D72AC3">
              <w:rPr>
                <w:rFonts w:cs="Times New Roman"/>
                <w:sz w:val="20"/>
                <w:szCs w:val="20"/>
                <w:lang w:val="en-GB" w:bidi="en-GB"/>
              </w:rPr>
              <w:t>2.8.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To develop the amendments to the CPL, providing for the mechanisms with respect to extradition of the citizens of the EU countries outside the borders of the EU countries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Moneyval recommendation 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Clear and fast mechanism ensured with respect to extradition of the citizens of other EU countries outside the borders of the EU countries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0215A6">
            <w:pPr>
              <w:jc w:val="both"/>
              <w:rPr>
                <w:rFonts w:cs="Times New Roman"/>
                <w:sz w:val="20"/>
                <w:szCs w:val="20"/>
                <w:lang w:val="en-GB"/>
              </w:rPr>
            </w:pPr>
            <w:r w:rsidRPr="00D72AC3">
              <w:rPr>
                <w:rFonts w:cs="Times New Roman"/>
                <w:sz w:val="20"/>
                <w:szCs w:val="20"/>
                <w:lang w:val="en-GB" w:bidi="en-GB"/>
              </w:rPr>
              <w:t xml:space="preserve">Amendments to the </w:t>
            </w:r>
            <w:r w:rsidRPr="00D72AC3">
              <w:rPr>
                <w:rFonts w:cs="Times New Roman"/>
                <w:i/>
                <w:sz w:val="20"/>
                <w:szCs w:val="20"/>
                <w:lang w:val="en-GB" w:bidi="en-GB"/>
              </w:rPr>
              <w:t>Criminal Procedure Law</w:t>
            </w:r>
            <w:r w:rsidRPr="00D72AC3">
              <w:rPr>
                <w:rFonts w:cs="Times New Roman"/>
                <w:sz w:val="20"/>
                <w:szCs w:val="20"/>
                <w:lang w:val="en-GB" w:bidi="en-GB"/>
              </w:rPr>
              <w:t xml:space="preserve"> developed and submitted to the Saeima (Parliament)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MoJ</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0215A6">
            <w:pPr>
              <w:jc w:val="center"/>
              <w:rPr>
                <w:rFonts w:cs="Times New Roman"/>
                <w:sz w:val="20"/>
                <w:szCs w:val="20"/>
                <w:lang w:val="en-GB"/>
              </w:rPr>
            </w:pPr>
            <w:r w:rsidRPr="00D72AC3">
              <w:rPr>
                <w:rFonts w:cs="Times New Roman"/>
                <w:sz w:val="20"/>
                <w:szCs w:val="20"/>
                <w:lang w:val="en-GB" w:bidi="en-GB"/>
              </w:rPr>
              <w:t>GPO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A37320" w:rsidRPr="00D72AC3" w:rsidRDefault="00A37320" w:rsidP="00A37320">
            <w:pPr>
              <w:jc w:val="center"/>
              <w:rPr>
                <w:rFonts w:cs="Times New Roman"/>
                <w:sz w:val="20"/>
                <w:szCs w:val="20"/>
                <w:lang w:val="en-GB"/>
              </w:rPr>
            </w:pPr>
            <w:r w:rsidRPr="00D72AC3">
              <w:rPr>
                <w:rFonts w:cs="Times New Roman"/>
                <w:sz w:val="20"/>
                <w:szCs w:val="20"/>
                <w:lang w:val="en-GB" w:bidi="en-GB"/>
              </w:rPr>
              <w:t>28 December 2018</w:t>
            </w:r>
          </w:p>
        </w:tc>
      </w:tr>
    </w:tbl>
    <w:p w:rsidR="00FF0BBA" w:rsidRPr="00D72AC3" w:rsidRDefault="00FF0BBA" w:rsidP="00FF0BBA">
      <w:pPr>
        <w:jc w:val="both"/>
        <w:rPr>
          <w:b/>
          <w:sz w:val="28"/>
          <w:szCs w:val="28"/>
          <w:lang w:val="en-GB"/>
        </w:rPr>
      </w:pPr>
      <w:r w:rsidRPr="00D72AC3">
        <w:rPr>
          <w:sz w:val="28"/>
          <w:szCs w:val="28"/>
          <w:lang w:val="en-GB" w:bidi="en-GB"/>
        </w:rPr>
        <w:tab/>
      </w:r>
    </w:p>
    <w:p w:rsidR="00FF0BBA" w:rsidRPr="00D72AC3" w:rsidRDefault="004E31A9" w:rsidP="00E24F37">
      <w:pPr>
        <w:pStyle w:val="Heading2"/>
        <w:rPr>
          <w:rFonts w:ascii="Times New Roman" w:hAnsi="Times New Roman" w:cs="Times New Roman"/>
          <w:b/>
          <w:color w:val="auto"/>
          <w:sz w:val="28"/>
          <w:szCs w:val="28"/>
          <w:lang w:val="en-GB"/>
        </w:rPr>
      </w:pPr>
      <w:bookmarkStart w:id="9" w:name="_Toc526510436"/>
      <w:r w:rsidRPr="00D72AC3">
        <w:rPr>
          <w:rFonts w:ascii="Times New Roman" w:eastAsia="Times New Roman" w:hAnsi="Times New Roman" w:cs="Times New Roman"/>
          <w:b/>
          <w:color w:val="auto"/>
          <w:sz w:val="28"/>
          <w:szCs w:val="28"/>
          <w:lang w:val="en-GB" w:bidi="en-GB"/>
        </w:rPr>
        <w:t>Third course of action - Supervision</w:t>
      </w:r>
      <w:bookmarkEnd w:id="9"/>
      <w:r w:rsidR="00D72AC3" w:rsidRPr="00D72AC3">
        <w:rPr>
          <w:rFonts w:ascii="Times New Roman" w:eastAsia="Times New Roman" w:hAnsi="Times New Roman" w:cs="Times New Roman"/>
          <w:b/>
          <w:color w:val="auto"/>
          <w:sz w:val="28"/>
          <w:szCs w:val="28"/>
          <w:lang w:val="en-GB" w:bidi="en-GB"/>
        </w:rPr>
        <w:t xml:space="preserve"> </w:t>
      </w:r>
    </w:p>
    <w:p w:rsidR="00FF0BBA" w:rsidRPr="00D72AC3" w:rsidRDefault="00FF0BBA" w:rsidP="00FF0BBA">
      <w:pPr>
        <w:jc w:val="both"/>
        <w:rPr>
          <w:sz w:val="28"/>
          <w:szCs w:val="28"/>
          <w:lang w:val="en-GB"/>
        </w:rPr>
      </w:pPr>
    </w:p>
    <w:p w:rsidR="00E50F53" w:rsidRPr="00D72AC3" w:rsidRDefault="00E50F53" w:rsidP="00E50F53">
      <w:pPr>
        <w:jc w:val="both"/>
        <w:rPr>
          <w:szCs w:val="24"/>
          <w:lang w:val="en-GB"/>
        </w:rPr>
      </w:pPr>
      <w:r w:rsidRPr="00D72AC3">
        <w:rPr>
          <w:szCs w:val="24"/>
          <w:lang w:val="en-GB" w:bidi="en-GB"/>
        </w:rPr>
        <w:t xml:space="preserve">Authority in charge of the course of action: MoF </w:t>
      </w:r>
    </w:p>
    <w:p w:rsidR="00E50F53" w:rsidRPr="00D72AC3" w:rsidRDefault="00E50F53" w:rsidP="00E50F53">
      <w:pPr>
        <w:jc w:val="both"/>
        <w:rPr>
          <w:szCs w:val="24"/>
          <w:lang w:val="en-GB"/>
        </w:rPr>
      </w:pPr>
      <w:r w:rsidRPr="00D72AC3">
        <w:rPr>
          <w:szCs w:val="24"/>
          <w:lang w:val="en-GB" w:bidi="en-GB"/>
        </w:rPr>
        <w:t>Co-responsible authorities: CS, FCMC, SRS, BoL, LGSI, LCSA, LCSN, LACA, NCCH, CRPC, MoT</w:t>
      </w:r>
    </w:p>
    <w:p w:rsidR="00FF0BBA" w:rsidRPr="00D72AC3" w:rsidRDefault="00FF0BBA" w:rsidP="00FF0BBA">
      <w:pPr>
        <w:jc w:val="both"/>
        <w:rPr>
          <w:sz w:val="28"/>
          <w:szCs w:val="28"/>
          <w:lang w:val="en-GB"/>
        </w:rPr>
      </w:pPr>
    </w:p>
    <w:tbl>
      <w:tblPr>
        <w:tblW w:w="149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410"/>
        <w:gridCol w:w="2693"/>
        <w:gridCol w:w="1159"/>
        <w:gridCol w:w="1276"/>
        <w:gridCol w:w="1417"/>
      </w:tblGrid>
      <w:tr w:rsidR="007E62EB" w:rsidRPr="00D72AC3" w:rsidTr="00A37320">
        <w:tc>
          <w:tcPr>
            <w:tcW w:w="4395" w:type="dxa"/>
            <w:gridSpan w:val="2"/>
          </w:tcPr>
          <w:p w:rsidR="007E62EB" w:rsidRPr="00D72AC3" w:rsidRDefault="00C53B77" w:rsidP="007E62EB">
            <w:pPr>
              <w:rPr>
                <w:rFonts w:cs="Times New Roman"/>
                <w:b/>
                <w:bCs/>
                <w:sz w:val="20"/>
                <w:szCs w:val="20"/>
                <w:lang w:val="en-GB"/>
              </w:rPr>
            </w:pPr>
            <w:r>
              <w:rPr>
                <w:rFonts w:cs="Times New Roman"/>
                <w:b/>
                <w:sz w:val="20"/>
                <w:szCs w:val="20"/>
                <w:lang w:val="en-GB" w:bidi="en-GB"/>
              </w:rPr>
              <w:t>Third</w:t>
            </w:r>
            <w:r w:rsidR="007E62EB" w:rsidRPr="00D72AC3">
              <w:rPr>
                <w:rFonts w:cs="Times New Roman"/>
                <w:b/>
                <w:sz w:val="20"/>
                <w:szCs w:val="20"/>
                <w:lang w:val="en-GB" w:bidi="en-GB"/>
              </w:rPr>
              <w:t xml:space="preserve"> course of action</w:t>
            </w:r>
          </w:p>
        </w:tc>
        <w:tc>
          <w:tcPr>
            <w:tcW w:w="10514" w:type="dxa"/>
            <w:gridSpan w:val="6"/>
          </w:tcPr>
          <w:p w:rsidR="007E62EB" w:rsidRPr="00D72AC3" w:rsidRDefault="00D026CE" w:rsidP="00D026CE">
            <w:pPr>
              <w:jc w:val="both"/>
              <w:rPr>
                <w:rFonts w:cs="Times New Roman"/>
                <w:b/>
                <w:bCs/>
                <w:sz w:val="20"/>
                <w:szCs w:val="20"/>
                <w:lang w:val="en-GB"/>
              </w:rPr>
            </w:pPr>
            <w:r w:rsidRPr="00D72AC3">
              <w:rPr>
                <w:rFonts w:cs="Times New Roman"/>
                <w:b/>
                <w:sz w:val="20"/>
                <w:szCs w:val="20"/>
                <w:lang w:val="en-GB" w:bidi="en-GB"/>
              </w:rPr>
              <w:t xml:space="preserve">SUPERVISION </w:t>
            </w:r>
          </w:p>
        </w:tc>
      </w:tr>
      <w:tr w:rsidR="007E62EB" w:rsidRPr="00D72AC3" w:rsidTr="00A37320">
        <w:tc>
          <w:tcPr>
            <w:tcW w:w="4395" w:type="dxa"/>
            <w:gridSpan w:val="2"/>
          </w:tcPr>
          <w:p w:rsidR="007E62EB" w:rsidRPr="00D72AC3" w:rsidRDefault="007E62EB" w:rsidP="007E62EB">
            <w:pPr>
              <w:rPr>
                <w:rFonts w:cs="Times New Roman"/>
                <w:b/>
                <w:bCs/>
                <w:sz w:val="20"/>
                <w:szCs w:val="20"/>
                <w:lang w:val="en-GB"/>
              </w:rPr>
            </w:pPr>
            <w:r w:rsidRPr="00D72AC3">
              <w:rPr>
                <w:rFonts w:cs="Times New Roman"/>
                <w:b/>
                <w:sz w:val="20"/>
                <w:szCs w:val="20"/>
                <w:lang w:val="en-GB" w:bidi="en-GB"/>
              </w:rPr>
              <w:t>Sub-objectives to be achieved:</w:t>
            </w:r>
          </w:p>
        </w:tc>
        <w:tc>
          <w:tcPr>
            <w:tcW w:w="10514" w:type="dxa"/>
            <w:gridSpan w:val="6"/>
          </w:tcPr>
          <w:p w:rsidR="007E62EB" w:rsidRPr="00D72AC3" w:rsidRDefault="007E62EB" w:rsidP="00A63D6A">
            <w:pPr>
              <w:jc w:val="both"/>
              <w:rPr>
                <w:rFonts w:cs="Times New Roman"/>
                <w:b/>
                <w:bCs/>
                <w:sz w:val="20"/>
                <w:szCs w:val="20"/>
                <w:lang w:val="en-GB"/>
              </w:rPr>
            </w:pPr>
            <w:r w:rsidRPr="00D72AC3">
              <w:rPr>
                <w:rFonts w:cs="Times New Roman"/>
                <w:b/>
                <w:sz w:val="20"/>
                <w:szCs w:val="20"/>
                <w:lang w:val="en-GB" w:bidi="en-GB"/>
              </w:rPr>
              <w:t>1. A risk-based approach to supervision introduced in all supervisory and control authorities, by ensuring performance of sufficient and risk-compliant verifications and, in case of offences, carrying out proportionate measures, dissuasive of further offences</w:t>
            </w:r>
          </w:p>
        </w:tc>
      </w:tr>
      <w:tr w:rsidR="007E62EB" w:rsidRPr="00D72AC3" w:rsidTr="00A37320">
        <w:tc>
          <w:tcPr>
            <w:tcW w:w="4395" w:type="dxa"/>
            <w:gridSpan w:val="2"/>
          </w:tcPr>
          <w:p w:rsidR="007E62EB" w:rsidRPr="00D72AC3" w:rsidRDefault="007E62EB" w:rsidP="007E62EB">
            <w:pPr>
              <w:rPr>
                <w:rFonts w:cs="Times New Roman"/>
                <w:b/>
                <w:bCs/>
                <w:sz w:val="20"/>
                <w:szCs w:val="20"/>
                <w:lang w:val="en-GB"/>
              </w:rPr>
            </w:pPr>
          </w:p>
        </w:tc>
        <w:tc>
          <w:tcPr>
            <w:tcW w:w="10514" w:type="dxa"/>
            <w:gridSpan w:val="6"/>
          </w:tcPr>
          <w:p w:rsidR="007E62EB" w:rsidRPr="00D72AC3" w:rsidRDefault="007E62EB" w:rsidP="00A63D6A">
            <w:pPr>
              <w:jc w:val="both"/>
              <w:rPr>
                <w:rFonts w:cs="Times New Roman"/>
                <w:b/>
                <w:bCs/>
                <w:sz w:val="20"/>
                <w:szCs w:val="20"/>
                <w:lang w:val="en-GB"/>
              </w:rPr>
            </w:pPr>
            <w:r w:rsidRPr="00D72AC3">
              <w:rPr>
                <w:rFonts w:cs="Times New Roman"/>
                <w:b/>
                <w:sz w:val="20"/>
                <w:szCs w:val="20"/>
                <w:lang w:val="en-GB" w:bidi="en-GB"/>
              </w:rPr>
              <w:t>2. All supervisory and control authorities ensure a dialogue with the sector under supervision, by providing regular training, consultations and guidelines</w:t>
            </w:r>
          </w:p>
        </w:tc>
      </w:tr>
      <w:tr w:rsidR="009A01A0" w:rsidRPr="00D72AC3" w:rsidTr="00A37320">
        <w:tc>
          <w:tcPr>
            <w:tcW w:w="4395" w:type="dxa"/>
            <w:gridSpan w:val="2"/>
          </w:tcPr>
          <w:p w:rsidR="009A01A0" w:rsidRPr="00D72AC3" w:rsidRDefault="009A01A0" w:rsidP="007E62EB">
            <w:pPr>
              <w:rPr>
                <w:rFonts w:cs="Times New Roman"/>
                <w:b/>
                <w:bCs/>
                <w:sz w:val="20"/>
                <w:szCs w:val="20"/>
                <w:lang w:val="en-GB"/>
              </w:rPr>
            </w:pPr>
          </w:p>
        </w:tc>
        <w:tc>
          <w:tcPr>
            <w:tcW w:w="10514" w:type="dxa"/>
            <w:gridSpan w:val="6"/>
          </w:tcPr>
          <w:p w:rsidR="009A01A0" w:rsidRPr="00D72AC3" w:rsidRDefault="009A01A0" w:rsidP="00A45E9A">
            <w:pPr>
              <w:jc w:val="both"/>
              <w:rPr>
                <w:rFonts w:cs="Times New Roman"/>
                <w:b/>
                <w:bCs/>
                <w:sz w:val="20"/>
                <w:szCs w:val="20"/>
                <w:lang w:val="en-GB"/>
              </w:rPr>
            </w:pPr>
            <w:r w:rsidRPr="00D72AC3">
              <w:rPr>
                <w:rFonts w:cs="Times New Roman"/>
                <w:b/>
                <w:sz w:val="20"/>
                <w:szCs w:val="20"/>
                <w:lang w:val="en-GB" w:bidi="en-GB"/>
              </w:rPr>
              <w:t>3. Prioritisation of the AML/CFT and adequate resources ensured in the supervisory and control authorities</w:t>
            </w:r>
          </w:p>
        </w:tc>
      </w:tr>
      <w:tr w:rsidR="007E62EB" w:rsidRPr="00D72AC3" w:rsidTr="00A37320">
        <w:trPr>
          <w:trHeight w:val="543"/>
        </w:trPr>
        <w:tc>
          <w:tcPr>
            <w:tcW w:w="709" w:type="dxa"/>
          </w:tcPr>
          <w:p w:rsidR="007E62EB" w:rsidRPr="00D72AC3" w:rsidRDefault="007E62EB" w:rsidP="007E62EB">
            <w:pPr>
              <w:jc w:val="center"/>
              <w:rPr>
                <w:rFonts w:cs="Times New Roman"/>
                <w:bCs/>
                <w:sz w:val="20"/>
                <w:szCs w:val="20"/>
                <w:lang w:val="en-GB"/>
              </w:rPr>
            </w:pPr>
            <w:r w:rsidRPr="00D72AC3">
              <w:rPr>
                <w:rFonts w:cs="Times New Roman"/>
                <w:sz w:val="20"/>
                <w:szCs w:val="20"/>
                <w:lang w:val="en-GB" w:bidi="en-GB"/>
              </w:rPr>
              <w:t>No.</w:t>
            </w:r>
          </w:p>
        </w:tc>
        <w:tc>
          <w:tcPr>
            <w:tcW w:w="3686" w:type="dxa"/>
            <w:shd w:val="clear" w:color="auto" w:fill="auto"/>
          </w:tcPr>
          <w:p w:rsidR="007E62EB" w:rsidRPr="00D72AC3" w:rsidRDefault="007E62EB" w:rsidP="007E62EB">
            <w:pPr>
              <w:jc w:val="center"/>
              <w:rPr>
                <w:rFonts w:cs="Times New Roman"/>
                <w:bCs/>
                <w:i/>
                <w:sz w:val="20"/>
                <w:szCs w:val="20"/>
                <w:lang w:val="en-GB"/>
              </w:rPr>
            </w:pPr>
            <w:r w:rsidRPr="00D72AC3">
              <w:rPr>
                <w:rFonts w:cs="Times New Roman"/>
                <w:b/>
                <w:sz w:val="20"/>
                <w:szCs w:val="20"/>
                <w:lang w:val="en-GB" w:bidi="en-GB"/>
              </w:rPr>
              <w:t>Measure</w:t>
            </w:r>
          </w:p>
        </w:tc>
        <w:tc>
          <w:tcPr>
            <w:tcW w:w="1559" w:type="dxa"/>
          </w:tcPr>
          <w:p w:rsidR="007E62EB" w:rsidRPr="00D72AC3" w:rsidRDefault="007E62EB" w:rsidP="007E62EB">
            <w:pPr>
              <w:rPr>
                <w:rFonts w:cs="Times New Roman"/>
                <w:b/>
                <w:sz w:val="20"/>
                <w:szCs w:val="20"/>
                <w:lang w:val="en-GB"/>
              </w:rPr>
            </w:pPr>
            <w:r w:rsidRPr="00D72AC3">
              <w:rPr>
                <w:rFonts w:cs="Times New Roman"/>
                <w:b/>
                <w:sz w:val="20"/>
                <w:szCs w:val="20"/>
                <w:lang w:val="en-GB" w:bidi="en-GB"/>
              </w:rPr>
              <w:t>Justification</w:t>
            </w:r>
          </w:p>
        </w:tc>
        <w:tc>
          <w:tcPr>
            <w:tcW w:w="2410" w:type="dxa"/>
            <w:shd w:val="clear" w:color="auto" w:fill="auto"/>
          </w:tcPr>
          <w:p w:rsidR="007E62EB" w:rsidRPr="00D72AC3" w:rsidRDefault="007E62EB" w:rsidP="007E62EB">
            <w:pPr>
              <w:rPr>
                <w:rFonts w:cs="Times New Roman"/>
                <w:b/>
                <w:bCs/>
                <w:i/>
                <w:sz w:val="20"/>
                <w:szCs w:val="20"/>
                <w:lang w:val="en-GB"/>
              </w:rPr>
            </w:pPr>
            <w:r w:rsidRPr="00D72AC3">
              <w:rPr>
                <w:rFonts w:cs="Times New Roman"/>
                <w:b/>
                <w:sz w:val="20"/>
                <w:szCs w:val="20"/>
                <w:lang w:val="en-GB" w:bidi="en-GB"/>
              </w:rPr>
              <w:t>Activity outcome</w:t>
            </w:r>
          </w:p>
        </w:tc>
        <w:tc>
          <w:tcPr>
            <w:tcW w:w="2693" w:type="dxa"/>
          </w:tcPr>
          <w:p w:rsidR="007E62EB" w:rsidRPr="00D72AC3" w:rsidRDefault="007E62EB" w:rsidP="007E62EB">
            <w:pPr>
              <w:jc w:val="center"/>
              <w:rPr>
                <w:rFonts w:cs="Times New Roman"/>
                <w:bCs/>
                <w:i/>
                <w:sz w:val="20"/>
                <w:szCs w:val="20"/>
                <w:lang w:val="en-GB"/>
              </w:rPr>
            </w:pPr>
            <w:r w:rsidRPr="00D72AC3">
              <w:rPr>
                <w:rFonts w:cs="Times New Roman"/>
                <w:b/>
                <w:sz w:val="20"/>
                <w:szCs w:val="20"/>
                <w:lang w:val="en-GB" w:bidi="en-GB"/>
              </w:rPr>
              <w:t>Outcome indicator</w:t>
            </w:r>
          </w:p>
        </w:tc>
        <w:tc>
          <w:tcPr>
            <w:tcW w:w="1159" w:type="dxa"/>
            <w:shd w:val="clear" w:color="auto" w:fill="auto"/>
          </w:tcPr>
          <w:p w:rsidR="007E62EB" w:rsidRPr="00D72AC3" w:rsidRDefault="007E62EB" w:rsidP="007E62EB">
            <w:pPr>
              <w:jc w:val="center"/>
              <w:rPr>
                <w:rFonts w:cs="Times New Roman"/>
                <w:bCs/>
                <w:i/>
                <w:sz w:val="20"/>
                <w:szCs w:val="20"/>
                <w:lang w:val="en-GB"/>
              </w:rPr>
            </w:pPr>
            <w:r w:rsidRPr="00D72AC3">
              <w:rPr>
                <w:rFonts w:cs="Times New Roman"/>
                <w:b/>
                <w:sz w:val="20"/>
                <w:szCs w:val="20"/>
                <w:lang w:val="en-GB" w:bidi="en-GB"/>
              </w:rPr>
              <w:t>Responsible authority</w:t>
            </w:r>
          </w:p>
        </w:tc>
        <w:tc>
          <w:tcPr>
            <w:tcW w:w="1276" w:type="dxa"/>
            <w:shd w:val="clear" w:color="auto" w:fill="auto"/>
          </w:tcPr>
          <w:p w:rsidR="007E62EB" w:rsidRPr="00D72AC3" w:rsidRDefault="007E62EB" w:rsidP="007E62EB">
            <w:pPr>
              <w:jc w:val="center"/>
              <w:rPr>
                <w:rFonts w:cs="Times New Roman"/>
                <w:bCs/>
                <w:i/>
                <w:sz w:val="20"/>
                <w:szCs w:val="20"/>
                <w:lang w:val="en-GB"/>
              </w:rPr>
            </w:pPr>
            <w:r w:rsidRPr="00D72AC3">
              <w:rPr>
                <w:rFonts w:cs="Times New Roman"/>
                <w:b/>
                <w:sz w:val="20"/>
                <w:szCs w:val="20"/>
                <w:lang w:val="en-GB" w:bidi="en-GB"/>
              </w:rPr>
              <w:t>Co-responsible authorities</w:t>
            </w:r>
          </w:p>
        </w:tc>
        <w:tc>
          <w:tcPr>
            <w:tcW w:w="1417" w:type="dxa"/>
            <w:shd w:val="clear" w:color="auto" w:fill="auto"/>
          </w:tcPr>
          <w:p w:rsidR="007E62EB" w:rsidRPr="00D72AC3" w:rsidRDefault="007E62EB" w:rsidP="007E62EB">
            <w:pPr>
              <w:jc w:val="center"/>
              <w:rPr>
                <w:rFonts w:cs="Times New Roman"/>
                <w:bCs/>
                <w:i/>
                <w:sz w:val="20"/>
                <w:szCs w:val="20"/>
                <w:lang w:val="en-GB"/>
              </w:rPr>
            </w:pPr>
            <w:r w:rsidRPr="00D72AC3">
              <w:rPr>
                <w:rFonts w:cs="Times New Roman"/>
                <w:b/>
                <w:sz w:val="20"/>
                <w:szCs w:val="20"/>
                <w:lang w:val="en-GB" w:bidi="en-GB"/>
              </w:rPr>
              <w:t>Term for implementation</w:t>
            </w:r>
          </w:p>
        </w:tc>
      </w:tr>
      <w:tr w:rsidR="00B95F5E" w:rsidRPr="00D72AC3" w:rsidTr="00A37320">
        <w:trPr>
          <w:trHeight w:val="412"/>
        </w:trPr>
        <w:tc>
          <w:tcPr>
            <w:tcW w:w="709" w:type="dxa"/>
          </w:tcPr>
          <w:p w:rsidR="00B95F5E" w:rsidRPr="00D72AC3" w:rsidRDefault="00B95F5E" w:rsidP="007E62EB">
            <w:pPr>
              <w:jc w:val="center"/>
              <w:rPr>
                <w:rFonts w:cs="Times New Roman"/>
                <w:bCs/>
                <w:sz w:val="20"/>
                <w:szCs w:val="20"/>
                <w:lang w:val="en-GB"/>
              </w:rPr>
            </w:pPr>
            <w:r w:rsidRPr="00D72AC3">
              <w:rPr>
                <w:rFonts w:cs="Times New Roman"/>
                <w:sz w:val="20"/>
                <w:szCs w:val="20"/>
                <w:lang w:val="en-GB" w:bidi="en-GB"/>
              </w:rPr>
              <w:lastRenderedPageBreak/>
              <w:t>3.1.</w:t>
            </w:r>
          </w:p>
        </w:tc>
        <w:tc>
          <w:tcPr>
            <w:tcW w:w="3686" w:type="dxa"/>
            <w:shd w:val="clear" w:color="auto" w:fill="auto"/>
          </w:tcPr>
          <w:p w:rsidR="00B95F5E" w:rsidRPr="00D72AC3" w:rsidRDefault="00B95F5E" w:rsidP="004A7EED">
            <w:pPr>
              <w:jc w:val="both"/>
              <w:rPr>
                <w:rFonts w:cs="Times New Roman"/>
                <w:bCs/>
                <w:sz w:val="20"/>
                <w:szCs w:val="20"/>
                <w:lang w:val="en-GB"/>
              </w:rPr>
            </w:pPr>
            <w:r w:rsidRPr="00D72AC3">
              <w:rPr>
                <w:rFonts w:cs="Times New Roman"/>
                <w:sz w:val="20"/>
                <w:szCs w:val="20"/>
                <w:lang w:val="en-GB" w:bidi="en-GB"/>
              </w:rPr>
              <w:t>Introduction of a controlled ABLV self-liquidation process</w:t>
            </w:r>
          </w:p>
        </w:tc>
        <w:tc>
          <w:tcPr>
            <w:tcW w:w="1559" w:type="dxa"/>
          </w:tcPr>
          <w:p w:rsidR="00B95F5E" w:rsidRPr="00D72AC3" w:rsidRDefault="00593258" w:rsidP="007E62EB">
            <w:pPr>
              <w:rPr>
                <w:rFonts w:cs="Times New Roman"/>
                <w:sz w:val="20"/>
                <w:szCs w:val="20"/>
                <w:lang w:val="en-GB"/>
              </w:rPr>
            </w:pPr>
            <w:r w:rsidRPr="00D72AC3">
              <w:rPr>
                <w:rFonts w:cs="Times New Roman"/>
                <w:sz w:val="20"/>
                <w:szCs w:val="20"/>
                <w:lang w:val="en-GB" w:bidi="en-GB"/>
              </w:rPr>
              <w:t>The 21 March 2018 FSDB decision</w:t>
            </w:r>
          </w:p>
        </w:tc>
        <w:tc>
          <w:tcPr>
            <w:tcW w:w="2410" w:type="dxa"/>
            <w:shd w:val="clear" w:color="auto" w:fill="auto"/>
          </w:tcPr>
          <w:p w:rsidR="00B95F5E" w:rsidRPr="00D72AC3" w:rsidRDefault="002D7C68" w:rsidP="009B3ACE">
            <w:pPr>
              <w:jc w:val="both"/>
              <w:rPr>
                <w:rFonts w:cs="Times New Roman"/>
                <w:sz w:val="20"/>
                <w:szCs w:val="20"/>
                <w:lang w:val="en-GB"/>
              </w:rPr>
            </w:pPr>
            <w:r w:rsidRPr="00D72AC3">
              <w:rPr>
                <w:rFonts w:cs="Times New Roman"/>
                <w:sz w:val="20"/>
                <w:szCs w:val="20"/>
                <w:lang w:val="en-GB" w:bidi="en-GB"/>
              </w:rPr>
              <w:t>Controlled, in line with the relevant methodology coordinated with the strategic international cooperation partners, self-liquidation process introduced, by ensuring appropriate analysis of suspicious transactions, freezing of funds and effective cooperation with the law enforcement authorities</w:t>
            </w:r>
          </w:p>
        </w:tc>
        <w:tc>
          <w:tcPr>
            <w:tcW w:w="2693" w:type="dxa"/>
          </w:tcPr>
          <w:p w:rsidR="00B95F5E" w:rsidRPr="00D72AC3" w:rsidRDefault="00107138" w:rsidP="003C7D93">
            <w:pPr>
              <w:jc w:val="both"/>
              <w:rPr>
                <w:rFonts w:cs="Times New Roman"/>
                <w:sz w:val="20"/>
                <w:szCs w:val="20"/>
                <w:lang w:val="en-GB"/>
              </w:rPr>
            </w:pPr>
            <w:r w:rsidRPr="00D72AC3">
              <w:rPr>
                <w:sz w:val="20"/>
                <w:szCs w:val="20"/>
                <w:lang w:val="en-GB" w:bidi="en-GB"/>
              </w:rPr>
              <w:t>To inform the FSDB about the ABLV self-liquidation process, on a regular basis, at least twice per month, in order to ensure the coordination of the activities of all involved parties for ensuring effective self-liquidation process.</w:t>
            </w:r>
          </w:p>
        </w:tc>
        <w:tc>
          <w:tcPr>
            <w:tcW w:w="1159" w:type="dxa"/>
            <w:shd w:val="clear" w:color="auto" w:fill="auto"/>
          </w:tcPr>
          <w:p w:rsidR="00B95F5E" w:rsidRPr="00D72AC3" w:rsidRDefault="00B95F5E" w:rsidP="007E62EB">
            <w:pPr>
              <w:jc w:val="center"/>
              <w:rPr>
                <w:rFonts w:cs="Times New Roman"/>
                <w:bCs/>
                <w:sz w:val="20"/>
                <w:szCs w:val="20"/>
                <w:lang w:val="en-GB"/>
              </w:rPr>
            </w:pPr>
            <w:r w:rsidRPr="00D72AC3">
              <w:rPr>
                <w:rFonts w:cs="Times New Roman"/>
                <w:sz w:val="20"/>
                <w:szCs w:val="20"/>
                <w:lang w:val="en-GB" w:bidi="en-GB"/>
              </w:rPr>
              <w:t>FCMC, CS</w:t>
            </w:r>
          </w:p>
        </w:tc>
        <w:tc>
          <w:tcPr>
            <w:tcW w:w="1276" w:type="dxa"/>
            <w:shd w:val="clear" w:color="auto" w:fill="auto"/>
          </w:tcPr>
          <w:p w:rsidR="00B95F5E" w:rsidRPr="00D72AC3" w:rsidRDefault="008C762C" w:rsidP="00627499">
            <w:pPr>
              <w:jc w:val="center"/>
              <w:rPr>
                <w:sz w:val="20"/>
                <w:szCs w:val="20"/>
                <w:lang w:val="en-GB"/>
              </w:rPr>
            </w:pPr>
            <w:r w:rsidRPr="00D72AC3">
              <w:rPr>
                <w:sz w:val="20"/>
                <w:szCs w:val="20"/>
                <w:lang w:val="en-GB" w:bidi="en-GB"/>
              </w:rPr>
              <w:t>SP, SRS, CPCB</w:t>
            </w:r>
          </w:p>
        </w:tc>
        <w:tc>
          <w:tcPr>
            <w:tcW w:w="1417" w:type="dxa"/>
            <w:shd w:val="clear" w:color="auto" w:fill="auto"/>
          </w:tcPr>
          <w:p w:rsidR="00B95F5E" w:rsidRPr="00D72AC3" w:rsidRDefault="00E64555" w:rsidP="00C97FF2">
            <w:pPr>
              <w:jc w:val="center"/>
              <w:rPr>
                <w:rFonts w:cs="Times New Roman"/>
                <w:bCs/>
                <w:sz w:val="20"/>
                <w:szCs w:val="20"/>
                <w:lang w:val="en-GB"/>
              </w:rPr>
            </w:pPr>
            <w:r w:rsidRPr="00D72AC3">
              <w:rPr>
                <w:rFonts w:cs="Times New Roman"/>
                <w:sz w:val="20"/>
                <w:szCs w:val="20"/>
                <w:lang w:val="en-GB" w:bidi="en-GB"/>
              </w:rPr>
              <w:t>Constantly</w:t>
            </w:r>
          </w:p>
        </w:tc>
      </w:tr>
      <w:tr w:rsidR="00005A22" w:rsidRPr="00D72AC3" w:rsidTr="00A37320">
        <w:trPr>
          <w:trHeight w:val="412"/>
        </w:trPr>
        <w:tc>
          <w:tcPr>
            <w:tcW w:w="709" w:type="dxa"/>
          </w:tcPr>
          <w:p w:rsidR="00005A22" w:rsidRPr="00D72AC3" w:rsidRDefault="00005A22" w:rsidP="007E62EB">
            <w:pPr>
              <w:jc w:val="center"/>
              <w:rPr>
                <w:rFonts w:cs="Times New Roman"/>
                <w:bCs/>
                <w:sz w:val="20"/>
                <w:szCs w:val="20"/>
                <w:lang w:val="en-GB"/>
              </w:rPr>
            </w:pPr>
            <w:r w:rsidRPr="00D72AC3">
              <w:rPr>
                <w:rFonts w:cs="Times New Roman"/>
                <w:sz w:val="20"/>
                <w:szCs w:val="20"/>
                <w:lang w:val="en-GB" w:bidi="en-GB"/>
              </w:rPr>
              <w:t>3.2.</w:t>
            </w:r>
          </w:p>
        </w:tc>
        <w:tc>
          <w:tcPr>
            <w:tcW w:w="3686" w:type="dxa"/>
            <w:shd w:val="clear" w:color="auto" w:fill="auto"/>
          </w:tcPr>
          <w:p w:rsidR="00D31F7B" w:rsidRPr="00D72AC3" w:rsidRDefault="00005A22" w:rsidP="00D31F7B">
            <w:pPr>
              <w:jc w:val="both"/>
              <w:rPr>
                <w:rFonts w:cs="Times New Roman"/>
                <w:bCs/>
                <w:sz w:val="20"/>
                <w:szCs w:val="20"/>
                <w:lang w:val="en-GB"/>
              </w:rPr>
            </w:pPr>
            <w:r w:rsidRPr="00D72AC3">
              <w:rPr>
                <w:rFonts w:cs="Times New Roman"/>
                <w:sz w:val="20"/>
                <w:szCs w:val="20"/>
                <w:lang w:val="en-GB" w:bidi="en-GB"/>
              </w:rPr>
              <w:t>To establish a mechanism, ensuring that all supervisors, including the self-regulatory authorities, have uniform understanding about the ML/FT risks and that adequate preventive measures are applied for mitigating those risks</w:t>
            </w:r>
            <w:r w:rsidR="00DC1D09">
              <w:rPr>
                <w:rFonts w:cs="Times New Roman"/>
                <w:sz w:val="20"/>
                <w:szCs w:val="20"/>
                <w:lang w:val="en-GB" w:bidi="en-GB"/>
              </w:rPr>
              <w:t>.</w:t>
            </w:r>
            <w:r w:rsidRPr="00D72AC3">
              <w:rPr>
                <w:rFonts w:cs="Times New Roman"/>
                <w:sz w:val="20"/>
                <w:szCs w:val="20"/>
                <w:lang w:val="en-GB" w:bidi="en-GB"/>
              </w:rPr>
              <w:t xml:space="preserve"> To ensure information exchange regarding the ML/FT risks</w:t>
            </w:r>
          </w:p>
        </w:tc>
        <w:tc>
          <w:tcPr>
            <w:tcW w:w="1559" w:type="dxa"/>
          </w:tcPr>
          <w:p w:rsidR="00005A22" w:rsidRPr="00D72AC3" w:rsidRDefault="00D31F7B" w:rsidP="007E62EB">
            <w:pPr>
              <w:rPr>
                <w:rFonts w:cs="Times New Roman"/>
                <w:sz w:val="20"/>
                <w:szCs w:val="20"/>
                <w:lang w:val="en-GB"/>
              </w:rPr>
            </w:pPr>
            <w:r w:rsidRPr="00D72AC3">
              <w:rPr>
                <w:rFonts w:cs="Times New Roman"/>
                <w:sz w:val="20"/>
                <w:szCs w:val="20"/>
                <w:lang w:val="en-GB" w:bidi="en-GB"/>
              </w:rPr>
              <w:t>Moneyval recommendation 3.1.</w:t>
            </w:r>
          </w:p>
        </w:tc>
        <w:tc>
          <w:tcPr>
            <w:tcW w:w="2410" w:type="dxa"/>
            <w:shd w:val="clear" w:color="auto" w:fill="auto"/>
          </w:tcPr>
          <w:p w:rsidR="00005A22" w:rsidRPr="00D72AC3" w:rsidRDefault="00D31F7B" w:rsidP="009B3ACE">
            <w:pPr>
              <w:jc w:val="both"/>
              <w:rPr>
                <w:rFonts w:cs="Times New Roman"/>
                <w:sz w:val="20"/>
                <w:szCs w:val="20"/>
                <w:lang w:val="en-GB"/>
              </w:rPr>
            </w:pPr>
            <w:r w:rsidRPr="00D72AC3">
              <w:rPr>
                <w:rFonts w:cs="Times New Roman"/>
                <w:sz w:val="20"/>
                <w:szCs w:val="20"/>
                <w:lang w:val="en-GB" w:bidi="en-GB"/>
              </w:rPr>
              <w:t>Cooperation platform established under the management of the Control Service for the purposes of coordination of activities of the supervisory and control authorities</w:t>
            </w:r>
          </w:p>
        </w:tc>
        <w:tc>
          <w:tcPr>
            <w:tcW w:w="2693" w:type="dxa"/>
          </w:tcPr>
          <w:p w:rsidR="00005A22" w:rsidRPr="00D72AC3" w:rsidRDefault="008F0044" w:rsidP="00A45E9A">
            <w:pPr>
              <w:jc w:val="both"/>
              <w:rPr>
                <w:rFonts w:cs="Times New Roman"/>
                <w:sz w:val="20"/>
                <w:szCs w:val="20"/>
                <w:lang w:val="en-GB"/>
              </w:rPr>
            </w:pPr>
            <w:r w:rsidRPr="00D72AC3">
              <w:rPr>
                <w:rFonts w:cs="Times New Roman"/>
                <w:sz w:val="20"/>
                <w:szCs w:val="20"/>
                <w:lang w:val="en-GB" w:bidi="en-GB"/>
              </w:rPr>
              <w:t>At least once per month, the CS organises the meetings with the supervisory and control authorities</w:t>
            </w:r>
          </w:p>
        </w:tc>
        <w:tc>
          <w:tcPr>
            <w:tcW w:w="1159" w:type="dxa"/>
            <w:shd w:val="clear" w:color="auto" w:fill="auto"/>
          </w:tcPr>
          <w:p w:rsidR="00005A22" w:rsidRPr="00D72AC3" w:rsidRDefault="008D2793" w:rsidP="007E62EB">
            <w:pPr>
              <w:jc w:val="center"/>
              <w:rPr>
                <w:rFonts w:cs="Times New Roman"/>
                <w:bCs/>
                <w:sz w:val="20"/>
                <w:szCs w:val="20"/>
                <w:lang w:val="en-GB"/>
              </w:rPr>
            </w:pPr>
            <w:r w:rsidRPr="00D72AC3">
              <w:rPr>
                <w:rFonts w:cs="Times New Roman"/>
                <w:sz w:val="20"/>
                <w:szCs w:val="20"/>
                <w:lang w:val="en-GB" w:bidi="en-GB"/>
              </w:rPr>
              <w:t>CS</w:t>
            </w:r>
          </w:p>
        </w:tc>
        <w:tc>
          <w:tcPr>
            <w:tcW w:w="1276" w:type="dxa"/>
            <w:shd w:val="clear" w:color="auto" w:fill="auto"/>
          </w:tcPr>
          <w:p w:rsidR="00005A22" w:rsidRPr="00D72AC3" w:rsidRDefault="00D31F7B" w:rsidP="00865258">
            <w:pPr>
              <w:jc w:val="center"/>
              <w:rPr>
                <w:rFonts w:cs="Times New Roman"/>
                <w:bCs/>
                <w:sz w:val="20"/>
                <w:szCs w:val="20"/>
                <w:lang w:val="en-GB"/>
              </w:rPr>
            </w:pPr>
            <w:r w:rsidRPr="00D72AC3">
              <w:rPr>
                <w:sz w:val="20"/>
                <w:szCs w:val="20"/>
                <w:lang w:val="en-GB" w:bidi="en-GB"/>
              </w:rPr>
              <w:t>FCMC, SRS, BoL, LGSI, LCSA, LCSN, LACA, NCCH, CRPC</w:t>
            </w:r>
          </w:p>
        </w:tc>
        <w:tc>
          <w:tcPr>
            <w:tcW w:w="1417" w:type="dxa"/>
            <w:shd w:val="clear" w:color="auto" w:fill="auto"/>
          </w:tcPr>
          <w:p w:rsidR="00005A22" w:rsidRPr="00D72AC3" w:rsidRDefault="006E38D1" w:rsidP="00C97FF2">
            <w:pPr>
              <w:jc w:val="center"/>
              <w:rPr>
                <w:rFonts w:cs="Times New Roman"/>
                <w:bCs/>
                <w:sz w:val="20"/>
                <w:szCs w:val="20"/>
                <w:lang w:val="en-GB"/>
              </w:rPr>
            </w:pPr>
            <w:r w:rsidRPr="00D72AC3">
              <w:rPr>
                <w:rFonts w:cs="Times New Roman"/>
                <w:sz w:val="20"/>
                <w:szCs w:val="20"/>
                <w:lang w:val="en-GB" w:bidi="en-GB"/>
              </w:rPr>
              <w:t>Starting from 15 October 2018</w:t>
            </w:r>
          </w:p>
        </w:tc>
      </w:tr>
      <w:tr w:rsidR="00350DB9" w:rsidRPr="00D72AC3" w:rsidTr="00A37320">
        <w:trPr>
          <w:trHeight w:val="554"/>
        </w:trPr>
        <w:tc>
          <w:tcPr>
            <w:tcW w:w="709" w:type="dxa"/>
            <w:vMerge w:val="restart"/>
          </w:tcPr>
          <w:p w:rsidR="00350DB9" w:rsidRPr="00D72AC3" w:rsidRDefault="00350DB9" w:rsidP="0028738E">
            <w:pPr>
              <w:jc w:val="center"/>
              <w:rPr>
                <w:sz w:val="20"/>
                <w:szCs w:val="20"/>
                <w:lang w:val="en-GB"/>
              </w:rPr>
            </w:pPr>
            <w:r w:rsidRPr="00D72AC3">
              <w:rPr>
                <w:sz w:val="20"/>
                <w:szCs w:val="20"/>
                <w:lang w:val="en-GB" w:bidi="en-GB"/>
              </w:rPr>
              <w:t>3.3.</w:t>
            </w:r>
          </w:p>
        </w:tc>
        <w:tc>
          <w:tcPr>
            <w:tcW w:w="3686" w:type="dxa"/>
            <w:vMerge w:val="restart"/>
            <w:shd w:val="clear" w:color="auto" w:fill="auto"/>
          </w:tcPr>
          <w:p w:rsidR="00350DB9" w:rsidRPr="00D72AC3" w:rsidRDefault="00350DB9" w:rsidP="0028738E">
            <w:pPr>
              <w:jc w:val="both"/>
              <w:rPr>
                <w:sz w:val="20"/>
                <w:szCs w:val="20"/>
                <w:lang w:val="en-GB"/>
              </w:rPr>
            </w:pPr>
            <w:r w:rsidRPr="00D72AC3">
              <w:rPr>
                <w:sz w:val="20"/>
                <w:szCs w:val="20"/>
                <w:lang w:val="en-GB" w:bidi="en-GB"/>
              </w:rPr>
              <w:t>To review the number of employees and resources of the supervisory authorities, in order to ensure that they are able to adequately manage the identified risks and supervise the conduct of the subjects of law with respect to the risks</w:t>
            </w:r>
          </w:p>
        </w:tc>
        <w:tc>
          <w:tcPr>
            <w:tcW w:w="1559" w:type="dxa"/>
            <w:vMerge w:val="restart"/>
          </w:tcPr>
          <w:p w:rsidR="00350DB9" w:rsidRPr="00D72AC3" w:rsidRDefault="00350DB9" w:rsidP="0028738E">
            <w:pPr>
              <w:jc w:val="both"/>
              <w:rPr>
                <w:sz w:val="20"/>
                <w:szCs w:val="20"/>
                <w:lang w:val="en-GB"/>
              </w:rPr>
            </w:pPr>
            <w:r w:rsidRPr="00D72AC3">
              <w:rPr>
                <w:sz w:val="20"/>
                <w:szCs w:val="20"/>
                <w:lang w:val="en-GB" w:bidi="en-GB"/>
              </w:rPr>
              <w:t>Moneyval recommendation 3.5.</w:t>
            </w:r>
          </w:p>
          <w:p w:rsidR="00350DB9" w:rsidRPr="00D72AC3" w:rsidRDefault="00350DB9" w:rsidP="0028738E">
            <w:pPr>
              <w:jc w:val="both"/>
              <w:rPr>
                <w:sz w:val="20"/>
                <w:szCs w:val="20"/>
                <w:lang w:val="en-GB"/>
              </w:rPr>
            </w:pPr>
            <w:r w:rsidRPr="00D72AC3">
              <w:rPr>
                <w:sz w:val="20"/>
                <w:szCs w:val="20"/>
                <w:lang w:val="en-GB" w:bidi="en-GB"/>
              </w:rPr>
              <w:t>Plan of Measures for 2017-2019 Measure 6.1, 6.2, 6.3.</w:t>
            </w:r>
          </w:p>
          <w:p w:rsidR="00350DB9" w:rsidRPr="00D72AC3" w:rsidRDefault="00350DB9" w:rsidP="0028738E">
            <w:pPr>
              <w:jc w:val="both"/>
              <w:rPr>
                <w:sz w:val="20"/>
                <w:szCs w:val="20"/>
                <w:lang w:val="en-GB"/>
              </w:rPr>
            </w:pPr>
          </w:p>
        </w:tc>
        <w:tc>
          <w:tcPr>
            <w:tcW w:w="2410" w:type="dxa"/>
            <w:vMerge w:val="restart"/>
            <w:shd w:val="clear" w:color="auto" w:fill="auto"/>
          </w:tcPr>
          <w:p w:rsidR="00350DB9" w:rsidRPr="00D72AC3" w:rsidRDefault="00350DB9" w:rsidP="00627499">
            <w:pPr>
              <w:jc w:val="both"/>
              <w:rPr>
                <w:sz w:val="20"/>
                <w:szCs w:val="20"/>
                <w:lang w:val="en-GB"/>
              </w:rPr>
            </w:pPr>
            <w:r w:rsidRPr="00D72AC3">
              <w:rPr>
                <w:sz w:val="20"/>
                <w:szCs w:val="20"/>
                <w:lang w:val="en-GB" w:bidi="en-GB"/>
              </w:rPr>
              <w:t>Capacity of the supervisory and control authorities built</w:t>
            </w:r>
          </w:p>
        </w:tc>
        <w:tc>
          <w:tcPr>
            <w:tcW w:w="2693" w:type="dxa"/>
          </w:tcPr>
          <w:p w:rsidR="00350DB9" w:rsidRDefault="00C22658" w:rsidP="00627499">
            <w:pPr>
              <w:jc w:val="both"/>
              <w:rPr>
                <w:sz w:val="20"/>
                <w:szCs w:val="20"/>
                <w:lang w:val="en-GB" w:bidi="en-GB"/>
              </w:rPr>
            </w:pPr>
            <w:r w:rsidRPr="00D72AC3">
              <w:rPr>
                <w:sz w:val="20"/>
                <w:szCs w:val="20"/>
                <w:lang w:val="en-GB" w:bidi="en-GB"/>
              </w:rPr>
              <w:t>1. 6 (six) new job positions established in the FCMC Compliance Control Department</w:t>
            </w:r>
            <w:r w:rsidR="0035437C" w:rsidRPr="0035437C">
              <w:rPr>
                <w:sz w:val="20"/>
                <w:szCs w:val="20"/>
                <w:lang w:val="en-GB" w:bidi="en-GB"/>
              </w:rPr>
              <w:t>*</w:t>
            </w:r>
          </w:p>
          <w:p w:rsidR="0035437C" w:rsidRPr="00D72AC3" w:rsidRDefault="0035437C" w:rsidP="00627499">
            <w:pPr>
              <w:jc w:val="both"/>
              <w:rPr>
                <w:sz w:val="20"/>
                <w:szCs w:val="20"/>
                <w:lang w:val="en-GB"/>
              </w:rPr>
            </w:pPr>
            <w:r w:rsidRPr="0035437C">
              <w:rPr>
                <w:sz w:val="20"/>
                <w:szCs w:val="20"/>
                <w:lang w:val="en-GB"/>
              </w:rPr>
              <w:t>*</w:t>
            </w:r>
            <w:r>
              <w:t xml:space="preserve"> </w:t>
            </w:r>
            <w:r w:rsidRPr="0035437C">
              <w:rPr>
                <w:sz w:val="20"/>
                <w:szCs w:val="20"/>
                <w:lang w:val="en-GB"/>
              </w:rPr>
              <w:t>Following the performance of the OECD system assessment</w:t>
            </w:r>
          </w:p>
        </w:tc>
        <w:tc>
          <w:tcPr>
            <w:tcW w:w="1159" w:type="dxa"/>
            <w:shd w:val="clear" w:color="auto" w:fill="auto"/>
          </w:tcPr>
          <w:p w:rsidR="00350DB9" w:rsidRPr="00D72AC3" w:rsidRDefault="00350DB9" w:rsidP="00627499">
            <w:pPr>
              <w:jc w:val="center"/>
              <w:rPr>
                <w:sz w:val="20"/>
                <w:szCs w:val="20"/>
                <w:lang w:val="en-GB"/>
              </w:rPr>
            </w:pPr>
            <w:r w:rsidRPr="00D72AC3">
              <w:rPr>
                <w:color w:val="000000" w:themeColor="text1"/>
                <w:sz w:val="20"/>
                <w:szCs w:val="20"/>
                <w:lang w:val="en-GB" w:bidi="en-GB"/>
              </w:rPr>
              <w:t>FCMC</w:t>
            </w:r>
          </w:p>
        </w:tc>
        <w:tc>
          <w:tcPr>
            <w:tcW w:w="1276" w:type="dxa"/>
            <w:shd w:val="clear" w:color="auto" w:fill="auto"/>
          </w:tcPr>
          <w:p w:rsidR="00350DB9" w:rsidRPr="00D72AC3" w:rsidRDefault="00350DB9" w:rsidP="0028738E">
            <w:pPr>
              <w:jc w:val="center"/>
              <w:rPr>
                <w:sz w:val="20"/>
                <w:szCs w:val="20"/>
                <w:lang w:val="en-GB"/>
              </w:rPr>
            </w:pPr>
          </w:p>
        </w:tc>
        <w:tc>
          <w:tcPr>
            <w:tcW w:w="1417" w:type="dxa"/>
            <w:shd w:val="clear" w:color="auto" w:fill="auto"/>
          </w:tcPr>
          <w:p w:rsidR="00350DB9" w:rsidRPr="00D72AC3" w:rsidRDefault="00350DB9" w:rsidP="00C97FF2">
            <w:pPr>
              <w:jc w:val="center"/>
              <w:rPr>
                <w:sz w:val="20"/>
                <w:szCs w:val="20"/>
                <w:lang w:val="en-GB"/>
              </w:rPr>
            </w:pPr>
            <w:r w:rsidRPr="00D72AC3">
              <w:rPr>
                <w:sz w:val="20"/>
                <w:szCs w:val="20"/>
                <w:lang w:val="en-GB" w:bidi="en-GB"/>
              </w:rPr>
              <w:t>1 January 2019</w:t>
            </w:r>
          </w:p>
        </w:tc>
      </w:tr>
      <w:tr w:rsidR="00350DB9" w:rsidRPr="00D72AC3" w:rsidTr="00A37320">
        <w:trPr>
          <w:trHeight w:val="554"/>
        </w:trPr>
        <w:tc>
          <w:tcPr>
            <w:tcW w:w="709" w:type="dxa"/>
            <w:vMerge/>
          </w:tcPr>
          <w:p w:rsidR="00350DB9" w:rsidRPr="00D72AC3" w:rsidRDefault="00350DB9" w:rsidP="00627499">
            <w:pPr>
              <w:jc w:val="center"/>
              <w:rPr>
                <w:sz w:val="20"/>
                <w:szCs w:val="20"/>
                <w:lang w:val="en-GB"/>
              </w:rPr>
            </w:pPr>
          </w:p>
        </w:tc>
        <w:tc>
          <w:tcPr>
            <w:tcW w:w="3686" w:type="dxa"/>
            <w:vMerge/>
            <w:shd w:val="clear" w:color="auto" w:fill="auto"/>
          </w:tcPr>
          <w:p w:rsidR="00350DB9" w:rsidRPr="00D72AC3" w:rsidRDefault="00350DB9" w:rsidP="00627499">
            <w:pPr>
              <w:jc w:val="both"/>
              <w:rPr>
                <w:sz w:val="20"/>
                <w:szCs w:val="20"/>
                <w:lang w:val="en-GB"/>
              </w:rPr>
            </w:pPr>
          </w:p>
        </w:tc>
        <w:tc>
          <w:tcPr>
            <w:tcW w:w="1559" w:type="dxa"/>
            <w:vMerge/>
          </w:tcPr>
          <w:p w:rsidR="00350DB9" w:rsidRPr="00D72AC3" w:rsidRDefault="00350DB9" w:rsidP="00627499">
            <w:pPr>
              <w:jc w:val="both"/>
              <w:rPr>
                <w:sz w:val="20"/>
                <w:szCs w:val="20"/>
                <w:lang w:val="en-GB"/>
              </w:rPr>
            </w:pPr>
          </w:p>
        </w:tc>
        <w:tc>
          <w:tcPr>
            <w:tcW w:w="2410" w:type="dxa"/>
            <w:vMerge/>
            <w:shd w:val="clear" w:color="auto" w:fill="auto"/>
          </w:tcPr>
          <w:p w:rsidR="00350DB9" w:rsidRPr="00D72AC3" w:rsidRDefault="00350DB9" w:rsidP="00627499">
            <w:pPr>
              <w:jc w:val="both"/>
              <w:rPr>
                <w:sz w:val="20"/>
                <w:szCs w:val="20"/>
                <w:lang w:val="en-GB"/>
              </w:rPr>
            </w:pPr>
          </w:p>
        </w:tc>
        <w:tc>
          <w:tcPr>
            <w:tcW w:w="2693" w:type="dxa"/>
          </w:tcPr>
          <w:p w:rsidR="00350DB9" w:rsidRPr="00D72AC3" w:rsidRDefault="00C22658" w:rsidP="00350DB9">
            <w:pPr>
              <w:jc w:val="both"/>
              <w:rPr>
                <w:rFonts w:eastAsia="Times New Roman"/>
                <w:bCs/>
                <w:sz w:val="20"/>
                <w:szCs w:val="20"/>
                <w:lang w:val="en-GB" w:eastAsia="lv-LV"/>
              </w:rPr>
            </w:pPr>
            <w:r w:rsidRPr="00D72AC3">
              <w:rPr>
                <w:rFonts w:eastAsia="Times New Roman"/>
                <w:sz w:val="20"/>
                <w:szCs w:val="20"/>
                <w:lang w:val="en-GB" w:bidi="en-GB"/>
              </w:rPr>
              <w:t xml:space="preserve">2. In 2017, the changes were introduced to the SRS structure, establishing the structural unit with 21 position, including 10 new positions </w:t>
            </w:r>
          </w:p>
          <w:p w:rsidR="00350DB9" w:rsidRPr="00D72AC3" w:rsidRDefault="003923D2" w:rsidP="00C8593B">
            <w:pPr>
              <w:jc w:val="both"/>
              <w:rPr>
                <w:sz w:val="20"/>
                <w:szCs w:val="20"/>
                <w:lang w:val="en-GB"/>
              </w:rPr>
            </w:pPr>
            <w:r w:rsidRPr="00D72AC3">
              <w:rPr>
                <w:rFonts w:eastAsia="Times New Roman"/>
                <w:sz w:val="20"/>
                <w:szCs w:val="20"/>
                <w:lang w:val="en-GB" w:bidi="en-GB"/>
              </w:rPr>
              <w:t xml:space="preserve">In 2019, to allocate 25 job positions of the SRS, ensuring strengthening of the risk analysis-based anti-money </w:t>
            </w:r>
            <w:r w:rsidRPr="00D72AC3">
              <w:rPr>
                <w:rFonts w:eastAsia="Times New Roman"/>
                <w:sz w:val="20"/>
                <w:szCs w:val="20"/>
                <w:lang w:val="en-GB" w:bidi="en-GB"/>
              </w:rPr>
              <w:lastRenderedPageBreak/>
              <w:t>laundering supervisory function</w:t>
            </w:r>
          </w:p>
        </w:tc>
        <w:tc>
          <w:tcPr>
            <w:tcW w:w="1159" w:type="dxa"/>
            <w:shd w:val="clear" w:color="auto" w:fill="auto"/>
          </w:tcPr>
          <w:p w:rsidR="00350DB9" w:rsidRPr="00D72AC3" w:rsidRDefault="00350DB9" w:rsidP="00627499">
            <w:pPr>
              <w:jc w:val="center"/>
              <w:rPr>
                <w:color w:val="000000" w:themeColor="text1"/>
                <w:sz w:val="20"/>
                <w:szCs w:val="20"/>
                <w:lang w:val="en-GB"/>
              </w:rPr>
            </w:pPr>
            <w:r w:rsidRPr="00D72AC3">
              <w:rPr>
                <w:color w:val="000000" w:themeColor="text1"/>
                <w:sz w:val="20"/>
                <w:szCs w:val="20"/>
                <w:lang w:val="en-GB" w:bidi="en-GB"/>
              </w:rPr>
              <w:lastRenderedPageBreak/>
              <w:t>SRS</w:t>
            </w:r>
          </w:p>
        </w:tc>
        <w:tc>
          <w:tcPr>
            <w:tcW w:w="1276" w:type="dxa"/>
            <w:shd w:val="clear" w:color="auto" w:fill="auto"/>
          </w:tcPr>
          <w:p w:rsidR="00350DB9" w:rsidRPr="00D72AC3" w:rsidRDefault="00350DB9" w:rsidP="00627499">
            <w:pPr>
              <w:jc w:val="center"/>
              <w:rPr>
                <w:sz w:val="20"/>
                <w:szCs w:val="20"/>
                <w:lang w:val="en-GB"/>
              </w:rPr>
            </w:pPr>
          </w:p>
        </w:tc>
        <w:tc>
          <w:tcPr>
            <w:tcW w:w="1417" w:type="dxa"/>
            <w:shd w:val="clear" w:color="auto" w:fill="auto"/>
          </w:tcPr>
          <w:p w:rsidR="00350DB9" w:rsidRPr="00D72AC3" w:rsidRDefault="00350DB9" w:rsidP="00C97FF2">
            <w:pPr>
              <w:jc w:val="center"/>
              <w:rPr>
                <w:sz w:val="20"/>
                <w:szCs w:val="20"/>
                <w:lang w:val="en-GB"/>
              </w:rPr>
            </w:pPr>
            <w:r w:rsidRPr="00D72AC3">
              <w:rPr>
                <w:sz w:val="20"/>
                <w:szCs w:val="20"/>
                <w:lang w:val="en-GB" w:bidi="en-GB"/>
              </w:rPr>
              <w:t>1 January 2019</w:t>
            </w:r>
          </w:p>
        </w:tc>
      </w:tr>
      <w:tr w:rsidR="00350DB9" w:rsidRPr="00D72AC3" w:rsidTr="00A37320">
        <w:trPr>
          <w:trHeight w:val="713"/>
        </w:trPr>
        <w:tc>
          <w:tcPr>
            <w:tcW w:w="709" w:type="dxa"/>
            <w:vMerge/>
          </w:tcPr>
          <w:p w:rsidR="00350DB9" w:rsidRPr="00D72AC3" w:rsidRDefault="00350DB9" w:rsidP="003A6E7A">
            <w:pPr>
              <w:jc w:val="center"/>
              <w:rPr>
                <w:sz w:val="20"/>
                <w:szCs w:val="20"/>
                <w:lang w:val="en-GB"/>
              </w:rPr>
            </w:pPr>
          </w:p>
        </w:tc>
        <w:tc>
          <w:tcPr>
            <w:tcW w:w="3686" w:type="dxa"/>
            <w:vMerge/>
            <w:shd w:val="clear" w:color="auto" w:fill="auto"/>
          </w:tcPr>
          <w:p w:rsidR="00350DB9" w:rsidRPr="00D72AC3" w:rsidRDefault="00350DB9" w:rsidP="003A6E7A">
            <w:pPr>
              <w:jc w:val="both"/>
              <w:rPr>
                <w:sz w:val="20"/>
                <w:szCs w:val="20"/>
                <w:lang w:val="en-GB"/>
              </w:rPr>
            </w:pPr>
          </w:p>
        </w:tc>
        <w:tc>
          <w:tcPr>
            <w:tcW w:w="1559" w:type="dxa"/>
            <w:vMerge/>
          </w:tcPr>
          <w:p w:rsidR="00350DB9" w:rsidRPr="00D72AC3" w:rsidRDefault="00350DB9" w:rsidP="003A6E7A">
            <w:pPr>
              <w:jc w:val="both"/>
              <w:rPr>
                <w:sz w:val="20"/>
                <w:szCs w:val="20"/>
                <w:lang w:val="en-GB"/>
              </w:rPr>
            </w:pPr>
          </w:p>
        </w:tc>
        <w:tc>
          <w:tcPr>
            <w:tcW w:w="2410" w:type="dxa"/>
            <w:vMerge/>
            <w:shd w:val="clear" w:color="auto" w:fill="auto"/>
          </w:tcPr>
          <w:p w:rsidR="00350DB9" w:rsidRPr="00D72AC3" w:rsidRDefault="00350DB9" w:rsidP="003A6E7A">
            <w:pPr>
              <w:jc w:val="both"/>
              <w:rPr>
                <w:sz w:val="20"/>
                <w:szCs w:val="20"/>
                <w:lang w:val="en-GB"/>
              </w:rPr>
            </w:pPr>
          </w:p>
        </w:tc>
        <w:tc>
          <w:tcPr>
            <w:tcW w:w="2693" w:type="dxa"/>
          </w:tcPr>
          <w:p w:rsidR="00350DB9" w:rsidRPr="00D72AC3" w:rsidRDefault="00C22658" w:rsidP="00505985">
            <w:pPr>
              <w:jc w:val="both"/>
              <w:rPr>
                <w:sz w:val="20"/>
                <w:szCs w:val="20"/>
                <w:lang w:val="en-GB"/>
              </w:rPr>
            </w:pPr>
            <w:r w:rsidRPr="00D72AC3">
              <w:rPr>
                <w:sz w:val="20"/>
                <w:szCs w:val="20"/>
                <w:lang w:val="en-GB" w:bidi="en-GB"/>
              </w:rPr>
              <w:t>3. In 2017 and 2018, 8 (eight) new job positions established in the CRPC, setting up a new division in the CRPC for supervision of the licenced commercial companies</w:t>
            </w:r>
          </w:p>
        </w:tc>
        <w:tc>
          <w:tcPr>
            <w:tcW w:w="1159" w:type="dxa"/>
            <w:shd w:val="clear" w:color="auto" w:fill="auto"/>
          </w:tcPr>
          <w:p w:rsidR="00350DB9" w:rsidRPr="00D72AC3" w:rsidRDefault="00350DB9" w:rsidP="003A6E7A">
            <w:pPr>
              <w:jc w:val="center"/>
              <w:rPr>
                <w:sz w:val="20"/>
                <w:szCs w:val="20"/>
                <w:lang w:val="en-GB"/>
              </w:rPr>
            </w:pPr>
            <w:r w:rsidRPr="00D72AC3">
              <w:rPr>
                <w:sz w:val="20"/>
                <w:szCs w:val="20"/>
                <w:lang w:val="en-GB" w:bidi="en-GB"/>
              </w:rPr>
              <w:t>CRPC</w:t>
            </w:r>
          </w:p>
        </w:tc>
        <w:tc>
          <w:tcPr>
            <w:tcW w:w="1276" w:type="dxa"/>
            <w:shd w:val="clear" w:color="auto" w:fill="auto"/>
          </w:tcPr>
          <w:p w:rsidR="00350DB9" w:rsidRPr="00D72AC3" w:rsidRDefault="00350DB9" w:rsidP="003A6E7A">
            <w:pPr>
              <w:rPr>
                <w:sz w:val="20"/>
                <w:szCs w:val="20"/>
                <w:lang w:val="en-GB"/>
              </w:rPr>
            </w:pPr>
          </w:p>
        </w:tc>
        <w:tc>
          <w:tcPr>
            <w:tcW w:w="1417" w:type="dxa"/>
            <w:shd w:val="clear" w:color="auto" w:fill="auto"/>
          </w:tcPr>
          <w:p w:rsidR="00350DB9" w:rsidRPr="00D72AC3" w:rsidRDefault="00350DB9" w:rsidP="00C97FF2">
            <w:pPr>
              <w:ind w:right="-108"/>
              <w:jc w:val="center"/>
              <w:rPr>
                <w:sz w:val="20"/>
                <w:szCs w:val="20"/>
                <w:lang w:val="en-GB"/>
              </w:rPr>
            </w:pPr>
            <w:r w:rsidRPr="00D72AC3">
              <w:rPr>
                <w:sz w:val="20"/>
                <w:szCs w:val="20"/>
                <w:lang w:val="en-GB" w:bidi="en-GB"/>
              </w:rPr>
              <w:t>1 January 2018</w:t>
            </w:r>
          </w:p>
        </w:tc>
      </w:tr>
      <w:tr w:rsidR="00350DB9" w:rsidRPr="00D72AC3" w:rsidTr="00A37320">
        <w:trPr>
          <w:trHeight w:val="952"/>
        </w:trPr>
        <w:tc>
          <w:tcPr>
            <w:tcW w:w="709" w:type="dxa"/>
            <w:vMerge/>
          </w:tcPr>
          <w:p w:rsidR="00350DB9" w:rsidRPr="00D72AC3" w:rsidRDefault="00350DB9" w:rsidP="00627499">
            <w:pPr>
              <w:jc w:val="center"/>
              <w:rPr>
                <w:sz w:val="20"/>
                <w:szCs w:val="20"/>
                <w:lang w:val="en-GB"/>
              </w:rPr>
            </w:pPr>
          </w:p>
        </w:tc>
        <w:tc>
          <w:tcPr>
            <w:tcW w:w="3686" w:type="dxa"/>
            <w:vMerge/>
            <w:shd w:val="clear" w:color="auto" w:fill="auto"/>
          </w:tcPr>
          <w:p w:rsidR="00350DB9" w:rsidRPr="00D72AC3" w:rsidRDefault="00350DB9" w:rsidP="00627499">
            <w:pPr>
              <w:jc w:val="both"/>
              <w:rPr>
                <w:sz w:val="20"/>
                <w:szCs w:val="20"/>
                <w:lang w:val="en-GB"/>
              </w:rPr>
            </w:pPr>
          </w:p>
        </w:tc>
        <w:tc>
          <w:tcPr>
            <w:tcW w:w="1559" w:type="dxa"/>
            <w:vMerge/>
          </w:tcPr>
          <w:p w:rsidR="00350DB9" w:rsidRPr="00D72AC3" w:rsidRDefault="00350DB9" w:rsidP="00627499">
            <w:pPr>
              <w:jc w:val="both"/>
              <w:rPr>
                <w:sz w:val="20"/>
                <w:szCs w:val="20"/>
                <w:lang w:val="en-GB"/>
              </w:rPr>
            </w:pPr>
          </w:p>
        </w:tc>
        <w:tc>
          <w:tcPr>
            <w:tcW w:w="2410" w:type="dxa"/>
            <w:vMerge/>
            <w:shd w:val="clear" w:color="auto" w:fill="auto"/>
          </w:tcPr>
          <w:p w:rsidR="00350DB9" w:rsidRPr="00D72AC3" w:rsidRDefault="00350DB9" w:rsidP="00627499">
            <w:pPr>
              <w:jc w:val="both"/>
              <w:rPr>
                <w:sz w:val="20"/>
                <w:szCs w:val="20"/>
                <w:lang w:val="en-GB"/>
              </w:rPr>
            </w:pPr>
          </w:p>
        </w:tc>
        <w:tc>
          <w:tcPr>
            <w:tcW w:w="2693" w:type="dxa"/>
          </w:tcPr>
          <w:p w:rsidR="00350DB9" w:rsidRPr="00D72AC3" w:rsidRDefault="00C22658" w:rsidP="009B3ACE">
            <w:pPr>
              <w:jc w:val="both"/>
              <w:rPr>
                <w:sz w:val="20"/>
                <w:szCs w:val="20"/>
                <w:lang w:val="en-GB"/>
              </w:rPr>
            </w:pPr>
            <w:r w:rsidRPr="00D72AC3">
              <w:rPr>
                <w:sz w:val="20"/>
                <w:szCs w:val="20"/>
                <w:lang w:val="en-GB" w:bidi="en-GB"/>
              </w:rPr>
              <w:t>4. In 2018, new job position established in the LGSI, with the specialisation in the AML/CFT issues</w:t>
            </w:r>
          </w:p>
        </w:tc>
        <w:tc>
          <w:tcPr>
            <w:tcW w:w="1159" w:type="dxa"/>
            <w:shd w:val="clear" w:color="auto" w:fill="auto"/>
          </w:tcPr>
          <w:p w:rsidR="00350DB9" w:rsidRPr="00D72AC3" w:rsidRDefault="00350DB9" w:rsidP="00627499">
            <w:pPr>
              <w:jc w:val="center"/>
              <w:rPr>
                <w:sz w:val="20"/>
                <w:szCs w:val="20"/>
                <w:lang w:val="en-GB"/>
              </w:rPr>
            </w:pPr>
            <w:r w:rsidRPr="00D72AC3">
              <w:rPr>
                <w:sz w:val="20"/>
                <w:szCs w:val="20"/>
                <w:lang w:val="en-GB" w:bidi="en-GB"/>
              </w:rPr>
              <w:t>LGSI</w:t>
            </w:r>
          </w:p>
        </w:tc>
        <w:tc>
          <w:tcPr>
            <w:tcW w:w="1276" w:type="dxa"/>
            <w:shd w:val="clear" w:color="auto" w:fill="auto"/>
          </w:tcPr>
          <w:p w:rsidR="00350DB9" w:rsidRPr="00D72AC3" w:rsidRDefault="00350DB9" w:rsidP="00627499">
            <w:pPr>
              <w:rPr>
                <w:sz w:val="20"/>
                <w:szCs w:val="20"/>
                <w:lang w:val="en-GB"/>
              </w:rPr>
            </w:pPr>
          </w:p>
        </w:tc>
        <w:tc>
          <w:tcPr>
            <w:tcW w:w="1417" w:type="dxa"/>
            <w:shd w:val="clear" w:color="auto" w:fill="auto"/>
          </w:tcPr>
          <w:p w:rsidR="00350DB9" w:rsidRPr="00D72AC3" w:rsidRDefault="00350DB9" w:rsidP="00C97FF2">
            <w:pPr>
              <w:ind w:right="-108"/>
              <w:jc w:val="center"/>
              <w:rPr>
                <w:sz w:val="20"/>
                <w:szCs w:val="20"/>
                <w:lang w:val="en-GB"/>
              </w:rPr>
            </w:pPr>
            <w:r w:rsidRPr="00D72AC3">
              <w:rPr>
                <w:sz w:val="20"/>
                <w:szCs w:val="20"/>
                <w:lang w:val="en-GB" w:bidi="en-GB"/>
              </w:rPr>
              <w:t>1 January 2018</w:t>
            </w:r>
          </w:p>
        </w:tc>
      </w:tr>
      <w:tr w:rsidR="00350DB9" w:rsidRPr="00D72AC3" w:rsidTr="00A37320">
        <w:trPr>
          <w:trHeight w:val="589"/>
        </w:trPr>
        <w:tc>
          <w:tcPr>
            <w:tcW w:w="709" w:type="dxa"/>
            <w:vMerge/>
          </w:tcPr>
          <w:p w:rsidR="00350DB9" w:rsidRPr="00D72AC3" w:rsidRDefault="00350DB9" w:rsidP="00350DB9">
            <w:pPr>
              <w:jc w:val="center"/>
              <w:rPr>
                <w:sz w:val="20"/>
                <w:szCs w:val="20"/>
                <w:lang w:val="en-GB"/>
              </w:rPr>
            </w:pPr>
          </w:p>
        </w:tc>
        <w:tc>
          <w:tcPr>
            <w:tcW w:w="3686" w:type="dxa"/>
            <w:vMerge/>
            <w:shd w:val="clear" w:color="auto" w:fill="auto"/>
          </w:tcPr>
          <w:p w:rsidR="00350DB9" w:rsidRPr="00D72AC3" w:rsidRDefault="00350DB9" w:rsidP="00350DB9">
            <w:pPr>
              <w:jc w:val="both"/>
              <w:rPr>
                <w:sz w:val="20"/>
                <w:szCs w:val="20"/>
                <w:lang w:val="en-GB"/>
              </w:rPr>
            </w:pPr>
          </w:p>
        </w:tc>
        <w:tc>
          <w:tcPr>
            <w:tcW w:w="1559" w:type="dxa"/>
            <w:vMerge/>
          </w:tcPr>
          <w:p w:rsidR="00350DB9" w:rsidRPr="00D72AC3" w:rsidRDefault="00350DB9" w:rsidP="00350DB9">
            <w:pPr>
              <w:jc w:val="both"/>
              <w:rPr>
                <w:sz w:val="20"/>
                <w:szCs w:val="20"/>
                <w:lang w:val="en-GB"/>
              </w:rPr>
            </w:pPr>
          </w:p>
        </w:tc>
        <w:tc>
          <w:tcPr>
            <w:tcW w:w="2410" w:type="dxa"/>
            <w:vMerge/>
            <w:shd w:val="clear" w:color="auto" w:fill="auto"/>
          </w:tcPr>
          <w:p w:rsidR="00350DB9" w:rsidRPr="00D72AC3" w:rsidRDefault="00350DB9" w:rsidP="00350DB9">
            <w:pPr>
              <w:jc w:val="both"/>
              <w:rPr>
                <w:sz w:val="20"/>
                <w:szCs w:val="20"/>
                <w:lang w:val="en-GB"/>
              </w:rPr>
            </w:pPr>
          </w:p>
        </w:tc>
        <w:tc>
          <w:tcPr>
            <w:tcW w:w="2693" w:type="dxa"/>
          </w:tcPr>
          <w:p w:rsidR="00350DB9" w:rsidRPr="00D72AC3" w:rsidRDefault="00C22658" w:rsidP="009B3ACE">
            <w:pPr>
              <w:jc w:val="both"/>
              <w:rPr>
                <w:sz w:val="20"/>
                <w:szCs w:val="20"/>
                <w:lang w:val="en-GB"/>
              </w:rPr>
            </w:pPr>
            <w:r w:rsidRPr="00D72AC3">
              <w:rPr>
                <w:sz w:val="20"/>
                <w:szCs w:val="20"/>
                <w:lang w:val="en-GB" w:bidi="en-GB"/>
              </w:rPr>
              <w:t xml:space="preserve">5. In 2019, 3 new job positions established in the </w:t>
            </w:r>
            <w:r w:rsidR="00350DB9" w:rsidRPr="00D72AC3">
              <w:rPr>
                <w:rFonts w:eastAsia="Times New Roman"/>
                <w:sz w:val="20"/>
                <w:szCs w:val="20"/>
                <w:lang w:val="en-GB" w:bidi="en-GB"/>
              </w:rPr>
              <w:t>NCCH</w:t>
            </w:r>
          </w:p>
        </w:tc>
        <w:tc>
          <w:tcPr>
            <w:tcW w:w="1159" w:type="dxa"/>
            <w:shd w:val="clear" w:color="auto" w:fill="auto"/>
          </w:tcPr>
          <w:p w:rsidR="00350DB9" w:rsidRPr="00D72AC3" w:rsidRDefault="00350DB9" w:rsidP="00350DB9">
            <w:pPr>
              <w:jc w:val="center"/>
              <w:rPr>
                <w:sz w:val="20"/>
                <w:szCs w:val="20"/>
                <w:lang w:val="en-GB"/>
              </w:rPr>
            </w:pPr>
            <w:r w:rsidRPr="00D72AC3">
              <w:rPr>
                <w:color w:val="000000" w:themeColor="text1"/>
                <w:sz w:val="20"/>
                <w:szCs w:val="20"/>
                <w:lang w:val="en-GB" w:bidi="en-GB"/>
              </w:rPr>
              <w:t>NCCH</w:t>
            </w:r>
          </w:p>
        </w:tc>
        <w:tc>
          <w:tcPr>
            <w:tcW w:w="1276" w:type="dxa"/>
            <w:shd w:val="clear" w:color="auto" w:fill="auto"/>
          </w:tcPr>
          <w:p w:rsidR="00350DB9" w:rsidRPr="00D72AC3" w:rsidRDefault="00350DB9" w:rsidP="00350DB9">
            <w:pPr>
              <w:rPr>
                <w:sz w:val="20"/>
                <w:szCs w:val="20"/>
                <w:lang w:val="en-GB"/>
              </w:rPr>
            </w:pPr>
          </w:p>
        </w:tc>
        <w:tc>
          <w:tcPr>
            <w:tcW w:w="1417" w:type="dxa"/>
            <w:shd w:val="clear" w:color="auto" w:fill="auto"/>
          </w:tcPr>
          <w:p w:rsidR="00350DB9" w:rsidRPr="00D72AC3" w:rsidRDefault="00350DB9" w:rsidP="00C97FF2">
            <w:pPr>
              <w:ind w:right="-108"/>
              <w:jc w:val="center"/>
              <w:rPr>
                <w:sz w:val="20"/>
                <w:szCs w:val="20"/>
                <w:lang w:val="en-GB"/>
              </w:rPr>
            </w:pPr>
            <w:r w:rsidRPr="00D72AC3">
              <w:rPr>
                <w:sz w:val="20"/>
                <w:szCs w:val="20"/>
                <w:lang w:val="en-GB" w:bidi="en-GB"/>
              </w:rPr>
              <w:t>1 January 2019</w:t>
            </w:r>
          </w:p>
        </w:tc>
      </w:tr>
      <w:tr w:rsidR="00350DB9" w:rsidRPr="00D72AC3" w:rsidTr="00A37320">
        <w:trPr>
          <w:trHeight w:val="1270"/>
        </w:trPr>
        <w:tc>
          <w:tcPr>
            <w:tcW w:w="709" w:type="dxa"/>
            <w:vMerge w:val="restart"/>
          </w:tcPr>
          <w:p w:rsidR="00350DB9" w:rsidRPr="00D72AC3" w:rsidRDefault="00350DB9" w:rsidP="00350DB9">
            <w:pPr>
              <w:jc w:val="center"/>
              <w:rPr>
                <w:sz w:val="20"/>
                <w:szCs w:val="20"/>
                <w:lang w:val="en-GB"/>
              </w:rPr>
            </w:pPr>
            <w:r w:rsidRPr="00D72AC3">
              <w:rPr>
                <w:sz w:val="20"/>
                <w:szCs w:val="20"/>
                <w:lang w:val="en-GB" w:bidi="en-GB"/>
              </w:rPr>
              <w:t>3.4.</w:t>
            </w:r>
          </w:p>
        </w:tc>
        <w:tc>
          <w:tcPr>
            <w:tcW w:w="3686" w:type="dxa"/>
            <w:vMerge w:val="restart"/>
            <w:shd w:val="clear" w:color="auto" w:fill="auto"/>
          </w:tcPr>
          <w:p w:rsidR="00350DB9" w:rsidRPr="00D72AC3" w:rsidRDefault="00350DB9" w:rsidP="00350DB9">
            <w:pPr>
              <w:jc w:val="both"/>
              <w:rPr>
                <w:sz w:val="20"/>
                <w:szCs w:val="20"/>
                <w:lang w:val="en-GB"/>
              </w:rPr>
            </w:pPr>
            <w:r w:rsidRPr="00D72AC3">
              <w:rPr>
                <w:sz w:val="20"/>
                <w:szCs w:val="20"/>
                <w:lang w:val="en-GB" w:bidi="en-GB"/>
              </w:rPr>
              <w:t>To considerably increase the number of on-site AML/CFT verifications in credit institutions and representative offices servicing foreign customers</w:t>
            </w:r>
          </w:p>
          <w:p w:rsidR="00350DB9" w:rsidRPr="00D72AC3" w:rsidRDefault="00350DB9" w:rsidP="00350DB9">
            <w:pPr>
              <w:jc w:val="both"/>
              <w:rPr>
                <w:sz w:val="20"/>
                <w:szCs w:val="20"/>
                <w:lang w:val="en-GB"/>
              </w:rPr>
            </w:pPr>
            <w:r w:rsidRPr="00D72AC3">
              <w:rPr>
                <w:sz w:val="20"/>
                <w:szCs w:val="20"/>
                <w:lang w:val="en-GB" w:bidi="en-GB"/>
              </w:rPr>
              <w:t xml:space="preserve"> </w:t>
            </w:r>
          </w:p>
        </w:tc>
        <w:tc>
          <w:tcPr>
            <w:tcW w:w="1559" w:type="dxa"/>
            <w:vMerge w:val="restart"/>
          </w:tcPr>
          <w:p w:rsidR="00350DB9" w:rsidRPr="00D72AC3" w:rsidRDefault="00350DB9" w:rsidP="00350DB9">
            <w:pPr>
              <w:jc w:val="both"/>
              <w:rPr>
                <w:sz w:val="20"/>
                <w:szCs w:val="20"/>
                <w:lang w:val="en-GB"/>
              </w:rPr>
            </w:pPr>
            <w:r w:rsidRPr="00D72AC3">
              <w:rPr>
                <w:sz w:val="20"/>
                <w:szCs w:val="20"/>
                <w:lang w:val="en-GB" w:bidi="en-GB"/>
              </w:rPr>
              <w:t>Moneyval recommendation 3.2.</w:t>
            </w:r>
          </w:p>
          <w:p w:rsidR="00350DB9" w:rsidRPr="00D72AC3" w:rsidRDefault="00350DB9" w:rsidP="00350DB9">
            <w:pPr>
              <w:jc w:val="both"/>
              <w:rPr>
                <w:sz w:val="20"/>
                <w:szCs w:val="20"/>
                <w:lang w:val="en-GB"/>
              </w:rPr>
            </w:pPr>
            <w:r w:rsidRPr="00D72AC3">
              <w:rPr>
                <w:sz w:val="20"/>
                <w:szCs w:val="20"/>
                <w:lang w:val="en-GB" w:bidi="en-GB"/>
              </w:rPr>
              <w:t xml:space="preserve">Plan of Measures for 2017-2019 Measure 6.6. </w:t>
            </w:r>
          </w:p>
        </w:tc>
        <w:tc>
          <w:tcPr>
            <w:tcW w:w="2410" w:type="dxa"/>
            <w:vMerge w:val="restart"/>
            <w:shd w:val="clear" w:color="auto" w:fill="auto"/>
          </w:tcPr>
          <w:p w:rsidR="00350DB9" w:rsidRPr="00D72AC3" w:rsidRDefault="00350DB9" w:rsidP="00350DB9">
            <w:pPr>
              <w:jc w:val="both"/>
              <w:rPr>
                <w:sz w:val="20"/>
                <w:szCs w:val="20"/>
                <w:lang w:val="en-GB"/>
              </w:rPr>
            </w:pPr>
            <w:r w:rsidRPr="00D72AC3">
              <w:rPr>
                <w:sz w:val="20"/>
                <w:szCs w:val="20"/>
                <w:lang w:val="en-GB" w:bidi="en-GB"/>
              </w:rPr>
              <w:t>More effective supervisory process, ensuring faster processing of data of larger volumes;</w:t>
            </w:r>
          </w:p>
          <w:p w:rsidR="00350DB9" w:rsidRPr="00D72AC3" w:rsidRDefault="00350DB9" w:rsidP="00350DB9">
            <w:pPr>
              <w:jc w:val="both"/>
              <w:rPr>
                <w:sz w:val="20"/>
                <w:szCs w:val="20"/>
                <w:lang w:val="en-GB"/>
              </w:rPr>
            </w:pPr>
            <w:r w:rsidRPr="00D72AC3">
              <w:rPr>
                <w:rFonts w:eastAsia="Times New Roman"/>
                <w:sz w:val="20"/>
                <w:szCs w:val="20"/>
                <w:lang w:val="en-GB" w:bidi="en-GB"/>
              </w:rPr>
              <w:t>IT solution introduced for analytical data processing and particular risks determined in the guidance on verifications;</w:t>
            </w:r>
          </w:p>
          <w:p w:rsidR="00350DB9" w:rsidRPr="00D72AC3" w:rsidRDefault="00350DB9" w:rsidP="00350DB9">
            <w:pPr>
              <w:jc w:val="both"/>
              <w:rPr>
                <w:sz w:val="20"/>
                <w:szCs w:val="20"/>
                <w:lang w:val="en-GB"/>
              </w:rPr>
            </w:pPr>
            <w:r w:rsidRPr="00D72AC3">
              <w:rPr>
                <w:sz w:val="20"/>
                <w:szCs w:val="20"/>
                <w:lang w:val="en-GB" w:bidi="en-GB"/>
              </w:rPr>
              <w:t>Supervisory verifications carried out</w:t>
            </w:r>
          </w:p>
          <w:p w:rsidR="00350DB9" w:rsidRPr="00D72AC3" w:rsidRDefault="00350DB9" w:rsidP="00350DB9">
            <w:pPr>
              <w:jc w:val="both"/>
              <w:rPr>
                <w:sz w:val="20"/>
                <w:szCs w:val="20"/>
                <w:lang w:val="en-GB"/>
              </w:rPr>
            </w:pPr>
          </w:p>
        </w:tc>
        <w:tc>
          <w:tcPr>
            <w:tcW w:w="2693" w:type="dxa"/>
          </w:tcPr>
          <w:p w:rsidR="00350DB9" w:rsidRPr="00D72AC3" w:rsidRDefault="00C22658" w:rsidP="009B3ACE">
            <w:pPr>
              <w:jc w:val="both"/>
              <w:rPr>
                <w:sz w:val="20"/>
                <w:szCs w:val="20"/>
                <w:lang w:val="en-GB"/>
              </w:rPr>
            </w:pPr>
            <w:r w:rsidRPr="00D72AC3">
              <w:rPr>
                <w:sz w:val="20"/>
                <w:szCs w:val="20"/>
                <w:lang w:val="en-GB" w:bidi="en-GB"/>
              </w:rPr>
              <w:t>1. Automatic data screening against sanctions (EU, OFAC, UN) and PEP lists (Accuity compliance link)</w:t>
            </w:r>
          </w:p>
        </w:tc>
        <w:tc>
          <w:tcPr>
            <w:tcW w:w="1159" w:type="dxa"/>
            <w:shd w:val="clear" w:color="auto" w:fill="auto"/>
          </w:tcPr>
          <w:p w:rsidR="00350DB9" w:rsidRPr="00D72AC3" w:rsidRDefault="00350DB9" w:rsidP="00350DB9">
            <w:pPr>
              <w:jc w:val="center"/>
              <w:rPr>
                <w:sz w:val="20"/>
                <w:szCs w:val="20"/>
                <w:lang w:val="en-GB"/>
              </w:rPr>
            </w:pPr>
            <w:r w:rsidRPr="00D72AC3">
              <w:rPr>
                <w:sz w:val="20"/>
                <w:szCs w:val="20"/>
                <w:lang w:val="en-GB" w:bidi="en-GB"/>
              </w:rPr>
              <w:t>FCMC</w:t>
            </w:r>
          </w:p>
        </w:tc>
        <w:tc>
          <w:tcPr>
            <w:tcW w:w="1276" w:type="dxa"/>
            <w:shd w:val="clear" w:color="auto" w:fill="auto"/>
          </w:tcPr>
          <w:p w:rsidR="00350DB9" w:rsidRPr="00D72AC3" w:rsidRDefault="00350DB9" w:rsidP="00350DB9">
            <w:pPr>
              <w:rPr>
                <w:sz w:val="20"/>
                <w:szCs w:val="20"/>
                <w:lang w:val="en-GB"/>
              </w:rPr>
            </w:pPr>
          </w:p>
        </w:tc>
        <w:tc>
          <w:tcPr>
            <w:tcW w:w="1417" w:type="dxa"/>
            <w:shd w:val="clear" w:color="auto" w:fill="auto"/>
          </w:tcPr>
          <w:p w:rsidR="00350DB9" w:rsidRPr="00D72AC3" w:rsidRDefault="00350DB9" w:rsidP="00C97FF2">
            <w:pPr>
              <w:ind w:right="-108"/>
              <w:jc w:val="center"/>
              <w:rPr>
                <w:sz w:val="20"/>
                <w:szCs w:val="20"/>
                <w:lang w:val="en-GB"/>
              </w:rPr>
            </w:pPr>
            <w:r w:rsidRPr="00D72AC3">
              <w:rPr>
                <w:sz w:val="20"/>
                <w:szCs w:val="20"/>
                <w:lang w:val="en-GB" w:bidi="en-GB"/>
              </w:rPr>
              <w:t>31 December 2018</w:t>
            </w:r>
          </w:p>
        </w:tc>
      </w:tr>
      <w:tr w:rsidR="00350DB9" w:rsidRPr="00D72AC3" w:rsidTr="00A37320">
        <w:trPr>
          <w:trHeight w:val="58"/>
        </w:trPr>
        <w:tc>
          <w:tcPr>
            <w:tcW w:w="709" w:type="dxa"/>
            <w:vMerge/>
          </w:tcPr>
          <w:p w:rsidR="00350DB9" w:rsidRPr="00D72AC3" w:rsidRDefault="00350DB9" w:rsidP="00350DB9">
            <w:pPr>
              <w:jc w:val="center"/>
              <w:rPr>
                <w:sz w:val="20"/>
                <w:szCs w:val="20"/>
                <w:lang w:val="en-GB"/>
              </w:rPr>
            </w:pPr>
          </w:p>
        </w:tc>
        <w:tc>
          <w:tcPr>
            <w:tcW w:w="3686" w:type="dxa"/>
            <w:vMerge/>
            <w:shd w:val="clear" w:color="auto" w:fill="auto"/>
          </w:tcPr>
          <w:p w:rsidR="00350DB9" w:rsidRPr="00D72AC3" w:rsidRDefault="00350DB9" w:rsidP="00350DB9">
            <w:pPr>
              <w:jc w:val="both"/>
              <w:rPr>
                <w:sz w:val="20"/>
                <w:szCs w:val="20"/>
                <w:lang w:val="en-GB"/>
              </w:rPr>
            </w:pPr>
          </w:p>
        </w:tc>
        <w:tc>
          <w:tcPr>
            <w:tcW w:w="1559" w:type="dxa"/>
            <w:vMerge/>
          </w:tcPr>
          <w:p w:rsidR="00350DB9" w:rsidRPr="00D72AC3" w:rsidRDefault="00350DB9" w:rsidP="00350DB9">
            <w:pPr>
              <w:jc w:val="both"/>
              <w:rPr>
                <w:sz w:val="20"/>
                <w:szCs w:val="20"/>
                <w:lang w:val="en-GB"/>
              </w:rPr>
            </w:pPr>
          </w:p>
        </w:tc>
        <w:tc>
          <w:tcPr>
            <w:tcW w:w="2410" w:type="dxa"/>
            <w:vMerge/>
            <w:shd w:val="clear" w:color="auto" w:fill="auto"/>
          </w:tcPr>
          <w:p w:rsidR="00350DB9" w:rsidRPr="00D72AC3" w:rsidRDefault="00350DB9" w:rsidP="00350DB9">
            <w:pPr>
              <w:jc w:val="both"/>
              <w:rPr>
                <w:sz w:val="20"/>
                <w:szCs w:val="20"/>
                <w:lang w:val="en-GB"/>
              </w:rPr>
            </w:pPr>
          </w:p>
        </w:tc>
        <w:tc>
          <w:tcPr>
            <w:tcW w:w="2693" w:type="dxa"/>
          </w:tcPr>
          <w:p w:rsidR="00350DB9" w:rsidRPr="00D72AC3" w:rsidRDefault="00C22658" w:rsidP="009B3ACE">
            <w:pPr>
              <w:jc w:val="both"/>
              <w:rPr>
                <w:rFonts w:eastAsia="Times New Roman"/>
                <w:sz w:val="20"/>
                <w:szCs w:val="20"/>
                <w:lang w:val="en-GB"/>
              </w:rPr>
            </w:pPr>
            <w:r w:rsidRPr="00D72AC3">
              <w:rPr>
                <w:rFonts w:eastAsia="Times New Roman"/>
                <w:sz w:val="20"/>
                <w:szCs w:val="20"/>
                <w:lang w:val="en-GB" w:bidi="en-GB"/>
              </w:rPr>
              <w:t>2. Tools for identification and analysis of possible money laundering schemes and circumvention of default on international sanctions, typologies of suspicious transactions (IBMI2)</w:t>
            </w:r>
          </w:p>
        </w:tc>
        <w:tc>
          <w:tcPr>
            <w:tcW w:w="1159" w:type="dxa"/>
            <w:shd w:val="clear" w:color="auto" w:fill="auto"/>
          </w:tcPr>
          <w:p w:rsidR="00350DB9" w:rsidRPr="00D72AC3" w:rsidRDefault="00350DB9" w:rsidP="00350DB9">
            <w:pPr>
              <w:jc w:val="center"/>
              <w:rPr>
                <w:sz w:val="20"/>
                <w:szCs w:val="20"/>
                <w:lang w:val="en-GB"/>
              </w:rPr>
            </w:pPr>
            <w:r w:rsidRPr="00D72AC3">
              <w:rPr>
                <w:sz w:val="20"/>
                <w:szCs w:val="20"/>
                <w:lang w:val="en-GB" w:bidi="en-GB"/>
              </w:rPr>
              <w:t>FCMC</w:t>
            </w:r>
          </w:p>
        </w:tc>
        <w:tc>
          <w:tcPr>
            <w:tcW w:w="1276" w:type="dxa"/>
            <w:shd w:val="clear" w:color="auto" w:fill="auto"/>
          </w:tcPr>
          <w:p w:rsidR="00350DB9" w:rsidRPr="00D72AC3" w:rsidRDefault="00350DB9" w:rsidP="00350DB9">
            <w:pPr>
              <w:rPr>
                <w:sz w:val="20"/>
                <w:szCs w:val="20"/>
                <w:lang w:val="en-GB"/>
              </w:rPr>
            </w:pPr>
          </w:p>
        </w:tc>
        <w:tc>
          <w:tcPr>
            <w:tcW w:w="1417" w:type="dxa"/>
            <w:shd w:val="clear" w:color="auto" w:fill="auto"/>
          </w:tcPr>
          <w:p w:rsidR="00350DB9" w:rsidRPr="00D72AC3" w:rsidRDefault="00350DB9" w:rsidP="00C97FF2">
            <w:pPr>
              <w:ind w:right="-108"/>
              <w:jc w:val="center"/>
              <w:rPr>
                <w:sz w:val="20"/>
                <w:szCs w:val="20"/>
                <w:lang w:val="en-GB"/>
              </w:rPr>
            </w:pPr>
            <w:r w:rsidRPr="00D72AC3">
              <w:rPr>
                <w:sz w:val="20"/>
                <w:szCs w:val="20"/>
                <w:lang w:val="en-GB" w:bidi="en-GB"/>
              </w:rPr>
              <w:t>30 Ju</w:t>
            </w:r>
            <w:r w:rsidR="0021437C">
              <w:rPr>
                <w:sz w:val="20"/>
                <w:szCs w:val="20"/>
                <w:lang w:val="en-GB" w:bidi="en-GB"/>
              </w:rPr>
              <w:t>ne</w:t>
            </w:r>
            <w:r w:rsidRPr="00D72AC3">
              <w:rPr>
                <w:sz w:val="20"/>
                <w:szCs w:val="20"/>
                <w:lang w:val="en-GB" w:bidi="en-GB"/>
              </w:rPr>
              <w:t> 2019</w:t>
            </w:r>
          </w:p>
        </w:tc>
      </w:tr>
      <w:tr w:rsidR="00350DB9" w:rsidRPr="00D72AC3" w:rsidTr="00A37320">
        <w:trPr>
          <w:trHeight w:val="412"/>
        </w:trPr>
        <w:tc>
          <w:tcPr>
            <w:tcW w:w="709" w:type="dxa"/>
            <w:vMerge/>
          </w:tcPr>
          <w:p w:rsidR="00350DB9" w:rsidRPr="00D72AC3" w:rsidRDefault="00350DB9" w:rsidP="00350DB9">
            <w:pPr>
              <w:jc w:val="center"/>
              <w:rPr>
                <w:color w:val="000000" w:themeColor="text1"/>
                <w:sz w:val="20"/>
                <w:szCs w:val="20"/>
                <w:lang w:val="en-GB"/>
              </w:rPr>
            </w:pPr>
          </w:p>
        </w:tc>
        <w:tc>
          <w:tcPr>
            <w:tcW w:w="3686" w:type="dxa"/>
            <w:vMerge/>
            <w:shd w:val="clear" w:color="auto" w:fill="auto"/>
          </w:tcPr>
          <w:p w:rsidR="00350DB9" w:rsidRPr="00D72AC3" w:rsidRDefault="00350DB9" w:rsidP="00350DB9">
            <w:pPr>
              <w:jc w:val="both"/>
              <w:rPr>
                <w:color w:val="000000" w:themeColor="text1"/>
                <w:sz w:val="20"/>
                <w:szCs w:val="20"/>
                <w:lang w:val="en-GB"/>
              </w:rPr>
            </w:pPr>
          </w:p>
        </w:tc>
        <w:tc>
          <w:tcPr>
            <w:tcW w:w="1559" w:type="dxa"/>
            <w:vMerge/>
          </w:tcPr>
          <w:p w:rsidR="00350DB9" w:rsidRPr="00D72AC3" w:rsidRDefault="00350DB9" w:rsidP="00350DB9">
            <w:pPr>
              <w:jc w:val="both"/>
              <w:rPr>
                <w:color w:val="000000" w:themeColor="text1"/>
                <w:sz w:val="20"/>
                <w:szCs w:val="20"/>
                <w:lang w:val="en-GB"/>
              </w:rPr>
            </w:pPr>
          </w:p>
        </w:tc>
        <w:tc>
          <w:tcPr>
            <w:tcW w:w="2410" w:type="dxa"/>
            <w:vMerge/>
            <w:shd w:val="clear" w:color="auto" w:fill="auto"/>
          </w:tcPr>
          <w:p w:rsidR="00350DB9" w:rsidRPr="00D72AC3" w:rsidRDefault="00350DB9" w:rsidP="00350DB9">
            <w:pPr>
              <w:jc w:val="both"/>
              <w:rPr>
                <w:color w:val="000000" w:themeColor="text1"/>
                <w:sz w:val="20"/>
                <w:szCs w:val="20"/>
                <w:lang w:val="en-GB"/>
              </w:rPr>
            </w:pPr>
          </w:p>
        </w:tc>
        <w:tc>
          <w:tcPr>
            <w:tcW w:w="2693" w:type="dxa"/>
          </w:tcPr>
          <w:p w:rsidR="00350DB9" w:rsidRPr="00D72AC3" w:rsidRDefault="00C22658" w:rsidP="009B3ACE">
            <w:pPr>
              <w:jc w:val="both"/>
              <w:rPr>
                <w:color w:val="000000" w:themeColor="text1"/>
                <w:sz w:val="20"/>
                <w:szCs w:val="20"/>
                <w:lang w:val="en-GB"/>
              </w:rPr>
            </w:pPr>
            <w:r w:rsidRPr="00D72AC3">
              <w:rPr>
                <w:rFonts w:eastAsia="Times New Roman"/>
                <w:sz w:val="20"/>
                <w:szCs w:val="20"/>
                <w:lang w:val="en-GB" w:bidi="en-GB"/>
              </w:rPr>
              <w:t xml:space="preserve">3. The number of verifications increased by 20% as compared to 2018, ensuring that verifications are carried out in the field with higher ML/FT exposure, </w:t>
            </w:r>
            <w:r w:rsidRPr="00D72AC3">
              <w:rPr>
                <w:rFonts w:eastAsia="Times New Roman"/>
                <w:i/>
                <w:sz w:val="20"/>
                <w:szCs w:val="20"/>
                <w:lang w:val="en-GB" w:bidi="en-GB"/>
              </w:rPr>
              <w:t>inter alia</w:t>
            </w:r>
            <w:r w:rsidRPr="00D72AC3">
              <w:rPr>
                <w:rFonts w:eastAsia="Times New Roman"/>
                <w:sz w:val="20"/>
                <w:szCs w:val="20"/>
                <w:lang w:val="en-GB" w:bidi="en-GB"/>
              </w:rPr>
              <w:t>, the use of special checks enhanced</w:t>
            </w:r>
          </w:p>
        </w:tc>
        <w:tc>
          <w:tcPr>
            <w:tcW w:w="1159" w:type="dxa"/>
            <w:shd w:val="clear" w:color="auto" w:fill="auto"/>
          </w:tcPr>
          <w:p w:rsidR="00350DB9" w:rsidRPr="00D72AC3" w:rsidRDefault="00350DB9" w:rsidP="00350DB9">
            <w:pPr>
              <w:jc w:val="center"/>
              <w:rPr>
                <w:color w:val="000000" w:themeColor="text1"/>
                <w:szCs w:val="24"/>
                <w:lang w:val="en-GB"/>
              </w:rPr>
            </w:pPr>
            <w:r w:rsidRPr="00D72AC3">
              <w:rPr>
                <w:sz w:val="20"/>
                <w:szCs w:val="20"/>
                <w:lang w:val="en-GB" w:bidi="en-GB"/>
              </w:rPr>
              <w:t>FCMC</w:t>
            </w:r>
          </w:p>
        </w:tc>
        <w:tc>
          <w:tcPr>
            <w:tcW w:w="1276" w:type="dxa"/>
            <w:shd w:val="clear" w:color="auto" w:fill="auto"/>
          </w:tcPr>
          <w:p w:rsidR="00350DB9" w:rsidRPr="00D72AC3" w:rsidRDefault="00350DB9" w:rsidP="00350DB9">
            <w:pPr>
              <w:rPr>
                <w:color w:val="000000" w:themeColor="text1"/>
                <w:sz w:val="20"/>
                <w:szCs w:val="20"/>
                <w:lang w:val="en-GB"/>
              </w:rPr>
            </w:pPr>
          </w:p>
        </w:tc>
        <w:tc>
          <w:tcPr>
            <w:tcW w:w="1417" w:type="dxa"/>
            <w:shd w:val="clear" w:color="auto" w:fill="auto"/>
          </w:tcPr>
          <w:p w:rsidR="00350DB9" w:rsidRPr="00D72AC3" w:rsidRDefault="00350DB9" w:rsidP="00C97FF2">
            <w:pPr>
              <w:jc w:val="center"/>
              <w:rPr>
                <w:sz w:val="20"/>
                <w:szCs w:val="20"/>
                <w:lang w:val="en-GB"/>
              </w:rPr>
            </w:pPr>
            <w:r w:rsidRPr="00D72AC3">
              <w:rPr>
                <w:sz w:val="20"/>
                <w:szCs w:val="20"/>
                <w:lang w:val="en-GB" w:bidi="en-GB"/>
              </w:rPr>
              <w:t>31 December 2019</w:t>
            </w:r>
          </w:p>
        </w:tc>
      </w:tr>
      <w:tr w:rsidR="00350DB9" w:rsidRPr="00D72AC3" w:rsidTr="00A37320">
        <w:trPr>
          <w:trHeight w:val="3534"/>
        </w:trPr>
        <w:tc>
          <w:tcPr>
            <w:tcW w:w="709" w:type="dxa"/>
          </w:tcPr>
          <w:p w:rsidR="00350DB9" w:rsidRPr="00D72AC3" w:rsidRDefault="00350DB9" w:rsidP="00350DB9">
            <w:pPr>
              <w:jc w:val="center"/>
              <w:rPr>
                <w:sz w:val="20"/>
                <w:szCs w:val="20"/>
                <w:lang w:val="en-GB"/>
              </w:rPr>
            </w:pPr>
            <w:r w:rsidRPr="00D72AC3">
              <w:rPr>
                <w:sz w:val="20"/>
                <w:szCs w:val="20"/>
                <w:lang w:val="en-GB" w:bidi="en-GB"/>
              </w:rPr>
              <w:lastRenderedPageBreak/>
              <w:t>3.5.</w:t>
            </w:r>
          </w:p>
        </w:tc>
        <w:tc>
          <w:tcPr>
            <w:tcW w:w="3686" w:type="dxa"/>
            <w:shd w:val="clear" w:color="auto" w:fill="auto"/>
          </w:tcPr>
          <w:p w:rsidR="00350DB9" w:rsidRPr="00D72AC3" w:rsidRDefault="00350DB9" w:rsidP="00BA4746">
            <w:pPr>
              <w:jc w:val="both"/>
              <w:rPr>
                <w:sz w:val="20"/>
                <w:szCs w:val="20"/>
                <w:lang w:val="en-GB"/>
              </w:rPr>
            </w:pPr>
            <w:r w:rsidRPr="00D72AC3">
              <w:rPr>
                <w:sz w:val="20"/>
                <w:szCs w:val="20"/>
                <w:lang w:val="en-GB" w:bidi="en-GB"/>
              </w:rPr>
              <w:t xml:space="preserve">For the SRS to allocate more resources to AML/CFT supervision programme and to ensure adequate, risk-based coverage of wide range of subjects within the scope of supervision </w:t>
            </w:r>
          </w:p>
        </w:tc>
        <w:tc>
          <w:tcPr>
            <w:tcW w:w="1559" w:type="dxa"/>
          </w:tcPr>
          <w:p w:rsidR="00350DB9" w:rsidRPr="00D72AC3" w:rsidRDefault="00350DB9" w:rsidP="00350DB9">
            <w:pPr>
              <w:jc w:val="both"/>
              <w:rPr>
                <w:sz w:val="20"/>
                <w:szCs w:val="20"/>
                <w:lang w:val="en-GB"/>
              </w:rPr>
            </w:pPr>
            <w:r w:rsidRPr="00D72AC3">
              <w:rPr>
                <w:sz w:val="20"/>
                <w:szCs w:val="20"/>
                <w:lang w:val="en-GB" w:bidi="en-GB"/>
              </w:rPr>
              <w:t>Moneyval recommendation 3.1., 3.5., 3.6.</w:t>
            </w:r>
          </w:p>
        </w:tc>
        <w:tc>
          <w:tcPr>
            <w:tcW w:w="2410" w:type="dxa"/>
            <w:shd w:val="clear" w:color="auto" w:fill="auto"/>
          </w:tcPr>
          <w:p w:rsidR="00350DB9" w:rsidRPr="00D72AC3" w:rsidRDefault="00350DB9" w:rsidP="00350DB9">
            <w:pPr>
              <w:jc w:val="both"/>
              <w:rPr>
                <w:sz w:val="20"/>
                <w:szCs w:val="20"/>
                <w:lang w:val="en-GB"/>
              </w:rPr>
            </w:pPr>
            <w:r w:rsidRPr="00D72AC3">
              <w:rPr>
                <w:sz w:val="20"/>
                <w:szCs w:val="20"/>
                <w:lang w:val="en-GB" w:bidi="en-GB"/>
              </w:rPr>
              <w:t>Internal resources of the SRS assessed for the purposes of building the capacity in the AML/CFT field and ensuring considerable progress in the risk-based supervision of wide range of subjects</w:t>
            </w:r>
          </w:p>
        </w:tc>
        <w:tc>
          <w:tcPr>
            <w:tcW w:w="2693" w:type="dxa"/>
          </w:tcPr>
          <w:p w:rsidR="00350DB9" w:rsidRPr="00D72AC3" w:rsidRDefault="00350DB9" w:rsidP="00350DB9">
            <w:pPr>
              <w:jc w:val="both"/>
              <w:rPr>
                <w:sz w:val="20"/>
                <w:szCs w:val="20"/>
                <w:lang w:val="en-GB"/>
              </w:rPr>
            </w:pPr>
            <w:r w:rsidRPr="00D72AC3">
              <w:rPr>
                <w:sz w:val="20"/>
                <w:szCs w:val="20"/>
                <w:lang w:val="en-GB" w:bidi="en-GB"/>
              </w:rPr>
              <w:t>According to the performed assessment, resources allocated to build the capacity and increase the number of risk-based on-site verifications</w:t>
            </w:r>
            <w:r w:rsidR="0021437C">
              <w:rPr>
                <w:sz w:val="20"/>
                <w:szCs w:val="20"/>
                <w:lang w:val="en-GB" w:bidi="en-GB"/>
              </w:rPr>
              <w:t>.</w:t>
            </w:r>
            <w:r w:rsidRPr="00D72AC3">
              <w:rPr>
                <w:sz w:val="20"/>
                <w:szCs w:val="20"/>
                <w:lang w:val="en-GB" w:bidi="en-GB"/>
              </w:rPr>
              <w:t xml:space="preserve"> </w:t>
            </w:r>
          </w:p>
          <w:p w:rsidR="00350DB9" w:rsidRPr="00D72AC3" w:rsidRDefault="00350DB9" w:rsidP="00C8593B">
            <w:pPr>
              <w:jc w:val="both"/>
              <w:rPr>
                <w:sz w:val="20"/>
                <w:szCs w:val="20"/>
                <w:lang w:val="en-GB"/>
              </w:rPr>
            </w:pPr>
            <w:r w:rsidRPr="00D72AC3">
              <w:rPr>
                <w:sz w:val="20"/>
                <w:szCs w:val="20"/>
                <w:lang w:val="en-GB" w:bidi="en-GB"/>
              </w:rPr>
              <w:t>Taking into account the planned increase in the number of employees, the number of on-site verifications will be increased four times, to achieve 1, 000</w:t>
            </w:r>
            <w:r w:rsidR="00B05EB5" w:rsidRPr="00D72AC3">
              <w:rPr>
                <w:rStyle w:val="FootnoteReference"/>
                <w:sz w:val="20"/>
                <w:szCs w:val="20"/>
                <w:lang w:val="en-GB" w:bidi="en-GB"/>
              </w:rPr>
              <w:footnoteReference w:id="6"/>
            </w:r>
            <w:r w:rsidRPr="00D72AC3">
              <w:rPr>
                <w:sz w:val="20"/>
                <w:szCs w:val="20"/>
                <w:lang w:val="en-GB" w:bidi="en-GB"/>
              </w:rPr>
              <w:t xml:space="preserve"> on-site verifications per year (out of ~ 12, 000 taxpayers under supervision of the SRS, 1, 000 have been identified as high risk).</w:t>
            </w:r>
          </w:p>
        </w:tc>
        <w:tc>
          <w:tcPr>
            <w:tcW w:w="1159" w:type="dxa"/>
            <w:shd w:val="clear" w:color="auto" w:fill="auto"/>
          </w:tcPr>
          <w:p w:rsidR="00350DB9" w:rsidRPr="00D72AC3" w:rsidRDefault="00350DB9" w:rsidP="00350DB9">
            <w:pPr>
              <w:jc w:val="center"/>
              <w:rPr>
                <w:sz w:val="20"/>
                <w:szCs w:val="20"/>
                <w:lang w:val="en-GB"/>
              </w:rPr>
            </w:pPr>
            <w:r w:rsidRPr="00D72AC3">
              <w:rPr>
                <w:sz w:val="20"/>
                <w:szCs w:val="20"/>
                <w:lang w:val="en-GB" w:bidi="en-GB"/>
              </w:rPr>
              <w:t>SRS</w:t>
            </w:r>
          </w:p>
        </w:tc>
        <w:tc>
          <w:tcPr>
            <w:tcW w:w="1276" w:type="dxa"/>
            <w:shd w:val="clear" w:color="auto" w:fill="auto"/>
          </w:tcPr>
          <w:p w:rsidR="00350DB9" w:rsidRPr="00D72AC3" w:rsidRDefault="00350DB9" w:rsidP="00350DB9">
            <w:pPr>
              <w:jc w:val="center"/>
              <w:rPr>
                <w:sz w:val="20"/>
                <w:szCs w:val="20"/>
                <w:lang w:val="en-GB"/>
              </w:rPr>
            </w:pPr>
            <w:r w:rsidRPr="00D72AC3">
              <w:rPr>
                <w:sz w:val="20"/>
                <w:szCs w:val="20"/>
                <w:lang w:val="en-GB" w:bidi="en-GB"/>
              </w:rPr>
              <w:t>MoF</w:t>
            </w:r>
          </w:p>
        </w:tc>
        <w:tc>
          <w:tcPr>
            <w:tcW w:w="1417" w:type="dxa"/>
            <w:shd w:val="clear" w:color="auto" w:fill="auto"/>
          </w:tcPr>
          <w:p w:rsidR="00350DB9" w:rsidRPr="00D72AC3" w:rsidRDefault="00350DB9" w:rsidP="00C97FF2">
            <w:pPr>
              <w:jc w:val="center"/>
              <w:rPr>
                <w:sz w:val="20"/>
                <w:szCs w:val="20"/>
                <w:lang w:val="en-GB"/>
              </w:rPr>
            </w:pPr>
            <w:r w:rsidRPr="00D72AC3">
              <w:rPr>
                <w:sz w:val="20"/>
                <w:szCs w:val="20"/>
                <w:lang w:val="en-GB" w:bidi="en-GB"/>
              </w:rPr>
              <w:t>1 September 2019</w:t>
            </w:r>
          </w:p>
        </w:tc>
      </w:tr>
      <w:tr w:rsidR="00350DB9" w:rsidRPr="00D72AC3" w:rsidTr="00A37320">
        <w:trPr>
          <w:trHeight w:val="412"/>
        </w:trPr>
        <w:tc>
          <w:tcPr>
            <w:tcW w:w="709" w:type="dxa"/>
            <w:vMerge w:val="restart"/>
          </w:tcPr>
          <w:p w:rsidR="00350DB9" w:rsidRPr="00D72AC3" w:rsidRDefault="00350DB9" w:rsidP="00350DB9">
            <w:pPr>
              <w:jc w:val="center"/>
              <w:rPr>
                <w:color w:val="000000" w:themeColor="text1"/>
                <w:sz w:val="20"/>
                <w:szCs w:val="20"/>
                <w:lang w:val="en-GB"/>
              </w:rPr>
            </w:pPr>
            <w:r w:rsidRPr="00D72AC3">
              <w:rPr>
                <w:color w:val="000000" w:themeColor="text1"/>
                <w:sz w:val="20"/>
                <w:szCs w:val="20"/>
                <w:lang w:val="en-GB" w:bidi="en-GB"/>
              </w:rPr>
              <w:t>3.6.</w:t>
            </w:r>
          </w:p>
        </w:tc>
        <w:tc>
          <w:tcPr>
            <w:tcW w:w="3686" w:type="dxa"/>
            <w:vMerge w:val="restart"/>
            <w:shd w:val="clear" w:color="auto" w:fill="auto"/>
          </w:tcPr>
          <w:p w:rsidR="00350DB9" w:rsidRPr="00D72AC3" w:rsidRDefault="00350DB9" w:rsidP="00F968A4">
            <w:pPr>
              <w:jc w:val="both"/>
              <w:rPr>
                <w:color w:val="000000" w:themeColor="text1"/>
                <w:sz w:val="20"/>
                <w:szCs w:val="20"/>
                <w:lang w:val="en-GB"/>
              </w:rPr>
            </w:pPr>
            <w:r w:rsidRPr="00D72AC3">
              <w:rPr>
                <w:color w:val="000000" w:themeColor="text1"/>
                <w:sz w:val="20"/>
                <w:szCs w:val="20"/>
                <w:lang w:val="en-GB" w:bidi="en-GB"/>
              </w:rPr>
              <w:t>To review</w:t>
            </w:r>
            <w:r w:rsidRPr="00D72AC3">
              <w:rPr>
                <w:color w:val="000000" w:themeColor="text1"/>
                <w:lang w:val="en-GB" w:bidi="en-GB"/>
              </w:rPr>
              <w:t xml:space="preserve"> </w:t>
            </w:r>
            <w:r w:rsidRPr="00D72AC3">
              <w:rPr>
                <w:color w:val="000000" w:themeColor="text1"/>
                <w:sz w:val="20"/>
                <w:szCs w:val="20"/>
                <w:lang w:val="en-GB" w:bidi="en-GB"/>
              </w:rPr>
              <w:t>the internal framework of application of established sanctions and corrective measures, in order to ensure the full range application of the sanctions both with respect to the institutions and the management thereof. To assess the influence of the applied sanctions on the ability to dissuade from further offences</w:t>
            </w:r>
          </w:p>
        </w:tc>
        <w:tc>
          <w:tcPr>
            <w:tcW w:w="1559" w:type="dxa"/>
            <w:vMerge w:val="restart"/>
          </w:tcPr>
          <w:p w:rsidR="00350DB9" w:rsidRPr="00D72AC3" w:rsidRDefault="00350DB9" w:rsidP="00350DB9">
            <w:pPr>
              <w:jc w:val="both"/>
              <w:rPr>
                <w:color w:val="000000" w:themeColor="text1"/>
                <w:sz w:val="20"/>
                <w:szCs w:val="20"/>
                <w:lang w:val="en-GB"/>
              </w:rPr>
            </w:pPr>
            <w:r w:rsidRPr="00D72AC3">
              <w:rPr>
                <w:color w:val="000000" w:themeColor="text1"/>
                <w:sz w:val="20"/>
                <w:szCs w:val="20"/>
                <w:lang w:val="en-GB" w:bidi="en-GB"/>
              </w:rPr>
              <w:t>Moneyval recommendation 3.3.</w:t>
            </w:r>
          </w:p>
        </w:tc>
        <w:tc>
          <w:tcPr>
            <w:tcW w:w="2410" w:type="dxa"/>
            <w:vMerge w:val="restart"/>
            <w:shd w:val="clear" w:color="auto" w:fill="auto"/>
          </w:tcPr>
          <w:p w:rsidR="00350DB9" w:rsidRPr="00D72AC3" w:rsidRDefault="00350DB9" w:rsidP="00350DB9">
            <w:pPr>
              <w:jc w:val="both"/>
              <w:rPr>
                <w:color w:val="000000" w:themeColor="text1"/>
                <w:sz w:val="20"/>
                <w:szCs w:val="20"/>
                <w:lang w:val="en-GB"/>
              </w:rPr>
            </w:pPr>
            <w:r w:rsidRPr="00D72AC3">
              <w:rPr>
                <w:color w:val="000000" w:themeColor="text1"/>
                <w:sz w:val="20"/>
                <w:szCs w:val="20"/>
                <w:lang w:val="en-GB" w:bidi="en-GB"/>
              </w:rPr>
              <w:t>Assessment and enhancement of application of sanctions and corrective measures</w:t>
            </w:r>
          </w:p>
        </w:tc>
        <w:tc>
          <w:tcPr>
            <w:tcW w:w="2693" w:type="dxa"/>
          </w:tcPr>
          <w:p w:rsidR="00350DB9" w:rsidRPr="00D72AC3" w:rsidRDefault="003A4CC8" w:rsidP="009B3ACE">
            <w:pPr>
              <w:jc w:val="both"/>
              <w:rPr>
                <w:color w:val="000000" w:themeColor="text1"/>
                <w:sz w:val="20"/>
                <w:szCs w:val="20"/>
                <w:lang w:val="en-GB"/>
              </w:rPr>
            </w:pPr>
            <w:r w:rsidRPr="00D72AC3">
              <w:rPr>
                <w:color w:val="000000" w:themeColor="text1"/>
                <w:sz w:val="20"/>
                <w:szCs w:val="20"/>
                <w:lang w:val="en-GB" w:bidi="en-GB"/>
              </w:rPr>
              <w:t>1. The existing procedures, stipulating the procedure for application of sanctions and supervisory measures, reviewed and assessed</w:t>
            </w:r>
            <w:r w:rsidR="00623C63">
              <w:rPr>
                <w:color w:val="000000" w:themeColor="text1"/>
                <w:sz w:val="20"/>
                <w:szCs w:val="20"/>
                <w:lang w:val="en-GB" w:bidi="en-GB"/>
              </w:rPr>
              <w:t>.</w:t>
            </w:r>
          </w:p>
          <w:p w:rsidR="00350DB9" w:rsidRPr="00D72AC3" w:rsidRDefault="00350DB9" w:rsidP="009B3ACE">
            <w:pPr>
              <w:jc w:val="both"/>
              <w:rPr>
                <w:color w:val="000000" w:themeColor="text1"/>
                <w:sz w:val="20"/>
                <w:szCs w:val="20"/>
                <w:lang w:val="en-GB"/>
              </w:rPr>
            </w:pPr>
            <w:r w:rsidRPr="00D72AC3">
              <w:rPr>
                <w:color w:val="000000" w:themeColor="text1"/>
                <w:sz w:val="20"/>
                <w:szCs w:val="20"/>
                <w:lang w:val="en-GB" w:bidi="en-GB"/>
              </w:rPr>
              <w:t>Amendments introduced to the procedures</w:t>
            </w:r>
          </w:p>
        </w:tc>
        <w:tc>
          <w:tcPr>
            <w:tcW w:w="1159" w:type="dxa"/>
            <w:shd w:val="clear" w:color="auto" w:fill="auto"/>
          </w:tcPr>
          <w:p w:rsidR="00350DB9" w:rsidRPr="00D72AC3" w:rsidRDefault="00350DB9" w:rsidP="00350DB9">
            <w:pPr>
              <w:jc w:val="center"/>
              <w:rPr>
                <w:color w:val="000000" w:themeColor="text1"/>
                <w:sz w:val="20"/>
                <w:szCs w:val="20"/>
                <w:lang w:val="en-GB"/>
              </w:rPr>
            </w:pPr>
            <w:r w:rsidRPr="00D72AC3">
              <w:rPr>
                <w:color w:val="000000" w:themeColor="text1"/>
                <w:sz w:val="20"/>
                <w:szCs w:val="20"/>
                <w:lang w:val="en-GB" w:bidi="en-GB"/>
              </w:rPr>
              <w:t>FCMC, SRS, BoL, LGSI, LCSA, LCSN, LACA, NCCH, CRPC</w:t>
            </w:r>
          </w:p>
        </w:tc>
        <w:tc>
          <w:tcPr>
            <w:tcW w:w="1276" w:type="dxa"/>
            <w:shd w:val="clear" w:color="auto" w:fill="auto"/>
          </w:tcPr>
          <w:p w:rsidR="00350DB9" w:rsidRPr="00D72AC3" w:rsidRDefault="00350DB9" w:rsidP="00350DB9">
            <w:pPr>
              <w:rPr>
                <w:color w:val="000000" w:themeColor="text1"/>
                <w:sz w:val="20"/>
                <w:szCs w:val="20"/>
                <w:lang w:val="en-GB"/>
              </w:rPr>
            </w:pPr>
          </w:p>
        </w:tc>
        <w:tc>
          <w:tcPr>
            <w:tcW w:w="1417" w:type="dxa"/>
            <w:shd w:val="clear" w:color="auto" w:fill="auto"/>
          </w:tcPr>
          <w:p w:rsidR="00350DB9" w:rsidRPr="00D72AC3" w:rsidRDefault="00350DB9" w:rsidP="00C97FF2">
            <w:pPr>
              <w:jc w:val="center"/>
              <w:rPr>
                <w:color w:val="000000" w:themeColor="text1"/>
                <w:sz w:val="20"/>
                <w:szCs w:val="20"/>
                <w:lang w:val="en-GB"/>
              </w:rPr>
            </w:pPr>
            <w:r w:rsidRPr="00D72AC3">
              <w:rPr>
                <w:sz w:val="20"/>
                <w:szCs w:val="20"/>
                <w:lang w:val="en-GB" w:bidi="en-GB"/>
              </w:rPr>
              <w:t>31 December 2018</w:t>
            </w:r>
          </w:p>
        </w:tc>
      </w:tr>
      <w:tr w:rsidR="00350DB9" w:rsidRPr="00D72AC3" w:rsidTr="00A37320">
        <w:trPr>
          <w:trHeight w:val="412"/>
        </w:trPr>
        <w:tc>
          <w:tcPr>
            <w:tcW w:w="709" w:type="dxa"/>
            <w:vMerge/>
          </w:tcPr>
          <w:p w:rsidR="00350DB9" w:rsidRPr="00D72AC3" w:rsidRDefault="00350DB9" w:rsidP="00350DB9">
            <w:pPr>
              <w:jc w:val="center"/>
              <w:rPr>
                <w:color w:val="000000" w:themeColor="text1"/>
                <w:sz w:val="20"/>
                <w:szCs w:val="20"/>
                <w:lang w:val="en-GB"/>
              </w:rPr>
            </w:pPr>
          </w:p>
        </w:tc>
        <w:tc>
          <w:tcPr>
            <w:tcW w:w="3686" w:type="dxa"/>
            <w:vMerge/>
            <w:shd w:val="clear" w:color="auto" w:fill="auto"/>
          </w:tcPr>
          <w:p w:rsidR="00350DB9" w:rsidRPr="00D72AC3" w:rsidRDefault="00350DB9" w:rsidP="00350DB9">
            <w:pPr>
              <w:jc w:val="both"/>
              <w:rPr>
                <w:color w:val="000000" w:themeColor="text1"/>
                <w:sz w:val="20"/>
                <w:szCs w:val="20"/>
                <w:lang w:val="en-GB"/>
              </w:rPr>
            </w:pPr>
          </w:p>
        </w:tc>
        <w:tc>
          <w:tcPr>
            <w:tcW w:w="1559" w:type="dxa"/>
            <w:vMerge/>
          </w:tcPr>
          <w:p w:rsidR="00350DB9" w:rsidRPr="00D72AC3" w:rsidRDefault="00350DB9" w:rsidP="00350DB9">
            <w:pPr>
              <w:jc w:val="both"/>
              <w:rPr>
                <w:color w:val="000000" w:themeColor="text1"/>
                <w:sz w:val="20"/>
                <w:szCs w:val="20"/>
                <w:lang w:val="en-GB"/>
              </w:rPr>
            </w:pPr>
          </w:p>
        </w:tc>
        <w:tc>
          <w:tcPr>
            <w:tcW w:w="2410" w:type="dxa"/>
            <w:vMerge/>
            <w:shd w:val="clear" w:color="auto" w:fill="auto"/>
          </w:tcPr>
          <w:p w:rsidR="00350DB9" w:rsidRPr="00D72AC3" w:rsidRDefault="00350DB9" w:rsidP="00350DB9">
            <w:pPr>
              <w:jc w:val="both"/>
              <w:rPr>
                <w:color w:val="000000" w:themeColor="text1"/>
                <w:sz w:val="20"/>
                <w:szCs w:val="20"/>
                <w:lang w:val="en-GB"/>
              </w:rPr>
            </w:pPr>
          </w:p>
        </w:tc>
        <w:tc>
          <w:tcPr>
            <w:tcW w:w="2693" w:type="dxa"/>
          </w:tcPr>
          <w:p w:rsidR="00350DB9" w:rsidRPr="00D72AC3" w:rsidRDefault="003A4CC8" w:rsidP="00FC417E">
            <w:pPr>
              <w:jc w:val="both"/>
              <w:rPr>
                <w:color w:val="000000" w:themeColor="text1"/>
                <w:sz w:val="20"/>
                <w:szCs w:val="20"/>
                <w:lang w:val="en-GB"/>
              </w:rPr>
            </w:pPr>
            <w:r w:rsidRPr="00D72AC3">
              <w:rPr>
                <w:color w:val="000000" w:themeColor="text1"/>
                <w:sz w:val="20"/>
                <w:szCs w:val="20"/>
                <w:lang w:val="en-GB" w:bidi="en-GB"/>
              </w:rPr>
              <w:t>2. Report on the application of sanctions and corrective measures prepared and submitted for the review to the work group established in accordance with Measure 3.1</w:t>
            </w:r>
            <w:r w:rsidR="00D72AC3" w:rsidRPr="00D72AC3">
              <w:rPr>
                <w:color w:val="000000" w:themeColor="text1"/>
                <w:sz w:val="20"/>
                <w:szCs w:val="20"/>
                <w:lang w:val="en-GB" w:bidi="en-GB"/>
              </w:rPr>
              <w:t xml:space="preserve"> </w:t>
            </w:r>
          </w:p>
        </w:tc>
        <w:tc>
          <w:tcPr>
            <w:tcW w:w="1159" w:type="dxa"/>
            <w:shd w:val="clear" w:color="auto" w:fill="auto"/>
          </w:tcPr>
          <w:p w:rsidR="00350DB9" w:rsidRPr="00D72AC3" w:rsidRDefault="00350DB9" w:rsidP="00350DB9">
            <w:pPr>
              <w:jc w:val="center"/>
              <w:rPr>
                <w:color w:val="000000" w:themeColor="text1"/>
                <w:szCs w:val="24"/>
                <w:lang w:val="en-GB"/>
              </w:rPr>
            </w:pPr>
            <w:r w:rsidRPr="00D72AC3">
              <w:rPr>
                <w:color w:val="000000" w:themeColor="text1"/>
                <w:sz w:val="20"/>
                <w:szCs w:val="20"/>
                <w:lang w:val="en-GB" w:bidi="en-GB"/>
              </w:rPr>
              <w:t>FCMC, SRS, BoL, LGSI, LCSA, LCSN, LACA, NCCH, CRPC</w:t>
            </w:r>
          </w:p>
        </w:tc>
        <w:tc>
          <w:tcPr>
            <w:tcW w:w="1276" w:type="dxa"/>
            <w:shd w:val="clear" w:color="auto" w:fill="auto"/>
          </w:tcPr>
          <w:p w:rsidR="00350DB9" w:rsidRPr="00D72AC3" w:rsidRDefault="00350DB9" w:rsidP="002D63BE">
            <w:pPr>
              <w:jc w:val="center"/>
              <w:rPr>
                <w:color w:val="000000" w:themeColor="text1"/>
                <w:sz w:val="20"/>
                <w:szCs w:val="20"/>
                <w:lang w:val="en-GB"/>
              </w:rPr>
            </w:pPr>
            <w:r w:rsidRPr="00D72AC3">
              <w:rPr>
                <w:color w:val="000000" w:themeColor="text1"/>
                <w:sz w:val="20"/>
                <w:szCs w:val="20"/>
                <w:lang w:val="en-GB" w:bidi="en-GB"/>
              </w:rPr>
              <w:t>CS</w:t>
            </w:r>
          </w:p>
        </w:tc>
        <w:tc>
          <w:tcPr>
            <w:tcW w:w="1417" w:type="dxa"/>
            <w:shd w:val="clear" w:color="auto" w:fill="auto"/>
          </w:tcPr>
          <w:p w:rsidR="00350DB9" w:rsidRPr="00D72AC3" w:rsidRDefault="00350DB9" w:rsidP="00C97FF2">
            <w:pPr>
              <w:jc w:val="center"/>
              <w:rPr>
                <w:sz w:val="20"/>
                <w:szCs w:val="20"/>
                <w:lang w:val="en-GB"/>
              </w:rPr>
            </w:pPr>
            <w:r w:rsidRPr="00D72AC3">
              <w:rPr>
                <w:sz w:val="20"/>
                <w:szCs w:val="20"/>
                <w:lang w:val="en-GB" w:bidi="en-GB"/>
              </w:rPr>
              <w:t>30 June 2019, henceforth - on a quarterly basis</w:t>
            </w:r>
          </w:p>
        </w:tc>
      </w:tr>
      <w:tr w:rsidR="0087476E" w:rsidRPr="00D72AC3" w:rsidTr="00A37320">
        <w:tc>
          <w:tcPr>
            <w:tcW w:w="709" w:type="dxa"/>
            <w:vMerge w:val="restart"/>
          </w:tcPr>
          <w:p w:rsidR="0087476E" w:rsidRPr="00D72AC3" w:rsidRDefault="0087476E" w:rsidP="00350DB9">
            <w:pPr>
              <w:jc w:val="center"/>
              <w:rPr>
                <w:sz w:val="20"/>
                <w:szCs w:val="20"/>
                <w:lang w:val="en-GB"/>
              </w:rPr>
            </w:pPr>
            <w:r w:rsidRPr="00D72AC3">
              <w:rPr>
                <w:sz w:val="20"/>
                <w:szCs w:val="20"/>
                <w:lang w:val="en-GB" w:bidi="en-GB"/>
              </w:rPr>
              <w:t>3.7</w:t>
            </w:r>
          </w:p>
        </w:tc>
        <w:tc>
          <w:tcPr>
            <w:tcW w:w="3686" w:type="dxa"/>
            <w:vMerge w:val="restart"/>
            <w:shd w:val="clear" w:color="auto" w:fill="auto"/>
          </w:tcPr>
          <w:p w:rsidR="0087476E" w:rsidRPr="00D72AC3" w:rsidRDefault="0087476E" w:rsidP="00350DB9">
            <w:pPr>
              <w:jc w:val="both"/>
              <w:rPr>
                <w:sz w:val="20"/>
                <w:szCs w:val="20"/>
                <w:lang w:val="en-GB"/>
              </w:rPr>
            </w:pPr>
            <w:r w:rsidRPr="00D72AC3">
              <w:rPr>
                <w:sz w:val="20"/>
                <w:szCs w:val="20"/>
                <w:lang w:val="en-GB" w:bidi="en-GB"/>
              </w:rPr>
              <w:t xml:space="preserve">To ensure a risk-based supervisory process </w:t>
            </w:r>
          </w:p>
        </w:tc>
        <w:tc>
          <w:tcPr>
            <w:tcW w:w="1559" w:type="dxa"/>
            <w:vMerge w:val="restart"/>
          </w:tcPr>
          <w:p w:rsidR="0087476E" w:rsidRPr="00D72AC3" w:rsidRDefault="0087476E" w:rsidP="0087476E">
            <w:pPr>
              <w:rPr>
                <w:rFonts w:cs="Times New Roman"/>
                <w:color w:val="000000" w:themeColor="text1"/>
                <w:sz w:val="20"/>
                <w:szCs w:val="20"/>
                <w:lang w:val="en-GB"/>
              </w:rPr>
            </w:pPr>
            <w:r w:rsidRPr="00D72AC3">
              <w:rPr>
                <w:rFonts w:cs="Times New Roman"/>
                <w:color w:val="000000" w:themeColor="text1"/>
                <w:sz w:val="20"/>
                <w:szCs w:val="20"/>
                <w:lang w:val="en-GB" w:bidi="en-GB"/>
              </w:rPr>
              <w:t>Moneyval recommendatio</w:t>
            </w:r>
            <w:r w:rsidRPr="00D72AC3">
              <w:rPr>
                <w:rFonts w:cs="Times New Roman"/>
                <w:color w:val="000000" w:themeColor="text1"/>
                <w:sz w:val="20"/>
                <w:szCs w:val="20"/>
                <w:lang w:val="en-GB" w:bidi="en-GB"/>
              </w:rPr>
              <w:lastRenderedPageBreak/>
              <w:t>n 3.1., 3.4., 4.1, 4.2., 4.3., 4.4., 4.5., 4.7., 4.8., 4.16., 7.3.</w:t>
            </w:r>
          </w:p>
        </w:tc>
        <w:tc>
          <w:tcPr>
            <w:tcW w:w="2410" w:type="dxa"/>
            <w:tcBorders>
              <w:bottom w:val="single" w:sz="4" w:space="0" w:color="auto"/>
            </w:tcBorders>
            <w:shd w:val="clear" w:color="auto" w:fill="auto"/>
          </w:tcPr>
          <w:p w:rsidR="0087476E" w:rsidRPr="00D72AC3" w:rsidRDefault="00F8172B" w:rsidP="00350DB9">
            <w:pPr>
              <w:jc w:val="both"/>
              <w:rPr>
                <w:sz w:val="20"/>
                <w:szCs w:val="20"/>
                <w:lang w:val="en-GB"/>
              </w:rPr>
            </w:pPr>
            <w:r w:rsidRPr="00D72AC3">
              <w:rPr>
                <w:sz w:val="20"/>
                <w:szCs w:val="20"/>
                <w:lang w:val="en-GB" w:bidi="en-GB"/>
              </w:rPr>
              <w:lastRenderedPageBreak/>
              <w:t xml:space="preserve">1. Verifications in the ML/Ft field are carried out </w:t>
            </w:r>
            <w:r w:rsidRPr="00D72AC3">
              <w:rPr>
                <w:sz w:val="20"/>
                <w:szCs w:val="20"/>
                <w:lang w:val="en-GB" w:bidi="en-GB"/>
              </w:rPr>
              <w:lastRenderedPageBreak/>
              <w:t xml:space="preserve">in accordance with the assessed risks. </w:t>
            </w:r>
          </w:p>
        </w:tc>
        <w:tc>
          <w:tcPr>
            <w:tcW w:w="2693" w:type="dxa"/>
            <w:tcBorders>
              <w:bottom w:val="single" w:sz="4" w:space="0" w:color="auto"/>
            </w:tcBorders>
          </w:tcPr>
          <w:p w:rsidR="0087476E" w:rsidRPr="00D72AC3" w:rsidRDefault="00F8172B" w:rsidP="009B3ACE">
            <w:pPr>
              <w:jc w:val="both"/>
              <w:rPr>
                <w:sz w:val="20"/>
                <w:szCs w:val="20"/>
                <w:lang w:val="en-GB"/>
              </w:rPr>
            </w:pPr>
            <w:r w:rsidRPr="00D72AC3">
              <w:rPr>
                <w:sz w:val="20"/>
                <w:szCs w:val="20"/>
                <w:lang w:val="en-GB" w:bidi="en-GB"/>
              </w:rPr>
              <w:lastRenderedPageBreak/>
              <w:t xml:space="preserve">1. The matrix for determination and profiling of sectoral threats </w:t>
            </w:r>
            <w:r w:rsidRPr="00D72AC3">
              <w:rPr>
                <w:sz w:val="20"/>
                <w:szCs w:val="20"/>
                <w:lang w:val="en-GB" w:bidi="en-GB"/>
              </w:rPr>
              <w:lastRenderedPageBreak/>
              <w:t>and vulnerability risks set up in all supervisory and control authorities.</w:t>
            </w:r>
          </w:p>
        </w:tc>
        <w:tc>
          <w:tcPr>
            <w:tcW w:w="1159" w:type="dxa"/>
            <w:tcBorders>
              <w:bottom w:val="single" w:sz="4" w:space="0" w:color="auto"/>
            </w:tcBorders>
            <w:shd w:val="clear" w:color="auto" w:fill="auto"/>
          </w:tcPr>
          <w:p w:rsidR="0087476E" w:rsidRPr="00D72AC3" w:rsidRDefault="0087476E" w:rsidP="00350DB9">
            <w:pPr>
              <w:jc w:val="center"/>
              <w:rPr>
                <w:sz w:val="20"/>
                <w:szCs w:val="20"/>
                <w:lang w:val="en-GB"/>
              </w:rPr>
            </w:pPr>
            <w:r w:rsidRPr="00D72AC3">
              <w:rPr>
                <w:color w:val="000000" w:themeColor="text1"/>
                <w:sz w:val="20"/>
                <w:szCs w:val="20"/>
                <w:lang w:val="en-GB" w:bidi="en-GB"/>
              </w:rPr>
              <w:lastRenderedPageBreak/>
              <w:t xml:space="preserve">FCMC, SRS, BoL, </w:t>
            </w:r>
            <w:r w:rsidRPr="00D72AC3">
              <w:rPr>
                <w:color w:val="000000" w:themeColor="text1"/>
                <w:sz w:val="20"/>
                <w:szCs w:val="20"/>
                <w:lang w:val="en-GB" w:bidi="en-GB"/>
              </w:rPr>
              <w:lastRenderedPageBreak/>
              <w:t>LGSI, LCSA, LCSN, LACA, NCCH, CRPC</w:t>
            </w:r>
          </w:p>
        </w:tc>
        <w:tc>
          <w:tcPr>
            <w:tcW w:w="1276" w:type="dxa"/>
            <w:tcBorders>
              <w:bottom w:val="single" w:sz="4" w:space="0" w:color="auto"/>
            </w:tcBorders>
            <w:shd w:val="clear" w:color="auto" w:fill="auto"/>
          </w:tcPr>
          <w:p w:rsidR="0087476E" w:rsidRPr="00D72AC3" w:rsidRDefault="0087476E" w:rsidP="00350DB9">
            <w:pPr>
              <w:jc w:val="center"/>
              <w:rPr>
                <w:sz w:val="20"/>
                <w:szCs w:val="20"/>
                <w:lang w:val="en-GB"/>
              </w:rPr>
            </w:pPr>
          </w:p>
        </w:tc>
        <w:tc>
          <w:tcPr>
            <w:tcW w:w="1417" w:type="dxa"/>
            <w:tcBorders>
              <w:bottom w:val="single" w:sz="4" w:space="0" w:color="auto"/>
            </w:tcBorders>
            <w:shd w:val="clear" w:color="auto" w:fill="auto"/>
          </w:tcPr>
          <w:p w:rsidR="0087476E" w:rsidRPr="00D72AC3" w:rsidRDefault="0087476E" w:rsidP="00C97FF2">
            <w:pPr>
              <w:jc w:val="center"/>
              <w:rPr>
                <w:sz w:val="20"/>
                <w:szCs w:val="20"/>
                <w:lang w:val="en-GB"/>
              </w:rPr>
            </w:pPr>
            <w:r w:rsidRPr="00D72AC3">
              <w:rPr>
                <w:sz w:val="20"/>
                <w:szCs w:val="20"/>
                <w:lang w:val="en-GB" w:bidi="en-GB"/>
              </w:rPr>
              <w:t>31 December 2018</w:t>
            </w:r>
          </w:p>
        </w:tc>
      </w:tr>
      <w:tr w:rsidR="0087476E" w:rsidRPr="00D72AC3" w:rsidTr="00A37320">
        <w:tc>
          <w:tcPr>
            <w:tcW w:w="709" w:type="dxa"/>
            <w:vMerge/>
            <w:tcBorders>
              <w:bottom w:val="single" w:sz="4" w:space="0" w:color="auto"/>
            </w:tcBorders>
          </w:tcPr>
          <w:p w:rsidR="0087476E" w:rsidRPr="00D72AC3" w:rsidRDefault="0087476E" w:rsidP="00887869">
            <w:pPr>
              <w:jc w:val="center"/>
              <w:rPr>
                <w:sz w:val="20"/>
                <w:szCs w:val="20"/>
                <w:lang w:val="en-GB"/>
              </w:rPr>
            </w:pPr>
          </w:p>
        </w:tc>
        <w:tc>
          <w:tcPr>
            <w:tcW w:w="3686" w:type="dxa"/>
            <w:vMerge/>
            <w:tcBorders>
              <w:bottom w:val="single" w:sz="4" w:space="0" w:color="auto"/>
            </w:tcBorders>
            <w:shd w:val="clear" w:color="auto" w:fill="auto"/>
          </w:tcPr>
          <w:p w:rsidR="0087476E" w:rsidRPr="00D72AC3" w:rsidRDefault="0087476E" w:rsidP="00887869">
            <w:pPr>
              <w:jc w:val="both"/>
              <w:rPr>
                <w:sz w:val="20"/>
                <w:szCs w:val="20"/>
                <w:lang w:val="en-GB"/>
              </w:rPr>
            </w:pPr>
          </w:p>
        </w:tc>
        <w:tc>
          <w:tcPr>
            <w:tcW w:w="1559" w:type="dxa"/>
            <w:vMerge/>
            <w:tcBorders>
              <w:bottom w:val="single" w:sz="4" w:space="0" w:color="auto"/>
            </w:tcBorders>
          </w:tcPr>
          <w:p w:rsidR="0087476E" w:rsidRPr="00D72AC3" w:rsidRDefault="0087476E" w:rsidP="00887869">
            <w:pPr>
              <w:jc w:val="both"/>
              <w:rPr>
                <w:sz w:val="20"/>
                <w:szCs w:val="20"/>
                <w:lang w:val="en-GB"/>
              </w:rPr>
            </w:pPr>
          </w:p>
        </w:tc>
        <w:tc>
          <w:tcPr>
            <w:tcW w:w="2410" w:type="dxa"/>
            <w:tcBorders>
              <w:top w:val="single" w:sz="4" w:space="0" w:color="auto"/>
              <w:bottom w:val="single" w:sz="4" w:space="0" w:color="auto"/>
              <w:right w:val="single" w:sz="4" w:space="0" w:color="auto"/>
            </w:tcBorders>
            <w:shd w:val="clear" w:color="auto" w:fill="auto"/>
          </w:tcPr>
          <w:p w:rsidR="0087476E" w:rsidRPr="00D72AC3" w:rsidRDefault="00F8172B" w:rsidP="0087476E">
            <w:pPr>
              <w:jc w:val="both"/>
              <w:rPr>
                <w:sz w:val="20"/>
                <w:szCs w:val="20"/>
                <w:lang w:val="en-GB"/>
              </w:rPr>
            </w:pPr>
            <w:r w:rsidRPr="00D72AC3">
              <w:rPr>
                <w:rFonts w:cs="Times New Roman"/>
                <w:color w:val="000000" w:themeColor="text1"/>
                <w:sz w:val="20"/>
                <w:szCs w:val="20"/>
                <w:lang w:val="en-GB" w:bidi="en-GB"/>
              </w:rPr>
              <w:t>2. On the basis of the risk assessment, to carry out on-site and off-site verifications,</w:t>
            </w:r>
            <w:r w:rsidRPr="00D72AC3">
              <w:rPr>
                <w:rFonts w:cs="Times New Roman"/>
                <w:i/>
                <w:color w:val="000000" w:themeColor="text1"/>
                <w:sz w:val="20"/>
                <w:szCs w:val="20"/>
                <w:lang w:val="en-GB" w:bidi="en-GB"/>
              </w:rPr>
              <w:t xml:space="preserve"> inter alia</w:t>
            </w:r>
            <w:r w:rsidRPr="00D72AC3">
              <w:rPr>
                <w:rFonts w:cs="Times New Roman"/>
                <w:color w:val="000000" w:themeColor="text1"/>
                <w:sz w:val="20"/>
                <w:szCs w:val="20"/>
                <w:lang w:val="en-GB" w:bidi="en-GB"/>
              </w:rPr>
              <w:t xml:space="preserve">, performing the targeted verifications in the fields, where deficiencies are identified. </w:t>
            </w:r>
          </w:p>
        </w:tc>
        <w:tc>
          <w:tcPr>
            <w:tcW w:w="2693" w:type="dxa"/>
            <w:tcBorders>
              <w:top w:val="single" w:sz="4" w:space="0" w:color="auto"/>
              <w:left w:val="single" w:sz="4" w:space="0" w:color="auto"/>
              <w:bottom w:val="single" w:sz="4" w:space="0" w:color="auto"/>
              <w:right w:val="single" w:sz="4" w:space="0" w:color="auto"/>
            </w:tcBorders>
          </w:tcPr>
          <w:p w:rsidR="0087476E" w:rsidRPr="00D72AC3" w:rsidRDefault="00F8172B" w:rsidP="0037175D">
            <w:pPr>
              <w:jc w:val="both"/>
              <w:rPr>
                <w:sz w:val="20"/>
                <w:szCs w:val="20"/>
                <w:lang w:val="en-GB"/>
              </w:rPr>
            </w:pPr>
            <w:r w:rsidRPr="00D72AC3">
              <w:rPr>
                <w:rFonts w:cs="Times New Roman"/>
                <w:color w:val="000000" w:themeColor="text1"/>
                <w:sz w:val="20"/>
                <w:szCs w:val="20"/>
                <w:lang w:val="en-GB" w:bidi="en-GB"/>
              </w:rPr>
              <w:t>2. In 2018, 961 on-site and 2, 696 off-site verifications, in 2019 - 1, 759 on-site and 3, 572 off-site verifications (Annex 3).</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476E" w:rsidRPr="00D72AC3" w:rsidRDefault="0087476E" w:rsidP="00887869">
            <w:pPr>
              <w:jc w:val="center"/>
              <w:rPr>
                <w:color w:val="000000" w:themeColor="text1"/>
                <w:sz w:val="20"/>
                <w:szCs w:val="20"/>
                <w:lang w:val="en-GB"/>
              </w:rPr>
            </w:pPr>
            <w:r w:rsidRPr="00D72AC3">
              <w:rPr>
                <w:color w:val="000000" w:themeColor="text1"/>
                <w:sz w:val="20"/>
                <w:szCs w:val="20"/>
                <w:lang w:val="en-GB" w:bidi="en-GB"/>
              </w:rPr>
              <w:t>FCMC, SRS, BoL, LGSI, LCSA, LCSN, LACA, NCCH, CRPC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476E" w:rsidRPr="00D72AC3" w:rsidRDefault="0087476E" w:rsidP="00887869">
            <w:pPr>
              <w:jc w:val="center"/>
              <w:rPr>
                <w:sz w:val="20"/>
                <w:szCs w:val="20"/>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476E" w:rsidRPr="00D72AC3" w:rsidRDefault="0087476E" w:rsidP="00C97FF2">
            <w:pPr>
              <w:jc w:val="center"/>
              <w:rPr>
                <w:rFonts w:cs="Times New Roman"/>
                <w:bCs/>
                <w:color w:val="000000" w:themeColor="text1"/>
                <w:sz w:val="20"/>
                <w:szCs w:val="20"/>
                <w:lang w:val="en-GB"/>
              </w:rPr>
            </w:pPr>
            <w:r w:rsidRPr="00D72AC3">
              <w:rPr>
                <w:rFonts w:cs="Times New Roman"/>
                <w:color w:val="000000" w:themeColor="text1"/>
                <w:sz w:val="20"/>
                <w:szCs w:val="20"/>
                <w:lang w:val="en-GB" w:bidi="en-GB"/>
              </w:rPr>
              <w:t>31 December 2019</w:t>
            </w:r>
          </w:p>
          <w:p w:rsidR="0087476E" w:rsidRPr="00D72AC3" w:rsidRDefault="0087476E" w:rsidP="00C97FF2">
            <w:pPr>
              <w:jc w:val="center"/>
              <w:rPr>
                <w:sz w:val="20"/>
                <w:szCs w:val="20"/>
                <w:lang w:val="en-GB"/>
              </w:rPr>
            </w:pPr>
          </w:p>
        </w:tc>
      </w:tr>
      <w:tr w:rsidR="009B3ACE" w:rsidRPr="00D72AC3" w:rsidTr="00A37320">
        <w:tc>
          <w:tcPr>
            <w:tcW w:w="709" w:type="dxa"/>
            <w:vMerge w:val="restart"/>
            <w:tcBorders>
              <w:top w:val="single" w:sz="4" w:space="0" w:color="auto"/>
              <w:left w:val="single" w:sz="4" w:space="0" w:color="auto"/>
              <w:right w:val="single" w:sz="4" w:space="0" w:color="auto"/>
            </w:tcBorders>
          </w:tcPr>
          <w:p w:rsidR="009B3ACE" w:rsidRPr="00D72AC3" w:rsidRDefault="009B3ACE" w:rsidP="00914F28">
            <w:pPr>
              <w:jc w:val="center"/>
              <w:rPr>
                <w:sz w:val="20"/>
                <w:szCs w:val="20"/>
                <w:lang w:val="en-GB"/>
              </w:rPr>
            </w:pPr>
            <w:r w:rsidRPr="00D72AC3">
              <w:rPr>
                <w:sz w:val="20"/>
                <w:szCs w:val="20"/>
                <w:lang w:val="en-GB" w:bidi="en-GB"/>
              </w:rPr>
              <w:t>3.8</w:t>
            </w:r>
          </w:p>
        </w:tc>
        <w:tc>
          <w:tcPr>
            <w:tcW w:w="3686" w:type="dxa"/>
            <w:vMerge w:val="restart"/>
            <w:tcBorders>
              <w:top w:val="single" w:sz="4" w:space="0" w:color="auto"/>
              <w:left w:val="single" w:sz="4" w:space="0" w:color="auto"/>
              <w:right w:val="single" w:sz="4" w:space="0" w:color="auto"/>
            </w:tcBorders>
            <w:shd w:val="clear" w:color="auto" w:fill="auto"/>
          </w:tcPr>
          <w:p w:rsidR="009B3ACE" w:rsidRPr="00D72AC3" w:rsidRDefault="009B3ACE" w:rsidP="00887869">
            <w:pPr>
              <w:jc w:val="both"/>
              <w:rPr>
                <w:sz w:val="20"/>
                <w:szCs w:val="20"/>
                <w:lang w:val="en-GB"/>
              </w:rPr>
            </w:pPr>
            <w:r w:rsidRPr="00D72AC3">
              <w:rPr>
                <w:sz w:val="20"/>
                <w:szCs w:val="20"/>
                <w:lang w:val="en-GB" w:bidi="en-GB"/>
              </w:rPr>
              <w:t xml:space="preserve">To develop amendments to the </w:t>
            </w:r>
            <w:r w:rsidRPr="00D72AC3">
              <w:rPr>
                <w:i/>
                <w:sz w:val="20"/>
                <w:szCs w:val="20"/>
                <w:lang w:val="en-GB" w:bidi="en-GB"/>
              </w:rPr>
              <w:t>Law on the PMLTF</w:t>
            </w:r>
            <w:r w:rsidRPr="00D72AC3">
              <w:rPr>
                <w:sz w:val="20"/>
                <w:szCs w:val="20"/>
                <w:lang w:val="en-GB" w:bidi="en-GB"/>
              </w:rPr>
              <w:t>, setting the reputational requirements for the officials in charge of the fulfilment of the AML/CFT requirements in all subjects of the law</w:t>
            </w:r>
          </w:p>
        </w:tc>
        <w:tc>
          <w:tcPr>
            <w:tcW w:w="1559" w:type="dxa"/>
            <w:vMerge w:val="restart"/>
            <w:tcBorders>
              <w:top w:val="single" w:sz="4" w:space="0" w:color="auto"/>
              <w:left w:val="single" w:sz="4" w:space="0" w:color="auto"/>
              <w:right w:val="single" w:sz="4" w:space="0" w:color="auto"/>
            </w:tcBorders>
          </w:tcPr>
          <w:p w:rsidR="009B3ACE" w:rsidRPr="00D72AC3" w:rsidRDefault="009B3ACE" w:rsidP="00887869">
            <w:pPr>
              <w:jc w:val="both"/>
              <w:rPr>
                <w:sz w:val="20"/>
                <w:szCs w:val="20"/>
                <w:lang w:val="en-GB"/>
              </w:rPr>
            </w:pPr>
            <w:r w:rsidRPr="00D72AC3">
              <w:rPr>
                <w:sz w:val="20"/>
                <w:szCs w:val="20"/>
                <w:lang w:val="en-GB" w:bidi="en-GB"/>
              </w:rPr>
              <w:t>Moneyval recommendation 3.7.</w:t>
            </w:r>
          </w:p>
        </w:tc>
        <w:tc>
          <w:tcPr>
            <w:tcW w:w="2410" w:type="dxa"/>
            <w:vMerge w:val="restart"/>
            <w:tcBorders>
              <w:top w:val="single" w:sz="4" w:space="0" w:color="auto"/>
              <w:left w:val="single" w:sz="4" w:space="0" w:color="auto"/>
              <w:right w:val="single" w:sz="4" w:space="0" w:color="auto"/>
            </w:tcBorders>
            <w:shd w:val="clear" w:color="auto" w:fill="auto"/>
          </w:tcPr>
          <w:p w:rsidR="009B3ACE" w:rsidRPr="00D72AC3" w:rsidRDefault="009B3ACE" w:rsidP="00887869">
            <w:pPr>
              <w:jc w:val="both"/>
              <w:rPr>
                <w:sz w:val="20"/>
                <w:szCs w:val="20"/>
                <w:lang w:val="en-GB"/>
              </w:rPr>
            </w:pPr>
            <w:r w:rsidRPr="00D72AC3">
              <w:rPr>
                <w:sz w:val="20"/>
                <w:szCs w:val="20"/>
                <w:lang w:val="en-GB" w:bidi="en-GB"/>
              </w:rPr>
              <w:t>To ensure that the reputational requirements are set for the officials in charge of the AML/CFT of all subjects of the law</w:t>
            </w:r>
          </w:p>
        </w:tc>
        <w:tc>
          <w:tcPr>
            <w:tcW w:w="2693" w:type="dxa"/>
            <w:tcBorders>
              <w:top w:val="single" w:sz="4" w:space="0" w:color="auto"/>
              <w:left w:val="single" w:sz="4" w:space="0" w:color="auto"/>
              <w:bottom w:val="single" w:sz="4" w:space="0" w:color="auto"/>
              <w:right w:val="single" w:sz="4" w:space="0" w:color="auto"/>
            </w:tcBorders>
          </w:tcPr>
          <w:p w:rsidR="009B3ACE" w:rsidRPr="00D72AC3" w:rsidRDefault="00C22658" w:rsidP="00887869">
            <w:pPr>
              <w:jc w:val="both"/>
              <w:rPr>
                <w:sz w:val="20"/>
                <w:szCs w:val="20"/>
                <w:lang w:val="en-GB"/>
              </w:rPr>
            </w:pPr>
            <w:r w:rsidRPr="00D72AC3">
              <w:rPr>
                <w:sz w:val="20"/>
                <w:szCs w:val="20"/>
                <w:lang w:val="en-GB" w:bidi="en-GB"/>
              </w:rPr>
              <w:t xml:space="preserve">1. Amendments developed to the </w:t>
            </w:r>
            <w:r w:rsidRPr="00D72AC3">
              <w:rPr>
                <w:i/>
                <w:sz w:val="20"/>
                <w:szCs w:val="20"/>
                <w:lang w:val="en-GB" w:bidi="en-GB"/>
              </w:rPr>
              <w:t>Law on the PMLTF</w:t>
            </w:r>
          </w:p>
          <w:p w:rsidR="009B3ACE" w:rsidRPr="00D72AC3" w:rsidRDefault="009B3ACE" w:rsidP="00887869">
            <w:pPr>
              <w:jc w:val="both"/>
              <w:rPr>
                <w:sz w:val="20"/>
                <w:szCs w:val="20"/>
                <w:lang w:val="en-GB"/>
              </w:rPr>
            </w:pPr>
          </w:p>
          <w:p w:rsidR="009B3ACE" w:rsidRPr="00D72AC3" w:rsidRDefault="009B3ACE" w:rsidP="009B3ACE">
            <w:pPr>
              <w:jc w:val="both"/>
              <w:rPr>
                <w:lang w:val="en-GB"/>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9B3ACE" w:rsidRPr="00D72AC3" w:rsidRDefault="009B3ACE" w:rsidP="00887869">
            <w:pPr>
              <w:jc w:val="center"/>
              <w:rPr>
                <w:sz w:val="20"/>
                <w:szCs w:val="20"/>
                <w:lang w:val="en-GB"/>
              </w:rPr>
            </w:pPr>
            <w:r w:rsidRPr="00D72AC3">
              <w:rPr>
                <w:sz w:val="20"/>
                <w:szCs w:val="20"/>
                <w:lang w:val="en-GB" w:bidi="en-GB"/>
              </w:rPr>
              <w:t>MoF</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3ACE" w:rsidRPr="00D72AC3" w:rsidRDefault="009B3ACE" w:rsidP="00887869">
            <w:pPr>
              <w:jc w:val="center"/>
              <w:rPr>
                <w:sz w:val="20"/>
                <w:szCs w:val="20"/>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3ACE" w:rsidRPr="00D72AC3" w:rsidRDefault="009B3ACE" w:rsidP="00C97FF2">
            <w:pPr>
              <w:jc w:val="center"/>
              <w:rPr>
                <w:sz w:val="20"/>
                <w:szCs w:val="20"/>
                <w:lang w:val="en-GB"/>
              </w:rPr>
            </w:pPr>
            <w:r w:rsidRPr="00D72AC3">
              <w:rPr>
                <w:sz w:val="20"/>
                <w:szCs w:val="20"/>
                <w:lang w:val="en-GB" w:bidi="en-GB"/>
              </w:rPr>
              <w:t>1 March 2019</w:t>
            </w:r>
          </w:p>
        </w:tc>
      </w:tr>
      <w:tr w:rsidR="009B3ACE" w:rsidRPr="00D72AC3" w:rsidTr="00A37320">
        <w:trPr>
          <w:trHeight w:val="58"/>
        </w:trPr>
        <w:tc>
          <w:tcPr>
            <w:tcW w:w="709" w:type="dxa"/>
            <w:vMerge/>
            <w:tcBorders>
              <w:left w:val="single" w:sz="4" w:space="0" w:color="auto"/>
              <w:bottom w:val="single" w:sz="4" w:space="0" w:color="auto"/>
              <w:right w:val="single" w:sz="4" w:space="0" w:color="auto"/>
            </w:tcBorders>
          </w:tcPr>
          <w:p w:rsidR="009B3ACE" w:rsidRPr="00D72AC3" w:rsidRDefault="009B3ACE" w:rsidP="009B3ACE">
            <w:pPr>
              <w:jc w:val="center"/>
              <w:rPr>
                <w:sz w:val="20"/>
                <w:szCs w:val="20"/>
                <w:lang w:val="en-GB"/>
              </w:rPr>
            </w:pPr>
          </w:p>
        </w:tc>
        <w:tc>
          <w:tcPr>
            <w:tcW w:w="3686" w:type="dxa"/>
            <w:vMerge/>
            <w:tcBorders>
              <w:left w:val="single" w:sz="4" w:space="0" w:color="auto"/>
              <w:bottom w:val="single" w:sz="4" w:space="0" w:color="auto"/>
              <w:right w:val="single" w:sz="4" w:space="0" w:color="auto"/>
            </w:tcBorders>
            <w:shd w:val="clear" w:color="auto" w:fill="auto"/>
          </w:tcPr>
          <w:p w:rsidR="009B3ACE" w:rsidRPr="00D72AC3" w:rsidRDefault="009B3ACE" w:rsidP="009B3ACE">
            <w:pPr>
              <w:jc w:val="both"/>
              <w:rPr>
                <w:sz w:val="20"/>
                <w:szCs w:val="20"/>
                <w:lang w:val="en-GB"/>
              </w:rPr>
            </w:pPr>
          </w:p>
        </w:tc>
        <w:tc>
          <w:tcPr>
            <w:tcW w:w="1559" w:type="dxa"/>
            <w:vMerge/>
            <w:tcBorders>
              <w:left w:val="single" w:sz="4" w:space="0" w:color="auto"/>
              <w:bottom w:val="single" w:sz="4" w:space="0" w:color="auto"/>
              <w:right w:val="single" w:sz="4" w:space="0" w:color="auto"/>
            </w:tcBorders>
          </w:tcPr>
          <w:p w:rsidR="009B3ACE" w:rsidRPr="00D72AC3" w:rsidRDefault="009B3ACE" w:rsidP="009B3ACE">
            <w:pPr>
              <w:jc w:val="both"/>
              <w:rPr>
                <w:sz w:val="20"/>
                <w:szCs w:val="20"/>
                <w:lang w:val="en-GB"/>
              </w:rPr>
            </w:pPr>
          </w:p>
        </w:tc>
        <w:tc>
          <w:tcPr>
            <w:tcW w:w="2410" w:type="dxa"/>
            <w:vMerge/>
            <w:tcBorders>
              <w:left w:val="single" w:sz="4" w:space="0" w:color="auto"/>
              <w:bottom w:val="single" w:sz="4" w:space="0" w:color="auto"/>
              <w:right w:val="single" w:sz="4" w:space="0" w:color="auto"/>
            </w:tcBorders>
            <w:shd w:val="clear" w:color="auto" w:fill="auto"/>
          </w:tcPr>
          <w:p w:rsidR="009B3ACE" w:rsidRPr="00D72AC3" w:rsidRDefault="009B3ACE" w:rsidP="009B3ACE">
            <w:pPr>
              <w:jc w:val="both"/>
              <w:rPr>
                <w:sz w:val="20"/>
                <w:szCs w:val="20"/>
                <w:lang w:val="en-GB"/>
              </w:rPr>
            </w:pPr>
          </w:p>
        </w:tc>
        <w:tc>
          <w:tcPr>
            <w:tcW w:w="2693" w:type="dxa"/>
            <w:tcBorders>
              <w:top w:val="single" w:sz="4" w:space="0" w:color="auto"/>
              <w:left w:val="single" w:sz="4" w:space="0" w:color="auto"/>
              <w:bottom w:val="single" w:sz="4" w:space="0" w:color="auto"/>
            </w:tcBorders>
          </w:tcPr>
          <w:p w:rsidR="009B3ACE" w:rsidRPr="00D72AC3" w:rsidRDefault="00C22658" w:rsidP="009B3ACE">
            <w:pPr>
              <w:jc w:val="both"/>
              <w:rPr>
                <w:sz w:val="20"/>
                <w:szCs w:val="20"/>
                <w:lang w:val="en-GB"/>
              </w:rPr>
            </w:pPr>
            <w:r w:rsidRPr="00D72AC3">
              <w:rPr>
                <w:sz w:val="20"/>
                <w:szCs w:val="20"/>
                <w:lang w:val="en-GB" w:bidi="en-GB"/>
              </w:rPr>
              <w:t>2. Supervisory checks carried out in accordance with the amendments</w:t>
            </w:r>
          </w:p>
        </w:tc>
        <w:tc>
          <w:tcPr>
            <w:tcW w:w="1159" w:type="dxa"/>
            <w:tcBorders>
              <w:top w:val="single" w:sz="4" w:space="0" w:color="auto"/>
              <w:bottom w:val="single" w:sz="4" w:space="0" w:color="auto"/>
            </w:tcBorders>
            <w:shd w:val="clear" w:color="auto" w:fill="auto"/>
          </w:tcPr>
          <w:p w:rsidR="009B3ACE" w:rsidRPr="00D72AC3" w:rsidRDefault="009B3ACE" w:rsidP="009B3ACE">
            <w:pPr>
              <w:jc w:val="center"/>
              <w:rPr>
                <w:sz w:val="20"/>
                <w:szCs w:val="20"/>
                <w:lang w:val="en-GB"/>
              </w:rPr>
            </w:pPr>
            <w:r w:rsidRPr="00D72AC3">
              <w:rPr>
                <w:color w:val="000000" w:themeColor="text1"/>
                <w:sz w:val="20"/>
                <w:szCs w:val="20"/>
                <w:lang w:val="en-GB" w:bidi="en-GB"/>
              </w:rPr>
              <w:t>FCMC, SRS, BoL, LGSI, LCSA, LCSN, LACA, NCCH, CRPC</w:t>
            </w:r>
          </w:p>
        </w:tc>
        <w:tc>
          <w:tcPr>
            <w:tcW w:w="1276" w:type="dxa"/>
            <w:tcBorders>
              <w:top w:val="single" w:sz="4" w:space="0" w:color="auto"/>
              <w:bottom w:val="single" w:sz="4" w:space="0" w:color="auto"/>
            </w:tcBorders>
            <w:shd w:val="clear" w:color="auto" w:fill="auto"/>
          </w:tcPr>
          <w:p w:rsidR="009B3ACE" w:rsidRPr="00D72AC3" w:rsidRDefault="009B3ACE" w:rsidP="009B3ACE">
            <w:pPr>
              <w:jc w:val="center"/>
              <w:rPr>
                <w:sz w:val="20"/>
                <w:szCs w:val="20"/>
                <w:lang w:val="en-GB"/>
              </w:rPr>
            </w:pPr>
          </w:p>
        </w:tc>
        <w:tc>
          <w:tcPr>
            <w:tcW w:w="1417" w:type="dxa"/>
            <w:tcBorders>
              <w:top w:val="single" w:sz="4" w:space="0" w:color="auto"/>
              <w:bottom w:val="single" w:sz="4" w:space="0" w:color="auto"/>
            </w:tcBorders>
            <w:shd w:val="clear" w:color="auto" w:fill="auto"/>
          </w:tcPr>
          <w:p w:rsidR="009B3ACE" w:rsidRPr="00D72AC3" w:rsidRDefault="009B3ACE" w:rsidP="00C97FF2">
            <w:pPr>
              <w:jc w:val="center"/>
              <w:rPr>
                <w:sz w:val="20"/>
                <w:szCs w:val="20"/>
                <w:lang w:val="en-GB"/>
              </w:rPr>
            </w:pPr>
            <w:r w:rsidRPr="00D72AC3">
              <w:rPr>
                <w:sz w:val="20"/>
                <w:szCs w:val="20"/>
                <w:lang w:val="en-GB" w:bidi="en-GB"/>
              </w:rPr>
              <w:t>31 December 2019</w:t>
            </w:r>
          </w:p>
        </w:tc>
      </w:tr>
      <w:tr w:rsidR="00C8593B" w:rsidRPr="00D72AC3" w:rsidTr="00A37320">
        <w:trPr>
          <w:trHeight w:val="58"/>
        </w:trPr>
        <w:tc>
          <w:tcPr>
            <w:tcW w:w="709" w:type="dxa"/>
            <w:vMerge w:val="restart"/>
            <w:tcBorders>
              <w:top w:val="single" w:sz="4" w:space="0" w:color="auto"/>
            </w:tcBorders>
          </w:tcPr>
          <w:p w:rsidR="00C8593B" w:rsidRPr="00D72AC3" w:rsidRDefault="00C8593B" w:rsidP="009B3ACE">
            <w:pPr>
              <w:jc w:val="center"/>
              <w:rPr>
                <w:sz w:val="20"/>
                <w:szCs w:val="20"/>
                <w:lang w:val="en-GB"/>
              </w:rPr>
            </w:pPr>
            <w:r w:rsidRPr="00D72AC3">
              <w:rPr>
                <w:sz w:val="20"/>
                <w:szCs w:val="20"/>
                <w:lang w:val="en-GB" w:bidi="en-GB"/>
              </w:rPr>
              <w:t>3.9.</w:t>
            </w:r>
          </w:p>
        </w:tc>
        <w:tc>
          <w:tcPr>
            <w:tcW w:w="3686" w:type="dxa"/>
            <w:vMerge w:val="restart"/>
            <w:tcBorders>
              <w:top w:val="single" w:sz="4" w:space="0" w:color="auto"/>
            </w:tcBorders>
            <w:shd w:val="clear" w:color="auto" w:fill="auto"/>
          </w:tcPr>
          <w:p w:rsidR="00C8593B" w:rsidRPr="00D72AC3" w:rsidRDefault="00C8593B" w:rsidP="009B3ACE">
            <w:pPr>
              <w:jc w:val="both"/>
              <w:rPr>
                <w:sz w:val="20"/>
                <w:szCs w:val="20"/>
                <w:lang w:val="en-GB"/>
              </w:rPr>
            </w:pPr>
            <w:r w:rsidRPr="00D72AC3">
              <w:rPr>
                <w:sz w:val="20"/>
                <w:szCs w:val="20"/>
                <w:lang w:val="en-GB" w:bidi="en-GB"/>
              </w:rPr>
              <w:t xml:space="preserve">To supervise the change of the business models of the credit institutions, by reducing the share of </w:t>
            </w:r>
            <w:r w:rsidR="005430AD">
              <w:rPr>
                <w:sz w:val="20"/>
                <w:szCs w:val="20"/>
                <w:lang w:val="en-GB" w:bidi="en-GB"/>
              </w:rPr>
              <w:t>high risk</w:t>
            </w:r>
            <w:r w:rsidRPr="00D72AC3">
              <w:rPr>
                <w:sz w:val="20"/>
                <w:szCs w:val="20"/>
                <w:lang w:val="en-GB" w:bidi="en-GB"/>
              </w:rPr>
              <w:t xml:space="preserve"> customers and achieving the target variables set by the FCMC for the sector as a whole.</w:t>
            </w:r>
          </w:p>
        </w:tc>
        <w:tc>
          <w:tcPr>
            <w:tcW w:w="1559" w:type="dxa"/>
            <w:vMerge w:val="restart"/>
            <w:tcBorders>
              <w:top w:val="single" w:sz="4" w:space="0" w:color="auto"/>
            </w:tcBorders>
          </w:tcPr>
          <w:p w:rsidR="00C8593B" w:rsidRPr="00D72AC3" w:rsidRDefault="00C8593B" w:rsidP="009B3ACE">
            <w:pPr>
              <w:jc w:val="both"/>
              <w:rPr>
                <w:sz w:val="20"/>
                <w:szCs w:val="20"/>
                <w:lang w:val="en-GB"/>
              </w:rPr>
            </w:pPr>
            <w:r w:rsidRPr="00D72AC3">
              <w:rPr>
                <w:sz w:val="20"/>
                <w:szCs w:val="20"/>
                <w:lang w:val="en-GB" w:bidi="en-GB"/>
              </w:rPr>
              <w:t>NRA, Plan of 23 points</w:t>
            </w:r>
          </w:p>
          <w:p w:rsidR="00C8593B" w:rsidRPr="00D72AC3" w:rsidRDefault="00C8593B" w:rsidP="009B3ACE">
            <w:pPr>
              <w:jc w:val="both"/>
              <w:rPr>
                <w:sz w:val="20"/>
                <w:szCs w:val="20"/>
                <w:lang w:val="en-GB"/>
              </w:rPr>
            </w:pPr>
          </w:p>
        </w:tc>
        <w:tc>
          <w:tcPr>
            <w:tcW w:w="2410" w:type="dxa"/>
            <w:vMerge w:val="restart"/>
            <w:tcBorders>
              <w:top w:val="single" w:sz="4" w:space="0" w:color="auto"/>
            </w:tcBorders>
            <w:shd w:val="clear" w:color="auto" w:fill="auto"/>
          </w:tcPr>
          <w:p w:rsidR="00C8593B" w:rsidRPr="00D72AC3" w:rsidRDefault="00C8593B" w:rsidP="009B3ACE">
            <w:pPr>
              <w:jc w:val="both"/>
              <w:rPr>
                <w:sz w:val="20"/>
                <w:szCs w:val="20"/>
                <w:lang w:val="en-GB"/>
              </w:rPr>
            </w:pPr>
            <w:r w:rsidRPr="00D72AC3">
              <w:rPr>
                <w:sz w:val="20"/>
                <w:szCs w:val="20"/>
                <w:lang w:val="en-GB" w:bidi="en-GB"/>
              </w:rPr>
              <w:t>Considerable reduction of risks in the credit institutions sector</w:t>
            </w:r>
          </w:p>
        </w:tc>
        <w:tc>
          <w:tcPr>
            <w:tcW w:w="2693" w:type="dxa"/>
            <w:tcBorders>
              <w:top w:val="single" w:sz="4" w:space="0" w:color="auto"/>
              <w:bottom w:val="single" w:sz="4" w:space="0" w:color="auto"/>
            </w:tcBorders>
          </w:tcPr>
          <w:p w:rsidR="00C8593B" w:rsidRPr="00D72AC3" w:rsidRDefault="00C22658" w:rsidP="00122AD7">
            <w:pPr>
              <w:jc w:val="both"/>
              <w:rPr>
                <w:sz w:val="20"/>
                <w:szCs w:val="20"/>
                <w:lang w:val="en-GB"/>
              </w:rPr>
            </w:pPr>
            <w:r w:rsidRPr="00D72AC3">
              <w:rPr>
                <w:sz w:val="20"/>
                <w:szCs w:val="20"/>
                <w:lang w:val="en-GB" w:bidi="en-GB"/>
              </w:rPr>
              <w:t>1. To inform the FSDB about the process and results of the change of the business models of the credit institutions, on a regular basis, at least twice per month</w:t>
            </w:r>
          </w:p>
        </w:tc>
        <w:tc>
          <w:tcPr>
            <w:tcW w:w="1159" w:type="dxa"/>
            <w:tcBorders>
              <w:top w:val="single" w:sz="4" w:space="0" w:color="auto"/>
              <w:bottom w:val="single" w:sz="4" w:space="0" w:color="auto"/>
            </w:tcBorders>
            <w:shd w:val="clear" w:color="auto" w:fill="auto"/>
          </w:tcPr>
          <w:p w:rsidR="00C8593B" w:rsidRPr="00D72AC3" w:rsidRDefault="00C8593B" w:rsidP="009B3ACE">
            <w:pPr>
              <w:jc w:val="center"/>
              <w:rPr>
                <w:sz w:val="20"/>
                <w:szCs w:val="20"/>
                <w:lang w:val="en-GB"/>
              </w:rPr>
            </w:pPr>
            <w:r w:rsidRPr="00D72AC3">
              <w:rPr>
                <w:sz w:val="20"/>
                <w:szCs w:val="20"/>
                <w:lang w:val="en-GB" w:bidi="en-GB"/>
              </w:rPr>
              <w:t>FCMC</w:t>
            </w:r>
          </w:p>
        </w:tc>
        <w:tc>
          <w:tcPr>
            <w:tcW w:w="1276" w:type="dxa"/>
            <w:tcBorders>
              <w:top w:val="single" w:sz="4" w:space="0" w:color="auto"/>
              <w:bottom w:val="single" w:sz="4" w:space="0" w:color="auto"/>
            </w:tcBorders>
            <w:shd w:val="clear" w:color="auto" w:fill="auto"/>
          </w:tcPr>
          <w:p w:rsidR="00C8593B" w:rsidRPr="00D72AC3" w:rsidRDefault="00C8593B" w:rsidP="009B3ACE">
            <w:pPr>
              <w:jc w:val="center"/>
              <w:rPr>
                <w:sz w:val="20"/>
                <w:szCs w:val="20"/>
                <w:lang w:val="en-GB"/>
              </w:rPr>
            </w:pPr>
          </w:p>
        </w:tc>
        <w:tc>
          <w:tcPr>
            <w:tcW w:w="1417" w:type="dxa"/>
            <w:tcBorders>
              <w:top w:val="single" w:sz="4" w:space="0" w:color="auto"/>
              <w:bottom w:val="single" w:sz="4" w:space="0" w:color="auto"/>
            </w:tcBorders>
            <w:shd w:val="clear" w:color="auto" w:fill="auto"/>
          </w:tcPr>
          <w:p w:rsidR="00C8593B" w:rsidRPr="00D72AC3" w:rsidRDefault="00C8593B" w:rsidP="00C97FF2">
            <w:pPr>
              <w:jc w:val="center"/>
              <w:rPr>
                <w:sz w:val="20"/>
                <w:szCs w:val="20"/>
                <w:lang w:val="en-GB"/>
              </w:rPr>
            </w:pPr>
            <w:r w:rsidRPr="00D72AC3">
              <w:rPr>
                <w:sz w:val="20"/>
                <w:szCs w:val="20"/>
                <w:lang w:val="en-GB" w:bidi="en-GB"/>
              </w:rPr>
              <w:t>31 December 2018</w:t>
            </w:r>
          </w:p>
        </w:tc>
      </w:tr>
      <w:tr w:rsidR="00C8593B" w:rsidRPr="00D72AC3" w:rsidTr="00A37320">
        <w:trPr>
          <w:trHeight w:val="58"/>
        </w:trPr>
        <w:tc>
          <w:tcPr>
            <w:tcW w:w="709" w:type="dxa"/>
            <w:vMerge/>
            <w:tcBorders>
              <w:bottom w:val="single" w:sz="4" w:space="0" w:color="auto"/>
            </w:tcBorders>
          </w:tcPr>
          <w:p w:rsidR="00C8593B" w:rsidRPr="00D72AC3" w:rsidRDefault="00C8593B" w:rsidP="009B3ACE">
            <w:pPr>
              <w:jc w:val="center"/>
              <w:rPr>
                <w:sz w:val="20"/>
                <w:szCs w:val="20"/>
                <w:lang w:val="en-GB"/>
              </w:rPr>
            </w:pPr>
          </w:p>
        </w:tc>
        <w:tc>
          <w:tcPr>
            <w:tcW w:w="3686" w:type="dxa"/>
            <w:vMerge/>
            <w:tcBorders>
              <w:bottom w:val="single" w:sz="4" w:space="0" w:color="auto"/>
            </w:tcBorders>
            <w:shd w:val="clear" w:color="auto" w:fill="auto"/>
          </w:tcPr>
          <w:p w:rsidR="00C8593B" w:rsidRPr="00D72AC3" w:rsidRDefault="00C8593B" w:rsidP="009B3ACE">
            <w:pPr>
              <w:jc w:val="both"/>
              <w:rPr>
                <w:sz w:val="20"/>
                <w:szCs w:val="20"/>
                <w:lang w:val="en-GB"/>
              </w:rPr>
            </w:pPr>
          </w:p>
        </w:tc>
        <w:tc>
          <w:tcPr>
            <w:tcW w:w="1559" w:type="dxa"/>
            <w:vMerge/>
            <w:tcBorders>
              <w:bottom w:val="single" w:sz="4" w:space="0" w:color="auto"/>
            </w:tcBorders>
          </w:tcPr>
          <w:p w:rsidR="00C8593B" w:rsidRPr="00D72AC3" w:rsidRDefault="00C8593B" w:rsidP="009B3ACE">
            <w:pPr>
              <w:jc w:val="both"/>
              <w:rPr>
                <w:sz w:val="20"/>
                <w:szCs w:val="20"/>
                <w:lang w:val="en-GB"/>
              </w:rPr>
            </w:pPr>
          </w:p>
        </w:tc>
        <w:tc>
          <w:tcPr>
            <w:tcW w:w="2410" w:type="dxa"/>
            <w:vMerge/>
            <w:tcBorders>
              <w:bottom w:val="single" w:sz="4" w:space="0" w:color="auto"/>
            </w:tcBorders>
            <w:shd w:val="clear" w:color="auto" w:fill="auto"/>
          </w:tcPr>
          <w:p w:rsidR="00C8593B" w:rsidRPr="00D72AC3" w:rsidRDefault="00C8593B" w:rsidP="009B3ACE">
            <w:pPr>
              <w:jc w:val="both"/>
              <w:rPr>
                <w:sz w:val="20"/>
                <w:szCs w:val="20"/>
                <w:lang w:val="en-GB"/>
              </w:rPr>
            </w:pPr>
          </w:p>
        </w:tc>
        <w:tc>
          <w:tcPr>
            <w:tcW w:w="2693" w:type="dxa"/>
            <w:tcBorders>
              <w:top w:val="single" w:sz="4" w:space="0" w:color="auto"/>
              <w:bottom w:val="single" w:sz="4" w:space="0" w:color="auto"/>
            </w:tcBorders>
          </w:tcPr>
          <w:p w:rsidR="00C8593B" w:rsidRPr="00D72AC3" w:rsidRDefault="00C22658" w:rsidP="0009140F">
            <w:pPr>
              <w:jc w:val="both"/>
              <w:rPr>
                <w:sz w:val="20"/>
                <w:szCs w:val="20"/>
                <w:lang w:val="en-GB"/>
              </w:rPr>
            </w:pPr>
            <w:r w:rsidRPr="00D72AC3">
              <w:rPr>
                <w:sz w:val="20"/>
                <w:szCs w:val="20"/>
                <w:lang w:val="en-GB" w:bidi="en-GB"/>
              </w:rPr>
              <w:t>2. The assessment prepared on the set of indicators to be published for regular risk level monitoring</w:t>
            </w:r>
          </w:p>
        </w:tc>
        <w:tc>
          <w:tcPr>
            <w:tcW w:w="1159" w:type="dxa"/>
            <w:tcBorders>
              <w:top w:val="single" w:sz="4" w:space="0" w:color="auto"/>
              <w:bottom w:val="single" w:sz="4" w:space="0" w:color="auto"/>
            </w:tcBorders>
            <w:shd w:val="clear" w:color="auto" w:fill="auto"/>
          </w:tcPr>
          <w:p w:rsidR="00C8593B" w:rsidRPr="00D72AC3" w:rsidRDefault="00C8593B" w:rsidP="009B3ACE">
            <w:pPr>
              <w:jc w:val="center"/>
              <w:rPr>
                <w:sz w:val="20"/>
                <w:szCs w:val="20"/>
                <w:lang w:val="en-GB"/>
              </w:rPr>
            </w:pPr>
            <w:r w:rsidRPr="00D72AC3">
              <w:rPr>
                <w:sz w:val="20"/>
                <w:szCs w:val="20"/>
                <w:lang w:val="en-GB" w:bidi="en-GB"/>
              </w:rPr>
              <w:t>FCMC</w:t>
            </w:r>
          </w:p>
        </w:tc>
        <w:tc>
          <w:tcPr>
            <w:tcW w:w="1276" w:type="dxa"/>
            <w:tcBorders>
              <w:top w:val="single" w:sz="4" w:space="0" w:color="auto"/>
              <w:bottom w:val="single" w:sz="4" w:space="0" w:color="auto"/>
            </w:tcBorders>
            <w:shd w:val="clear" w:color="auto" w:fill="auto"/>
          </w:tcPr>
          <w:p w:rsidR="00C8593B" w:rsidRPr="00D72AC3" w:rsidRDefault="00C8593B" w:rsidP="009B3ACE">
            <w:pPr>
              <w:jc w:val="center"/>
              <w:rPr>
                <w:sz w:val="20"/>
                <w:szCs w:val="20"/>
                <w:lang w:val="en-GB"/>
              </w:rPr>
            </w:pPr>
          </w:p>
        </w:tc>
        <w:tc>
          <w:tcPr>
            <w:tcW w:w="1417" w:type="dxa"/>
            <w:tcBorders>
              <w:top w:val="single" w:sz="4" w:space="0" w:color="auto"/>
              <w:bottom w:val="single" w:sz="4" w:space="0" w:color="auto"/>
            </w:tcBorders>
            <w:shd w:val="clear" w:color="auto" w:fill="auto"/>
          </w:tcPr>
          <w:p w:rsidR="00C8593B" w:rsidRPr="00D72AC3" w:rsidRDefault="00C8593B" w:rsidP="00F066C2">
            <w:pPr>
              <w:jc w:val="center"/>
              <w:rPr>
                <w:sz w:val="20"/>
                <w:szCs w:val="20"/>
                <w:lang w:val="en-GB"/>
              </w:rPr>
            </w:pPr>
            <w:r w:rsidRPr="00D72AC3">
              <w:rPr>
                <w:sz w:val="20"/>
                <w:szCs w:val="20"/>
                <w:lang w:val="en-GB" w:bidi="en-GB"/>
              </w:rPr>
              <w:t>1 November 2018</w:t>
            </w:r>
          </w:p>
        </w:tc>
      </w:tr>
      <w:tr w:rsidR="009B3ACE" w:rsidRPr="00D72AC3" w:rsidTr="00A37320">
        <w:trPr>
          <w:trHeight w:val="58"/>
        </w:trPr>
        <w:tc>
          <w:tcPr>
            <w:tcW w:w="709" w:type="dxa"/>
            <w:tcBorders>
              <w:top w:val="single" w:sz="4" w:space="0" w:color="auto"/>
            </w:tcBorders>
          </w:tcPr>
          <w:p w:rsidR="009B3ACE" w:rsidRPr="00D72AC3" w:rsidRDefault="009B3ACE" w:rsidP="009B3ACE">
            <w:pPr>
              <w:jc w:val="center"/>
              <w:rPr>
                <w:sz w:val="20"/>
                <w:szCs w:val="20"/>
                <w:lang w:val="en-GB"/>
              </w:rPr>
            </w:pPr>
            <w:r w:rsidRPr="00D72AC3">
              <w:rPr>
                <w:sz w:val="20"/>
                <w:szCs w:val="20"/>
                <w:lang w:val="en-GB" w:bidi="en-GB"/>
              </w:rPr>
              <w:lastRenderedPageBreak/>
              <w:t>3.10.</w:t>
            </w:r>
          </w:p>
        </w:tc>
        <w:tc>
          <w:tcPr>
            <w:tcW w:w="3686" w:type="dxa"/>
            <w:tcBorders>
              <w:top w:val="single" w:sz="4" w:space="0" w:color="auto"/>
            </w:tcBorders>
            <w:shd w:val="clear" w:color="auto" w:fill="auto"/>
          </w:tcPr>
          <w:p w:rsidR="009B3ACE" w:rsidRPr="00D72AC3" w:rsidRDefault="009B3ACE" w:rsidP="009B3ACE">
            <w:pPr>
              <w:jc w:val="both"/>
              <w:rPr>
                <w:sz w:val="20"/>
                <w:szCs w:val="20"/>
                <w:lang w:val="en-GB"/>
              </w:rPr>
            </w:pPr>
            <w:r w:rsidRPr="00D72AC3">
              <w:rPr>
                <w:sz w:val="20"/>
                <w:szCs w:val="20"/>
                <w:lang w:val="en-GB" w:bidi="en-GB"/>
              </w:rPr>
              <w:t>To improve information accessibility for the supervisory and control authorities</w:t>
            </w:r>
          </w:p>
        </w:tc>
        <w:tc>
          <w:tcPr>
            <w:tcW w:w="1559" w:type="dxa"/>
            <w:tcBorders>
              <w:top w:val="single" w:sz="4" w:space="0" w:color="auto"/>
            </w:tcBorders>
          </w:tcPr>
          <w:p w:rsidR="009B3ACE" w:rsidRPr="00D72AC3" w:rsidRDefault="009B3ACE" w:rsidP="009B3ACE">
            <w:pPr>
              <w:jc w:val="both"/>
              <w:rPr>
                <w:sz w:val="20"/>
                <w:szCs w:val="20"/>
                <w:lang w:val="en-GB"/>
              </w:rPr>
            </w:pPr>
            <w:r w:rsidRPr="00D72AC3">
              <w:rPr>
                <w:sz w:val="20"/>
                <w:szCs w:val="20"/>
                <w:lang w:val="en-GB" w:bidi="en-GB"/>
              </w:rPr>
              <w:t>Plan of 23 points</w:t>
            </w:r>
          </w:p>
        </w:tc>
        <w:tc>
          <w:tcPr>
            <w:tcW w:w="2410" w:type="dxa"/>
            <w:tcBorders>
              <w:top w:val="single" w:sz="4" w:space="0" w:color="auto"/>
            </w:tcBorders>
            <w:shd w:val="clear" w:color="auto" w:fill="auto"/>
          </w:tcPr>
          <w:p w:rsidR="009B3ACE" w:rsidRPr="00D72AC3" w:rsidRDefault="009B3ACE" w:rsidP="009B3ACE">
            <w:pPr>
              <w:jc w:val="both"/>
              <w:rPr>
                <w:sz w:val="20"/>
                <w:szCs w:val="20"/>
                <w:lang w:val="en-GB"/>
              </w:rPr>
            </w:pPr>
            <w:r w:rsidRPr="00D72AC3">
              <w:rPr>
                <w:sz w:val="20"/>
                <w:szCs w:val="20"/>
                <w:lang w:val="en-GB" w:bidi="en-GB"/>
              </w:rPr>
              <w:t xml:space="preserve">Improved supervisory process </w:t>
            </w:r>
          </w:p>
        </w:tc>
        <w:tc>
          <w:tcPr>
            <w:tcW w:w="2693" w:type="dxa"/>
            <w:tcBorders>
              <w:top w:val="single" w:sz="4" w:space="0" w:color="auto"/>
            </w:tcBorders>
          </w:tcPr>
          <w:p w:rsidR="009B3ACE" w:rsidRPr="00D72AC3" w:rsidRDefault="009B3ACE" w:rsidP="009B3ACE">
            <w:pPr>
              <w:jc w:val="both"/>
              <w:rPr>
                <w:sz w:val="20"/>
                <w:szCs w:val="20"/>
                <w:lang w:val="en-GB"/>
              </w:rPr>
            </w:pPr>
            <w:r w:rsidRPr="00D72AC3">
              <w:rPr>
                <w:sz w:val="20"/>
                <w:szCs w:val="20"/>
                <w:lang w:val="en-GB" w:bidi="en-GB"/>
              </w:rPr>
              <w:t>To prepare the assessment on the possibility to ensure free-of-charge access to public registers for all supervisory and control authorities</w:t>
            </w:r>
          </w:p>
        </w:tc>
        <w:tc>
          <w:tcPr>
            <w:tcW w:w="1159" w:type="dxa"/>
            <w:tcBorders>
              <w:top w:val="single" w:sz="4" w:space="0" w:color="auto"/>
            </w:tcBorders>
            <w:shd w:val="clear" w:color="auto" w:fill="auto"/>
          </w:tcPr>
          <w:p w:rsidR="009B3ACE" w:rsidRPr="00D72AC3" w:rsidRDefault="009B3ACE" w:rsidP="009B3ACE">
            <w:pPr>
              <w:jc w:val="center"/>
              <w:rPr>
                <w:sz w:val="20"/>
                <w:szCs w:val="20"/>
                <w:lang w:val="en-GB"/>
              </w:rPr>
            </w:pPr>
            <w:r w:rsidRPr="00D72AC3">
              <w:rPr>
                <w:sz w:val="20"/>
                <w:szCs w:val="20"/>
                <w:lang w:val="en-GB" w:bidi="en-GB"/>
              </w:rPr>
              <w:t>MoF</w:t>
            </w:r>
          </w:p>
        </w:tc>
        <w:tc>
          <w:tcPr>
            <w:tcW w:w="1276" w:type="dxa"/>
            <w:tcBorders>
              <w:top w:val="single" w:sz="4" w:space="0" w:color="auto"/>
            </w:tcBorders>
            <w:shd w:val="clear" w:color="auto" w:fill="auto"/>
          </w:tcPr>
          <w:p w:rsidR="009B3ACE" w:rsidRPr="00D72AC3" w:rsidRDefault="009B3ACE" w:rsidP="009B3ACE">
            <w:pPr>
              <w:jc w:val="center"/>
              <w:rPr>
                <w:sz w:val="20"/>
                <w:szCs w:val="20"/>
                <w:lang w:val="en-GB"/>
              </w:rPr>
            </w:pPr>
            <w:r w:rsidRPr="00D72AC3">
              <w:rPr>
                <w:sz w:val="20"/>
                <w:szCs w:val="20"/>
                <w:lang w:val="en-GB" w:bidi="en-GB"/>
              </w:rPr>
              <w:t>MoJ</w:t>
            </w:r>
          </w:p>
        </w:tc>
        <w:tc>
          <w:tcPr>
            <w:tcW w:w="1417" w:type="dxa"/>
            <w:tcBorders>
              <w:top w:val="single" w:sz="4" w:space="0" w:color="auto"/>
            </w:tcBorders>
            <w:shd w:val="clear" w:color="auto" w:fill="auto"/>
          </w:tcPr>
          <w:p w:rsidR="009B3ACE" w:rsidRPr="00D72AC3" w:rsidRDefault="009B3ACE" w:rsidP="00C97FF2">
            <w:pPr>
              <w:jc w:val="center"/>
              <w:rPr>
                <w:sz w:val="20"/>
                <w:szCs w:val="20"/>
                <w:lang w:val="en-GB"/>
              </w:rPr>
            </w:pPr>
            <w:r w:rsidRPr="00D72AC3">
              <w:rPr>
                <w:sz w:val="20"/>
                <w:szCs w:val="20"/>
                <w:lang w:val="en-GB" w:bidi="en-GB"/>
              </w:rPr>
              <w:t>1 March 2019</w:t>
            </w:r>
          </w:p>
        </w:tc>
      </w:tr>
    </w:tbl>
    <w:p w:rsidR="007E62EB" w:rsidRPr="00D72AC3" w:rsidRDefault="007E62EB" w:rsidP="00FF0BBA">
      <w:pPr>
        <w:jc w:val="both"/>
        <w:rPr>
          <w:sz w:val="28"/>
          <w:szCs w:val="28"/>
          <w:lang w:val="en-GB"/>
        </w:rPr>
      </w:pPr>
    </w:p>
    <w:p w:rsidR="00FF0BBA" w:rsidRPr="00D72AC3" w:rsidRDefault="00E50F53" w:rsidP="00E24F37">
      <w:pPr>
        <w:pStyle w:val="Heading2"/>
        <w:rPr>
          <w:rFonts w:ascii="Times New Roman" w:hAnsi="Times New Roman" w:cs="Times New Roman"/>
          <w:b/>
          <w:color w:val="auto"/>
          <w:sz w:val="28"/>
          <w:szCs w:val="28"/>
          <w:lang w:val="en-GB"/>
        </w:rPr>
      </w:pPr>
      <w:bookmarkStart w:id="10" w:name="_Toc526510437"/>
      <w:r w:rsidRPr="00D72AC3">
        <w:rPr>
          <w:rFonts w:ascii="Times New Roman" w:eastAsia="Times New Roman" w:hAnsi="Times New Roman" w:cs="Times New Roman"/>
          <w:b/>
          <w:color w:val="auto"/>
          <w:sz w:val="28"/>
          <w:szCs w:val="28"/>
          <w:lang w:val="en-GB" w:bidi="en-GB"/>
        </w:rPr>
        <w:t>Fourth course of action - Preventive measures</w:t>
      </w:r>
      <w:bookmarkEnd w:id="10"/>
    </w:p>
    <w:p w:rsidR="00FF0BBA" w:rsidRPr="00D72AC3" w:rsidRDefault="00FF0BBA" w:rsidP="00FF0BBA">
      <w:pPr>
        <w:jc w:val="both"/>
        <w:rPr>
          <w:sz w:val="28"/>
          <w:szCs w:val="28"/>
          <w:lang w:val="en-GB"/>
        </w:rPr>
      </w:pPr>
    </w:p>
    <w:p w:rsidR="00E50F53" w:rsidRPr="00D72AC3" w:rsidRDefault="00E50F53" w:rsidP="00E50F53">
      <w:pPr>
        <w:jc w:val="both"/>
        <w:rPr>
          <w:szCs w:val="24"/>
          <w:lang w:val="en-GB"/>
        </w:rPr>
      </w:pPr>
      <w:r w:rsidRPr="00D72AC3">
        <w:rPr>
          <w:szCs w:val="24"/>
          <w:lang w:val="en-GB" w:bidi="en-GB"/>
        </w:rPr>
        <w:t xml:space="preserve">Authority in charge of the course of action: MoF </w:t>
      </w:r>
    </w:p>
    <w:p w:rsidR="00E50F53" w:rsidRPr="00D72AC3" w:rsidRDefault="00E50F53" w:rsidP="00E50F53">
      <w:pPr>
        <w:jc w:val="both"/>
        <w:rPr>
          <w:szCs w:val="24"/>
          <w:lang w:val="en-GB"/>
        </w:rPr>
      </w:pPr>
      <w:r w:rsidRPr="00D72AC3">
        <w:rPr>
          <w:szCs w:val="24"/>
          <w:lang w:val="en-GB" w:bidi="en-GB"/>
        </w:rPr>
        <w:t>Co-responsible authorities: CS, FCMC, SRS, BoL, LGSI, LCSA, LCSN, LACA, NCCH, CRPC, MoT</w:t>
      </w:r>
    </w:p>
    <w:p w:rsidR="00FF0BBA" w:rsidRPr="00D72AC3" w:rsidRDefault="00FF0BBA" w:rsidP="00FF0BBA">
      <w:pPr>
        <w:jc w:val="both"/>
        <w:rPr>
          <w:sz w:val="28"/>
          <w:szCs w:val="28"/>
          <w:lang w:val="en-GB"/>
        </w:rPr>
      </w:pPr>
    </w:p>
    <w:p w:rsidR="0056332C" w:rsidRPr="00D72AC3" w:rsidRDefault="0056332C" w:rsidP="00FF0BBA">
      <w:pPr>
        <w:jc w:val="both"/>
        <w:rPr>
          <w:sz w:val="28"/>
          <w:szCs w:val="28"/>
          <w:lang w:val="en-GB"/>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701"/>
        <w:gridCol w:w="2410"/>
        <w:gridCol w:w="2693"/>
        <w:gridCol w:w="1134"/>
        <w:gridCol w:w="1276"/>
        <w:gridCol w:w="1417"/>
      </w:tblGrid>
      <w:tr w:rsidR="004F21C5" w:rsidRPr="00D72AC3" w:rsidTr="00FE237C">
        <w:tc>
          <w:tcPr>
            <w:tcW w:w="4253" w:type="dxa"/>
            <w:gridSpan w:val="2"/>
          </w:tcPr>
          <w:p w:rsidR="004F21C5" w:rsidRPr="00D72AC3" w:rsidRDefault="00C53B77" w:rsidP="00C53B77">
            <w:pPr>
              <w:rPr>
                <w:rFonts w:cs="Times New Roman"/>
                <w:b/>
                <w:bCs/>
                <w:sz w:val="20"/>
                <w:szCs w:val="20"/>
                <w:lang w:val="en-GB"/>
              </w:rPr>
            </w:pPr>
            <w:r>
              <w:rPr>
                <w:rFonts w:cs="Times New Roman"/>
                <w:b/>
                <w:sz w:val="20"/>
                <w:szCs w:val="20"/>
                <w:lang w:val="en-GB" w:bidi="en-GB"/>
              </w:rPr>
              <w:t>Fourth c</w:t>
            </w:r>
            <w:r w:rsidR="004F21C5" w:rsidRPr="00D72AC3">
              <w:rPr>
                <w:rFonts w:cs="Times New Roman"/>
                <w:b/>
                <w:sz w:val="20"/>
                <w:szCs w:val="20"/>
                <w:lang w:val="en-GB" w:bidi="en-GB"/>
              </w:rPr>
              <w:t>ourse of action</w:t>
            </w:r>
          </w:p>
        </w:tc>
        <w:tc>
          <w:tcPr>
            <w:tcW w:w="10631" w:type="dxa"/>
            <w:gridSpan w:val="6"/>
          </w:tcPr>
          <w:p w:rsidR="004F21C5" w:rsidRPr="00D72AC3" w:rsidRDefault="00DF745E" w:rsidP="00257254">
            <w:pPr>
              <w:jc w:val="both"/>
              <w:rPr>
                <w:rFonts w:cs="Times New Roman"/>
                <w:b/>
                <w:bCs/>
                <w:sz w:val="20"/>
                <w:szCs w:val="20"/>
                <w:lang w:val="en-GB"/>
              </w:rPr>
            </w:pPr>
            <w:r w:rsidRPr="00D72AC3">
              <w:rPr>
                <w:rFonts w:cs="Times New Roman"/>
                <w:b/>
                <w:sz w:val="20"/>
                <w:szCs w:val="20"/>
                <w:lang w:val="en-GB" w:bidi="en-GB"/>
              </w:rPr>
              <w:t xml:space="preserve">PREVENTIVE MEASURES </w:t>
            </w:r>
          </w:p>
        </w:tc>
      </w:tr>
      <w:tr w:rsidR="004F21C5" w:rsidRPr="00D72AC3" w:rsidTr="00FE237C">
        <w:tc>
          <w:tcPr>
            <w:tcW w:w="4253" w:type="dxa"/>
            <w:gridSpan w:val="2"/>
          </w:tcPr>
          <w:p w:rsidR="004F21C5" w:rsidRPr="00D72AC3" w:rsidRDefault="004F21C5" w:rsidP="004F166A">
            <w:pPr>
              <w:rPr>
                <w:rFonts w:cs="Times New Roman"/>
                <w:b/>
                <w:bCs/>
                <w:sz w:val="20"/>
                <w:szCs w:val="20"/>
                <w:lang w:val="en-GB"/>
              </w:rPr>
            </w:pPr>
            <w:r w:rsidRPr="00D72AC3">
              <w:rPr>
                <w:rFonts w:cs="Times New Roman"/>
                <w:b/>
                <w:sz w:val="20"/>
                <w:szCs w:val="20"/>
                <w:lang w:val="en-GB" w:bidi="en-GB"/>
              </w:rPr>
              <w:t>Sub-objectives to be achieved:</w:t>
            </w:r>
          </w:p>
        </w:tc>
        <w:tc>
          <w:tcPr>
            <w:tcW w:w="10631" w:type="dxa"/>
            <w:gridSpan w:val="6"/>
          </w:tcPr>
          <w:p w:rsidR="004F21C5" w:rsidRPr="00D72AC3" w:rsidRDefault="004F21C5" w:rsidP="00257254">
            <w:pPr>
              <w:jc w:val="both"/>
              <w:rPr>
                <w:rFonts w:cs="Times New Roman"/>
                <w:b/>
                <w:bCs/>
                <w:sz w:val="20"/>
                <w:szCs w:val="20"/>
                <w:lang w:val="en-GB"/>
              </w:rPr>
            </w:pPr>
            <w:r w:rsidRPr="00D72AC3">
              <w:rPr>
                <w:rFonts w:cs="Times New Roman"/>
                <w:b/>
                <w:sz w:val="20"/>
                <w:szCs w:val="20"/>
                <w:lang w:val="en-GB" w:bidi="en-GB"/>
              </w:rPr>
              <w:t>1. Subjects of the law understand the ML/FT risks inherent thereto</w:t>
            </w:r>
          </w:p>
        </w:tc>
      </w:tr>
      <w:tr w:rsidR="00F54D3A" w:rsidRPr="00D72AC3" w:rsidTr="00FE237C">
        <w:trPr>
          <w:trHeight w:val="88"/>
        </w:trPr>
        <w:tc>
          <w:tcPr>
            <w:tcW w:w="4253" w:type="dxa"/>
            <w:gridSpan w:val="2"/>
          </w:tcPr>
          <w:p w:rsidR="00F54D3A" w:rsidRPr="00D72AC3" w:rsidRDefault="00F54D3A" w:rsidP="00F54D3A">
            <w:pPr>
              <w:rPr>
                <w:rFonts w:cs="Times New Roman"/>
                <w:b/>
                <w:bCs/>
                <w:sz w:val="20"/>
                <w:szCs w:val="20"/>
                <w:lang w:val="en-GB"/>
              </w:rPr>
            </w:pPr>
          </w:p>
        </w:tc>
        <w:tc>
          <w:tcPr>
            <w:tcW w:w="10631" w:type="dxa"/>
            <w:gridSpan w:val="6"/>
          </w:tcPr>
          <w:p w:rsidR="00F54D3A" w:rsidRPr="00D72AC3" w:rsidRDefault="00F54D3A" w:rsidP="00257254">
            <w:pPr>
              <w:jc w:val="both"/>
              <w:rPr>
                <w:rFonts w:cs="Times New Roman"/>
                <w:b/>
                <w:bCs/>
                <w:sz w:val="20"/>
                <w:szCs w:val="20"/>
                <w:lang w:val="en-GB"/>
              </w:rPr>
            </w:pPr>
            <w:r w:rsidRPr="00D72AC3">
              <w:rPr>
                <w:rFonts w:cs="Times New Roman"/>
                <w:b/>
                <w:sz w:val="20"/>
                <w:szCs w:val="20"/>
                <w:lang w:val="en-GB" w:bidi="en-GB"/>
              </w:rPr>
              <w:t>2. Subjects of the law apply the AML/CFT measures in accordance with the ML/FT risk level inherent thereto</w:t>
            </w:r>
          </w:p>
        </w:tc>
      </w:tr>
      <w:tr w:rsidR="00F54D3A" w:rsidRPr="00D72AC3" w:rsidTr="00FE237C">
        <w:tc>
          <w:tcPr>
            <w:tcW w:w="4253" w:type="dxa"/>
            <w:gridSpan w:val="2"/>
          </w:tcPr>
          <w:p w:rsidR="00F54D3A" w:rsidRPr="00D72AC3" w:rsidRDefault="00F54D3A" w:rsidP="00F54D3A">
            <w:pPr>
              <w:rPr>
                <w:rFonts w:cs="Times New Roman"/>
                <w:b/>
                <w:bCs/>
                <w:sz w:val="20"/>
                <w:szCs w:val="20"/>
                <w:lang w:val="en-GB"/>
              </w:rPr>
            </w:pPr>
          </w:p>
        </w:tc>
        <w:tc>
          <w:tcPr>
            <w:tcW w:w="10631" w:type="dxa"/>
            <w:gridSpan w:val="6"/>
          </w:tcPr>
          <w:p w:rsidR="00F54D3A" w:rsidRPr="00D72AC3" w:rsidRDefault="00F54D3A" w:rsidP="007364E5">
            <w:pPr>
              <w:jc w:val="both"/>
              <w:rPr>
                <w:rFonts w:cs="Times New Roman"/>
                <w:b/>
                <w:bCs/>
                <w:sz w:val="20"/>
                <w:szCs w:val="20"/>
                <w:lang w:val="en-GB"/>
              </w:rPr>
            </w:pPr>
            <w:r w:rsidRPr="00D72AC3">
              <w:rPr>
                <w:rFonts w:cs="Times New Roman"/>
                <w:b/>
                <w:sz w:val="20"/>
                <w:szCs w:val="20"/>
                <w:lang w:val="en-GB" w:bidi="en-GB"/>
              </w:rPr>
              <w:t xml:space="preserve">3. Subject of law provide reports on suspicious transactions, which ensure a quality input to the ML/FT investigation </w:t>
            </w:r>
          </w:p>
        </w:tc>
      </w:tr>
      <w:tr w:rsidR="00F54D3A" w:rsidRPr="00D72AC3" w:rsidTr="00FE237C">
        <w:tc>
          <w:tcPr>
            <w:tcW w:w="709" w:type="dxa"/>
          </w:tcPr>
          <w:p w:rsidR="00F54D3A" w:rsidRPr="00D72AC3" w:rsidRDefault="00F54D3A" w:rsidP="00F54D3A">
            <w:pPr>
              <w:jc w:val="center"/>
              <w:rPr>
                <w:rFonts w:cs="Times New Roman"/>
                <w:bCs/>
                <w:sz w:val="20"/>
                <w:szCs w:val="20"/>
                <w:lang w:val="en-GB"/>
              </w:rPr>
            </w:pPr>
            <w:r w:rsidRPr="00D72AC3">
              <w:rPr>
                <w:rFonts w:cs="Times New Roman"/>
                <w:sz w:val="20"/>
                <w:szCs w:val="20"/>
                <w:lang w:val="en-GB" w:bidi="en-GB"/>
              </w:rPr>
              <w:t>No.</w:t>
            </w:r>
          </w:p>
        </w:tc>
        <w:tc>
          <w:tcPr>
            <w:tcW w:w="3544" w:type="dxa"/>
            <w:shd w:val="clear" w:color="auto" w:fill="auto"/>
          </w:tcPr>
          <w:p w:rsidR="00F54D3A" w:rsidRPr="00D72AC3" w:rsidRDefault="00F54D3A" w:rsidP="00F54D3A">
            <w:pPr>
              <w:jc w:val="center"/>
              <w:rPr>
                <w:rFonts w:cs="Times New Roman"/>
                <w:bCs/>
                <w:i/>
                <w:sz w:val="20"/>
                <w:szCs w:val="20"/>
                <w:lang w:val="en-GB"/>
              </w:rPr>
            </w:pPr>
            <w:r w:rsidRPr="00D72AC3">
              <w:rPr>
                <w:rFonts w:cs="Times New Roman"/>
                <w:b/>
                <w:sz w:val="20"/>
                <w:szCs w:val="20"/>
                <w:lang w:val="en-GB" w:bidi="en-GB"/>
              </w:rPr>
              <w:t>Measure</w:t>
            </w:r>
          </w:p>
        </w:tc>
        <w:tc>
          <w:tcPr>
            <w:tcW w:w="1701" w:type="dxa"/>
          </w:tcPr>
          <w:p w:rsidR="00F54D3A" w:rsidRPr="00D72AC3" w:rsidRDefault="00F54D3A" w:rsidP="00F54D3A">
            <w:pPr>
              <w:rPr>
                <w:rFonts w:cs="Times New Roman"/>
                <w:b/>
                <w:sz w:val="20"/>
                <w:szCs w:val="20"/>
                <w:lang w:val="en-GB"/>
              </w:rPr>
            </w:pPr>
            <w:r w:rsidRPr="00D72AC3">
              <w:rPr>
                <w:rFonts w:cs="Times New Roman"/>
                <w:b/>
                <w:sz w:val="20"/>
                <w:szCs w:val="20"/>
                <w:lang w:val="en-GB" w:bidi="en-GB"/>
              </w:rPr>
              <w:t>Source</w:t>
            </w:r>
          </w:p>
        </w:tc>
        <w:tc>
          <w:tcPr>
            <w:tcW w:w="2410" w:type="dxa"/>
            <w:shd w:val="clear" w:color="auto" w:fill="auto"/>
          </w:tcPr>
          <w:p w:rsidR="00F54D3A" w:rsidRPr="00D72AC3" w:rsidRDefault="00F54D3A" w:rsidP="00F54D3A">
            <w:pPr>
              <w:rPr>
                <w:rFonts w:cs="Times New Roman"/>
                <w:b/>
                <w:bCs/>
                <w:i/>
                <w:sz w:val="20"/>
                <w:szCs w:val="20"/>
                <w:lang w:val="en-GB"/>
              </w:rPr>
            </w:pPr>
            <w:r w:rsidRPr="00D72AC3">
              <w:rPr>
                <w:rFonts w:cs="Times New Roman"/>
                <w:b/>
                <w:sz w:val="20"/>
                <w:szCs w:val="20"/>
                <w:lang w:val="en-GB" w:bidi="en-GB"/>
              </w:rPr>
              <w:t>Activity outcome</w:t>
            </w:r>
          </w:p>
        </w:tc>
        <w:tc>
          <w:tcPr>
            <w:tcW w:w="2693" w:type="dxa"/>
          </w:tcPr>
          <w:p w:rsidR="00F54D3A" w:rsidRPr="00D72AC3" w:rsidRDefault="00F54D3A" w:rsidP="00F54D3A">
            <w:pPr>
              <w:jc w:val="center"/>
              <w:rPr>
                <w:rFonts w:cs="Times New Roman"/>
                <w:bCs/>
                <w:i/>
                <w:sz w:val="20"/>
                <w:szCs w:val="20"/>
                <w:lang w:val="en-GB"/>
              </w:rPr>
            </w:pPr>
            <w:r w:rsidRPr="00D72AC3">
              <w:rPr>
                <w:rFonts w:cs="Times New Roman"/>
                <w:b/>
                <w:sz w:val="20"/>
                <w:szCs w:val="20"/>
                <w:lang w:val="en-GB" w:bidi="en-GB"/>
              </w:rPr>
              <w:t>Outcome indicator</w:t>
            </w:r>
          </w:p>
        </w:tc>
        <w:tc>
          <w:tcPr>
            <w:tcW w:w="1134" w:type="dxa"/>
            <w:shd w:val="clear" w:color="auto" w:fill="auto"/>
          </w:tcPr>
          <w:p w:rsidR="00F54D3A" w:rsidRPr="00D72AC3" w:rsidRDefault="00F54D3A" w:rsidP="00F54D3A">
            <w:pPr>
              <w:jc w:val="center"/>
              <w:rPr>
                <w:rFonts w:cs="Times New Roman"/>
                <w:bCs/>
                <w:i/>
                <w:sz w:val="20"/>
                <w:szCs w:val="20"/>
                <w:lang w:val="en-GB"/>
              </w:rPr>
            </w:pPr>
            <w:r w:rsidRPr="00D72AC3">
              <w:rPr>
                <w:rFonts w:cs="Times New Roman"/>
                <w:b/>
                <w:sz w:val="20"/>
                <w:szCs w:val="20"/>
                <w:lang w:val="en-GB" w:bidi="en-GB"/>
              </w:rPr>
              <w:t>Responsible authority</w:t>
            </w:r>
          </w:p>
        </w:tc>
        <w:tc>
          <w:tcPr>
            <w:tcW w:w="1276" w:type="dxa"/>
            <w:shd w:val="clear" w:color="auto" w:fill="auto"/>
          </w:tcPr>
          <w:p w:rsidR="00F54D3A" w:rsidRPr="00D72AC3" w:rsidRDefault="00F54D3A" w:rsidP="00F54D3A">
            <w:pPr>
              <w:jc w:val="center"/>
              <w:rPr>
                <w:rFonts w:cs="Times New Roman"/>
                <w:bCs/>
                <w:i/>
                <w:sz w:val="20"/>
                <w:szCs w:val="20"/>
                <w:lang w:val="en-GB"/>
              </w:rPr>
            </w:pPr>
            <w:r w:rsidRPr="00D72AC3">
              <w:rPr>
                <w:rFonts w:cs="Times New Roman"/>
                <w:b/>
                <w:sz w:val="20"/>
                <w:szCs w:val="20"/>
                <w:lang w:val="en-GB" w:bidi="en-GB"/>
              </w:rPr>
              <w:t>Co-responsible authorities</w:t>
            </w:r>
          </w:p>
        </w:tc>
        <w:tc>
          <w:tcPr>
            <w:tcW w:w="1417" w:type="dxa"/>
            <w:shd w:val="clear" w:color="auto" w:fill="auto"/>
          </w:tcPr>
          <w:p w:rsidR="00F54D3A" w:rsidRPr="00D72AC3" w:rsidRDefault="00F54D3A" w:rsidP="00F54D3A">
            <w:pPr>
              <w:jc w:val="center"/>
              <w:rPr>
                <w:rFonts w:cs="Times New Roman"/>
                <w:bCs/>
                <w:i/>
                <w:sz w:val="20"/>
                <w:szCs w:val="20"/>
                <w:lang w:val="en-GB"/>
              </w:rPr>
            </w:pPr>
            <w:r w:rsidRPr="00D72AC3">
              <w:rPr>
                <w:rFonts w:cs="Times New Roman"/>
                <w:b/>
                <w:sz w:val="20"/>
                <w:szCs w:val="20"/>
                <w:lang w:val="en-GB" w:bidi="en-GB"/>
              </w:rPr>
              <w:t>Term for implementation</w:t>
            </w:r>
          </w:p>
        </w:tc>
      </w:tr>
      <w:tr w:rsidR="00887869" w:rsidRPr="00D72AC3" w:rsidTr="00FE237C">
        <w:tc>
          <w:tcPr>
            <w:tcW w:w="709" w:type="dxa"/>
            <w:vMerge w:val="restart"/>
          </w:tcPr>
          <w:p w:rsidR="00887869" w:rsidRPr="00D72AC3" w:rsidRDefault="00887869" w:rsidP="003A6E7A">
            <w:pPr>
              <w:jc w:val="center"/>
              <w:rPr>
                <w:rFonts w:cs="Times New Roman"/>
                <w:bCs/>
                <w:color w:val="000000" w:themeColor="text1"/>
                <w:sz w:val="20"/>
                <w:szCs w:val="20"/>
                <w:lang w:val="en-GB"/>
              </w:rPr>
            </w:pPr>
            <w:r w:rsidRPr="00D72AC3">
              <w:rPr>
                <w:rFonts w:cs="Times New Roman"/>
                <w:color w:val="000000" w:themeColor="text1"/>
                <w:sz w:val="20"/>
                <w:szCs w:val="20"/>
                <w:lang w:val="en-GB" w:bidi="en-GB"/>
              </w:rPr>
              <w:t>4.1.</w:t>
            </w:r>
          </w:p>
        </w:tc>
        <w:tc>
          <w:tcPr>
            <w:tcW w:w="3544" w:type="dxa"/>
            <w:vMerge w:val="restart"/>
            <w:shd w:val="clear" w:color="auto" w:fill="auto"/>
          </w:tcPr>
          <w:p w:rsidR="003A6E7A" w:rsidRPr="00D72AC3" w:rsidRDefault="003A6E7A" w:rsidP="003A6E7A">
            <w:pPr>
              <w:jc w:val="both"/>
              <w:rPr>
                <w:color w:val="000000" w:themeColor="text1"/>
                <w:sz w:val="20"/>
                <w:szCs w:val="20"/>
                <w:lang w:val="en-GB"/>
              </w:rPr>
            </w:pPr>
            <w:r w:rsidRPr="00D72AC3">
              <w:rPr>
                <w:color w:val="000000" w:themeColor="text1"/>
                <w:sz w:val="20"/>
                <w:szCs w:val="20"/>
                <w:lang w:val="en-GB" w:bidi="en-GB"/>
              </w:rPr>
              <w:t>To ensure systemic informing of market participants regarding ML/F</w:t>
            </w:r>
            <w:r w:rsidR="00CB2800">
              <w:rPr>
                <w:color w:val="000000" w:themeColor="text1"/>
                <w:sz w:val="20"/>
                <w:szCs w:val="20"/>
                <w:lang w:val="en-GB" w:bidi="en-GB"/>
              </w:rPr>
              <w:t>T</w:t>
            </w:r>
            <w:r w:rsidRPr="00D72AC3">
              <w:rPr>
                <w:color w:val="000000" w:themeColor="text1"/>
                <w:sz w:val="20"/>
                <w:szCs w:val="20"/>
                <w:lang w:val="en-GB" w:bidi="en-GB"/>
              </w:rPr>
              <w:t xml:space="preserve"> risks and implementation of preventive measures.</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With respect to the risk of the subjects of the law and their understanding of the AML/CFT requirements, to ensure that:</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the subjects of the law, when carrying out the risk assessment of the company, have established and apply permanent procedures and corresponding documentation, as well as review these procedures on a regular basis;</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xml:space="preserve">- the risk assessments carried out by the companies specifically analyse also the financing of terrorism threats and </w:t>
            </w:r>
            <w:r w:rsidRPr="00D72AC3">
              <w:rPr>
                <w:rFonts w:cs="Times New Roman"/>
                <w:color w:val="000000" w:themeColor="text1"/>
                <w:sz w:val="20"/>
                <w:szCs w:val="20"/>
                <w:lang w:val="en-GB" w:bidi="en-GB"/>
              </w:rPr>
              <w:lastRenderedPageBreak/>
              <w:t>vulnerability, and they also reflect the actual combined ML/FT risk exposure.</w:t>
            </w:r>
          </w:p>
          <w:p w:rsidR="00887869" w:rsidRPr="00D72AC3" w:rsidRDefault="00887869" w:rsidP="003A6E7A">
            <w:pPr>
              <w:jc w:val="both"/>
              <w:rPr>
                <w:rFonts w:cs="Times New Roman"/>
                <w:bCs/>
                <w:color w:val="000000" w:themeColor="text1"/>
                <w:sz w:val="20"/>
                <w:szCs w:val="20"/>
                <w:lang w:val="en-GB"/>
              </w:rPr>
            </w:pP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To ensure that the understanding of the subjects of the law on the financing of terrorism risks is not confined to the terrorist lists;</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all subjects of the law with high intensity of transactions ensure automated IT solutions for the purposes of controlling financing of terrorism, while the subjects with low intensity of transactions constantly use manual tools for controlling financing of terrorism.</w:t>
            </w:r>
          </w:p>
          <w:p w:rsidR="00887869" w:rsidRPr="00D72AC3" w:rsidRDefault="00887869" w:rsidP="003A6E7A">
            <w:pPr>
              <w:jc w:val="both"/>
              <w:rPr>
                <w:rFonts w:cs="Times New Roman"/>
                <w:bCs/>
                <w:color w:val="000000" w:themeColor="text1"/>
                <w:sz w:val="20"/>
                <w:szCs w:val="20"/>
                <w:lang w:val="en-GB"/>
              </w:rPr>
            </w:pP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To ensure that all subjects of the law:</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have the main AML/</w:t>
            </w:r>
            <w:r w:rsidR="00CB2800">
              <w:rPr>
                <w:rFonts w:cs="Times New Roman"/>
                <w:color w:val="000000" w:themeColor="text1"/>
                <w:sz w:val="20"/>
                <w:szCs w:val="20"/>
                <w:lang w:val="en-GB" w:bidi="en-GB"/>
              </w:rPr>
              <w:t>C</w:t>
            </w:r>
            <w:r w:rsidRPr="00D72AC3">
              <w:rPr>
                <w:rFonts w:cs="Times New Roman"/>
                <w:color w:val="000000" w:themeColor="text1"/>
                <w:sz w:val="20"/>
                <w:szCs w:val="20"/>
                <w:lang w:val="en-GB" w:bidi="en-GB"/>
              </w:rPr>
              <w:t>FT internal control system elements in place;</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have effective internal control mechanisms and procedures in place;</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the effectiveness of the application of the risk mitigating measures taken by them is increased according to the risk;</w:t>
            </w:r>
          </w:p>
          <w:p w:rsidR="00887869" w:rsidRPr="00D72AC3" w:rsidRDefault="00887869" w:rsidP="003A6E7A">
            <w:pPr>
              <w:jc w:val="both"/>
              <w:rPr>
                <w:rFonts w:cs="Times New Roman"/>
                <w:bCs/>
                <w:color w:val="000000" w:themeColor="text1"/>
                <w:sz w:val="20"/>
                <w:szCs w:val="20"/>
                <w:lang w:val="en-GB"/>
              </w:rPr>
            </w:pPr>
            <w:r w:rsidRPr="00D72AC3">
              <w:rPr>
                <w:rFonts w:cs="Times New Roman"/>
                <w:color w:val="000000" w:themeColor="text1"/>
                <w:sz w:val="20"/>
                <w:szCs w:val="20"/>
                <w:lang w:val="en-GB" w:bidi="en-GB"/>
              </w:rPr>
              <w:t>- systems ensuring the risk-based approach to performance of the customer due diligence measures are in place.</w:t>
            </w:r>
          </w:p>
          <w:p w:rsidR="00887869" w:rsidRPr="00D72AC3" w:rsidRDefault="00887869" w:rsidP="00C53B77">
            <w:pPr>
              <w:jc w:val="both"/>
              <w:rPr>
                <w:sz w:val="20"/>
                <w:szCs w:val="20"/>
                <w:lang w:val="en-GB"/>
              </w:rPr>
            </w:pPr>
            <w:r w:rsidRPr="00D72AC3">
              <w:rPr>
                <w:sz w:val="20"/>
                <w:szCs w:val="20"/>
                <w:lang w:val="en-GB" w:bidi="en-GB"/>
              </w:rPr>
              <w:t xml:space="preserve">Within the supervision process, to carry out regular compliance controls of the qualification and reputation of the officials, as well as the reputation of the </w:t>
            </w:r>
            <w:r w:rsidR="00CB2800">
              <w:rPr>
                <w:sz w:val="20"/>
                <w:szCs w:val="20"/>
                <w:lang w:val="en-GB" w:bidi="en-GB"/>
              </w:rPr>
              <w:t xml:space="preserve">shareholders of </w:t>
            </w:r>
            <w:r w:rsidRPr="00D72AC3">
              <w:rPr>
                <w:sz w:val="20"/>
                <w:szCs w:val="20"/>
                <w:lang w:val="en-GB" w:bidi="en-GB"/>
              </w:rPr>
              <w:t xml:space="preserve">licenced subjects both </w:t>
            </w:r>
            <w:r w:rsidR="00CB2800">
              <w:rPr>
                <w:sz w:val="20"/>
                <w:szCs w:val="20"/>
                <w:lang w:val="en-GB" w:bidi="en-GB"/>
              </w:rPr>
              <w:t xml:space="preserve">from </w:t>
            </w:r>
            <w:r w:rsidRPr="00D72AC3">
              <w:rPr>
                <w:sz w:val="20"/>
                <w:szCs w:val="20"/>
                <w:lang w:val="en-GB" w:bidi="en-GB"/>
              </w:rPr>
              <w:t>the moment of beginning of operation of the subject of the law and also regularly during the operation thereof, prescribing the previously detected AML/CFT offences the additional risk identifier.</w:t>
            </w:r>
          </w:p>
        </w:tc>
        <w:tc>
          <w:tcPr>
            <w:tcW w:w="1701" w:type="dxa"/>
            <w:vMerge w:val="restart"/>
          </w:tcPr>
          <w:p w:rsidR="00887869" w:rsidRPr="00D72AC3" w:rsidRDefault="00887869" w:rsidP="003A6E7A">
            <w:pPr>
              <w:rPr>
                <w:rFonts w:cs="Times New Roman"/>
                <w:color w:val="000000" w:themeColor="text1"/>
                <w:sz w:val="20"/>
                <w:szCs w:val="20"/>
                <w:lang w:val="en-GB"/>
              </w:rPr>
            </w:pPr>
            <w:r w:rsidRPr="00D72AC3">
              <w:rPr>
                <w:rFonts w:cs="Times New Roman"/>
                <w:color w:val="000000" w:themeColor="text1"/>
                <w:sz w:val="20"/>
                <w:szCs w:val="20"/>
                <w:lang w:val="en-GB" w:bidi="en-GB"/>
              </w:rPr>
              <w:lastRenderedPageBreak/>
              <w:t>Moneyval recommendation 3.4., 4.1., 4.2., 4.3., 4.4., 4.5., 4.7., 4.8., 4.16., 7.3.</w:t>
            </w:r>
          </w:p>
          <w:p w:rsidR="00887869" w:rsidRPr="00D72AC3" w:rsidRDefault="00887869" w:rsidP="003A6E7A">
            <w:pPr>
              <w:rPr>
                <w:rFonts w:cs="Times New Roman"/>
                <w:color w:val="000000" w:themeColor="text1"/>
                <w:sz w:val="20"/>
                <w:szCs w:val="20"/>
                <w:lang w:val="en-GB"/>
              </w:rPr>
            </w:pPr>
          </w:p>
          <w:p w:rsidR="00887869" w:rsidRPr="00D72AC3" w:rsidRDefault="00887869" w:rsidP="003A6E7A">
            <w:pPr>
              <w:jc w:val="both"/>
              <w:rPr>
                <w:sz w:val="20"/>
                <w:szCs w:val="20"/>
                <w:lang w:val="en-GB"/>
              </w:rPr>
            </w:pPr>
            <w:r w:rsidRPr="00D72AC3">
              <w:rPr>
                <w:sz w:val="20"/>
                <w:szCs w:val="20"/>
                <w:lang w:val="en-GB" w:bidi="en-GB"/>
              </w:rPr>
              <w:t>Plan of Measures for 2017-2019 Measure 5.1.</w:t>
            </w:r>
          </w:p>
        </w:tc>
        <w:tc>
          <w:tcPr>
            <w:tcW w:w="2410" w:type="dxa"/>
            <w:shd w:val="clear" w:color="auto" w:fill="auto"/>
          </w:tcPr>
          <w:p w:rsidR="00887869" w:rsidRPr="00D72AC3" w:rsidRDefault="00887869" w:rsidP="003A6E7A">
            <w:pPr>
              <w:jc w:val="both"/>
              <w:rPr>
                <w:rFonts w:cs="Times New Roman"/>
                <w:color w:val="000000" w:themeColor="text1"/>
                <w:sz w:val="20"/>
                <w:szCs w:val="20"/>
                <w:lang w:val="en-GB"/>
              </w:rPr>
            </w:pPr>
            <w:r w:rsidRPr="00D72AC3">
              <w:rPr>
                <w:rFonts w:cs="Times New Roman"/>
                <w:color w:val="000000" w:themeColor="text1"/>
                <w:sz w:val="20"/>
                <w:szCs w:val="20"/>
                <w:lang w:val="en-GB" w:bidi="en-GB"/>
              </w:rPr>
              <w:t>1. The statutory regulations and guidelines for the subjects of the law updated in accordance with the sectoral risk assessment, as well as the deficiencies identified in the Moneyval recommendations</w:t>
            </w:r>
          </w:p>
        </w:tc>
        <w:tc>
          <w:tcPr>
            <w:tcW w:w="2693" w:type="dxa"/>
          </w:tcPr>
          <w:p w:rsidR="00887869" w:rsidRPr="00D72AC3" w:rsidRDefault="00016F1F" w:rsidP="0025344E">
            <w:pPr>
              <w:jc w:val="both"/>
              <w:rPr>
                <w:rFonts w:cs="Times New Roman"/>
                <w:b/>
                <w:color w:val="000000" w:themeColor="text1"/>
                <w:sz w:val="20"/>
                <w:szCs w:val="20"/>
                <w:lang w:val="en-GB"/>
              </w:rPr>
            </w:pPr>
            <w:r w:rsidRPr="00D72AC3">
              <w:rPr>
                <w:rFonts w:cs="Times New Roman"/>
                <w:color w:val="000000" w:themeColor="text1"/>
                <w:sz w:val="20"/>
                <w:szCs w:val="20"/>
                <w:lang w:val="en-GB" w:bidi="en-GB"/>
              </w:rPr>
              <w:t>1. Guidelines updated</w:t>
            </w:r>
          </w:p>
        </w:tc>
        <w:tc>
          <w:tcPr>
            <w:tcW w:w="1134" w:type="dxa"/>
            <w:shd w:val="clear" w:color="auto" w:fill="auto"/>
          </w:tcPr>
          <w:p w:rsidR="00887869" w:rsidRPr="00D72AC3" w:rsidRDefault="00887869" w:rsidP="003A6E7A">
            <w:pPr>
              <w:jc w:val="center"/>
              <w:rPr>
                <w:rFonts w:cs="Times New Roman"/>
                <w:b/>
                <w:bCs/>
                <w:color w:val="000000" w:themeColor="text1"/>
                <w:sz w:val="20"/>
                <w:szCs w:val="20"/>
                <w:lang w:val="en-GB"/>
              </w:rPr>
            </w:pPr>
            <w:r w:rsidRPr="00D72AC3">
              <w:rPr>
                <w:color w:val="000000" w:themeColor="text1"/>
                <w:sz w:val="20"/>
                <w:szCs w:val="20"/>
                <w:lang w:val="en-GB" w:bidi="en-GB"/>
              </w:rPr>
              <w:t>FCMC, SRS, BoL, LGSI, LCSA, LCSN, LACA, NCCH, CRPC</w:t>
            </w:r>
          </w:p>
        </w:tc>
        <w:tc>
          <w:tcPr>
            <w:tcW w:w="1276" w:type="dxa"/>
            <w:shd w:val="clear" w:color="auto" w:fill="auto"/>
          </w:tcPr>
          <w:p w:rsidR="00887869" w:rsidRPr="00D72AC3" w:rsidRDefault="00887869" w:rsidP="003A6E7A">
            <w:pPr>
              <w:jc w:val="center"/>
              <w:rPr>
                <w:rFonts w:cs="Times New Roman"/>
                <w:b/>
                <w:bCs/>
                <w:color w:val="000000" w:themeColor="text1"/>
                <w:sz w:val="20"/>
                <w:szCs w:val="20"/>
                <w:lang w:val="en-GB"/>
              </w:rPr>
            </w:pPr>
          </w:p>
        </w:tc>
        <w:tc>
          <w:tcPr>
            <w:tcW w:w="1417" w:type="dxa"/>
            <w:shd w:val="clear" w:color="auto" w:fill="auto"/>
          </w:tcPr>
          <w:p w:rsidR="00887869" w:rsidRPr="00D72AC3" w:rsidRDefault="00016F1F" w:rsidP="00C97FF2">
            <w:pPr>
              <w:jc w:val="center"/>
              <w:rPr>
                <w:rFonts w:cs="Times New Roman"/>
                <w:bCs/>
                <w:color w:val="000000" w:themeColor="text1"/>
                <w:sz w:val="20"/>
                <w:szCs w:val="20"/>
                <w:lang w:val="en-GB"/>
              </w:rPr>
            </w:pPr>
            <w:r w:rsidRPr="00D72AC3">
              <w:rPr>
                <w:rFonts w:cs="Times New Roman"/>
                <w:color w:val="000000" w:themeColor="text1"/>
                <w:sz w:val="20"/>
                <w:szCs w:val="20"/>
                <w:lang w:val="en-GB" w:bidi="en-GB"/>
              </w:rPr>
              <w:t>1. 31 January 2019</w:t>
            </w:r>
          </w:p>
        </w:tc>
      </w:tr>
      <w:tr w:rsidR="00887869" w:rsidRPr="00D72AC3" w:rsidTr="00FE237C">
        <w:tc>
          <w:tcPr>
            <w:tcW w:w="709" w:type="dxa"/>
            <w:vMerge/>
          </w:tcPr>
          <w:p w:rsidR="00887869" w:rsidRPr="00D72AC3" w:rsidRDefault="00887869" w:rsidP="003A6E7A">
            <w:pPr>
              <w:jc w:val="center"/>
              <w:rPr>
                <w:rFonts w:cs="Times New Roman"/>
                <w:bCs/>
                <w:color w:val="000000" w:themeColor="text1"/>
                <w:sz w:val="20"/>
                <w:szCs w:val="20"/>
                <w:lang w:val="en-GB"/>
              </w:rPr>
            </w:pPr>
          </w:p>
        </w:tc>
        <w:tc>
          <w:tcPr>
            <w:tcW w:w="3544" w:type="dxa"/>
            <w:vMerge/>
            <w:tcBorders>
              <w:bottom w:val="single" w:sz="4" w:space="0" w:color="auto"/>
            </w:tcBorders>
            <w:shd w:val="clear" w:color="auto" w:fill="auto"/>
          </w:tcPr>
          <w:p w:rsidR="00887869" w:rsidRPr="00D72AC3" w:rsidRDefault="00887869" w:rsidP="003A6E7A">
            <w:pPr>
              <w:jc w:val="both"/>
              <w:rPr>
                <w:rFonts w:cs="Times New Roman"/>
                <w:bCs/>
                <w:color w:val="000000" w:themeColor="text1"/>
                <w:sz w:val="20"/>
                <w:szCs w:val="20"/>
                <w:lang w:val="en-GB"/>
              </w:rPr>
            </w:pPr>
          </w:p>
        </w:tc>
        <w:tc>
          <w:tcPr>
            <w:tcW w:w="1701" w:type="dxa"/>
            <w:vMerge/>
            <w:tcBorders>
              <w:bottom w:val="single" w:sz="4" w:space="0" w:color="auto"/>
            </w:tcBorders>
          </w:tcPr>
          <w:p w:rsidR="00887869" w:rsidRPr="00D72AC3" w:rsidRDefault="00887869" w:rsidP="003A6E7A">
            <w:pPr>
              <w:rPr>
                <w:rFonts w:cs="Times New Roman"/>
                <w:color w:val="000000" w:themeColor="text1"/>
                <w:sz w:val="20"/>
                <w:szCs w:val="20"/>
                <w:lang w:val="en-GB"/>
              </w:rPr>
            </w:pPr>
          </w:p>
        </w:tc>
        <w:tc>
          <w:tcPr>
            <w:tcW w:w="2410" w:type="dxa"/>
            <w:shd w:val="clear" w:color="auto" w:fill="auto"/>
          </w:tcPr>
          <w:p w:rsidR="00887869" w:rsidRPr="00D72AC3" w:rsidRDefault="00887869" w:rsidP="00122AD7">
            <w:pPr>
              <w:jc w:val="both"/>
              <w:rPr>
                <w:rFonts w:cs="Times New Roman"/>
                <w:color w:val="000000" w:themeColor="text1"/>
                <w:sz w:val="20"/>
                <w:szCs w:val="20"/>
                <w:lang w:val="en-GB"/>
              </w:rPr>
            </w:pPr>
            <w:r w:rsidRPr="00D72AC3">
              <w:rPr>
                <w:rFonts w:cs="Times New Roman"/>
                <w:color w:val="000000" w:themeColor="text1"/>
                <w:sz w:val="20"/>
                <w:szCs w:val="20"/>
                <w:lang w:val="en-GB" w:bidi="en-GB"/>
              </w:rPr>
              <w:t>2. For the supervisory and control authorities, to carry out regular training and provide consultations to the subjects of the law</w:t>
            </w:r>
          </w:p>
        </w:tc>
        <w:tc>
          <w:tcPr>
            <w:tcW w:w="2693" w:type="dxa"/>
          </w:tcPr>
          <w:p w:rsidR="0037175D" w:rsidRPr="00D72AC3" w:rsidRDefault="00016F1F" w:rsidP="0025344E">
            <w:pPr>
              <w:jc w:val="both"/>
              <w:rPr>
                <w:rFonts w:cs="Times New Roman"/>
                <w:color w:val="000000" w:themeColor="text1"/>
                <w:sz w:val="20"/>
                <w:szCs w:val="20"/>
                <w:lang w:val="en-GB"/>
              </w:rPr>
            </w:pPr>
            <w:r w:rsidRPr="00D72AC3">
              <w:rPr>
                <w:rFonts w:cs="Times New Roman"/>
                <w:color w:val="000000" w:themeColor="text1"/>
                <w:sz w:val="20"/>
                <w:szCs w:val="20"/>
                <w:lang w:val="en-GB" w:bidi="en-GB"/>
              </w:rPr>
              <w:t>2. In 2018, 67 training courses or seminars were organised, 2, 642 persons were trained;</w:t>
            </w:r>
          </w:p>
          <w:p w:rsidR="00887869" w:rsidRPr="00D72AC3" w:rsidRDefault="0037175D" w:rsidP="0025344E">
            <w:pPr>
              <w:jc w:val="both"/>
              <w:rPr>
                <w:rFonts w:cs="Times New Roman"/>
                <w:color w:val="000000" w:themeColor="text1"/>
                <w:sz w:val="20"/>
                <w:szCs w:val="20"/>
                <w:lang w:val="en-GB"/>
              </w:rPr>
            </w:pPr>
            <w:r w:rsidRPr="00D72AC3">
              <w:rPr>
                <w:rFonts w:cs="Times New Roman"/>
                <w:color w:val="000000" w:themeColor="text1"/>
                <w:sz w:val="20"/>
                <w:szCs w:val="20"/>
                <w:lang w:val="en-GB" w:bidi="en-GB"/>
              </w:rPr>
              <w:t>In 2019, 75 training courses or seminars were organised, 5, 426 persons were trained (Annex 3)</w:t>
            </w:r>
          </w:p>
          <w:p w:rsidR="00887869" w:rsidRPr="00D72AC3" w:rsidRDefault="00887869" w:rsidP="0025344E">
            <w:pPr>
              <w:jc w:val="both"/>
              <w:rPr>
                <w:rFonts w:cs="Times New Roman"/>
                <w:color w:val="000000" w:themeColor="text1"/>
                <w:sz w:val="20"/>
                <w:szCs w:val="20"/>
                <w:lang w:val="en-GB"/>
              </w:rPr>
            </w:pPr>
          </w:p>
        </w:tc>
        <w:tc>
          <w:tcPr>
            <w:tcW w:w="1134" w:type="dxa"/>
            <w:shd w:val="clear" w:color="auto" w:fill="auto"/>
          </w:tcPr>
          <w:p w:rsidR="00887869" w:rsidRPr="00D72AC3" w:rsidRDefault="00887869" w:rsidP="003A6E7A">
            <w:pPr>
              <w:jc w:val="center"/>
              <w:rPr>
                <w:color w:val="000000" w:themeColor="text1"/>
                <w:sz w:val="20"/>
                <w:szCs w:val="20"/>
                <w:lang w:val="en-GB"/>
              </w:rPr>
            </w:pPr>
            <w:r w:rsidRPr="00D72AC3">
              <w:rPr>
                <w:color w:val="000000" w:themeColor="text1"/>
                <w:sz w:val="20"/>
                <w:szCs w:val="20"/>
                <w:lang w:val="en-GB" w:bidi="en-GB"/>
              </w:rPr>
              <w:t>FCMC, SRS, BoL, LGSI, LCSA, LCSN, LACA, NCCH, CRPC</w:t>
            </w:r>
          </w:p>
        </w:tc>
        <w:tc>
          <w:tcPr>
            <w:tcW w:w="1276" w:type="dxa"/>
            <w:shd w:val="clear" w:color="auto" w:fill="auto"/>
          </w:tcPr>
          <w:p w:rsidR="00887869" w:rsidRPr="00D72AC3" w:rsidRDefault="00FC417E" w:rsidP="003A6E7A">
            <w:pPr>
              <w:jc w:val="center"/>
              <w:rPr>
                <w:rFonts w:cs="Times New Roman"/>
                <w:bCs/>
                <w:color w:val="000000" w:themeColor="text1"/>
                <w:sz w:val="20"/>
                <w:szCs w:val="20"/>
                <w:lang w:val="en-GB"/>
              </w:rPr>
            </w:pPr>
            <w:r w:rsidRPr="00D72AC3">
              <w:rPr>
                <w:rFonts w:cs="Times New Roman"/>
                <w:color w:val="000000" w:themeColor="text1"/>
                <w:sz w:val="20"/>
                <w:szCs w:val="20"/>
                <w:lang w:val="en-GB" w:bidi="en-GB"/>
              </w:rPr>
              <w:t>CS</w:t>
            </w:r>
          </w:p>
        </w:tc>
        <w:tc>
          <w:tcPr>
            <w:tcW w:w="1417" w:type="dxa"/>
            <w:shd w:val="clear" w:color="auto" w:fill="auto"/>
          </w:tcPr>
          <w:p w:rsidR="00887869" w:rsidRPr="00D72AC3" w:rsidRDefault="00016F1F" w:rsidP="003A6E7A">
            <w:pPr>
              <w:jc w:val="center"/>
              <w:rPr>
                <w:rFonts w:cs="Times New Roman"/>
                <w:bCs/>
                <w:color w:val="000000" w:themeColor="text1"/>
                <w:sz w:val="20"/>
                <w:szCs w:val="20"/>
                <w:lang w:val="en-GB"/>
              </w:rPr>
            </w:pPr>
            <w:r w:rsidRPr="00D72AC3">
              <w:rPr>
                <w:rFonts w:cs="Times New Roman"/>
                <w:color w:val="000000" w:themeColor="text1"/>
                <w:sz w:val="20"/>
                <w:szCs w:val="20"/>
                <w:lang w:val="en-GB" w:bidi="en-GB"/>
              </w:rPr>
              <w:t>2. 31 December 2019</w:t>
            </w:r>
          </w:p>
          <w:p w:rsidR="00887869" w:rsidRPr="00D72AC3" w:rsidRDefault="00887869" w:rsidP="003A6E7A">
            <w:pPr>
              <w:jc w:val="center"/>
              <w:rPr>
                <w:rFonts w:cs="Times New Roman"/>
                <w:bCs/>
                <w:color w:val="000000" w:themeColor="text1"/>
                <w:sz w:val="20"/>
                <w:szCs w:val="20"/>
                <w:lang w:val="en-GB"/>
              </w:rPr>
            </w:pPr>
          </w:p>
        </w:tc>
      </w:tr>
      <w:tr w:rsidR="00AB13F3" w:rsidRPr="00D72AC3" w:rsidTr="00FE237C">
        <w:tc>
          <w:tcPr>
            <w:tcW w:w="709" w:type="dxa"/>
            <w:vMerge w:val="restart"/>
            <w:tcBorders>
              <w:right w:val="single" w:sz="4" w:space="0" w:color="auto"/>
            </w:tcBorders>
          </w:tcPr>
          <w:p w:rsidR="00AB13F3" w:rsidRPr="00D72AC3" w:rsidRDefault="00AB13F3" w:rsidP="00914F28">
            <w:pPr>
              <w:jc w:val="center"/>
              <w:rPr>
                <w:rFonts w:cs="Times New Roman"/>
                <w:bCs/>
                <w:sz w:val="20"/>
                <w:szCs w:val="20"/>
                <w:lang w:val="en-GB"/>
              </w:rPr>
            </w:pPr>
            <w:r w:rsidRPr="00D72AC3">
              <w:rPr>
                <w:rFonts w:cs="Times New Roman"/>
                <w:sz w:val="20"/>
                <w:szCs w:val="20"/>
                <w:lang w:val="en-GB" w:bidi="en-GB"/>
              </w:rPr>
              <w:lastRenderedPageBreak/>
              <w:t>4.2.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AB13F3" w:rsidRPr="00D72AC3" w:rsidRDefault="00AB13F3" w:rsidP="00B707AC">
            <w:pPr>
              <w:jc w:val="both"/>
              <w:rPr>
                <w:rFonts w:cs="Times New Roman"/>
                <w:bCs/>
                <w:sz w:val="20"/>
                <w:szCs w:val="20"/>
                <w:lang w:val="en-GB"/>
              </w:rPr>
            </w:pPr>
            <w:r w:rsidRPr="00D72AC3">
              <w:rPr>
                <w:rFonts w:cs="Times New Roman"/>
                <w:sz w:val="20"/>
                <w:szCs w:val="20"/>
                <w:lang w:val="en-GB" w:bidi="en-GB"/>
              </w:rPr>
              <w:t>Measures must be strengthened, by which the minimum requirements are applied:</w:t>
            </w:r>
          </w:p>
          <w:p w:rsidR="00FC417E" w:rsidRPr="00D72AC3" w:rsidRDefault="00AB13F3" w:rsidP="00FC417E">
            <w:pPr>
              <w:jc w:val="both"/>
              <w:rPr>
                <w:rFonts w:cs="Times New Roman"/>
                <w:bCs/>
                <w:sz w:val="20"/>
                <w:szCs w:val="20"/>
                <w:lang w:val="en-GB"/>
              </w:rPr>
            </w:pPr>
            <w:r w:rsidRPr="00D72AC3">
              <w:rPr>
                <w:rFonts w:cs="Times New Roman"/>
                <w:sz w:val="20"/>
                <w:szCs w:val="20"/>
                <w:lang w:val="en-GB" w:bidi="en-GB"/>
              </w:rPr>
              <w:t>- with respect to the quality of additional information and documentation during the process of customer due diligence, clarifying the ultimate beneficial owner, in determination of the politically exposed persons, determination of the origin of funds, as well as supervision of transactions</w:t>
            </w:r>
          </w:p>
        </w:tc>
        <w:tc>
          <w:tcPr>
            <w:tcW w:w="1701" w:type="dxa"/>
            <w:vMerge w:val="restart"/>
            <w:tcBorders>
              <w:top w:val="single" w:sz="4" w:space="0" w:color="auto"/>
              <w:left w:val="single" w:sz="4" w:space="0" w:color="auto"/>
              <w:bottom w:val="single" w:sz="4" w:space="0" w:color="auto"/>
              <w:right w:val="single" w:sz="4" w:space="0" w:color="auto"/>
            </w:tcBorders>
          </w:tcPr>
          <w:p w:rsidR="00AB13F3" w:rsidRPr="00D72AC3" w:rsidRDefault="00AB13F3" w:rsidP="0079021D">
            <w:pPr>
              <w:rPr>
                <w:rFonts w:cs="Times New Roman"/>
                <w:sz w:val="20"/>
                <w:szCs w:val="20"/>
                <w:lang w:val="en-GB"/>
              </w:rPr>
            </w:pPr>
            <w:r w:rsidRPr="00D72AC3">
              <w:rPr>
                <w:rFonts w:cs="Times New Roman"/>
                <w:sz w:val="20"/>
                <w:szCs w:val="20"/>
                <w:lang w:val="en-GB" w:bidi="en-GB"/>
              </w:rPr>
              <w:t xml:space="preserve">Moneyval recommendation 4.6., FATF Recommendation 10. </w:t>
            </w:r>
          </w:p>
        </w:tc>
        <w:tc>
          <w:tcPr>
            <w:tcW w:w="2410" w:type="dxa"/>
            <w:tcBorders>
              <w:left w:val="single" w:sz="4" w:space="0" w:color="auto"/>
            </w:tcBorders>
            <w:shd w:val="clear" w:color="auto" w:fill="auto"/>
          </w:tcPr>
          <w:p w:rsidR="00AB13F3" w:rsidRPr="00D72AC3" w:rsidRDefault="00AB13F3" w:rsidP="0066578E">
            <w:pPr>
              <w:jc w:val="both"/>
              <w:rPr>
                <w:rFonts w:cs="Times New Roman"/>
                <w:b/>
                <w:color w:val="000000" w:themeColor="text1"/>
                <w:sz w:val="20"/>
                <w:szCs w:val="20"/>
                <w:lang w:val="en-GB"/>
              </w:rPr>
            </w:pPr>
            <w:r w:rsidRPr="00D72AC3">
              <w:rPr>
                <w:rFonts w:cs="Times New Roman"/>
                <w:color w:val="000000" w:themeColor="text1"/>
                <w:sz w:val="20"/>
                <w:szCs w:val="20"/>
                <w:lang w:val="en-GB" w:bidi="en-GB"/>
              </w:rPr>
              <w:t>1. Amendments to the</w:t>
            </w:r>
            <w:r w:rsidRPr="00D72AC3">
              <w:rPr>
                <w:rFonts w:cs="Times New Roman"/>
                <w:i/>
                <w:color w:val="000000" w:themeColor="text1"/>
                <w:sz w:val="20"/>
                <w:szCs w:val="20"/>
                <w:lang w:val="en-GB" w:bidi="en-GB"/>
              </w:rPr>
              <w:t xml:space="preserve"> Law on the PMLTF</w:t>
            </w:r>
            <w:r w:rsidRPr="00D72AC3">
              <w:rPr>
                <w:rFonts w:cs="Times New Roman"/>
                <w:color w:val="000000" w:themeColor="text1"/>
                <w:sz w:val="20"/>
                <w:szCs w:val="20"/>
                <w:lang w:val="en-GB" w:bidi="en-GB"/>
              </w:rPr>
              <w:t xml:space="preserve"> introduced, ensuring complete compliance with FATF Recommendation 10.</w:t>
            </w:r>
          </w:p>
        </w:tc>
        <w:tc>
          <w:tcPr>
            <w:tcW w:w="2693" w:type="dxa"/>
          </w:tcPr>
          <w:p w:rsidR="00AB13F3" w:rsidRPr="00D72AC3" w:rsidRDefault="00AB13F3" w:rsidP="0025344E">
            <w:pPr>
              <w:jc w:val="both"/>
              <w:rPr>
                <w:rFonts w:cs="Times New Roman"/>
                <w:sz w:val="20"/>
                <w:szCs w:val="20"/>
                <w:lang w:val="en-GB"/>
              </w:rPr>
            </w:pPr>
            <w:r w:rsidRPr="00D72AC3">
              <w:rPr>
                <w:rFonts w:cs="Times New Roman"/>
                <w:sz w:val="20"/>
                <w:szCs w:val="20"/>
                <w:lang w:val="en-GB" w:bidi="en-GB"/>
              </w:rPr>
              <w:t>1. Draft law developed and submitted to the Cabinet of Ministers</w:t>
            </w:r>
          </w:p>
          <w:p w:rsidR="00AB13F3" w:rsidRPr="00D72AC3" w:rsidRDefault="00AB13F3" w:rsidP="0025344E">
            <w:pPr>
              <w:jc w:val="both"/>
              <w:rPr>
                <w:rFonts w:cs="Times New Roman"/>
                <w:sz w:val="20"/>
                <w:szCs w:val="20"/>
                <w:lang w:val="en-GB"/>
              </w:rPr>
            </w:pPr>
          </w:p>
          <w:p w:rsidR="00AB13F3" w:rsidRPr="00D72AC3" w:rsidRDefault="00AB13F3" w:rsidP="0025344E">
            <w:pPr>
              <w:jc w:val="both"/>
              <w:rPr>
                <w:rFonts w:cs="Times New Roman"/>
                <w:b/>
                <w:sz w:val="20"/>
                <w:szCs w:val="20"/>
                <w:lang w:val="en-GB"/>
              </w:rPr>
            </w:pPr>
          </w:p>
        </w:tc>
        <w:tc>
          <w:tcPr>
            <w:tcW w:w="1134" w:type="dxa"/>
            <w:shd w:val="clear" w:color="auto" w:fill="auto"/>
          </w:tcPr>
          <w:p w:rsidR="00AB13F3" w:rsidRPr="00D72AC3" w:rsidRDefault="00AB13F3" w:rsidP="00C97FF2">
            <w:pPr>
              <w:pStyle w:val="ListParagraph"/>
              <w:ind w:left="0"/>
              <w:jc w:val="center"/>
              <w:rPr>
                <w:rFonts w:cs="Times New Roman"/>
                <w:bCs/>
                <w:sz w:val="20"/>
                <w:szCs w:val="20"/>
                <w:lang w:val="en-GB"/>
              </w:rPr>
            </w:pPr>
            <w:r w:rsidRPr="00D72AC3">
              <w:rPr>
                <w:rFonts w:cs="Times New Roman"/>
                <w:sz w:val="20"/>
                <w:szCs w:val="20"/>
                <w:lang w:val="en-GB" w:bidi="en-GB"/>
              </w:rPr>
              <w:t>MoF</w:t>
            </w:r>
          </w:p>
        </w:tc>
        <w:tc>
          <w:tcPr>
            <w:tcW w:w="1276" w:type="dxa"/>
            <w:shd w:val="clear" w:color="auto" w:fill="auto"/>
          </w:tcPr>
          <w:p w:rsidR="00AB13F3" w:rsidRPr="00D72AC3" w:rsidRDefault="00AB13F3" w:rsidP="0079021D">
            <w:pPr>
              <w:jc w:val="center"/>
              <w:rPr>
                <w:rFonts w:cs="Times New Roman"/>
                <w:b/>
                <w:bCs/>
                <w:sz w:val="20"/>
                <w:szCs w:val="20"/>
                <w:lang w:val="en-GB"/>
              </w:rPr>
            </w:pPr>
          </w:p>
        </w:tc>
        <w:tc>
          <w:tcPr>
            <w:tcW w:w="1417" w:type="dxa"/>
            <w:shd w:val="clear" w:color="auto" w:fill="auto"/>
          </w:tcPr>
          <w:p w:rsidR="00AB13F3" w:rsidRPr="00D72AC3" w:rsidRDefault="00AB13F3" w:rsidP="0079021D">
            <w:pPr>
              <w:jc w:val="center"/>
              <w:rPr>
                <w:rFonts w:cs="Times New Roman"/>
                <w:bCs/>
                <w:sz w:val="20"/>
                <w:szCs w:val="20"/>
                <w:lang w:val="en-GB"/>
              </w:rPr>
            </w:pPr>
            <w:r w:rsidRPr="00D72AC3">
              <w:rPr>
                <w:sz w:val="20"/>
                <w:szCs w:val="20"/>
                <w:lang w:val="en-GB" w:bidi="en-GB"/>
              </w:rPr>
              <w:t>1 March 2019</w:t>
            </w:r>
          </w:p>
          <w:p w:rsidR="00AB13F3" w:rsidRPr="00D72AC3" w:rsidRDefault="00AB13F3" w:rsidP="006C08DD">
            <w:pPr>
              <w:jc w:val="center"/>
              <w:rPr>
                <w:rFonts w:cs="Times New Roman"/>
                <w:bCs/>
                <w:sz w:val="20"/>
                <w:szCs w:val="20"/>
                <w:lang w:val="en-GB"/>
              </w:rPr>
            </w:pPr>
          </w:p>
        </w:tc>
      </w:tr>
      <w:tr w:rsidR="00AB13F3" w:rsidRPr="00D72AC3" w:rsidTr="00FE237C">
        <w:tc>
          <w:tcPr>
            <w:tcW w:w="709" w:type="dxa"/>
            <w:vMerge/>
            <w:tcBorders>
              <w:right w:val="single" w:sz="4" w:space="0" w:color="auto"/>
            </w:tcBorders>
          </w:tcPr>
          <w:p w:rsidR="00AB13F3" w:rsidRPr="00D72AC3" w:rsidRDefault="00AB13F3" w:rsidP="0079021D">
            <w:pPr>
              <w:jc w:val="center"/>
              <w:rPr>
                <w:rFonts w:cs="Times New Roman"/>
                <w:bCs/>
                <w:sz w:val="20"/>
                <w:szCs w:val="20"/>
                <w:lang w:val="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AB13F3" w:rsidRPr="00D72AC3" w:rsidRDefault="00AB13F3" w:rsidP="00B707AC">
            <w:pPr>
              <w:jc w:val="both"/>
              <w:rPr>
                <w:rFonts w:cs="Times New Roman"/>
                <w:bCs/>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tcPr>
          <w:p w:rsidR="00AB13F3" w:rsidRPr="00D72AC3" w:rsidRDefault="00AB13F3" w:rsidP="0079021D">
            <w:pPr>
              <w:rPr>
                <w:rFonts w:cs="Times New Roman"/>
                <w:sz w:val="20"/>
                <w:szCs w:val="20"/>
                <w:lang w:val="en-GB"/>
              </w:rPr>
            </w:pPr>
          </w:p>
        </w:tc>
        <w:tc>
          <w:tcPr>
            <w:tcW w:w="2410" w:type="dxa"/>
            <w:tcBorders>
              <w:left w:val="single" w:sz="4" w:space="0" w:color="auto"/>
            </w:tcBorders>
            <w:shd w:val="clear" w:color="auto" w:fill="auto"/>
          </w:tcPr>
          <w:p w:rsidR="00AB13F3" w:rsidRPr="00D72AC3" w:rsidRDefault="00AB13F3" w:rsidP="009B280C">
            <w:pPr>
              <w:jc w:val="both"/>
              <w:rPr>
                <w:rFonts w:cs="Times New Roman"/>
                <w:color w:val="000000" w:themeColor="text1"/>
                <w:sz w:val="20"/>
                <w:szCs w:val="20"/>
                <w:lang w:val="en-GB"/>
              </w:rPr>
            </w:pPr>
            <w:r w:rsidRPr="00D72AC3">
              <w:rPr>
                <w:rFonts w:cs="Times New Roman"/>
                <w:color w:val="000000" w:themeColor="text1"/>
                <w:sz w:val="20"/>
                <w:szCs w:val="20"/>
                <w:lang w:val="en-GB" w:bidi="en-GB"/>
              </w:rPr>
              <w:t xml:space="preserve">2. To enhance the guidelines for the subjects of the law, in line with the amendments to the law </w:t>
            </w:r>
          </w:p>
        </w:tc>
        <w:tc>
          <w:tcPr>
            <w:tcW w:w="2693" w:type="dxa"/>
          </w:tcPr>
          <w:p w:rsidR="00AB13F3" w:rsidRPr="00D72AC3" w:rsidRDefault="00AB13F3" w:rsidP="0025344E">
            <w:pPr>
              <w:jc w:val="both"/>
              <w:rPr>
                <w:rFonts w:cs="Times New Roman"/>
                <w:sz w:val="20"/>
                <w:szCs w:val="20"/>
                <w:lang w:val="en-GB"/>
              </w:rPr>
            </w:pPr>
            <w:r w:rsidRPr="00D72AC3">
              <w:rPr>
                <w:rFonts w:cs="Times New Roman"/>
                <w:sz w:val="20"/>
                <w:szCs w:val="20"/>
                <w:lang w:val="en-GB" w:bidi="en-GB"/>
              </w:rPr>
              <w:t>2. Guidelines enhanced</w:t>
            </w:r>
          </w:p>
          <w:p w:rsidR="00AB13F3" w:rsidRPr="00D72AC3" w:rsidRDefault="00AB13F3" w:rsidP="0025344E">
            <w:pPr>
              <w:jc w:val="both"/>
              <w:rPr>
                <w:rFonts w:cs="Times New Roman"/>
                <w:sz w:val="20"/>
                <w:szCs w:val="20"/>
                <w:lang w:val="en-GB"/>
              </w:rPr>
            </w:pPr>
          </w:p>
        </w:tc>
        <w:tc>
          <w:tcPr>
            <w:tcW w:w="1134" w:type="dxa"/>
            <w:shd w:val="clear" w:color="auto" w:fill="auto"/>
          </w:tcPr>
          <w:p w:rsidR="00AB13F3" w:rsidRPr="00D72AC3" w:rsidRDefault="00AB13F3" w:rsidP="00C97FF2">
            <w:pPr>
              <w:pStyle w:val="ListParagraph"/>
              <w:ind w:left="0"/>
              <w:jc w:val="center"/>
              <w:rPr>
                <w:rFonts w:cs="Times New Roman"/>
                <w:bCs/>
                <w:sz w:val="20"/>
                <w:szCs w:val="20"/>
                <w:lang w:val="en-GB"/>
              </w:rPr>
            </w:pPr>
            <w:r w:rsidRPr="00D72AC3">
              <w:rPr>
                <w:color w:val="000000" w:themeColor="text1"/>
                <w:sz w:val="20"/>
                <w:szCs w:val="20"/>
                <w:lang w:val="en-GB" w:bidi="en-GB"/>
              </w:rPr>
              <w:t>FCMC, SRS, BoL, LGSI, LCSA, LCSN, LACA, NCCH, CRPC</w:t>
            </w:r>
          </w:p>
        </w:tc>
        <w:tc>
          <w:tcPr>
            <w:tcW w:w="1276" w:type="dxa"/>
            <w:shd w:val="clear" w:color="auto" w:fill="auto"/>
          </w:tcPr>
          <w:p w:rsidR="00AB13F3" w:rsidRPr="00D72AC3" w:rsidRDefault="00AB13F3" w:rsidP="0079021D">
            <w:pPr>
              <w:jc w:val="center"/>
              <w:rPr>
                <w:rFonts w:cs="Times New Roman"/>
                <w:b/>
                <w:bCs/>
                <w:sz w:val="20"/>
                <w:szCs w:val="20"/>
                <w:lang w:val="en-GB"/>
              </w:rPr>
            </w:pPr>
          </w:p>
        </w:tc>
        <w:tc>
          <w:tcPr>
            <w:tcW w:w="1417" w:type="dxa"/>
            <w:shd w:val="clear" w:color="auto" w:fill="auto"/>
          </w:tcPr>
          <w:p w:rsidR="00AB13F3" w:rsidRPr="00D72AC3" w:rsidRDefault="00AB13F3" w:rsidP="00C97FF2">
            <w:pPr>
              <w:jc w:val="center"/>
              <w:rPr>
                <w:rFonts w:cs="Times New Roman"/>
                <w:bCs/>
                <w:sz w:val="20"/>
                <w:szCs w:val="20"/>
                <w:lang w:val="en-GB"/>
              </w:rPr>
            </w:pPr>
            <w:r w:rsidRPr="00D72AC3">
              <w:rPr>
                <w:sz w:val="20"/>
                <w:szCs w:val="20"/>
                <w:lang w:val="en-GB" w:bidi="en-GB"/>
              </w:rPr>
              <w:t>1 April 2019</w:t>
            </w:r>
          </w:p>
        </w:tc>
      </w:tr>
      <w:tr w:rsidR="000A5FBA" w:rsidRPr="00D72AC3" w:rsidTr="00FE237C">
        <w:trPr>
          <w:trHeight w:val="58"/>
        </w:trPr>
        <w:tc>
          <w:tcPr>
            <w:tcW w:w="709" w:type="dxa"/>
          </w:tcPr>
          <w:p w:rsidR="000A5FBA" w:rsidRPr="00D72AC3" w:rsidRDefault="00E14B35" w:rsidP="00914F28">
            <w:pPr>
              <w:jc w:val="center"/>
              <w:rPr>
                <w:sz w:val="20"/>
                <w:szCs w:val="20"/>
                <w:lang w:val="en-GB"/>
              </w:rPr>
            </w:pPr>
            <w:r w:rsidRPr="00D72AC3">
              <w:rPr>
                <w:sz w:val="20"/>
                <w:szCs w:val="20"/>
                <w:lang w:val="en-GB" w:bidi="en-GB"/>
              </w:rPr>
              <w:t>4.3</w:t>
            </w:r>
          </w:p>
        </w:tc>
        <w:tc>
          <w:tcPr>
            <w:tcW w:w="3544" w:type="dxa"/>
            <w:tcBorders>
              <w:top w:val="single" w:sz="4" w:space="0" w:color="auto"/>
            </w:tcBorders>
            <w:shd w:val="clear" w:color="auto" w:fill="auto"/>
          </w:tcPr>
          <w:p w:rsidR="000A5FBA" w:rsidRPr="00D72AC3" w:rsidRDefault="000A5FBA" w:rsidP="00F879B9">
            <w:pPr>
              <w:jc w:val="both"/>
              <w:rPr>
                <w:sz w:val="20"/>
                <w:szCs w:val="20"/>
                <w:lang w:val="en-GB"/>
              </w:rPr>
            </w:pPr>
            <w:r w:rsidRPr="00D72AC3">
              <w:rPr>
                <w:rFonts w:cs="Times New Roman"/>
                <w:sz w:val="20"/>
                <w:szCs w:val="20"/>
                <w:lang w:val="en-GB" w:bidi="en-GB"/>
              </w:rPr>
              <w:t>To ensure systematic and specific communication for the subjects of the law with respect to the countries, where, on the basis of the FATF Recommendations, enhanced customer due diligence is to be applied</w:t>
            </w:r>
          </w:p>
        </w:tc>
        <w:tc>
          <w:tcPr>
            <w:tcW w:w="1701" w:type="dxa"/>
            <w:tcBorders>
              <w:top w:val="single" w:sz="4" w:space="0" w:color="auto"/>
            </w:tcBorders>
          </w:tcPr>
          <w:p w:rsidR="000A5FBA" w:rsidRPr="00D72AC3" w:rsidRDefault="000A5FBA" w:rsidP="006E6330">
            <w:pPr>
              <w:jc w:val="both"/>
              <w:rPr>
                <w:sz w:val="20"/>
                <w:szCs w:val="20"/>
                <w:lang w:val="en-GB"/>
              </w:rPr>
            </w:pPr>
            <w:r w:rsidRPr="00D72AC3">
              <w:rPr>
                <w:sz w:val="20"/>
                <w:szCs w:val="20"/>
                <w:lang w:val="en-GB" w:bidi="en-GB"/>
              </w:rPr>
              <w:t>Moneyval recommendation 4.9.</w:t>
            </w:r>
          </w:p>
        </w:tc>
        <w:tc>
          <w:tcPr>
            <w:tcW w:w="2410" w:type="dxa"/>
            <w:shd w:val="clear" w:color="auto" w:fill="auto"/>
          </w:tcPr>
          <w:p w:rsidR="000A5FBA" w:rsidRPr="00D72AC3" w:rsidRDefault="000A5FBA" w:rsidP="009B280C">
            <w:pPr>
              <w:jc w:val="both"/>
              <w:rPr>
                <w:sz w:val="20"/>
                <w:szCs w:val="20"/>
                <w:lang w:val="en-GB"/>
              </w:rPr>
            </w:pPr>
            <w:r w:rsidRPr="00D72AC3">
              <w:rPr>
                <w:sz w:val="20"/>
                <w:szCs w:val="20"/>
                <w:lang w:val="en-GB" w:bidi="en-GB"/>
              </w:rPr>
              <w:t>Updating of the list and informing the subjects on the introduced changes</w:t>
            </w:r>
          </w:p>
        </w:tc>
        <w:tc>
          <w:tcPr>
            <w:tcW w:w="2693" w:type="dxa"/>
          </w:tcPr>
          <w:p w:rsidR="000A5FBA" w:rsidRPr="00D72AC3" w:rsidRDefault="000A5FBA" w:rsidP="00FC417E">
            <w:pPr>
              <w:jc w:val="both"/>
              <w:rPr>
                <w:sz w:val="20"/>
                <w:szCs w:val="20"/>
                <w:lang w:val="en-GB"/>
              </w:rPr>
            </w:pPr>
            <w:r w:rsidRPr="00D72AC3">
              <w:rPr>
                <w:sz w:val="20"/>
                <w:szCs w:val="20"/>
                <w:lang w:val="en-GB" w:bidi="en-GB"/>
              </w:rPr>
              <w:t xml:space="preserve">The list of high-risk countries regularly updated and posted on the website of the CS and the supervisory and control authorities </w:t>
            </w:r>
          </w:p>
        </w:tc>
        <w:tc>
          <w:tcPr>
            <w:tcW w:w="1134" w:type="dxa"/>
            <w:shd w:val="clear" w:color="auto" w:fill="auto"/>
          </w:tcPr>
          <w:p w:rsidR="000A5FBA" w:rsidRPr="00D72AC3" w:rsidRDefault="0097619B" w:rsidP="00C97FF2">
            <w:pPr>
              <w:jc w:val="center"/>
              <w:rPr>
                <w:color w:val="000000" w:themeColor="text1"/>
                <w:sz w:val="20"/>
                <w:szCs w:val="20"/>
                <w:lang w:val="en-GB"/>
              </w:rPr>
            </w:pPr>
            <w:r w:rsidRPr="00D72AC3">
              <w:rPr>
                <w:color w:val="000000" w:themeColor="text1"/>
                <w:sz w:val="20"/>
                <w:szCs w:val="20"/>
                <w:lang w:val="en-GB" w:bidi="en-GB"/>
              </w:rPr>
              <w:t>CS</w:t>
            </w:r>
          </w:p>
        </w:tc>
        <w:tc>
          <w:tcPr>
            <w:tcW w:w="1276" w:type="dxa"/>
            <w:shd w:val="clear" w:color="auto" w:fill="auto"/>
          </w:tcPr>
          <w:p w:rsidR="000A5FBA" w:rsidRPr="00D72AC3" w:rsidRDefault="0097619B" w:rsidP="00C97FF2">
            <w:pPr>
              <w:jc w:val="center"/>
              <w:rPr>
                <w:sz w:val="20"/>
                <w:szCs w:val="20"/>
                <w:lang w:val="en-GB"/>
              </w:rPr>
            </w:pPr>
            <w:r w:rsidRPr="00D72AC3">
              <w:rPr>
                <w:color w:val="000000" w:themeColor="text1"/>
                <w:sz w:val="20"/>
                <w:szCs w:val="20"/>
                <w:lang w:val="en-GB" w:bidi="en-GB"/>
              </w:rPr>
              <w:t>FCMC, SRS, BoL, LGSI, LCSA, LCSN, LACA, NCCH, CRPC</w:t>
            </w:r>
          </w:p>
        </w:tc>
        <w:tc>
          <w:tcPr>
            <w:tcW w:w="1417" w:type="dxa"/>
            <w:shd w:val="clear" w:color="auto" w:fill="auto"/>
          </w:tcPr>
          <w:p w:rsidR="000A5FBA" w:rsidRPr="00D72AC3" w:rsidRDefault="006C08DD" w:rsidP="00C97FF2">
            <w:pPr>
              <w:jc w:val="center"/>
              <w:rPr>
                <w:sz w:val="20"/>
                <w:szCs w:val="20"/>
                <w:lang w:val="en-GB"/>
              </w:rPr>
            </w:pPr>
            <w:r w:rsidRPr="00D72AC3">
              <w:rPr>
                <w:sz w:val="20"/>
                <w:szCs w:val="20"/>
                <w:lang w:val="en-GB" w:bidi="en-GB"/>
              </w:rPr>
              <w:t>31 December 2018</w:t>
            </w:r>
          </w:p>
        </w:tc>
      </w:tr>
      <w:tr w:rsidR="0074652C" w:rsidRPr="00D72AC3" w:rsidTr="00FE237C">
        <w:tc>
          <w:tcPr>
            <w:tcW w:w="709" w:type="dxa"/>
            <w:vMerge w:val="restart"/>
          </w:tcPr>
          <w:p w:rsidR="0074652C" w:rsidRPr="00D72AC3" w:rsidRDefault="0074652C" w:rsidP="00914F28">
            <w:pPr>
              <w:jc w:val="center"/>
              <w:rPr>
                <w:rFonts w:cs="Times New Roman"/>
                <w:bCs/>
                <w:sz w:val="20"/>
                <w:szCs w:val="20"/>
                <w:lang w:val="en-GB"/>
              </w:rPr>
            </w:pPr>
            <w:r w:rsidRPr="00D72AC3">
              <w:rPr>
                <w:rFonts w:cs="Times New Roman"/>
                <w:sz w:val="20"/>
                <w:szCs w:val="20"/>
                <w:lang w:val="en-GB" w:bidi="en-GB"/>
              </w:rPr>
              <w:t>4.4.</w:t>
            </w:r>
          </w:p>
        </w:tc>
        <w:tc>
          <w:tcPr>
            <w:tcW w:w="3544" w:type="dxa"/>
            <w:vMerge w:val="restart"/>
            <w:shd w:val="clear" w:color="auto" w:fill="auto"/>
          </w:tcPr>
          <w:p w:rsidR="0074652C" w:rsidRPr="00D72AC3" w:rsidRDefault="0074652C" w:rsidP="0063076B">
            <w:pPr>
              <w:jc w:val="both"/>
              <w:rPr>
                <w:rFonts w:cs="Times New Roman"/>
                <w:bCs/>
                <w:sz w:val="20"/>
                <w:szCs w:val="20"/>
                <w:lang w:val="en-GB"/>
              </w:rPr>
            </w:pPr>
            <w:r w:rsidRPr="00D72AC3">
              <w:rPr>
                <w:rFonts w:cs="Times New Roman"/>
                <w:sz w:val="20"/>
                <w:szCs w:val="20"/>
                <w:lang w:val="en-GB" w:bidi="en-GB"/>
              </w:rPr>
              <w:t>To assess the possibilities of setting up a central register or source, which can be employed, when verifying the status of politically exposed person of the Latvian residents</w:t>
            </w:r>
          </w:p>
        </w:tc>
        <w:tc>
          <w:tcPr>
            <w:tcW w:w="1701" w:type="dxa"/>
            <w:vMerge w:val="restart"/>
          </w:tcPr>
          <w:p w:rsidR="0074652C" w:rsidRPr="00D72AC3" w:rsidRDefault="0074652C" w:rsidP="0074652C">
            <w:pPr>
              <w:jc w:val="both"/>
              <w:rPr>
                <w:sz w:val="20"/>
                <w:szCs w:val="20"/>
                <w:lang w:val="en-GB"/>
              </w:rPr>
            </w:pPr>
            <w:r w:rsidRPr="00D72AC3">
              <w:rPr>
                <w:sz w:val="20"/>
                <w:szCs w:val="20"/>
                <w:lang w:val="en-GB" w:bidi="en-GB"/>
              </w:rPr>
              <w:t>Plan of Measures for 2017-2019 Measure 5.2.</w:t>
            </w:r>
          </w:p>
          <w:p w:rsidR="0074652C" w:rsidRPr="00D72AC3" w:rsidRDefault="0074652C" w:rsidP="0079021D">
            <w:pPr>
              <w:rPr>
                <w:rFonts w:cs="Times New Roman"/>
                <w:sz w:val="20"/>
                <w:szCs w:val="20"/>
                <w:lang w:val="en-GB"/>
              </w:rPr>
            </w:pPr>
          </w:p>
          <w:p w:rsidR="0074652C" w:rsidRPr="00D72AC3" w:rsidRDefault="0074652C" w:rsidP="0079021D">
            <w:pPr>
              <w:rPr>
                <w:rFonts w:cs="Times New Roman"/>
                <w:sz w:val="20"/>
                <w:szCs w:val="20"/>
                <w:lang w:val="en-GB"/>
              </w:rPr>
            </w:pPr>
            <w:r w:rsidRPr="00D72AC3">
              <w:rPr>
                <w:rFonts w:cs="Times New Roman"/>
                <w:sz w:val="20"/>
                <w:szCs w:val="20"/>
                <w:lang w:val="en-GB" w:bidi="en-GB"/>
              </w:rPr>
              <w:t>Moneyval recommendation 4.9., 4.10.</w:t>
            </w:r>
          </w:p>
        </w:tc>
        <w:tc>
          <w:tcPr>
            <w:tcW w:w="2410" w:type="dxa"/>
            <w:vMerge w:val="restart"/>
            <w:shd w:val="clear" w:color="auto" w:fill="auto"/>
          </w:tcPr>
          <w:p w:rsidR="0074652C" w:rsidRPr="00D72AC3" w:rsidRDefault="0074652C" w:rsidP="00FC417E">
            <w:pPr>
              <w:jc w:val="both"/>
              <w:rPr>
                <w:rFonts w:cs="Times New Roman"/>
                <w:b/>
                <w:sz w:val="20"/>
                <w:szCs w:val="20"/>
                <w:lang w:val="en-GB"/>
              </w:rPr>
            </w:pPr>
            <w:r w:rsidRPr="00D72AC3">
              <w:rPr>
                <w:sz w:val="20"/>
                <w:szCs w:val="20"/>
                <w:lang w:val="en-GB" w:bidi="en-GB"/>
              </w:rPr>
              <w:t>The evaluation is prepared on the possibility to ensure access to information on the family members of politically exposed persons and public officials, by means of existing databases</w:t>
            </w:r>
          </w:p>
        </w:tc>
        <w:tc>
          <w:tcPr>
            <w:tcW w:w="2693" w:type="dxa"/>
          </w:tcPr>
          <w:p w:rsidR="0074652C" w:rsidRPr="00D72AC3" w:rsidRDefault="0074652C" w:rsidP="00FC417E">
            <w:pPr>
              <w:jc w:val="both"/>
              <w:rPr>
                <w:rFonts w:cs="Times New Roman"/>
                <w:b/>
                <w:sz w:val="20"/>
                <w:szCs w:val="20"/>
                <w:lang w:val="en-GB"/>
              </w:rPr>
            </w:pPr>
            <w:r w:rsidRPr="00D72AC3">
              <w:rPr>
                <w:sz w:val="20"/>
                <w:szCs w:val="20"/>
                <w:lang w:val="en-GB" w:bidi="en-GB"/>
              </w:rPr>
              <w:t>1. The SRS will assess the possibility to provide information of the PEP and/or to maintain the PEP register.</w:t>
            </w:r>
          </w:p>
        </w:tc>
        <w:tc>
          <w:tcPr>
            <w:tcW w:w="1134" w:type="dxa"/>
            <w:shd w:val="clear" w:color="auto" w:fill="auto"/>
          </w:tcPr>
          <w:p w:rsidR="0074652C" w:rsidRPr="00D72AC3" w:rsidRDefault="00FE237C" w:rsidP="00FE237C">
            <w:pPr>
              <w:jc w:val="center"/>
              <w:rPr>
                <w:rFonts w:cs="Times New Roman"/>
                <w:bCs/>
                <w:sz w:val="20"/>
                <w:szCs w:val="20"/>
                <w:lang w:val="en-GB"/>
              </w:rPr>
            </w:pPr>
            <w:r w:rsidRPr="00D72AC3">
              <w:rPr>
                <w:rFonts w:cs="Times New Roman"/>
                <w:sz w:val="20"/>
                <w:szCs w:val="20"/>
                <w:lang w:val="en-GB" w:bidi="en-GB"/>
              </w:rPr>
              <w:t>SRS</w:t>
            </w:r>
          </w:p>
          <w:p w:rsidR="0074652C" w:rsidRPr="00D72AC3" w:rsidRDefault="0074652C" w:rsidP="00FE237C">
            <w:pPr>
              <w:jc w:val="center"/>
              <w:rPr>
                <w:rFonts w:cs="Times New Roman"/>
                <w:bCs/>
                <w:sz w:val="20"/>
                <w:szCs w:val="20"/>
                <w:lang w:val="en-GB"/>
              </w:rPr>
            </w:pPr>
          </w:p>
          <w:p w:rsidR="0074652C" w:rsidRPr="00D72AC3" w:rsidRDefault="0074652C" w:rsidP="00FE237C">
            <w:pPr>
              <w:jc w:val="center"/>
              <w:rPr>
                <w:rFonts w:cs="Times New Roman"/>
                <w:bCs/>
                <w:sz w:val="20"/>
                <w:szCs w:val="20"/>
                <w:lang w:val="en-GB"/>
              </w:rPr>
            </w:pPr>
          </w:p>
        </w:tc>
        <w:tc>
          <w:tcPr>
            <w:tcW w:w="1276" w:type="dxa"/>
            <w:shd w:val="clear" w:color="auto" w:fill="auto"/>
          </w:tcPr>
          <w:p w:rsidR="0074652C" w:rsidRPr="00D72AC3" w:rsidRDefault="0074652C" w:rsidP="0079021D">
            <w:pPr>
              <w:jc w:val="center"/>
              <w:rPr>
                <w:rFonts w:cs="Times New Roman"/>
                <w:b/>
                <w:bCs/>
                <w:sz w:val="20"/>
                <w:szCs w:val="20"/>
                <w:lang w:val="en-GB"/>
              </w:rPr>
            </w:pPr>
          </w:p>
        </w:tc>
        <w:tc>
          <w:tcPr>
            <w:tcW w:w="1417" w:type="dxa"/>
            <w:shd w:val="clear" w:color="auto" w:fill="auto"/>
          </w:tcPr>
          <w:p w:rsidR="0074652C" w:rsidRPr="00D72AC3" w:rsidRDefault="0074652C" w:rsidP="0066578E">
            <w:pPr>
              <w:jc w:val="center"/>
              <w:rPr>
                <w:rFonts w:cs="Times New Roman"/>
                <w:bCs/>
                <w:sz w:val="20"/>
                <w:szCs w:val="20"/>
                <w:lang w:val="en-GB"/>
              </w:rPr>
            </w:pPr>
            <w:r w:rsidRPr="00D72AC3">
              <w:rPr>
                <w:sz w:val="20"/>
                <w:szCs w:val="20"/>
                <w:lang w:val="en-GB" w:bidi="en-GB"/>
              </w:rPr>
              <w:t>30 November 2018</w:t>
            </w:r>
          </w:p>
        </w:tc>
      </w:tr>
      <w:tr w:rsidR="0074652C" w:rsidRPr="00D72AC3" w:rsidTr="00FE237C">
        <w:tc>
          <w:tcPr>
            <w:tcW w:w="709" w:type="dxa"/>
            <w:vMerge/>
          </w:tcPr>
          <w:p w:rsidR="0074652C" w:rsidRPr="00D72AC3" w:rsidRDefault="0074652C" w:rsidP="0066578E">
            <w:pPr>
              <w:jc w:val="center"/>
              <w:rPr>
                <w:rFonts w:cs="Times New Roman"/>
                <w:bCs/>
                <w:sz w:val="20"/>
                <w:szCs w:val="20"/>
                <w:lang w:val="en-GB"/>
              </w:rPr>
            </w:pPr>
          </w:p>
        </w:tc>
        <w:tc>
          <w:tcPr>
            <w:tcW w:w="3544" w:type="dxa"/>
            <w:vMerge/>
            <w:shd w:val="clear" w:color="auto" w:fill="auto"/>
          </w:tcPr>
          <w:p w:rsidR="0074652C" w:rsidRPr="00D72AC3" w:rsidRDefault="0074652C" w:rsidP="0066578E">
            <w:pPr>
              <w:jc w:val="center"/>
              <w:rPr>
                <w:rFonts w:cs="Times New Roman"/>
                <w:bCs/>
                <w:sz w:val="20"/>
                <w:szCs w:val="20"/>
                <w:lang w:val="en-GB"/>
              </w:rPr>
            </w:pPr>
          </w:p>
        </w:tc>
        <w:tc>
          <w:tcPr>
            <w:tcW w:w="1701" w:type="dxa"/>
            <w:vMerge/>
          </w:tcPr>
          <w:p w:rsidR="0074652C" w:rsidRPr="00D72AC3" w:rsidRDefault="0074652C" w:rsidP="0066578E">
            <w:pPr>
              <w:rPr>
                <w:rFonts w:cs="Times New Roman"/>
                <w:sz w:val="20"/>
                <w:szCs w:val="20"/>
                <w:lang w:val="en-GB"/>
              </w:rPr>
            </w:pPr>
          </w:p>
        </w:tc>
        <w:tc>
          <w:tcPr>
            <w:tcW w:w="2410" w:type="dxa"/>
            <w:vMerge/>
            <w:shd w:val="clear" w:color="auto" w:fill="auto"/>
          </w:tcPr>
          <w:p w:rsidR="0074652C" w:rsidRPr="00D72AC3" w:rsidRDefault="0074652C" w:rsidP="00FC417E">
            <w:pPr>
              <w:jc w:val="both"/>
              <w:rPr>
                <w:rFonts w:cs="Times New Roman"/>
                <w:sz w:val="20"/>
                <w:szCs w:val="20"/>
                <w:lang w:val="en-GB"/>
              </w:rPr>
            </w:pPr>
          </w:p>
        </w:tc>
        <w:tc>
          <w:tcPr>
            <w:tcW w:w="2693" w:type="dxa"/>
          </w:tcPr>
          <w:p w:rsidR="0074652C" w:rsidRPr="00D72AC3" w:rsidRDefault="0074652C" w:rsidP="00FC417E">
            <w:pPr>
              <w:jc w:val="both"/>
              <w:rPr>
                <w:sz w:val="20"/>
                <w:szCs w:val="20"/>
                <w:lang w:val="en-GB"/>
              </w:rPr>
            </w:pPr>
            <w:r w:rsidRPr="00D72AC3">
              <w:rPr>
                <w:sz w:val="20"/>
                <w:szCs w:val="20"/>
                <w:lang w:val="en-GB" w:bidi="en-GB"/>
              </w:rPr>
              <w:t>2. Proposals for the amendments to the legal framework developed, on the basis of the results of the assessment</w:t>
            </w:r>
          </w:p>
        </w:tc>
        <w:tc>
          <w:tcPr>
            <w:tcW w:w="1134" w:type="dxa"/>
            <w:shd w:val="clear" w:color="auto" w:fill="auto"/>
          </w:tcPr>
          <w:p w:rsidR="0074652C" w:rsidRPr="00D72AC3" w:rsidRDefault="0074652C" w:rsidP="0066578E">
            <w:pPr>
              <w:jc w:val="center"/>
              <w:rPr>
                <w:rFonts w:cs="Times New Roman"/>
                <w:bCs/>
                <w:sz w:val="20"/>
                <w:szCs w:val="20"/>
                <w:lang w:val="en-GB"/>
              </w:rPr>
            </w:pPr>
            <w:r w:rsidRPr="00D72AC3">
              <w:rPr>
                <w:rFonts w:cs="Times New Roman"/>
                <w:sz w:val="20"/>
                <w:szCs w:val="20"/>
                <w:lang w:val="en-GB" w:bidi="en-GB"/>
              </w:rPr>
              <w:t>MoF</w:t>
            </w:r>
          </w:p>
        </w:tc>
        <w:tc>
          <w:tcPr>
            <w:tcW w:w="1276" w:type="dxa"/>
            <w:shd w:val="clear" w:color="auto" w:fill="auto"/>
          </w:tcPr>
          <w:p w:rsidR="0074652C" w:rsidRPr="00D72AC3" w:rsidRDefault="0074652C" w:rsidP="0066578E">
            <w:pPr>
              <w:jc w:val="center"/>
              <w:rPr>
                <w:rFonts w:cs="Times New Roman"/>
                <w:b/>
                <w:bCs/>
                <w:sz w:val="20"/>
                <w:szCs w:val="20"/>
                <w:lang w:val="en-GB"/>
              </w:rPr>
            </w:pPr>
          </w:p>
        </w:tc>
        <w:tc>
          <w:tcPr>
            <w:tcW w:w="1417" w:type="dxa"/>
            <w:shd w:val="clear" w:color="auto" w:fill="auto"/>
          </w:tcPr>
          <w:p w:rsidR="0074652C" w:rsidRPr="00D72AC3" w:rsidRDefault="0074652C" w:rsidP="0066578E">
            <w:pPr>
              <w:jc w:val="center"/>
              <w:rPr>
                <w:rFonts w:cs="Times New Roman"/>
                <w:bCs/>
                <w:sz w:val="20"/>
                <w:szCs w:val="20"/>
                <w:lang w:val="en-GB"/>
              </w:rPr>
            </w:pPr>
            <w:r w:rsidRPr="00D72AC3">
              <w:rPr>
                <w:sz w:val="20"/>
                <w:szCs w:val="20"/>
                <w:lang w:val="en-GB" w:bidi="en-GB"/>
              </w:rPr>
              <w:t>31 January 2019</w:t>
            </w:r>
          </w:p>
        </w:tc>
      </w:tr>
      <w:tr w:rsidR="006D009B" w:rsidRPr="00D72AC3" w:rsidTr="00FE237C">
        <w:tc>
          <w:tcPr>
            <w:tcW w:w="709" w:type="dxa"/>
            <w:vMerge w:val="restart"/>
          </w:tcPr>
          <w:p w:rsidR="006D009B" w:rsidRPr="00D72AC3" w:rsidRDefault="006D009B" w:rsidP="00914F28">
            <w:pPr>
              <w:jc w:val="center"/>
              <w:rPr>
                <w:rFonts w:cs="Times New Roman"/>
                <w:bCs/>
                <w:sz w:val="20"/>
                <w:szCs w:val="20"/>
                <w:lang w:val="en-GB"/>
              </w:rPr>
            </w:pPr>
            <w:r w:rsidRPr="00D72AC3">
              <w:rPr>
                <w:rFonts w:cs="Times New Roman"/>
                <w:sz w:val="20"/>
                <w:szCs w:val="20"/>
                <w:lang w:val="en-GB" w:bidi="en-GB"/>
              </w:rPr>
              <w:t>4.5.</w:t>
            </w:r>
          </w:p>
        </w:tc>
        <w:tc>
          <w:tcPr>
            <w:tcW w:w="3544" w:type="dxa"/>
            <w:vMerge w:val="restart"/>
            <w:shd w:val="clear" w:color="auto" w:fill="auto"/>
          </w:tcPr>
          <w:p w:rsidR="006D009B" w:rsidRPr="00D72AC3" w:rsidRDefault="006D009B" w:rsidP="00FC417E">
            <w:pPr>
              <w:jc w:val="both"/>
              <w:rPr>
                <w:rFonts w:cs="Times New Roman"/>
                <w:bCs/>
                <w:sz w:val="20"/>
                <w:szCs w:val="20"/>
                <w:lang w:val="en-GB"/>
              </w:rPr>
            </w:pPr>
            <w:r w:rsidRPr="00D72AC3">
              <w:rPr>
                <w:rFonts w:cs="Times New Roman"/>
                <w:sz w:val="20"/>
                <w:szCs w:val="20"/>
                <w:lang w:val="en-GB" w:bidi="en-GB"/>
              </w:rPr>
              <w:t>To review system for reporting suspicious and unusual transactions:</w:t>
            </w:r>
          </w:p>
          <w:p w:rsidR="006D009B" w:rsidRPr="00D72AC3" w:rsidRDefault="006D009B" w:rsidP="00FC417E">
            <w:pPr>
              <w:jc w:val="both"/>
              <w:rPr>
                <w:rFonts w:cs="Times New Roman"/>
                <w:bCs/>
                <w:sz w:val="20"/>
                <w:szCs w:val="20"/>
                <w:lang w:val="en-GB"/>
              </w:rPr>
            </w:pPr>
            <w:r w:rsidRPr="00D72AC3">
              <w:rPr>
                <w:rFonts w:cs="Times New Roman"/>
                <w:sz w:val="20"/>
                <w:szCs w:val="20"/>
                <w:lang w:val="en-GB" w:bidi="en-GB"/>
              </w:rPr>
              <w:t>- to ensure that the concepts of unusual and suspicious transactions do not overlap;</w:t>
            </w:r>
          </w:p>
          <w:p w:rsidR="006D009B" w:rsidRPr="00D72AC3" w:rsidRDefault="006D009B" w:rsidP="00FC417E">
            <w:pPr>
              <w:jc w:val="both"/>
              <w:rPr>
                <w:rFonts w:cs="Times New Roman"/>
                <w:bCs/>
                <w:sz w:val="20"/>
                <w:szCs w:val="20"/>
                <w:lang w:val="en-GB"/>
              </w:rPr>
            </w:pPr>
            <w:r w:rsidRPr="00D72AC3">
              <w:rPr>
                <w:rFonts w:cs="Times New Roman"/>
                <w:sz w:val="20"/>
                <w:szCs w:val="20"/>
                <w:lang w:val="en-GB" w:bidi="en-GB"/>
              </w:rPr>
              <w:t xml:space="preserve">- to set up a system that clearly distinguishes the suspicious transactions reports, if the subject of the law has </w:t>
            </w:r>
            <w:r w:rsidRPr="00D72AC3">
              <w:rPr>
                <w:rFonts w:cs="Times New Roman"/>
                <w:sz w:val="20"/>
                <w:szCs w:val="20"/>
                <w:lang w:val="en-GB" w:bidi="en-GB"/>
              </w:rPr>
              <w:lastRenderedPageBreak/>
              <w:t>suspicions, from the reports on transactions meeting certain criteria;</w:t>
            </w:r>
          </w:p>
          <w:p w:rsidR="006D009B" w:rsidRPr="00D72AC3" w:rsidRDefault="006D009B" w:rsidP="00FC417E">
            <w:pPr>
              <w:jc w:val="both"/>
              <w:rPr>
                <w:rFonts w:cs="Times New Roman"/>
                <w:bCs/>
                <w:sz w:val="20"/>
                <w:szCs w:val="20"/>
                <w:lang w:val="en-GB"/>
              </w:rPr>
            </w:pPr>
            <w:r w:rsidRPr="00D72AC3">
              <w:rPr>
                <w:rFonts w:cs="Times New Roman"/>
                <w:sz w:val="20"/>
                <w:szCs w:val="20"/>
                <w:lang w:val="en-GB" w:bidi="en-GB"/>
              </w:rPr>
              <w:t>- to consider the possibilities to review the system of parallel suspicious transactions reporting to the SRS (within the scope of the review of the suspicious and unusual transactions system)</w:t>
            </w:r>
          </w:p>
        </w:tc>
        <w:tc>
          <w:tcPr>
            <w:tcW w:w="1701" w:type="dxa"/>
            <w:vMerge w:val="restart"/>
          </w:tcPr>
          <w:p w:rsidR="006D009B" w:rsidRPr="00D72AC3" w:rsidRDefault="006D009B" w:rsidP="0066578E">
            <w:pPr>
              <w:rPr>
                <w:rFonts w:cs="Times New Roman"/>
                <w:sz w:val="20"/>
                <w:szCs w:val="20"/>
                <w:lang w:val="en-GB"/>
              </w:rPr>
            </w:pPr>
            <w:r w:rsidRPr="00D72AC3">
              <w:rPr>
                <w:rFonts w:cs="Times New Roman"/>
                <w:sz w:val="20"/>
                <w:szCs w:val="20"/>
                <w:lang w:val="en-GB" w:bidi="en-GB"/>
              </w:rPr>
              <w:lastRenderedPageBreak/>
              <w:t>Moneyval recommendation 4.11., 4.12., 4.14., 6.1.</w:t>
            </w:r>
          </w:p>
        </w:tc>
        <w:tc>
          <w:tcPr>
            <w:tcW w:w="2410" w:type="dxa"/>
            <w:shd w:val="clear" w:color="auto" w:fill="auto"/>
          </w:tcPr>
          <w:p w:rsidR="006D009B" w:rsidRPr="00D72AC3" w:rsidRDefault="00C22658" w:rsidP="00FC417E">
            <w:pPr>
              <w:jc w:val="both"/>
              <w:rPr>
                <w:rFonts w:cs="Times New Roman"/>
                <w:b/>
                <w:sz w:val="20"/>
                <w:szCs w:val="20"/>
                <w:lang w:val="en-GB"/>
              </w:rPr>
            </w:pPr>
            <w:r w:rsidRPr="00D72AC3">
              <w:rPr>
                <w:rFonts w:cs="Times New Roman"/>
                <w:sz w:val="20"/>
                <w:szCs w:val="20"/>
                <w:lang w:val="en-GB" w:bidi="en-GB"/>
              </w:rPr>
              <w:t>1. To prepare the assessment on the effectiveness and feasibility of the SRS parallel reporting system</w:t>
            </w:r>
          </w:p>
        </w:tc>
        <w:tc>
          <w:tcPr>
            <w:tcW w:w="2693" w:type="dxa"/>
          </w:tcPr>
          <w:p w:rsidR="006D009B" w:rsidRDefault="00C22658" w:rsidP="00FC417E">
            <w:pPr>
              <w:jc w:val="both"/>
              <w:rPr>
                <w:rFonts w:cs="Times New Roman"/>
                <w:sz w:val="20"/>
                <w:szCs w:val="20"/>
                <w:lang w:val="en-GB" w:bidi="en-GB"/>
              </w:rPr>
            </w:pPr>
            <w:r w:rsidRPr="00D72AC3">
              <w:rPr>
                <w:rFonts w:cs="Times New Roman"/>
                <w:sz w:val="20"/>
                <w:szCs w:val="20"/>
                <w:lang w:val="en-GB" w:bidi="en-GB"/>
              </w:rPr>
              <w:t>1. The assessment submitted to the MoF</w:t>
            </w:r>
          </w:p>
          <w:p w:rsidR="00D16791" w:rsidRDefault="00D16791" w:rsidP="00FC417E">
            <w:pPr>
              <w:jc w:val="both"/>
              <w:rPr>
                <w:rFonts w:cs="Times New Roman"/>
                <w:sz w:val="20"/>
                <w:szCs w:val="20"/>
                <w:lang w:val="en-GB" w:bidi="en-GB"/>
              </w:rPr>
            </w:pPr>
          </w:p>
          <w:p w:rsidR="00D16791" w:rsidRDefault="00D16791" w:rsidP="00FC417E">
            <w:pPr>
              <w:jc w:val="both"/>
              <w:rPr>
                <w:rFonts w:cs="Times New Roman"/>
                <w:sz w:val="20"/>
                <w:szCs w:val="20"/>
                <w:lang w:val="en-GB" w:bidi="en-GB"/>
              </w:rPr>
            </w:pPr>
          </w:p>
          <w:p w:rsidR="00D16791" w:rsidRDefault="00D16791" w:rsidP="00FC417E">
            <w:pPr>
              <w:jc w:val="both"/>
              <w:rPr>
                <w:rFonts w:cs="Times New Roman"/>
                <w:sz w:val="20"/>
                <w:szCs w:val="20"/>
                <w:lang w:val="en-GB" w:bidi="en-GB"/>
              </w:rPr>
            </w:pPr>
          </w:p>
          <w:p w:rsidR="00D16791" w:rsidRPr="00D72AC3" w:rsidRDefault="00D16791" w:rsidP="00FC417E">
            <w:pPr>
              <w:jc w:val="both"/>
              <w:rPr>
                <w:rFonts w:cs="Times New Roman"/>
                <w:sz w:val="20"/>
                <w:szCs w:val="20"/>
                <w:lang w:val="en-GB"/>
              </w:rPr>
            </w:pPr>
          </w:p>
        </w:tc>
        <w:tc>
          <w:tcPr>
            <w:tcW w:w="1134" w:type="dxa"/>
            <w:shd w:val="clear" w:color="auto" w:fill="auto"/>
          </w:tcPr>
          <w:p w:rsidR="006D009B" w:rsidRPr="00D72AC3" w:rsidRDefault="006D009B" w:rsidP="0066578E">
            <w:pPr>
              <w:jc w:val="center"/>
              <w:rPr>
                <w:rFonts w:cs="Times New Roman"/>
                <w:bCs/>
                <w:sz w:val="20"/>
                <w:szCs w:val="20"/>
                <w:lang w:val="en-GB"/>
              </w:rPr>
            </w:pPr>
            <w:r w:rsidRPr="00D72AC3">
              <w:rPr>
                <w:rFonts w:cs="Times New Roman"/>
                <w:sz w:val="20"/>
                <w:szCs w:val="20"/>
                <w:lang w:val="en-GB" w:bidi="en-GB"/>
              </w:rPr>
              <w:t xml:space="preserve">SRS </w:t>
            </w:r>
          </w:p>
        </w:tc>
        <w:tc>
          <w:tcPr>
            <w:tcW w:w="1276" w:type="dxa"/>
            <w:shd w:val="clear" w:color="auto" w:fill="auto"/>
          </w:tcPr>
          <w:p w:rsidR="006D009B" w:rsidRPr="00D72AC3" w:rsidRDefault="006D009B" w:rsidP="0066578E">
            <w:pPr>
              <w:jc w:val="center"/>
              <w:rPr>
                <w:rFonts w:cs="Times New Roman"/>
                <w:b/>
                <w:bCs/>
                <w:sz w:val="20"/>
                <w:szCs w:val="20"/>
                <w:lang w:val="en-GB"/>
              </w:rPr>
            </w:pPr>
          </w:p>
        </w:tc>
        <w:tc>
          <w:tcPr>
            <w:tcW w:w="1417" w:type="dxa"/>
            <w:shd w:val="clear" w:color="auto" w:fill="auto"/>
          </w:tcPr>
          <w:p w:rsidR="006D009B" w:rsidRPr="00D72AC3" w:rsidRDefault="006D009B" w:rsidP="0066578E">
            <w:pPr>
              <w:jc w:val="center"/>
              <w:rPr>
                <w:rFonts w:cs="Times New Roman"/>
                <w:bCs/>
                <w:sz w:val="20"/>
                <w:szCs w:val="20"/>
                <w:lang w:val="en-GB"/>
              </w:rPr>
            </w:pPr>
            <w:r w:rsidRPr="00D72AC3">
              <w:rPr>
                <w:rFonts w:cs="Times New Roman"/>
                <w:sz w:val="20"/>
                <w:szCs w:val="20"/>
                <w:lang w:val="en-GB" w:bidi="en-GB"/>
              </w:rPr>
              <w:t>31 January 2019</w:t>
            </w:r>
          </w:p>
        </w:tc>
      </w:tr>
      <w:tr w:rsidR="006D009B" w:rsidRPr="00D72AC3" w:rsidTr="00FE237C">
        <w:tc>
          <w:tcPr>
            <w:tcW w:w="709" w:type="dxa"/>
            <w:vMerge/>
            <w:tcBorders>
              <w:bottom w:val="single" w:sz="4" w:space="0" w:color="auto"/>
            </w:tcBorders>
          </w:tcPr>
          <w:p w:rsidR="006D009B" w:rsidRPr="00D72AC3" w:rsidRDefault="006D009B" w:rsidP="0066578E">
            <w:pPr>
              <w:jc w:val="center"/>
              <w:rPr>
                <w:rFonts w:cs="Times New Roman"/>
                <w:bCs/>
                <w:sz w:val="20"/>
                <w:szCs w:val="20"/>
                <w:lang w:val="en-GB"/>
              </w:rPr>
            </w:pPr>
          </w:p>
        </w:tc>
        <w:tc>
          <w:tcPr>
            <w:tcW w:w="3544" w:type="dxa"/>
            <w:vMerge/>
            <w:tcBorders>
              <w:bottom w:val="single" w:sz="4" w:space="0" w:color="auto"/>
            </w:tcBorders>
            <w:shd w:val="clear" w:color="auto" w:fill="auto"/>
          </w:tcPr>
          <w:p w:rsidR="006D009B" w:rsidRPr="00D72AC3" w:rsidRDefault="006D009B" w:rsidP="0066578E">
            <w:pPr>
              <w:jc w:val="center"/>
              <w:rPr>
                <w:rFonts w:cs="Times New Roman"/>
                <w:bCs/>
                <w:sz w:val="20"/>
                <w:szCs w:val="20"/>
                <w:lang w:val="en-GB"/>
              </w:rPr>
            </w:pPr>
          </w:p>
        </w:tc>
        <w:tc>
          <w:tcPr>
            <w:tcW w:w="1701" w:type="dxa"/>
            <w:vMerge/>
            <w:tcBorders>
              <w:bottom w:val="single" w:sz="4" w:space="0" w:color="auto"/>
            </w:tcBorders>
          </w:tcPr>
          <w:p w:rsidR="006D009B" w:rsidRPr="00D72AC3" w:rsidRDefault="006D009B" w:rsidP="0066578E">
            <w:pPr>
              <w:rPr>
                <w:rFonts w:cs="Times New Roman"/>
                <w:sz w:val="20"/>
                <w:szCs w:val="20"/>
                <w:lang w:val="en-GB"/>
              </w:rPr>
            </w:pPr>
          </w:p>
        </w:tc>
        <w:tc>
          <w:tcPr>
            <w:tcW w:w="2410" w:type="dxa"/>
            <w:tcBorders>
              <w:bottom w:val="single" w:sz="4" w:space="0" w:color="auto"/>
            </w:tcBorders>
            <w:shd w:val="clear" w:color="auto" w:fill="auto"/>
          </w:tcPr>
          <w:p w:rsidR="006D009B" w:rsidRPr="00D72AC3" w:rsidRDefault="008E5489" w:rsidP="00FC417E">
            <w:pPr>
              <w:jc w:val="both"/>
              <w:rPr>
                <w:rFonts w:cs="Times New Roman"/>
                <w:sz w:val="20"/>
                <w:szCs w:val="20"/>
                <w:lang w:val="en-GB"/>
              </w:rPr>
            </w:pPr>
            <w:r w:rsidRPr="00D72AC3">
              <w:rPr>
                <w:rFonts w:cs="Times New Roman"/>
                <w:sz w:val="20"/>
                <w:szCs w:val="20"/>
                <w:lang w:val="en-GB" w:bidi="en-GB"/>
              </w:rPr>
              <w:t xml:space="preserve">2. To assess (and, if necessary) change the </w:t>
            </w:r>
            <w:r w:rsidRPr="00D72AC3">
              <w:rPr>
                <w:rFonts w:cs="Times New Roman"/>
                <w:sz w:val="20"/>
                <w:szCs w:val="20"/>
                <w:lang w:val="en-GB" w:bidi="en-GB"/>
              </w:rPr>
              <w:lastRenderedPageBreak/>
              <w:t>suspicious and unusual transitions reporting procedure, stipulating:</w:t>
            </w:r>
          </w:p>
          <w:p w:rsidR="006D009B" w:rsidRPr="00D72AC3" w:rsidRDefault="006D009B" w:rsidP="00FC417E">
            <w:pPr>
              <w:jc w:val="both"/>
              <w:rPr>
                <w:rFonts w:cs="Times New Roman"/>
                <w:sz w:val="20"/>
                <w:szCs w:val="20"/>
                <w:lang w:val="en-GB"/>
              </w:rPr>
            </w:pPr>
            <w:r w:rsidRPr="00D72AC3">
              <w:rPr>
                <w:rFonts w:cs="Times New Roman"/>
                <w:sz w:val="20"/>
                <w:szCs w:val="20"/>
                <w:lang w:val="en-GB" w:bidi="en-GB"/>
              </w:rPr>
              <w:t>a) the transition to limited reporting of the unusual transactions;</w:t>
            </w:r>
          </w:p>
          <w:p w:rsidR="006D009B" w:rsidRPr="00D72AC3" w:rsidRDefault="006D009B" w:rsidP="00FC417E">
            <w:pPr>
              <w:jc w:val="both"/>
              <w:rPr>
                <w:rFonts w:cs="Times New Roman"/>
                <w:sz w:val="20"/>
                <w:szCs w:val="20"/>
                <w:lang w:val="en-GB"/>
              </w:rPr>
            </w:pPr>
            <w:r w:rsidRPr="00D72AC3">
              <w:rPr>
                <w:rFonts w:cs="Times New Roman"/>
                <w:sz w:val="20"/>
                <w:szCs w:val="20"/>
                <w:lang w:val="en-GB" w:bidi="en-GB"/>
              </w:rPr>
              <w:t>b) to incorporate additional automated quality control elements of the reports in the e-reporting system (for example, logical controls)</w:t>
            </w:r>
          </w:p>
        </w:tc>
        <w:tc>
          <w:tcPr>
            <w:tcW w:w="2693" w:type="dxa"/>
          </w:tcPr>
          <w:p w:rsidR="006D009B" w:rsidRPr="00D72AC3" w:rsidRDefault="00C22658" w:rsidP="00FC417E">
            <w:pPr>
              <w:jc w:val="both"/>
              <w:rPr>
                <w:rFonts w:cs="Times New Roman"/>
                <w:sz w:val="20"/>
                <w:szCs w:val="20"/>
                <w:lang w:val="en-GB"/>
              </w:rPr>
            </w:pPr>
            <w:r w:rsidRPr="00D72AC3">
              <w:rPr>
                <w:rFonts w:cs="Times New Roman"/>
                <w:sz w:val="20"/>
                <w:szCs w:val="20"/>
                <w:lang w:val="en-GB" w:bidi="en-GB"/>
              </w:rPr>
              <w:lastRenderedPageBreak/>
              <w:t xml:space="preserve">2. To assess, if the new (since 1 May 2018) reporting system </w:t>
            </w:r>
            <w:r w:rsidRPr="00D72AC3">
              <w:rPr>
                <w:rFonts w:cs="Times New Roman"/>
                <w:sz w:val="20"/>
                <w:szCs w:val="20"/>
                <w:lang w:val="en-GB" w:bidi="en-GB"/>
              </w:rPr>
              <w:lastRenderedPageBreak/>
              <w:t>is well-functioning / feasible for the purposes of operational and strategic analysis</w:t>
            </w:r>
          </w:p>
          <w:p w:rsidR="006D009B" w:rsidRPr="00D72AC3" w:rsidRDefault="006D009B" w:rsidP="00FC417E">
            <w:pPr>
              <w:jc w:val="both"/>
              <w:rPr>
                <w:rFonts w:cs="Times New Roman"/>
                <w:sz w:val="20"/>
                <w:szCs w:val="20"/>
                <w:lang w:val="en-GB"/>
              </w:rPr>
            </w:pPr>
            <w:r w:rsidRPr="00D72AC3">
              <w:rPr>
                <w:rFonts w:cs="Times New Roman"/>
                <w:sz w:val="20"/>
                <w:szCs w:val="20"/>
                <w:lang w:val="en-GB" w:bidi="en-GB"/>
              </w:rPr>
              <w:t xml:space="preserve">As a result of changes, the number of poor quality/unusable reports reduced by at least 20% </w:t>
            </w:r>
          </w:p>
          <w:p w:rsidR="006D009B" w:rsidRPr="00D72AC3" w:rsidRDefault="006D009B" w:rsidP="00FC417E">
            <w:pPr>
              <w:jc w:val="both"/>
              <w:rPr>
                <w:rFonts w:cs="Times New Roman"/>
                <w:sz w:val="20"/>
                <w:szCs w:val="20"/>
                <w:lang w:val="en-GB"/>
              </w:rPr>
            </w:pPr>
            <w:r w:rsidRPr="00D72AC3">
              <w:rPr>
                <w:rFonts w:cs="Times New Roman"/>
                <w:sz w:val="20"/>
                <w:szCs w:val="20"/>
                <w:lang w:val="en-GB" w:bidi="en-GB"/>
              </w:rPr>
              <w:t>The speed of processing of reports increased</w:t>
            </w:r>
          </w:p>
        </w:tc>
        <w:tc>
          <w:tcPr>
            <w:tcW w:w="1134" w:type="dxa"/>
            <w:shd w:val="clear" w:color="auto" w:fill="auto"/>
          </w:tcPr>
          <w:p w:rsidR="006D009B" w:rsidRPr="00D72AC3" w:rsidRDefault="006D009B" w:rsidP="0066578E">
            <w:pPr>
              <w:jc w:val="center"/>
              <w:rPr>
                <w:rFonts w:cs="Times New Roman"/>
                <w:bCs/>
                <w:sz w:val="20"/>
                <w:szCs w:val="20"/>
                <w:lang w:val="en-GB"/>
              </w:rPr>
            </w:pPr>
            <w:r w:rsidRPr="00D72AC3">
              <w:rPr>
                <w:rFonts w:cs="Times New Roman"/>
                <w:sz w:val="20"/>
                <w:szCs w:val="20"/>
                <w:lang w:val="en-GB" w:bidi="en-GB"/>
              </w:rPr>
              <w:lastRenderedPageBreak/>
              <w:t>CS</w:t>
            </w:r>
          </w:p>
        </w:tc>
        <w:tc>
          <w:tcPr>
            <w:tcW w:w="1276" w:type="dxa"/>
            <w:shd w:val="clear" w:color="auto" w:fill="auto"/>
          </w:tcPr>
          <w:p w:rsidR="006D009B" w:rsidRPr="00D72AC3" w:rsidRDefault="006D009B" w:rsidP="0066578E">
            <w:pPr>
              <w:jc w:val="center"/>
              <w:rPr>
                <w:rFonts w:cs="Times New Roman"/>
                <w:b/>
                <w:bCs/>
                <w:sz w:val="20"/>
                <w:szCs w:val="20"/>
                <w:lang w:val="en-GB"/>
              </w:rPr>
            </w:pPr>
          </w:p>
        </w:tc>
        <w:tc>
          <w:tcPr>
            <w:tcW w:w="1417" w:type="dxa"/>
            <w:shd w:val="clear" w:color="auto" w:fill="auto"/>
          </w:tcPr>
          <w:p w:rsidR="006D009B" w:rsidRPr="00D72AC3" w:rsidRDefault="006D009B" w:rsidP="00FC417E">
            <w:pPr>
              <w:jc w:val="center"/>
              <w:rPr>
                <w:rFonts w:cs="Times New Roman"/>
                <w:bCs/>
                <w:sz w:val="20"/>
                <w:szCs w:val="20"/>
                <w:lang w:val="en-GB"/>
              </w:rPr>
            </w:pPr>
            <w:r w:rsidRPr="00D72AC3">
              <w:rPr>
                <w:rFonts w:cs="Times New Roman"/>
                <w:sz w:val="20"/>
                <w:szCs w:val="20"/>
                <w:lang w:val="en-GB" w:bidi="en-GB"/>
              </w:rPr>
              <w:t>1 March 2019</w:t>
            </w:r>
          </w:p>
        </w:tc>
      </w:tr>
      <w:tr w:rsidR="0066578E" w:rsidRPr="00D72AC3" w:rsidTr="00FE237C">
        <w:tc>
          <w:tcPr>
            <w:tcW w:w="709" w:type="dxa"/>
            <w:vMerge w:val="restart"/>
            <w:tcBorders>
              <w:top w:val="single" w:sz="4" w:space="0" w:color="auto"/>
              <w:left w:val="single" w:sz="4" w:space="0" w:color="auto"/>
              <w:bottom w:val="single" w:sz="4" w:space="0" w:color="auto"/>
              <w:right w:val="single" w:sz="4" w:space="0" w:color="auto"/>
            </w:tcBorders>
          </w:tcPr>
          <w:p w:rsidR="0066578E" w:rsidRPr="00D72AC3" w:rsidRDefault="0066578E" w:rsidP="00914F28">
            <w:pPr>
              <w:jc w:val="center"/>
              <w:rPr>
                <w:sz w:val="20"/>
                <w:szCs w:val="20"/>
                <w:lang w:val="en-GB"/>
              </w:rPr>
            </w:pPr>
            <w:r w:rsidRPr="00D72AC3">
              <w:rPr>
                <w:sz w:val="20"/>
                <w:szCs w:val="20"/>
                <w:lang w:val="en-GB" w:bidi="en-GB"/>
              </w:rPr>
              <w:t>4.6.</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66578E" w:rsidRPr="00D72AC3" w:rsidRDefault="0066578E" w:rsidP="0066578E">
            <w:pPr>
              <w:jc w:val="both"/>
              <w:rPr>
                <w:sz w:val="20"/>
                <w:szCs w:val="20"/>
                <w:lang w:val="en-GB"/>
              </w:rPr>
            </w:pPr>
            <w:r w:rsidRPr="00D72AC3">
              <w:rPr>
                <w:sz w:val="20"/>
                <w:szCs w:val="20"/>
                <w:lang w:val="en-GB" w:bidi="en-GB"/>
              </w:rPr>
              <w:t xml:space="preserve">To define the identifiers and "red flags" for suspicious transactions, - both general, to be applied to all subjects, and branch-specific </w:t>
            </w:r>
          </w:p>
        </w:tc>
        <w:tc>
          <w:tcPr>
            <w:tcW w:w="1701" w:type="dxa"/>
            <w:vMerge w:val="restart"/>
            <w:tcBorders>
              <w:top w:val="single" w:sz="4" w:space="0" w:color="auto"/>
              <w:left w:val="single" w:sz="4" w:space="0" w:color="auto"/>
              <w:bottom w:val="single" w:sz="4" w:space="0" w:color="auto"/>
              <w:right w:val="single" w:sz="4" w:space="0" w:color="auto"/>
            </w:tcBorders>
          </w:tcPr>
          <w:p w:rsidR="0066578E" w:rsidRPr="00D72AC3" w:rsidRDefault="0066578E" w:rsidP="0066578E">
            <w:pPr>
              <w:jc w:val="both"/>
              <w:rPr>
                <w:sz w:val="20"/>
                <w:szCs w:val="20"/>
                <w:lang w:val="en-GB"/>
              </w:rPr>
            </w:pPr>
            <w:r w:rsidRPr="00D72AC3">
              <w:rPr>
                <w:sz w:val="20"/>
                <w:szCs w:val="20"/>
                <w:lang w:val="en-GB" w:bidi="en-GB"/>
              </w:rPr>
              <w:t>Moneyval recommendation 4.13.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66578E" w:rsidRPr="00D72AC3" w:rsidRDefault="0066578E" w:rsidP="0066578E">
            <w:pPr>
              <w:jc w:val="both"/>
              <w:rPr>
                <w:sz w:val="20"/>
                <w:szCs w:val="20"/>
                <w:lang w:val="en-GB"/>
              </w:rPr>
            </w:pPr>
            <w:r w:rsidRPr="00D72AC3">
              <w:rPr>
                <w:sz w:val="20"/>
                <w:szCs w:val="20"/>
                <w:lang w:val="en-GB" w:bidi="en-GB"/>
              </w:rPr>
              <w:t>On the basis of information provided by the CS on the typologies, as well as taking into account the branch-specific risks, the supervisory and control authorities define the identifiers and "red flags" for suspicious transactions</w:t>
            </w:r>
          </w:p>
          <w:p w:rsidR="00EC3765" w:rsidRPr="00D72AC3" w:rsidRDefault="00EC3765" w:rsidP="0066578E">
            <w:pPr>
              <w:jc w:val="both"/>
              <w:rPr>
                <w:sz w:val="20"/>
                <w:szCs w:val="20"/>
                <w:lang w:val="en-GB"/>
              </w:rPr>
            </w:pPr>
            <w:r w:rsidRPr="00D72AC3">
              <w:rPr>
                <w:rFonts w:cs="Times New Roman"/>
                <w:sz w:val="20"/>
                <w:szCs w:val="20"/>
                <w:lang w:val="en-GB" w:bidi="en-GB"/>
              </w:rPr>
              <w:t>The CS has aggregated the results of strategic analysis, including, from the ABLV process, and has informed the subjects of the law and the SCA, raising their awareness</w:t>
            </w:r>
          </w:p>
        </w:tc>
        <w:tc>
          <w:tcPr>
            <w:tcW w:w="2693" w:type="dxa"/>
            <w:tcBorders>
              <w:left w:val="single" w:sz="4" w:space="0" w:color="auto"/>
            </w:tcBorders>
          </w:tcPr>
          <w:p w:rsidR="00EC3765" w:rsidRPr="00D72AC3" w:rsidRDefault="00C97FF2" w:rsidP="00FC417E">
            <w:pPr>
              <w:jc w:val="both"/>
              <w:rPr>
                <w:color w:val="000000" w:themeColor="text1"/>
                <w:sz w:val="20"/>
                <w:szCs w:val="20"/>
                <w:lang w:val="en-GB"/>
              </w:rPr>
            </w:pPr>
            <w:r w:rsidRPr="00D72AC3">
              <w:rPr>
                <w:color w:val="000000" w:themeColor="text1"/>
                <w:sz w:val="20"/>
                <w:szCs w:val="20"/>
                <w:lang w:val="en-GB" w:bidi="en-GB"/>
              </w:rPr>
              <w:t xml:space="preserve">1. Typologies updated. </w:t>
            </w:r>
            <w:r w:rsidR="00EC3765" w:rsidRPr="00D72AC3">
              <w:rPr>
                <w:rFonts w:cs="Times New Roman"/>
                <w:sz w:val="20"/>
                <w:szCs w:val="20"/>
                <w:lang w:val="en-GB" w:bidi="en-GB"/>
              </w:rPr>
              <w:t>The CS website supplemented and regularly updated with information on suspicious and unusual transactions, in light of the specificity of each sector</w:t>
            </w:r>
          </w:p>
        </w:tc>
        <w:tc>
          <w:tcPr>
            <w:tcW w:w="1134" w:type="dxa"/>
            <w:shd w:val="clear" w:color="auto" w:fill="auto"/>
          </w:tcPr>
          <w:p w:rsidR="0066578E" w:rsidRPr="00D72AC3" w:rsidRDefault="0066578E" w:rsidP="0066578E">
            <w:pPr>
              <w:jc w:val="center"/>
              <w:rPr>
                <w:color w:val="000000" w:themeColor="text1"/>
                <w:sz w:val="20"/>
                <w:szCs w:val="20"/>
                <w:lang w:val="en-GB"/>
              </w:rPr>
            </w:pPr>
            <w:r w:rsidRPr="00D72AC3">
              <w:rPr>
                <w:color w:val="000000" w:themeColor="text1"/>
                <w:sz w:val="20"/>
                <w:szCs w:val="20"/>
                <w:lang w:val="en-GB" w:bidi="en-GB"/>
              </w:rPr>
              <w:t>CS</w:t>
            </w:r>
          </w:p>
        </w:tc>
        <w:tc>
          <w:tcPr>
            <w:tcW w:w="1276" w:type="dxa"/>
            <w:shd w:val="clear" w:color="auto" w:fill="auto"/>
          </w:tcPr>
          <w:p w:rsidR="0066578E" w:rsidRPr="00D72AC3" w:rsidRDefault="0066578E" w:rsidP="0066578E">
            <w:pPr>
              <w:rPr>
                <w:sz w:val="20"/>
                <w:szCs w:val="20"/>
                <w:lang w:val="en-GB"/>
              </w:rPr>
            </w:pPr>
          </w:p>
        </w:tc>
        <w:tc>
          <w:tcPr>
            <w:tcW w:w="1417" w:type="dxa"/>
            <w:shd w:val="clear" w:color="auto" w:fill="auto"/>
          </w:tcPr>
          <w:p w:rsidR="0066578E" w:rsidRPr="00D72AC3" w:rsidRDefault="0066578E" w:rsidP="00C97FF2">
            <w:pPr>
              <w:jc w:val="center"/>
              <w:rPr>
                <w:sz w:val="20"/>
                <w:szCs w:val="20"/>
                <w:lang w:val="en-GB"/>
              </w:rPr>
            </w:pPr>
            <w:r w:rsidRPr="00D72AC3">
              <w:rPr>
                <w:sz w:val="20"/>
                <w:szCs w:val="20"/>
                <w:lang w:val="en-GB" w:bidi="en-GB"/>
              </w:rPr>
              <w:t>31 October 2018</w:t>
            </w:r>
          </w:p>
          <w:p w:rsidR="00EC3765" w:rsidRPr="00D72AC3" w:rsidRDefault="00EC3765" w:rsidP="00C97FF2">
            <w:pPr>
              <w:jc w:val="center"/>
              <w:rPr>
                <w:rFonts w:cs="Times New Roman"/>
                <w:sz w:val="20"/>
                <w:szCs w:val="20"/>
                <w:lang w:val="en-GB"/>
              </w:rPr>
            </w:pPr>
            <w:r w:rsidRPr="00D72AC3">
              <w:rPr>
                <w:rFonts w:cs="Times New Roman"/>
                <w:sz w:val="20"/>
                <w:szCs w:val="20"/>
                <w:lang w:val="en-GB" w:bidi="en-GB"/>
              </w:rPr>
              <w:t>(Repeatedly - 30 June 2019)</w:t>
            </w:r>
          </w:p>
          <w:p w:rsidR="00EC3765" w:rsidRPr="00D72AC3" w:rsidRDefault="00EC3765" w:rsidP="0066578E">
            <w:pPr>
              <w:jc w:val="both"/>
              <w:rPr>
                <w:sz w:val="20"/>
                <w:szCs w:val="20"/>
                <w:lang w:val="en-GB"/>
              </w:rPr>
            </w:pPr>
          </w:p>
        </w:tc>
      </w:tr>
      <w:tr w:rsidR="0066578E" w:rsidRPr="00D72AC3" w:rsidTr="00FE237C">
        <w:trPr>
          <w:trHeight w:val="1872"/>
        </w:trPr>
        <w:tc>
          <w:tcPr>
            <w:tcW w:w="709" w:type="dxa"/>
            <w:vMerge/>
            <w:tcBorders>
              <w:top w:val="single" w:sz="4" w:space="0" w:color="auto"/>
              <w:left w:val="single" w:sz="4" w:space="0" w:color="auto"/>
              <w:bottom w:val="single" w:sz="4" w:space="0" w:color="auto"/>
              <w:right w:val="single" w:sz="4" w:space="0" w:color="auto"/>
            </w:tcBorders>
          </w:tcPr>
          <w:p w:rsidR="0066578E" w:rsidRPr="00D72AC3" w:rsidRDefault="0066578E" w:rsidP="0066578E">
            <w:pPr>
              <w:jc w:val="center"/>
              <w:rPr>
                <w:sz w:val="20"/>
                <w:szCs w:val="20"/>
                <w:lang w:val="en-GB"/>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66578E" w:rsidRPr="00D72AC3" w:rsidRDefault="0066578E" w:rsidP="0066578E">
            <w:pPr>
              <w:jc w:val="both"/>
              <w:rPr>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tcPr>
          <w:p w:rsidR="0066578E" w:rsidRPr="00D72AC3" w:rsidRDefault="0066578E" w:rsidP="0066578E">
            <w:pPr>
              <w:jc w:val="both"/>
              <w:rPr>
                <w:sz w:val="20"/>
                <w:szCs w:val="20"/>
                <w:lang w:val="en-GB"/>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66578E" w:rsidRPr="00D72AC3" w:rsidRDefault="0066578E" w:rsidP="0066578E">
            <w:pPr>
              <w:jc w:val="both"/>
              <w:rPr>
                <w:sz w:val="20"/>
                <w:szCs w:val="20"/>
                <w:lang w:val="en-GB"/>
              </w:rPr>
            </w:pPr>
          </w:p>
        </w:tc>
        <w:tc>
          <w:tcPr>
            <w:tcW w:w="2693" w:type="dxa"/>
            <w:tcBorders>
              <w:left w:val="single" w:sz="4" w:space="0" w:color="auto"/>
            </w:tcBorders>
          </w:tcPr>
          <w:p w:rsidR="0066578E" w:rsidRPr="00D72AC3" w:rsidRDefault="0066578E" w:rsidP="00FC417E">
            <w:pPr>
              <w:jc w:val="both"/>
              <w:rPr>
                <w:color w:val="000000" w:themeColor="text1"/>
                <w:sz w:val="20"/>
                <w:szCs w:val="20"/>
                <w:lang w:val="en-GB"/>
              </w:rPr>
            </w:pPr>
            <w:r w:rsidRPr="00D72AC3">
              <w:rPr>
                <w:color w:val="000000" w:themeColor="text1"/>
                <w:sz w:val="20"/>
                <w:szCs w:val="20"/>
                <w:lang w:val="en-GB" w:bidi="en-GB"/>
              </w:rPr>
              <w:t>2. Guidelines enhanced with defined indicators and “ red flags”</w:t>
            </w:r>
          </w:p>
        </w:tc>
        <w:tc>
          <w:tcPr>
            <w:tcW w:w="1134" w:type="dxa"/>
            <w:shd w:val="clear" w:color="auto" w:fill="auto"/>
          </w:tcPr>
          <w:p w:rsidR="0066578E" w:rsidRPr="00D72AC3" w:rsidRDefault="0066578E" w:rsidP="0066578E">
            <w:pPr>
              <w:jc w:val="center"/>
              <w:rPr>
                <w:color w:val="000000" w:themeColor="text1"/>
                <w:sz w:val="20"/>
                <w:szCs w:val="20"/>
                <w:lang w:val="en-GB"/>
              </w:rPr>
            </w:pPr>
            <w:r w:rsidRPr="00D72AC3">
              <w:rPr>
                <w:color w:val="000000" w:themeColor="text1"/>
                <w:sz w:val="20"/>
                <w:szCs w:val="20"/>
                <w:lang w:val="en-GB" w:bidi="en-GB"/>
              </w:rPr>
              <w:t xml:space="preserve"> FCMC, SRS, BoL, LGSI, LCSA, LCSN, LACA, NCCH, CRPC</w:t>
            </w:r>
          </w:p>
          <w:p w:rsidR="0066578E" w:rsidRPr="00D72AC3" w:rsidRDefault="0066578E" w:rsidP="0066578E">
            <w:pPr>
              <w:jc w:val="center"/>
              <w:rPr>
                <w:color w:val="000000" w:themeColor="text1"/>
                <w:sz w:val="20"/>
                <w:szCs w:val="20"/>
                <w:lang w:val="en-GB"/>
              </w:rPr>
            </w:pPr>
          </w:p>
        </w:tc>
        <w:tc>
          <w:tcPr>
            <w:tcW w:w="1276" w:type="dxa"/>
            <w:shd w:val="clear" w:color="auto" w:fill="auto"/>
          </w:tcPr>
          <w:p w:rsidR="0066578E" w:rsidRPr="00D72AC3" w:rsidRDefault="0066578E" w:rsidP="0066578E">
            <w:pPr>
              <w:rPr>
                <w:sz w:val="20"/>
                <w:szCs w:val="20"/>
                <w:lang w:val="en-GB"/>
              </w:rPr>
            </w:pPr>
          </w:p>
        </w:tc>
        <w:tc>
          <w:tcPr>
            <w:tcW w:w="1417" w:type="dxa"/>
            <w:shd w:val="clear" w:color="auto" w:fill="auto"/>
          </w:tcPr>
          <w:p w:rsidR="0066578E" w:rsidRPr="00D72AC3" w:rsidRDefault="0066578E" w:rsidP="00C97FF2">
            <w:pPr>
              <w:jc w:val="center"/>
              <w:rPr>
                <w:sz w:val="20"/>
                <w:szCs w:val="20"/>
                <w:lang w:val="en-GB"/>
              </w:rPr>
            </w:pPr>
            <w:r w:rsidRPr="00D72AC3">
              <w:rPr>
                <w:sz w:val="20"/>
                <w:szCs w:val="20"/>
                <w:lang w:val="en-GB" w:bidi="en-GB"/>
              </w:rPr>
              <w:t>31 December 2018</w:t>
            </w:r>
          </w:p>
        </w:tc>
      </w:tr>
      <w:tr w:rsidR="0066578E" w:rsidRPr="00D72AC3" w:rsidTr="00FE237C">
        <w:tc>
          <w:tcPr>
            <w:tcW w:w="709" w:type="dxa"/>
            <w:tcBorders>
              <w:top w:val="single" w:sz="4" w:space="0" w:color="auto"/>
            </w:tcBorders>
          </w:tcPr>
          <w:p w:rsidR="0066578E" w:rsidRPr="00D72AC3" w:rsidRDefault="0066578E" w:rsidP="00914F28">
            <w:pPr>
              <w:jc w:val="center"/>
              <w:rPr>
                <w:sz w:val="20"/>
                <w:szCs w:val="20"/>
                <w:lang w:val="en-GB"/>
              </w:rPr>
            </w:pPr>
            <w:r w:rsidRPr="00D72AC3">
              <w:rPr>
                <w:sz w:val="20"/>
                <w:szCs w:val="20"/>
                <w:lang w:val="en-GB" w:bidi="en-GB"/>
              </w:rPr>
              <w:t>4.7.</w:t>
            </w:r>
          </w:p>
        </w:tc>
        <w:tc>
          <w:tcPr>
            <w:tcW w:w="3544" w:type="dxa"/>
            <w:tcBorders>
              <w:top w:val="single" w:sz="4" w:space="0" w:color="auto"/>
            </w:tcBorders>
            <w:shd w:val="clear" w:color="auto" w:fill="auto"/>
          </w:tcPr>
          <w:p w:rsidR="0066578E" w:rsidRPr="00D72AC3" w:rsidRDefault="0066578E" w:rsidP="0066578E">
            <w:pPr>
              <w:jc w:val="both"/>
              <w:rPr>
                <w:sz w:val="20"/>
                <w:szCs w:val="20"/>
                <w:lang w:val="en-GB"/>
              </w:rPr>
            </w:pPr>
            <w:r w:rsidRPr="00D72AC3">
              <w:rPr>
                <w:sz w:val="20"/>
                <w:szCs w:val="20"/>
                <w:lang w:val="en-GB" w:bidi="en-GB"/>
              </w:rPr>
              <w:t>To enhance the regulation with respect to the performance of independent audit and the scope of applicability of the verifications carried out thereby</w:t>
            </w:r>
          </w:p>
        </w:tc>
        <w:tc>
          <w:tcPr>
            <w:tcW w:w="1701" w:type="dxa"/>
            <w:tcBorders>
              <w:top w:val="single" w:sz="4" w:space="0" w:color="auto"/>
            </w:tcBorders>
          </w:tcPr>
          <w:p w:rsidR="0066578E" w:rsidRPr="00D72AC3" w:rsidRDefault="0066578E" w:rsidP="0066578E">
            <w:pPr>
              <w:jc w:val="both"/>
              <w:rPr>
                <w:sz w:val="20"/>
                <w:szCs w:val="20"/>
                <w:lang w:val="en-GB"/>
              </w:rPr>
            </w:pPr>
            <w:r w:rsidRPr="00D72AC3">
              <w:rPr>
                <w:sz w:val="20"/>
                <w:szCs w:val="20"/>
                <w:lang w:val="en-GB" w:bidi="en-GB"/>
              </w:rPr>
              <w:t>Moneyval recommendation 4.15.</w:t>
            </w:r>
          </w:p>
        </w:tc>
        <w:tc>
          <w:tcPr>
            <w:tcW w:w="2410" w:type="dxa"/>
            <w:tcBorders>
              <w:top w:val="single" w:sz="4" w:space="0" w:color="auto"/>
            </w:tcBorders>
            <w:shd w:val="clear" w:color="auto" w:fill="auto"/>
          </w:tcPr>
          <w:p w:rsidR="0066578E" w:rsidRPr="00D72AC3" w:rsidRDefault="0066578E" w:rsidP="0066578E">
            <w:pPr>
              <w:jc w:val="both"/>
              <w:rPr>
                <w:sz w:val="20"/>
                <w:szCs w:val="20"/>
                <w:lang w:val="en-GB"/>
              </w:rPr>
            </w:pPr>
            <w:r w:rsidRPr="00D72AC3">
              <w:rPr>
                <w:sz w:val="20"/>
                <w:szCs w:val="20"/>
                <w:lang w:val="en-GB" w:bidi="en-GB"/>
              </w:rPr>
              <w:t xml:space="preserve">The process of performance of independent audit enhanced </w:t>
            </w:r>
          </w:p>
        </w:tc>
        <w:tc>
          <w:tcPr>
            <w:tcW w:w="2693" w:type="dxa"/>
          </w:tcPr>
          <w:p w:rsidR="0066578E" w:rsidRPr="00D72AC3" w:rsidRDefault="0066578E" w:rsidP="00505985">
            <w:pPr>
              <w:jc w:val="both"/>
              <w:rPr>
                <w:sz w:val="20"/>
                <w:szCs w:val="20"/>
                <w:lang w:val="en-GB"/>
              </w:rPr>
            </w:pPr>
            <w:r w:rsidRPr="00D72AC3">
              <w:rPr>
                <w:sz w:val="20"/>
                <w:szCs w:val="20"/>
                <w:lang w:val="en-GB" w:bidi="en-GB"/>
              </w:rPr>
              <w:t>The regulation developed on the requirements for the performance of independent audit and the scope of applicability of the verifications</w:t>
            </w:r>
          </w:p>
        </w:tc>
        <w:tc>
          <w:tcPr>
            <w:tcW w:w="1134" w:type="dxa"/>
            <w:shd w:val="clear" w:color="auto" w:fill="auto"/>
          </w:tcPr>
          <w:p w:rsidR="0066578E" w:rsidRPr="00D72AC3" w:rsidRDefault="0066578E" w:rsidP="0066578E">
            <w:pPr>
              <w:jc w:val="center"/>
              <w:rPr>
                <w:sz w:val="20"/>
                <w:szCs w:val="20"/>
                <w:lang w:val="en-GB"/>
              </w:rPr>
            </w:pPr>
            <w:r w:rsidRPr="00D72AC3">
              <w:rPr>
                <w:sz w:val="20"/>
                <w:szCs w:val="20"/>
                <w:lang w:val="en-GB" w:bidi="en-GB"/>
              </w:rPr>
              <w:t>FCMC</w:t>
            </w:r>
          </w:p>
        </w:tc>
        <w:tc>
          <w:tcPr>
            <w:tcW w:w="1276" w:type="dxa"/>
            <w:shd w:val="clear" w:color="auto" w:fill="auto"/>
          </w:tcPr>
          <w:p w:rsidR="0066578E" w:rsidRPr="00D72AC3" w:rsidRDefault="0066578E" w:rsidP="0066578E">
            <w:pPr>
              <w:jc w:val="both"/>
              <w:rPr>
                <w:sz w:val="20"/>
                <w:szCs w:val="20"/>
                <w:lang w:val="en-GB"/>
              </w:rPr>
            </w:pPr>
          </w:p>
        </w:tc>
        <w:tc>
          <w:tcPr>
            <w:tcW w:w="1417" w:type="dxa"/>
            <w:shd w:val="clear" w:color="auto" w:fill="auto"/>
          </w:tcPr>
          <w:p w:rsidR="0066578E" w:rsidRPr="00D72AC3" w:rsidRDefault="00092B1A" w:rsidP="00C97FF2">
            <w:pPr>
              <w:jc w:val="center"/>
              <w:rPr>
                <w:sz w:val="20"/>
                <w:szCs w:val="20"/>
                <w:lang w:val="en-GB"/>
              </w:rPr>
            </w:pPr>
            <w:r w:rsidRPr="00D72AC3">
              <w:rPr>
                <w:sz w:val="20"/>
                <w:szCs w:val="20"/>
                <w:lang w:val="en-GB" w:bidi="en-GB"/>
              </w:rPr>
              <w:t>31 January 2019</w:t>
            </w:r>
          </w:p>
        </w:tc>
      </w:tr>
      <w:tr w:rsidR="0066578E" w:rsidRPr="00D72AC3" w:rsidTr="00FE237C">
        <w:trPr>
          <w:trHeight w:val="58"/>
        </w:trPr>
        <w:tc>
          <w:tcPr>
            <w:tcW w:w="709" w:type="dxa"/>
          </w:tcPr>
          <w:p w:rsidR="0066578E" w:rsidRPr="00D72AC3" w:rsidRDefault="0066578E" w:rsidP="00914F28">
            <w:pPr>
              <w:jc w:val="center"/>
              <w:rPr>
                <w:sz w:val="20"/>
                <w:szCs w:val="20"/>
                <w:lang w:val="en-GB"/>
              </w:rPr>
            </w:pPr>
            <w:r w:rsidRPr="00D72AC3">
              <w:rPr>
                <w:sz w:val="20"/>
                <w:szCs w:val="20"/>
                <w:lang w:val="en-GB" w:bidi="en-GB"/>
              </w:rPr>
              <w:t>4.8.</w:t>
            </w:r>
          </w:p>
        </w:tc>
        <w:tc>
          <w:tcPr>
            <w:tcW w:w="3544" w:type="dxa"/>
            <w:shd w:val="clear" w:color="auto" w:fill="auto"/>
          </w:tcPr>
          <w:p w:rsidR="0066578E" w:rsidRPr="00D72AC3" w:rsidRDefault="0066578E" w:rsidP="00FC417E">
            <w:pPr>
              <w:jc w:val="both"/>
              <w:rPr>
                <w:rFonts w:cs="Times New Roman"/>
                <w:sz w:val="20"/>
                <w:szCs w:val="20"/>
                <w:lang w:val="en-GB"/>
              </w:rPr>
            </w:pPr>
            <w:r w:rsidRPr="00D72AC3">
              <w:rPr>
                <w:rFonts w:cs="Times New Roman"/>
                <w:sz w:val="20"/>
                <w:szCs w:val="20"/>
                <w:lang w:val="en-GB" w:bidi="en-GB"/>
              </w:rPr>
              <w:t>To consider the possibilities of introducing the licencing system in such fields as real estate intermediation; tax consulting, accounting and company establishment services</w:t>
            </w:r>
          </w:p>
        </w:tc>
        <w:tc>
          <w:tcPr>
            <w:tcW w:w="1701" w:type="dxa"/>
          </w:tcPr>
          <w:p w:rsidR="0066578E" w:rsidRPr="00D72AC3" w:rsidRDefault="0066578E" w:rsidP="0066578E">
            <w:pPr>
              <w:jc w:val="both"/>
              <w:rPr>
                <w:sz w:val="20"/>
                <w:szCs w:val="20"/>
                <w:lang w:val="en-GB"/>
              </w:rPr>
            </w:pPr>
            <w:r w:rsidRPr="00D72AC3">
              <w:rPr>
                <w:sz w:val="20"/>
                <w:szCs w:val="20"/>
                <w:lang w:val="en-GB" w:bidi="en-GB"/>
              </w:rPr>
              <w:t>Moneyval recommendation 4.17.</w:t>
            </w:r>
          </w:p>
          <w:p w:rsidR="0074652C" w:rsidRPr="00D72AC3" w:rsidRDefault="0074652C" w:rsidP="0074652C">
            <w:pPr>
              <w:jc w:val="both"/>
              <w:rPr>
                <w:sz w:val="20"/>
                <w:szCs w:val="20"/>
                <w:lang w:val="en-GB"/>
              </w:rPr>
            </w:pPr>
            <w:r w:rsidRPr="00D72AC3">
              <w:rPr>
                <w:sz w:val="20"/>
                <w:szCs w:val="20"/>
                <w:lang w:val="en-GB" w:bidi="en-GB"/>
              </w:rPr>
              <w:lastRenderedPageBreak/>
              <w:t>Plan of Measures for 2017-2019 Measure 5.4.</w:t>
            </w:r>
          </w:p>
          <w:p w:rsidR="0074652C" w:rsidRPr="00D72AC3" w:rsidRDefault="0074652C" w:rsidP="0066578E">
            <w:pPr>
              <w:jc w:val="both"/>
              <w:rPr>
                <w:sz w:val="20"/>
                <w:szCs w:val="20"/>
                <w:lang w:val="en-GB"/>
              </w:rPr>
            </w:pPr>
          </w:p>
        </w:tc>
        <w:tc>
          <w:tcPr>
            <w:tcW w:w="2410" w:type="dxa"/>
            <w:shd w:val="clear" w:color="auto" w:fill="auto"/>
          </w:tcPr>
          <w:p w:rsidR="0066578E" w:rsidRPr="00D72AC3" w:rsidRDefault="0066578E" w:rsidP="0066578E">
            <w:pPr>
              <w:jc w:val="both"/>
              <w:rPr>
                <w:sz w:val="20"/>
                <w:szCs w:val="20"/>
                <w:lang w:val="en-GB"/>
              </w:rPr>
            </w:pPr>
            <w:r w:rsidRPr="00D72AC3">
              <w:rPr>
                <w:sz w:val="20"/>
                <w:szCs w:val="20"/>
                <w:lang w:val="en-GB" w:bidi="en-GB"/>
              </w:rPr>
              <w:lastRenderedPageBreak/>
              <w:t xml:space="preserve">To prepare proposals, draft laws for licencing real estate agents, tax consultants and accountants To assess the </w:t>
            </w:r>
            <w:r w:rsidRPr="00D72AC3">
              <w:rPr>
                <w:sz w:val="20"/>
                <w:szCs w:val="20"/>
                <w:lang w:val="en-GB" w:bidi="en-GB"/>
              </w:rPr>
              <w:lastRenderedPageBreak/>
              <w:t>possibility of licencing the providers of the company formation services</w:t>
            </w:r>
          </w:p>
          <w:p w:rsidR="0066578E" w:rsidRPr="00D72AC3" w:rsidRDefault="0066578E" w:rsidP="0066578E">
            <w:pPr>
              <w:jc w:val="both"/>
              <w:rPr>
                <w:sz w:val="20"/>
                <w:szCs w:val="20"/>
                <w:lang w:val="en-GB"/>
              </w:rPr>
            </w:pPr>
          </w:p>
        </w:tc>
        <w:tc>
          <w:tcPr>
            <w:tcW w:w="2693" w:type="dxa"/>
          </w:tcPr>
          <w:p w:rsidR="0066578E" w:rsidRPr="00D72AC3" w:rsidRDefault="0066578E" w:rsidP="00505985">
            <w:pPr>
              <w:jc w:val="both"/>
              <w:rPr>
                <w:sz w:val="20"/>
                <w:szCs w:val="20"/>
                <w:lang w:val="en-GB"/>
              </w:rPr>
            </w:pPr>
            <w:r w:rsidRPr="00D72AC3">
              <w:rPr>
                <w:sz w:val="20"/>
                <w:szCs w:val="20"/>
                <w:lang w:val="en-GB" w:bidi="en-GB"/>
              </w:rPr>
              <w:lastRenderedPageBreak/>
              <w:t>Proposals, draft laws, reports submitted to the MoF</w:t>
            </w:r>
          </w:p>
        </w:tc>
        <w:tc>
          <w:tcPr>
            <w:tcW w:w="1134" w:type="dxa"/>
            <w:shd w:val="clear" w:color="auto" w:fill="auto"/>
          </w:tcPr>
          <w:p w:rsidR="0066578E" w:rsidRPr="00D72AC3" w:rsidRDefault="0066578E" w:rsidP="0066578E">
            <w:pPr>
              <w:jc w:val="center"/>
              <w:rPr>
                <w:sz w:val="20"/>
                <w:szCs w:val="20"/>
                <w:lang w:val="en-GB"/>
              </w:rPr>
            </w:pPr>
            <w:r w:rsidRPr="00D72AC3">
              <w:rPr>
                <w:sz w:val="20"/>
                <w:szCs w:val="20"/>
                <w:lang w:val="en-GB" w:bidi="en-GB"/>
              </w:rPr>
              <w:t>SRS</w:t>
            </w:r>
          </w:p>
        </w:tc>
        <w:tc>
          <w:tcPr>
            <w:tcW w:w="1276" w:type="dxa"/>
            <w:shd w:val="clear" w:color="auto" w:fill="auto"/>
          </w:tcPr>
          <w:p w:rsidR="0066578E" w:rsidRPr="00D72AC3" w:rsidRDefault="0066578E" w:rsidP="0066578E">
            <w:pPr>
              <w:rPr>
                <w:sz w:val="20"/>
                <w:szCs w:val="20"/>
                <w:lang w:val="en-GB"/>
              </w:rPr>
            </w:pPr>
          </w:p>
        </w:tc>
        <w:tc>
          <w:tcPr>
            <w:tcW w:w="1417" w:type="dxa"/>
            <w:shd w:val="clear" w:color="auto" w:fill="auto"/>
          </w:tcPr>
          <w:p w:rsidR="0066578E" w:rsidRPr="00D72AC3" w:rsidRDefault="0066578E" w:rsidP="00C97FF2">
            <w:pPr>
              <w:jc w:val="center"/>
              <w:rPr>
                <w:sz w:val="20"/>
                <w:szCs w:val="20"/>
                <w:lang w:val="en-GB"/>
              </w:rPr>
            </w:pPr>
            <w:r w:rsidRPr="00D72AC3">
              <w:rPr>
                <w:sz w:val="20"/>
                <w:szCs w:val="20"/>
                <w:lang w:val="en-GB" w:bidi="en-GB"/>
              </w:rPr>
              <w:t>31 December 2018</w:t>
            </w:r>
          </w:p>
        </w:tc>
      </w:tr>
      <w:tr w:rsidR="00350DB9" w:rsidRPr="00D72AC3" w:rsidTr="00FE237C">
        <w:trPr>
          <w:trHeight w:val="58"/>
        </w:trPr>
        <w:tc>
          <w:tcPr>
            <w:tcW w:w="709" w:type="dxa"/>
            <w:tcBorders>
              <w:top w:val="single" w:sz="4" w:space="0" w:color="auto"/>
              <w:left w:val="single" w:sz="4" w:space="0" w:color="auto"/>
              <w:bottom w:val="single" w:sz="4" w:space="0" w:color="auto"/>
              <w:right w:val="single" w:sz="4" w:space="0" w:color="auto"/>
            </w:tcBorders>
          </w:tcPr>
          <w:p w:rsidR="00350DB9" w:rsidRPr="00D72AC3" w:rsidRDefault="00914F28" w:rsidP="003A6E7A">
            <w:pPr>
              <w:jc w:val="center"/>
              <w:rPr>
                <w:sz w:val="20"/>
                <w:szCs w:val="20"/>
                <w:lang w:val="en-GB"/>
              </w:rPr>
            </w:pPr>
            <w:r w:rsidRPr="00D72AC3">
              <w:rPr>
                <w:sz w:val="20"/>
                <w:szCs w:val="20"/>
                <w:lang w:val="en-GB" w:bidi="en-GB"/>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50DB9" w:rsidRPr="00D72AC3" w:rsidRDefault="00350DB9" w:rsidP="003A6E7A">
            <w:pPr>
              <w:jc w:val="both"/>
              <w:rPr>
                <w:rFonts w:cs="Times New Roman"/>
                <w:sz w:val="20"/>
                <w:szCs w:val="20"/>
                <w:lang w:val="en-GB"/>
              </w:rPr>
            </w:pPr>
            <w:r w:rsidRPr="00D72AC3">
              <w:rPr>
                <w:rFonts w:cs="Times New Roman"/>
                <w:sz w:val="20"/>
                <w:szCs w:val="20"/>
                <w:lang w:val="en-GB" w:bidi="en-GB"/>
              </w:rPr>
              <w:t>To enhance the statutory regulation in the field of supervision of the transactions with cultural monuments</w:t>
            </w:r>
          </w:p>
        </w:tc>
        <w:tc>
          <w:tcPr>
            <w:tcW w:w="1701" w:type="dxa"/>
            <w:tcBorders>
              <w:top w:val="single" w:sz="4" w:space="0" w:color="auto"/>
              <w:left w:val="single" w:sz="4" w:space="0" w:color="auto"/>
              <w:bottom w:val="single" w:sz="4" w:space="0" w:color="auto"/>
              <w:right w:val="single" w:sz="4" w:space="0" w:color="auto"/>
            </w:tcBorders>
          </w:tcPr>
          <w:p w:rsidR="00350DB9" w:rsidRPr="00D72AC3" w:rsidRDefault="00350DB9" w:rsidP="003A6E7A">
            <w:pPr>
              <w:jc w:val="both"/>
              <w:rPr>
                <w:sz w:val="20"/>
                <w:szCs w:val="20"/>
                <w:lang w:val="en-GB"/>
              </w:rPr>
            </w:pPr>
            <w:r w:rsidRPr="00D72AC3">
              <w:rPr>
                <w:sz w:val="20"/>
                <w:szCs w:val="20"/>
                <w:lang w:val="en-GB" w:bidi="en-GB"/>
              </w:rPr>
              <w:t>Plan of Measures for 2017-2019 Measure 2.8.</w:t>
            </w:r>
          </w:p>
          <w:p w:rsidR="00350DB9" w:rsidRPr="00D72AC3" w:rsidRDefault="00350DB9" w:rsidP="003A6E7A">
            <w:pPr>
              <w:jc w:val="both"/>
              <w:rPr>
                <w:sz w:val="20"/>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B9" w:rsidRPr="00D72AC3" w:rsidRDefault="00350DB9" w:rsidP="003A6E7A">
            <w:pPr>
              <w:jc w:val="both"/>
              <w:rPr>
                <w:sz w:val="20"/>
                <w:szCs w:val="20"/>
                <w:lang w:val="en-GB"/>
              </w:rPr>
            </w:pPr>
            <w:r w:rsidRPr="00D72AC3">
              <w:rPr>
                <w:sz w:val="20"/>
                <w:szCs w:val="20"/>
                <w:lang w:val="en-GB" w:bidi="en-GB"/>
              </w:rPr>
              <w:t xml:space="preserve">Strengthened supervisory mechanism </w:t>
            </w:r>
          </w:p>
        </w:tc>
        <w:tc>
          <w:tcPr>
            <w:tcW w:w="2693" w:type="dxa"/>
            <w:tcBorders>
              <w:top w:val="single" w:sz="4" w:space="0" w:color="auto"/>
              <w:left w:val="single" w:sz="4" w:space="0" w:color="auto"/>
              <w:bottom w:val="single" w:sz="4" w:space="0" w:color="auto"/>
              <w:right w:val="single" w:sz="4" w:space="0" w:color="auto"/>
            </w:tcBorders>
          </w:tcPr>
          <w:p w:rsidR="00350DB9" w:rsidRPr="00D72AC3" w:rsidRDefault="00350DB9" w:rsidP="00505985">
            <w:pPr>
              <w:jc w:val="both"/>
              <w:rPr>
                <w:sz w:val="20"/>
                <w:szCs w:val="20"/>
                <w:lang w:val="en-GB"/>
              </w:rPr>
            </w:pPr>
            <w:r w:rsidRPr="00D72AC3">
              <w:rPr>
                <w:sz w:val="20"/>
                <w:szCs w:val="20"/>
                <w:lang w:val="en-GB" w:bidi="en-GB"/>
              </w:rPr>
              <w:t xml:space="preserve">Proposals prepared for amendments to the </w:t>
            </w:r>
            <w:r w:rsidRPr="00D72AC3">
              <w:rPr>
                <w:i/>
                <w:sz w:val="20"/>
                <w:szCs w:val="20"/>
                <w:lang w:val="en-GB" w:bidi="en-GB"/>
              </w:rPr>
              <w:t>Law on PMLTF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DB9" w:rsidRPr="00D72AC3" w:rsidRDefault="00350DB9" w:rsidP="003A6E7A">
            <w:pPr>
              <w:jc w:val="center"/>
              <w:rPr>
                <w:sz w:val="20"/>
                <w:szCs w:val="20"/>
                <w:lang w:val="en-GB"/>
              </w:rPr>
            </w:pPr>
            <w:r w:rsidRPr="00D72AC3">
              <w:rPr>
                <w:sz w:val="20"/>
                <w:szCs w:val="20"/>
                <w:lang w:val="en-GB" w:bidi="en-GB"/>
              </w:rPr>
              <w:t>MoF</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0DB9" w:rsidRPr="00D72AC3" w:rsidRDefault="00350DB9" w:rsidP="00C97FF2">
            <w:pPr>
              <w:jc w:val="center"/>
              <w:rPr>
                <w:sz w:val="20"/>
                <w:szCs w:val="20"/>
                <w:lang w:val="en-GB"/>
              </w:rPr>
            </w:pPr>
            <w:r w:rsidRPr="00D72AC3">
              <w:rPr>
                <w:sz w:val="20"/>
                <w:szCs w:val="20"/>
                <w:lang w:val="en-GB" w:bidi="en-GB"/>
              </w:rPr>
              <w:t>MoC, NCCH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DB9" w:rsidRPr="00D72AC3" w:rsidRDefault="00350DB9" w:rsidP="00C97FF2">
            <w:pPr>
              <w:jc w:val="center"/>
              <w:rPr>
                <w:sz w:val="20"/>
                <w:szCs w:val="20"/>
                <w:lang w:val="en-GB"/>
              </w:rPr>
            </w:pPr>
            <w:r w:rsidRPr="00D72AC3">
              <w:rPr>
                <w:sz w:val="20"/>
                <w:szCs w:val="20"/>
                <w:lang w:val="en-GB" w:bidi="en-GB"/>
              </w:rPr>
              <w:t>1 July 2019</w:t>
            </w:r>
          </w:p>
        </w:tc>
      </w:tr>
      <w:tr w:rsidR="00602089" w:rsidRPr="00D72AC3" w:rsidTr="00FE237C">
        <w:trPr>
          <w:trHeight w:val="58"/>
        </w:trPr>
        <w:tc>
          <w:tcPr>
            <w:tcW w:w="709" w:type="dxa"/>
            <w:vMerge w:val="restart"/>
            <w:tcBorders>
              <w:top w:val="single" w:sz="4" w:space="0" w:color="auto"/>
              <w:left w:val="single" w:sz="4" w:space="0" w:color="auto"/>
              <w:right w:val="single" w:sz="4" w:space="0" w:color="auto"/>
            </w:tcBorders>
          </w:tcPr>
          <w:p w:rsidR="00602089" w:rsidRPr="00D72AC3" w:rsidRDefault="00914F28" w:rsidP="003A6E7A">
            <w:pPr>
              <w:jc w:val="center"/>
              <w:rPr>
                <w:sz w:val="20"/>
                <w:szCs w:val="20"/>
                <w:lang w:val="en-GB"/>
              </w:rPr>
            </w:pPr>
            <w:r w:rsidRPr="00D72AC3">
              <w:rPr>
                <w:sz w:val="20"/>
                <w:szCs w:val="20"/>
                <w:lang w:val="en-GB" w:bidi="en-GB"/>
              </w:rPr>
              <w:t>4.10.</w:t>
            </w:r>
          </w:p>
        </w:tc>
        <w:tc>
          <w:tcPr>
            <w:tcW w:w="3544" w:type="dxa"/>
            <w:vMerge w:val="restart"/>
            <w:tcBorders>
              <w:top w:val="single" w:sz="4" w:space="0" w:color="auto"/>
              <w:left w:val="single" w:sz="4" w:space="0" w:color="auto"/>
              <w:right w:val="single" w:sz="4" w:space="0" w:color="auto"/>
            </w:tcBorders>
            <w:shd w:val="clear" w:color="auto" w:fill="auto"/>
          </w:tcPr>
          <w:p w:rsidR="00602089" w:rsidRPr="00D72AC3" w:rsidRDefault="00602089" w:rsidP="003A6E7A">
            <w:pPr>
              <w:jc w:val="both"/>
              <w:rPr>
                <w:rFonts w:cs="Times New Roman"/>
                <w:sz w:val="20"/>
                <w:szCs w:val="20"/>
                <w:lang w:val="en-GB"/>
              </w:rPr>
            </w:pPr>
            <w:r w:rsidRPr="00D72AC3">
              <w:rPr>
                <w:rFonts w:cs="Times New Roman"/>
                <w:sz w:val="20"/>
                <w:szCs w:val="20"/>
                <w:lang w:val="en-GB" w:bidi="en-GB"/>
              </w:rPr>
              <w:t>To improve the accessibility of information for performance of the customer due diligence</w:t>
            </w:r>
          </w:p>
        </w:tc>
        <w:tc>
          <w:tcPr>
            <w:tcW w:w="1701" w:type="dxa"/>
            <w:vMerge w:val="restart"/>
            <w:tcBorders>
              <w:top w:val="single" w:sz="4" w:space="0" w:color="auto"/>
              <w:left w:val="single" w:sz="4" w:space="0" w:color="auto"/>
              <w:right w:val="single" w:sz="4" w:space="0" w:color="auto"/>
            </w:tcBorders>
          </w:tcPr>
          <w:p w:rsidR="00602089" w:rsidRPr="00D72AC3" w:rsidRDefault="00602089" w:rsidP="003A6E7A">
            <w:pPr>
              <w:jc w:val="both"/>
              <w:rPr>
                <w:sz w:val="20"/>
                <w:szCs w:val="20"/>
                <w:lang w:val="en-GB"/>
              </w:rPr>
            </w:pPr>
            <w:r w:rsidRPr="00D72AC3">
              <w:rPr>
                <w:sz w:val="20"/>
                <w:szCs w:val="20"/>
                <w:lang w:val="en-GB" w:bidi="en-GB"/>
              </w:rPr>
              <w:t>Moneyval recommendation 4.6.</w:t>
            </w:r>
          </w:p>
          <w:p w:rsidR="00602089" w:rsidRPr="00D72AC3" w:rsidRDefault="00602089" w:rsidP="003A6E7A">
            <w:pPr>
              <w:jc w:val="both"/>
              <w:rPr>
                <w:sz w:val="20"/>
                <w:szCs w:val="20"/>
                <w:lang w:val="en-GB"/>
              </w:rPr>
            </w:pPr>
          </w:p>
          <w:p w:rsidR="00602089" w:rsidRPr="00D72AC3" w:rsidRDefault="00602089" w:rsidP="003A6E7A">
            <w:pPr>
              <w:jc w:val="both"/>
              <w:rPr>
                <w:sz w:val="20"/>
                <w:szCs w:val="20"/>
                <w:lang w:val="en-GB"/>
              </w:rPr>
            </w:pPr>
            <w:r w:rsidRPr="00D72AC3">
              <w:rPr>
                <w:sz w:val="20"/>
                <w:szCs w:val="20"/>
                <w:lang w:val="en-GB" w:bidi="en-GB"/>
              </w:rPr>
              <w:t>FSDB complementary measures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089" w:rsidRPr="00D72AC3" w:rsidRDefault="00C22658" w:rsidP="003A6E7A">
            <w:pPr>
              <w:jc w:val="both"/>
              <w:rPr>
                <w:sz w:val="20"/>
                <w:szCs w:val="20"/>
                <w:lang w:val="en-GB"/>
              </w:rPr>
            </w:pPr>
            <w:r w:rsidRPr="00D72AC3">
              <w:rPr>
                <w:sz w:val="20"/>
                <w:szCs w:val="20"/>
                <w:lang w:val="en-GB" w:bidi="en-GB"/>
              </w:rPr>
              <w:t>1. The assessment prepared on the possibility to ensure for the subject of the law free-of-charge access to the register of ultimate beneficial owners of the Register of Enterprise</w:t>
            </w:r>
          </w:p>
        </w:tc>
        <w:tc>
          <w:tcPr>
            <w:tcW w:w="2693" w:type="dxa"/>
            <w:tcBorders>
              <w:top w:val="single" w:sz="4" w:space="0" w:color="auto"/>
              <w:left w:val="single" w:sz="4" w:space="0" w:color="auto"/>
              <w:bottom w:val="single" w:sz="4" w:space="0" w:color="auto"/>
              <w:right w:val="single" w:sz="4" w:space="0" w:color="auto"/>
            </w:tcBorders>
          </w:tcPr>
          <w:p w:rsidR="00602089" w:rsidRPr="00D72AC3" w:rsidRDefault="00C22658" w:rsidP="00505985">
            <w:pPr>
              <w:jc w:val="both"/>
              <w:rPr>
                <w:sz w:val="20"/>
                <w:szCs w:val="20"/>
                <w:lang w:val="en-GB"/>
              </w:rPr>
            </w:pPr>
            <w:r w:rsidRPr="00D72AC3">
              <w:rPr>
                <w:sz w:val="20"/>
                <w:szCs w:val="20"/>
                <w:lang w:val="en-GB" w:bidi="en-GB"/>
              </w:rPr>
              <w:t>1. The assessment submitted for the review to the FSDB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089" w:rsidRPr="00D72AC3" w:rsidRDefault="00602089" w:rsidP="00602089">
            <w:pPr>
              <w:jc w:val="center"/>
              <w:rPr>
                <w:sz w:val="20"/>
                <w:szCs w:val="20"/>
                <w:lang w:val="en-GB"/>
              </w:rPr>
            </w:pPr>
            <w:r w:rsidRPr="00D72AC3">
              <w:rPr>
                <w:sz w:val="20"/>
                <w:szCs w:val="20"/>
                <w:lang w:val="en-GB" w:bidi="en-GB"/>
              </w:rPr>
              <w:t>MoJ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089" w:rsidRPr="00D72AC3" w:rsidRDefault="00602089" w:rsidP="00C97FF2">
            <w:pPr>
              <w:jc w:val="center"/>
              <w:rPr>
                <w:sz w:val="20"/>
                <w:szCs w:val="20"/>
                <w:lang w:val="en-GB"/>
              </w:rPr>
            </w:pPr>
            <w:r w:rsidRPr="00D72AC3">
              <w:rPr>
                <w:sz w:val="20"/>
                <w:szCs w:val="20"/>
                <w:lang w:val="en-GB" w:bidi="en-GB"/>
              </w:rPr>
              <w:t>MoF</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2089" w:rsidRPr="00D72AC3" w:rsidRDefault="00602089" w:rsidP="00C97FF2">
            <w:pPr>
              <w:jc w:val="center"/>
              <w:rPr>
                <w:sz w:val="20"/>
                <w:szCs w:val="20"/>
                <w:lang w:val="en-GB"/>
              </w:rPr>
            </w:pPr>
            <w:r w:rsidRPr="00D72AC3">
              <w:rPr>
                <w:sz w:val="20"/>
                <w:szCs w:val="20"/>
                <w:lang w:val="en-GB" w:bidi="en-GB"/>
              </w:rPr>
              <w:t>31 December 2018</w:t>
            </w:r>
          </w:p>
        </w:tc>
      </w:tr>
      <w:tr w:rsidR="009D23CC" w:rsidRPr="00D72AC3" w:rsidTr="00FE237C">
        <w:trPr>
          <w:trHeight w:val="58"/>
        </w:trPr>
        <w:tc>
          <w:tcPr>
            <w:tcW w:w="709" w:type="dxa"/>
            <w:vMerge/>
            <w:tcBorders>
              <w:left w:val="single" w:sz="4" w:space="0" w:color="auto"/>
              <w:bottom w:val="single" w:sz="4" w:space="0" w:color="auto"/>
              <w:right w:val="single" w:sz="4" w:space="0" w:color="auto"/>
            </w:tcBorders>
          </w:tcPr>
          <w:p w:rsidR="009D23CC" w:rsidRPr="00D72AC3" w:rsidRDefault="009D23CC" w:rsidP="009D23CC">
            <w:pPr>
              <w:jc w:val="center"/>
              <w:rPr>
                <w:sz w:val="20"/>
                <w:szCs w:val="20"/>
                <w:lang w:val="en-GB"/>
              </w:rPr>
            </w:pPr>
          </w:p>
        </w:tc>
        <w:tc>
          <w:tcPr>
            <w:tcW w:w="3544" w:type="dxa"/>
            <w:vMerge/>
            <w:tcBorders>
              <w:left w:val="single" w:sz="4" w:space="0" w:color="auto"/>
              <w:bottom w:val="single" w:sz="4" w:space="0" w:color="auto"/>
              <w:right w:val="single" w:sz="4" w:space="0" w:color="auto"/>
            </w:tcBorders>
            <w:shd w:val="clear" w:color="auto" w:fill="auto"/>
          </w:tcPr>
          <w:p w:rsidR="009D23CC" w:rsidRPr="00D72AC3" w:rsidRDefault="009D23CC" w:rsidP="009D23CC">
            <w:pPr>
              <w:jc w:val="both"/>
              <w:rPr>
                <w:rFonts w:cs="Times New Roman"/>
                <w:sz w:val="20"/>
                <w:szCs w:val="20"/>
                <w:lang w:val="en-GB"/>
              </w:rPr>
            </w:pPr>
          </w:p>
        </w:tc>
        <w:tc>
          <w:tcPr>
            <w:tcW w:w="1701" w:type="dxa"/>
            <w:vMerge/>
            <w:tcBorders>
              <w:left w:val="single" w:sz="4" w:space="0" w:color="auto"/>
              <w:bottom w:val="single" w:sz="4" w:space="0" w:color="auto"/>
              <w:right w:val="single" w:sz="4" w:space="0" w:color="auto"/>
            </w:tcBorders>
          </w:tcPr>
          <w:p w:rsidR="009D23CC" w:rsidRPr="00D72AC3" w:rsidRDefault="009D23CC" w:rsidP="009D23CC">
            <w:pPr>
              <w:jc w:val="both"/>
              <w:rPr>
                <w:sz w:val="20"/>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both"/>
              <w:rPr>
                <w:sz w:val="20"/>
                <w:szCs w:val="20"/>
                <w:lang w:val="en-GB"/>
              </w:rPr>
            </w:pPr>
            <w:r w:rsidRPr="00D72AC3">
              <w:rPr>
                <w:sz w:val="20"/>
                <w:szCs w:val="20"/>
                <w:lang w:val="en-GB" w:bidi="en-GB"/>
              </w:rPr>
              <w:t>2. To prepare the assessment on improvement of information exchange between the public authorities and subject of the law for effective ML/FT risk management</w:t>
            </w:r>
          </w:p>
        </w:tc>
        <w:tc>
          <w:tcPr>
            <w:tcW w:w="2693" w:type="dxa"/>
            <w:tcBorders>
              <w:top w:val="single" w:sz="4" w:space="0" w:color="auto"/>
              <w:left w:val="single" w:sz="4" w:space="0" w:color="auto"/>
              <w:bottom w:val="single" w:sz="4" w:space="0" w:color="auto"/>
              <w:right w:val="single" w:sz="4" w:space="0" w:color="auto"/>
            </w:tcBorders>
          </w:tcPr>
          <w:p w:rsidR="009D23CC" w:rsidRPr="00D72AC3" w:rsidRDefault="009D23CC" w:rsidP="009D23CC">
            <w:pPr>
              <w:jc w:val="both"/>
              <w:rPr>
                <w:sz w:val="20"/>
                <w:szCs w:val="20"/>
                <w:lang w:val="en-GB"/>
              </w:rPr>
            </w:pPr>
            <w:r w:rsidRPr="00D72AC3">
              <w:rPr>
                <w:sz w:val="20"/>
                <w:szCs w:val="20"/>
                <w:lang w:val="en-GB" w:bidi="en-GB"/>
              </w:rPr>
              <w:t>2. The assessment submitted for the review to the FSDB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center"/>
              <w:rPr>
                <w:sz w:val="20"/>
                <w:szCs w:val="20"/>
                <w:lang w:val="en-GB"/>
              </w:rPr>
            </w:pPr>
            <w:r w:rsidRPr="00D72AC3">
              <w:rPr>
                <w:sz w:val="20"/>
                <w:szCs w:val="20"/>
                <w:lang w:val="en-GB" w:bidi="en-GB"/>
              </w:rPr>
              <w:t>MoF</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center"/>
              <w:rPr>
                <w:sz w:val="20"/>
                <w:szCs w:val="20"/>
                <w:lang w:val="en-GB"/>
              </w:rPr>
            </w:pPr>
            <w:r w:rsidRPr="00D72AC3">
              <w:rPr>
                <w:sz w:val="20"/>
                <w:szCs w:val="20"/>
                <w:lang w:val="en-GB" w:bidi="en-GB"/>
              </w:rPr>
              <w:t>MEPRD, LDDK (Employer’s Confederation of Latvia), FLA, KIB (Credit Information Bureau)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center"/>
              <w:rPr>
                <w:sz w:val="20"/>
                <w:szCs w:val="20"/>
                <w:lang w:val="en-GB"/>
              </w:rPr>
            </w:pPr>
            <w:r w:rsidRPr="00D72AC3">
              <w:rPr>
                <w:sz w:val="20"/>
                <w:szCs w:val="20"/>
                <w:lang w:val="en-GB" w:bidi="en-GB"/>
              </w:rPr>
              <w:t>1 July 2019</w:t>
            </w:r>
          </w:p>
        </w:tc>
      </w:tr>
      <w:tr w:rsidR="009D23CC" w:rsidRPr="00D72AC3" w:rsidTr="00FE237C">
        <w:trPr>
          <w:trHeight w:val="58"/>
        </w:trPr>
        <w:tc>
          <w:tcPr>
            <w:tcW w:w="709" w:type="dxa"/>
            <w:vMerge/>
            <w:tcBorders>
              <w:left w:val="single" w:sz="4" w:space="0" w:color="auto"/>
              <w:bottom w:val="single" w:sz="4" w:space="0" w:color="auto"/>
              <w:right w:val="single" w:sz="4" w:space="0" w:color="auto"/>
            </w:tcBorders>
          </w:tcPr>
          <w:p w:rsidR="009D23CC" w:rsidRPr="00D72AC3" w:rsidRDefault="009D23CC" w:rsidP="009D23CC">
            <w:pPr>
              <w:jc w:val="center"/>
              <w:rPr>
                <w:sz w:val="20"/>
                <w:szCs w:val="20"/>
                <w:lang w:val="en-GB"/>
              </w:rPr>
            </w:pPr>
          </w:p>
        </w:tc>
        <w:tc>
          <w:tcPr>
            <w:tcW w:w="3544" w:type="dxa"/>
            <w:vMerge/>
            <w:tcBorders>
              <w:left w:val="single" w:sz="4" w:space="0" w:color="auto"/>
              <w:bottom w:val="single" w:sz="4" w:space="0" w:color="auto"/>
              <w:right w:val="single" w:sz="4" w:space="0" w:color="auto"/>
            </w:tcBorders>
            <w:shd w:val="clear" w:color="auto" w:fill="auto"/>
          </w:tcPr>
          <w:p w:rsidR="009D23CC" w:rsidRPr="00D72AC3" w:rsidRDefault="009D23CC" w:rsidP="009D23CC">
            <w:pPr>
              <w:jc w:val="both"/>
              <w:rPr>
                <w:rFonts w:cs="Times New Roman"/>
                <w:sz w:val="20"/>
                <w:szCs w:val="20"/>
                <w:lang w:val="en-GB"/>
              </w:rPr>
            </w:pPr>
          </w:p>
        </w:tc>
        <w:tc>
          <w:tcPr>
            <w:tcW w:w="1701" w:type="dxa"/>
            <w:vMerge/>
            <w:tcBorders>
              <w:left w:val="single" w:sz="4" w:space="0" w:color="auto"/>
              <w:bottom w:val="single" w:sz="4" w:space="0" w:color="auto"/>
              <w:right w:val="single" w:sz="4" w:space="0" w:color="auto"/>
            </w:tcBorders>
          </w:tcPr>
          <w:p w:rsidR="009D23CC" w:rsidRPr="00D72AC3" w:rsidRDefault="009D23CC" w:rsidP="009D23CC">
            <w:pPr>
              <w:jc w:val="both"/>
              <w:rPr>
                <w:sz w:val="20"/>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both"/>
              <w:rPr>
                <w:sz w:val="20"/>
                <w:szCs w:val="20"/>
                <w:lang w:val="en-GB"/>
              </w:rPr>
            </w:pPr>
            <w:r w:rsidRPr="00D72AC3">
              <w:rPr>
                <w:sz w:val="20"/>
                <w:szCs w:val="20"/>
                <w:lang w:val="en-GB" w:bidi="en-GB"/>
              </w:rPr>
              <w:t>3. To prepare the assessment on the necessary amendments to the legal framework for the formation of the customer due diligence utility (KYC utility), which would allow the subjects of the law to use the customer due diligence information obtained by other subjects of the law</w:t>
            </w:r>
          </w:p>
        </w:tc>
        <w:tc>
          <w:tcPr>
            <w:tcW w:w="2693" w:type="dxa"/>
            <w:tcBorders>
              <w:top w:val="single" w:sz="4" w:space="0" w:color="auto"/>
              <w:left w:val="single" w:sz="4" w:space="0" w:color="auto"/>
              <w:bottom w:val="single" w:sz="4" w:space="0" w:color="auto"/>
              <w:right w:val="single" w:sz="4" w:space="0" w:color="auto"/>
            </w:tcBorders>
          </w:tcPr>
          <w:p w:rsidR="009D23CC" w:rsidRPr="00D72AC3" w:rsidRDefault="009D23CC" w:rsidP="009D23CC">
            <w:pPr>
              <w:jc w:val="both"/>
              <w:rPr>
                <w:sz w:val="20"/>
                <w:szCs w:val="20"/>
                <w:lang w:val="en-GB"/>
              </w:rPr>
            </w:pPr>
            <w:r w:rsidRPr="00D72AC3">
              <w:rPr>
                <w:sz w:val="20"/>
                <w:szCs w:val="20"/>
                <w:lang w:val="en-GB" w:bidi="en-GB"/>
              </w:rPr>
              <w:t>3. The assessment on the necessary amendments to the legal framework for the formation of the customer due diligence utility (KYC utility) prepared and submitted for the review to the FSDB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center"/>
              <w:rPr>
                <w:sz w:val="20"/>
                <w:szCs w:val="20"/>
                <w:lang w:val="en-GB"/>
              </w:rPr>
            </w:pPr>
            <w:r w:rsidRPr="00D72AC3">
              <w:rPr>
                <w:sz w:val="20"/>
                <w:szCs w:val="20"/>
                <w:lang w:val="en-GB" w:bidi="en-GB"/>
              </w:rPr>
              <w:t>MoF</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center"/>
              <w:rPr>
                <w:sz w:val="20"/>
                <w:szCs w:val="20"/>
                <w:lang w:val="en-GB"/>
              </w:rPr>
            </w:pPr>
            <w:r w:rsidRPr="00D72AC3">
              <w:rPr>
                <w:sz w:val="20"/>
                <w:szCs w:val="20"/>
                <w:lang w:val="en-GB" w:bidi="en-GB"/>
              </w:rPr>
              <w:t>MoFA, MEPRD, LDDK, FLA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23CC" w:rsidRPr="00D72AC3" w:rsidRDefault="009D23CC" w:rsidP="009D23CC">
            <w:pPr>
              <w:jc w:val="center"/>
              <w:rPr>
                <w:sz w:val="20"/>
                <w:szCs w:val="20"/>
                <w:lang w:val="en-GB"/>
              </w:rPr>
            </w:pPr>
            <w:r w:rsidRPr="00D72AC3">
              <w:rPr>
                <w:sz w:val="20"/>
                <w:szCs w:val="20"/>
                <w:lang w:val="en-GB" w:bidi="en-GB"/>
              </w:rPr>
              <w:t>1 March 2019</w:t>
            </w:r>
          </w:p>
        </w:tc>
      </w:tr>
    </w:tbl>
    <w:p w:rsidR="004F21C5" w:rsidRPr="00D72AC3" w:rsidRDefault="004F21C5" w:rsidP="00FF0BBA">
      <w:pPr>
        <w:jc w:val="both"/>
        <w:rPr>
          <w:sz w:val="20"/>
          <w:szCs w:val="20"/>
          <w:lang w:val="en-GB"/>
        </w:rPr>
      </w:pPr>
    </w:p>
    <w:p w:rsidR="00EC3765" w:rsidRPr="00D72AC3" w:rsidRDefault="00EC3765" w:rsidP="00FF0BBA">
      <w:pPr>
        <w:jc w:val="both"/>
        <w:rPr>
          <w:sz w:val="28"/>
          <w:szCs w:val="28"/>
          <w:lang w:val="en-GB"/>
        </w:rPr>
      </w:pPr>
    </w:p>
    <w:p w:rsidR="00FF0BBA" w:rsidRPr="00D72AC3" w:rsidRDefault="00E50F53" w:rsidP="00E24F37">
      <w:pPr>
        <w:pStyle w:val="Heading2"/>
        <w:rPr>
          <w:rFonts w:ascii="Times New Roman" w:hAnsi="Times New Roman" w:cs="Times New Roman"/>
          <w:b/>
          <w:color w:val="auto"/>
          <w:sz w:val="28"/>
          <w:szCs w:val="28"/>
          <w:lang w:val="en-GB"/>
        </w:rPr>
      </w:pPr>
      <w:bookmarkStart w:id="11" w:name="_Toc526510438"/>
      <w:r w:rsidRPr="00D72AC3">
        <w:rPr>
          <w:rFonts w:ascii="Times New Roman" w:eastAsia="Times New Roman" w:hAnsi="Times New Roman" w:cs="Times New Roman"/>
          <w:b/>
          <w:color w:val="auto"/>
          <w:sz w:val="28"/>
          <w:szCs w:val="28"/>
          <w:lang w:val="en-GB" w:bidi="en-GB"/>
        </w:rPr>
        <w:t>Fifth course of action - Legal persons and arrangements</w:t>
      </w:r>
      <w:bookmarkEnd w:id="11"/>
    </w:p>
    <w:p w:rsidR="00E50F53" w:rsidRPr="00D72AC3" w:rsidRDefault="00E50F53"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MoJ</w:t>
      </w:r>
    </w:p>
    <w:p w:rsidR="002F5F09" w:rsidRPr="00D72AC3" w:rsidRDefault="002F5F09" w:rsidP="002F5F09">
      <w:pPr>
        <w:jc w:val="both"/>
        <w:rPr>
          <w:rFonts w:cs="Times New Roman"/>
          <w:szCs w:val="24"/>
          <w:lang w:val="en-GB"/>
        </w:rPr>
      </w:pPr>
      <w:r w:rsidRPr="00D72AC3">
        <w:rPr>
          <w:rFonts w:cs="Times New Roman"/>
          <w:szCs w:val="24"/>
          <w:lang w:val="en-GB" w:bidi="en-GB"/>
        </w:rPr>
        <w:t>Co-responsible authorities: RE, MoF, FCMC, SRS, CS, LCSN, LCSA, MoL, LACA and NCCH</w:t>
      </w:r>
    </w:p>
    <w:p w:rsidR="00DF745E" w:rsidRPr="00D72AC3" w:rsidRDefault="00DF745E" w:rsidP="00FF0BBA">
      <w:pPr>
        <w:jc w:val="both"/>
        <w:rPr>
          <w:sz w:val="28"/>
          <w:szCs w:val="28"/>
          <w:lang w:val="en-GB"/>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75"/>
        <w:gridCol w:w="8"/>
        <w:gridCol w:w="1704"/>
        <w:gridCol w:w="1984"/>
        <w:gridCol w:w="2835"/>
        <w:gridCol w:w="1134"/>
        <w:gridCol w:w="1276"/>
        <w:gridCol w:w="1701"/>
      </w:tblGrid>
      <w:tr w:rsidR="00DF745E" w:rsidRPr="00D72AC3" w:rsidTr="00FE237C">
        <w:tc>
          <w:tcPr>
            <w:tcW w:w="4250" w:type="dxa"/>
            <w:gridSpan w:val="3"/>
          </w:tcPr>
          <w:p w:rsidR="00DF745E" w:rsidRPr="00D72AC3" w:rsidRDefault="00DF745E" w:rsidP="00C53B77">
            <w:pPr>
              <w:rPr>
                <w:rFonts w:cs="Times New Roman"/>
                <w:b/>
                <w:bCs/>
                <w:sz w:val="20"/>
                <w:szCs w:val="20"/>
                <w:lang w:val="en-GB"/>
              </w:rPr>
            </w:pPr>
            <w:r w:rsidRPr="00D72AC3">
              <w:rPr>
                <w:rFonts w:cs="Times New Roman"/>
                <w:b/>
                <w:sz w:val="20"/>
                <w:szCs w:val="20"/>
                <w:lang w:val="en-GB" w:bidi="en-GB"/>
              </w:rPr>
              <w:t>Fi</w:t>
            </w:r>
            <w:r w:rsidR="00C53B77">
              <w:rPr>
                <w:rFonts w:cs="Times New Roman"/>
                <w:b/>
                <w:sz w:val="20"/>
                <w:szCs w:val="20"/>
                <w:lang w:val="en-GB" w:bidi="en-GB"/>
              </w:rPr>
              <w:t>fth</w:t>
            </w:r>
            <w:r w:rsidRPr="00D72AC3">
              <w:rPr>
                <w:rFonts w:cs="Times New Roman"/>
                <w:b/>
                <w:sz w:val="20"/>
                <w:szCs w:val="20"/>
                <w:lang w:val="en-GB" w:bidi="en-GB"/>
              </w:rPr>
              <w:t xml:space="preserve"> course of action</w:t>
            </w:r>
          </w:p>
        </w:tc>
        <w:tc>
          <w:tcPr>
            <w:tcW w:w="10634" w:type="dxa"/>
            <w:gridSpan w:val="6"/>
          </w:tcPr>
          <w:p w:rsidR="00DF745E" w:rsidRPr="00D72AC3" w:rsidRDefault="00DF745E" w:rsidP="00DF745E">
            <w:pPr>
              <w:jc w:val="both"/>
              <w:rPr>
                <w:rFonts w:cs="Times New Roman"/>
                <w:b/>
                <w:bCs/>
                <w:sz w:val="20"/>
                <w:szCs w:val="20"/>
                <w:lang w:val="en-GB"/>
              </w:rPr>
            </w:pPr>
            <w:r w:rsidRPr="00D72AC3">
              <w:rPr>
                <w:rFonts w:cs="Times New Roman"/>
                <w:b/>
                <w:sz w:val="20"/>
                <w:szCs w:val="20"/>
                <w:lang w:val="en-GB" w:bidi="en-GB"/>
              </w:rPr>
              <w:t>LEGAL PERSONS AND ARRANGEMENTS</w:t>
            </w:r>
          </w:p>
        </w:tc>
      </w:tr>
      <w:tr w:rsidR="00DF745E" w:rsidRPr="00D72AC3" w:rsidTr="00FE237C">
        <w:tc>
          <w:tcPr>
            <w:tcW w:w="4250" w:type="dxa"/>
            <w:gridSpan w:val="3"/>
          </w:tcPr>
          <w:p w:rsidR="00DF745E" w:rsidRPr="00D72AC3" w:rsidRDefault="00DF745E" w:rsidP="00DF745E">
            <w:pPr>
              <w:rPr>
                <w:rFonts w:cs="Times New Roman"/>
                <w:b/>
                <w:bCs/>
                <w:sz w:val="20"/>
                <w:szCs w:val="20"/>
                <w:lang w:val="en-GB"/>
              </w:rPr>
            </w:pPr>
            <w:r w:rsidRPr="00D72AC3">
              <w:rPr>
                <w:rFonts w:cs="Times New Roman"/>
                <w:b/>
                <w:sz w:val="20"/>
                <w:szCs w:val="20"/>
                <w:lang w:val="en-GB" w:bidi="en-GB"/>
              </w:rPr>
              <w:t>Sub-objectives to be achieved:</w:t>
            </w:r>
          </w:p>
        </w:tc>
        <w:tc>
          <w:tcPr>
            <w:tcW w:w="10634" w:type="dxa"/>
            <w:gridSpan w:val="6"/>
          </w:tcPr>
          <w:p w:rsidR="00DF745E" w:rsidRPr="00D72AC3" w:rsidRDefault="00DF745E" w:rsidP="00DF745E">
            <w:pPr>
              <w:jc w:val="both"/>
              <w:rPr>
                <w:rFonts w:cs="Times New Roman"/>
                <w:b/>
                <w:bCs/>
                <w:sz w:val="20"/>
                <w:szCs w:val="20"/>
                <w:lang w:val="en-GB"/>
              </w:rPr>
            </w:pPr>
            <w:r w:rsidRPr="00D72AC3">
              <w:rPr>
                <w:rFonts w:cs="Times New Roman"/>
                <w:b/>
                <w:sz w:val="20"/>
                <w:szCs w:val="20"/>
                <w:lang w:val="en-GB" w:bidi="en-GB"/>
              </w:rPr>
              <w:t>1. Registration and availability of information about the ultimate beneficial owners of legal persons corresponding to the requirements of the</w:t>
            </w:r>
            <w:r w:rsidRPr="00D72AC3">
              <w:rPr>
                <w:rFonts w:cs="Times New Roman"/>
                <w:b/>
                <w:i/>
                <w:sz w:val="20"/>
                <w:szCs w:val="20"/>
                <w:lang w:val="en-GB" w:bidi="en-GB"/>
              </w:rPr>
              <w:t xml:space="preserve"> Law on PMLTF </w:t>
            </w:r>
            <w:r w:rsidRPr="00D72AC3">
              <w:rPr>
                <w:rFonts w:cs="Times New Roman"/>
                <w:b/>
                <w:sz w:val="20"/>
                <w:szCs w:val="20"/>
                <w:lang w:val="en-GB" w:bidi="en-GB"/>
              </w:rPr>
              <w:t>ensured</w:t>
            </w:r>
          </w:p>
        </w:tc>
      </w:tr>
      <w:tr w:rsidR="00DF745E" w:rsidRPr="00D72AC3" w:rsidTr="00FE237C">
        <w:tc>
          <w:tcPr>
            <w:tcW w:w="4250" w:type="dxa"/>
            <w:gridSpan w:val="3"/>
          </w:tcPr>
          <w:p w:rsidR="00DF745E" w:rsidRPr="00D72AC3" w:rsidRDefault="00DF745E" w:rsidP="00DF745E">
            <w:pPr>
              <w:rPr>
                <w:rFonts w:cs="Times New Roman"/>
                <w:b/>
                <w:bCs/>
                <w:sz w:val="20"/>
                <w:szCs w:val="20"/>
                <w:lang w:val="en-GB"/>
              </w:rPr>
            </w:pPr>
          </w:p>
        </w:tc>
        <w:tc>
          <w:tcPr>
            <w:tcW w:w="10634" w:type="dxa"/>
            <w:gridSpan w:val="6"/>
          </w:tcPr>
          <w:p w:rsidR="00DF745E" w:rsidRPr="00D72AC3" w:rsidRDefault="00DF745E" w:rsidP="00DF745E">
            <w:pPr>
              <w:jc w:val="both"/>
              <w:rPr>
                <w:rFonts w:cs="Times New Roman"/>
                <w:b/>
                <w:bCs/>
                <w:sz w:val="20"/>
                <w:szCs w:val="20"/>
                <w:lang w:val="en-GB"/>
              </w:rPr>
            </w:pPr>
            <w:r w:rsidRPr="00D72AC3">
              <w:rPr>
                <w:rFonts w:cs="Times New Roman"/>
                <w:b/>
                <w:sz w:val="20"/>
                <w:szCs w:val="20"/>
                <w:lang w:val="en-GB" w:bidi="en-GB"/>
              </w:rPr>
              <w:t>2. The use of legal persons with the highest risk degree for criminal purposes prevented</w:t>
            </w:r>
          </w:p>
        </w:tc>
      </w:tr>
      <w:tr w:rsidR="00DF745E" w:rsidRPr="00D72AC3" w:rsidTr="00FE237C">
        <w:tc>
          <w:tcPr>
            <w:tcW w:w="4250" w:type="dxa"/>
            <w:gridSpan w:val="3"/>
          </w:tcPr>
          <w:p w:rsidR="00DF745E" w:rsidRPr="00D72AC3" w:rsidRDefault="00DF745E" w:rsidP="00DF745E">
            <w:pPr>
              <w:rPr>
                <w:rFonts w:cs="Times New Roman"/>
                <w:b/>
                <w:bCs/>
                <w:sz w:val="20"/>
                <w:szCs w:val="20"/>
                <w:lang w:val="en-GB"/>
              </w:rPr>
            </w:pPr>
          </w:p>
        </w:tc>
        <w:tc>
          <w:tcPr>
            <w:tcW w:w="10634" w:type="dxa"/>
            <w:gridSpan w:val="6"/>
          </w:tcPr>
          <w:p w:rsidR="00DF745E" w:rsidRPr="00D72AC3" w:rsidRDefault="00DF745E" w:rsidP="00DF745E">
            <w:pPr>
              <w:jc w:val="both"/>
              <w:rPr>
                <w:rFonts w:cs="Times New Roman"/>
                <w:b/>
                <w:bCs/>
                <w:sz w:val="20"/>
                <w:szCs w:val="20"/>
                <w:lang w:val="en-GB"/>
              </w:rPr>
            </w:pPr>
            <w:r w:rsidRPr="00D72AC3">
              <w:rPr>
                <w:rFonts w:cs="Times New Roman"/>
                <w:b/>
                <w:sz w:val="20"/>
                <w:szCs w:val="20"/>
                <w:lang w:val="en-GB" w:bidi="en-GB"/>
              </w:rPr>
              <w:t>3. Corporate service providers and their ML/FT risks aggregated</w:t>
            </w:r>
          </w:p>
        </w:tc>
      </w:tr>
      <w:tr w:rsidR="00DF745E" w:rsidRPr="00D72AC3" w:rsidTr="00FE237C">
        <w:tc>
          <w:tcPr>
            <w:tcW w:w="4250" w:type="dxa"/>
            <w:gridSpan w:val="3"/>
          </w:tcPr>
          <w:p w:rsidR="00DF745E" w:rsidRPr="00D72AC3" w:rsidRDefault="00DF745E" w:rsidP="00DF745E">
            <w:pPr>
              <w:rPr>
                <w:rFonts w:cs="Times New Roman"/>
                <w:b/>
                <w:bCs/>
                <w:sz w:val="20"/>
                <w:szCs w:val="20"/>
                <w:lang w:val="en-GB"/>
              </w:rPr>
            </w:pPr>
          </w:p>
        </w:tc>
        <w:tc>
          <w:tcPr>
            <w:tcW w:w="10634" w:type="dxa"/>
            <w:gridSpan w:val="6"/>
          </w:tcPr>
          <w:p w:rsidR="00DF745E" w:rsidRPr="00D72AC3" w:rsidRDefault="00DF745E" w:rsidP="00DF745E">
            <w:pPr>
              <w:jc w:val="both"/>
              <w:rPr>
                <w:rFonts w:cs="Times New Roman"/>
                <w:b/>
                <w:bCs/>
                <w:sz w:val="20"/>
                <w:szCs w:val="20"/>
                <w:lang w:val="en-GB"/>
              </w:rPr>
            </w:pPr>
            <w:r w:rsidRPr="00D72AC3">
              <w:rPr>
                <w:rFonts w:cs="Times New Roman"/>
                <w:b/>
                <w:sz w:val="20"/>
                <w:szCs w:val="20"/>
                <w:lang w:val="en-GB" w:bidi="en-GB"/>
              </w:rPr>
              <w:t xml:space="preserve">4. Improved measures taken by the subjects of the </w:t>
            </w:r>
            <w:r w:rsidRPr="00D72AC3">
              <w:rPr>
                <w:rFonts w:cs="Times New Roman"/>
                <w:b/>
                <w:i/>
                <w:sz w:val="20"/>
                <w:szCs w:val="20"/>
                <w:lang w:val="en-GB" w:bidi="en-GB"/>
              </w:rPr>
              <w:t>Law on the PMLTF</w:t>
            </w:r>
            <w:r w:rsidRPr="00D72AC3">
              <w:rPr>
                <w:rFonts w:cs="Times New Roman"/>
                <w:b/>
                <w:sz w:val="20"/>
                <w:szCs w:val="20"/>
                <w:lang w:val="en-GB" w:bidi="en-GB"/>
              </w:rPr>
              <w:t xml:space="preserve"> for determination and verification of the ultimate beneficial owners of the legal persons and legal arrangements</w:t>
            </w:r>
          </w:p>
        </w:tc>
      </w:tr>
      <w:tr w:rsidR="00DF745E" w:rsidRPr="00D72AC3" w:rsidTr="00FE237C">
        <w:tc>
          <w:tcPr>
            <w:tcW w:w="567" w:type="dxa"/>
          </w:tcPr>
          <w:p w:rsidR="00DF745E" w:rsidRPr="00D72AC3" w:rsidRDefault="00DF745E" w:rsidP="00DF745E">
            <w:pPr>
              <w:jc w:val="center"/>
              <w:rPr>
                <w:rFonts w:cs="Times New Roman"/>
                <w:bCs/>
                <w:sz w:val="20"/>
                <w:szCs w:val="20"/>
                <w:lang w:val="en-GB"/>
              </w:rPr>
            </w:pPr>
            <w:r w:rsidRPr="00D72AC3">
              <w:rPr>
                <w:rFonts w:cs="Times New Roman"/>
                <w:sz w:val="20"/>
                <w:szCs w:val="20"/>
                <w:lang w:val="en-GB" w:bidi="en-GB"/>
              </w:rPr>
              <w:t>No.</w:t>
            </w:r>
          </w:p>
        </w:tc>
        <w:tc>
          <w:tcPr>
            <w:tcW w:w="3683" w:type="dxa"/>
            <w:gridSpan w:val="2"/>
            <w:shd w:val="clear" w:color="auto" w:fill="auto"/>
          </w:tcPr>
          <w:p w:rsidR="00DF745E" w:rsidRPr="00D72AC3" w:rsidRDefault="00DF745E" w:rsidP="00DF745E">
            <w:pPr>
              <w:jc w:val="center"/>
              <w:rPr>
                <w:rFonts w:cs="Times New Roman"/>
                <w:bCs/>
                <w:i/>
                <w:sz w:val="20"/>
                <w:szCs w:val="20"/>
                <w:lang w:val="en-GB"/>
              </w:rPr>
            </w:pPr>
            <w:r w:rsidRPr="00D72AC3">
              <w:rPr>
                <w:rFonts w:cs="Times New Roman"/>
                <w:b/>
                <w:sz w:val="20"/>
                <w:szCs w:val="20"/>
                <w:lang w:val="en-GB" w:bidi="en-GB"/>
              </w:rPr>
              <w:t>Measure</w:t>
            </w:r>
          </w:p>
        </w:tc>
        <w:tc>
          <w:tcPr>
            <w:tcW w:w="1704" w:type="dxa"/>
          </w:tcPr>
          <w:p w:rsidR="00DF745E" w:rsidRPr="00D72AC3" w:rsidRDefault="00DF745E" w:rsidP="00DF745E">
            <w:pPr>
              <w:ind w:right="-108"/>
              <w:rPr>
                <w:rFonts w:cs="Times New Roman"/>
                <w:b/>
                <w:sz w:val="20"/>
                <w:szCs w:val="20"/>
                <w:lang w:val="en-GB"/>
              </w:rPr>
            </w:pPr>
            <w:r w:rsidRPr="00D72AC3">
              <w:rPr>
                <w:rFonts w:cs="Times New Roman"/>
                <w:b/>
                <w:sz w:val="20"/>
                <w:szCs w:val="20"/>
                <w:lang w:val="en-GB" w:bidi="en-GB"/>
              </w:rPr>
              <w:t xml:space="preserve">Source </w:t>
            </w:r>
          </w:p>
        </w:tc>
        <w:tc>
          <w:tcPr>
            <w:tcW w:w="1984" w:type="dxa"/>
            <w:shd w:val="clear" w:color="auto" w:fill="auto"/>
          </w:tcPr>
          <w:p w:rsidR="00DF745E" w:rsidRPr="00D72AC3" w:rsidRDefault="00DF745E" w:rsidP="00DF745E">
            <w:pPr>
              <w:rPr>
                <w:rFonts w:cs="Times New Roman"/>
                <w:b/>
                <w:bCs/>
                <w:i/>
                <w:sz w:val="20"/>
                <w:szCs w:val="20"/>
                <w:lang w:val="en-GB"/>
              </w:rPr>
            </w:pPr>
            <w:r w:rsidRPr="00D72AC3">
              <w:rPr>
                <w:rFonts w:cs="Times New Roman"/>
                <w:b/>
                <w:sz w:val="20"/>
                <w:szCs w:val="20"/>
                <w:lang w:val="en-GB" w:bidi="en-GB"/>
              </w:rPr>
              <w:t>Activity outcome</w:t>
            </w:r>
          </w:p>
        </w:tc>
        <w:tc>
          <w:tcPr>
            <w:tcW w:w="2835" w:type="dxa"/>
          </w:tcPr>
          <w:p w:rsidR="00DF745E" w:rsidRPr="00D72AC3" w:rsidRDefault="00DF745E" w:rsidP="00DF745E">
            <w:pPr>
              <w:jc w:val="center"/>
              <w:rPr>
                <w:rFonts w:cs="Times New Roman"/>
                <w:bCs/>
                <w:i/>
                <w:sz w:val="20"/>
                <w:szCs w:val="20"/>
                <w:lang w:val="en-GB"/>
              </w:rPr>
            </w:pPr>
            <w:r w:rsidRPr="00D72AC3">
              <w:rPr>
                <w:rFonts w:cs="Times New Roman"/>
                <w:b/>
                <w:sz w:val="20"/>
                <w:szCs w:val="20"/>
                <w:lang w:val="en-GB" w:bidi="en-GB"/>
              </w:rPr>
              <w:t>Outcome indicator</w:t>
            </w:r>
          </w:p>
        </w:tc>
        <w:tc>
          <w:tcPr>
            <w:tcW w:w="1134" w:type="dxa"/>
            <w:shd w:val="clear" w:color="auto" w:fill="auto"/>
          </w:tcPr>
          <w:p w:rsidR="00DF745E" w:rsidRPr="00D72AC3" w:rsidRDefault="00DF745E" w:rsidP="00DF745E">
            <w:pPr>
              <w:jc w:val="center"/>
              <w:rPr>
                <w:rFonts w:cs="Times New Roman"/>
                <w:bCs/>
                <w:i/>
                <w:sz w:val="20"/>
                <w:szCs w:val="20"/>
                <w:lang w:val="en-GB"/>
              </w:rPr>
            </w:pPr>
            <w:r w:rsidRPr="00D72AC3">
              <w:rPr>
                <w:rFonts w:cs="Times New Roman"/>
                <w:b/>
                <w:sz w:val="20"/>
                <w:szCs w:val="20"/>
                <w:lang w:val="en-GB" w:bidi="en-GB"/>
              </w:rPr>
              <w:t>Responsible authority</w:t>
            </w:r>
          </w:p>
        </w:tc>
        <w:tc>
          <w:tcPr>
            <w:tcW w:w="1276" w:type="dxa"/>
            <w:shd w:val="clear" w:color="auto" w:fill="auto"/>
          </w:tcPr>
          <w:p w:rsidR="00DF745E" w:rsidRPr="00D72AC3" w:rsidRDefault="00DF745E" w:rsidP="00DF745E">
            <w:pPr>
              <w:jc w:val="center"/>
              <w:rPr>
                <w:rFonts w:cs="Times New Roman"/>
                <w:bCs/>
                <w:i/>
                <w:sz w:val="20"/>
                <w:szCs w:val="20"/>
                <w:lang w:val="en-GB"/>
              </w:rPr>
            </w:pPr>
            <w:r w:rsidRPr="00D72AC3">
              <w:rPr>
                <w:rFonts w:cs="Times New Roman"/>
                <w:b/>
                <w:sz w:val="20"/>
                <w:szCs w:val="20"/>
                <w:lang w:val="en-GB" w:bidi="en-GB"/>
              </w:rPr>
              <w:t>Co-responsible authorities</w:t>
            </w:r>
          </w:p>
        </w:tc>
        <w:tc>
          <w:tcPr>
            <w:tcW w:w="1701" w:type="dxa"/>
            <w:shd w:val="clear" w:color="auto" w:fill="auto"/>
          </w:tcPr>
          <w:p w:rsidR="00DF745E" w:rsidRPr="00D72AC3" w:rsidRDefault="00DF745E" w:rsidP="00DF745E">
            <w:pPr>
              <w:jc w:val="center"/>
              <w:rPr>
                <w:rFonts w:cs="Times New Roman"/>
                <w:bCs/>
                <w:i/>
                <w:sz w:val="20"/>
                <w:szCs w:val="20"/>
                <w:lang w:val="en-GB"/>
              </w:rPr>
            </w:pPr>
            <w:r w:rsidRPr="00D72AC3">
              <w:rPr>
                <w:rFonts w:cs="Times New Roman"/>
                <w:b/>
                <w:sz w:val="20"/>
                <w:szCs w:val="20"/>
                <w:lang w:val="en-GB" w:bidi="en-GB"/>
              </w:rPr>
              <w:t>Term for implementation</w:t>
            </w:r>
          </w:p>
        </w:tc>
      </w:tr>
      <w:tr w:rsidR="00942E92" w:rsidRPr="00D72AC3" w:rsidTr="00FE237C">
        <w:trPr>
          <w:trHeight w:val="1952"/>
        </w:trPr>
        <w:tc>
          <w:tcPr>
            <w:tcW w:w="567" w:type="dxa"/>
            <w:vMerge w:val="restart"/>
            <w:shd w:val="clear" w:color="auto" w:fill="FFFFFF" w:themeFill="background1"/>
          </w:tcPr>
          <w:p w:rsidR="00942E92" w:rsidRPr="00D72AC3" w:rsidRDefault="00942E92" w:rsidP="00DF745E">
            <w:pPr>
              <w:rPr>
                <w:rFonts w:cs="Times New Roman"/>
                <w:sz w:val="20"/>
                <w:szCs w:val="20"/>
                <w:lang w:val="en-GB"/>
              </w:rPr>
            </w:pPr>
            <w:r w:rsidRPr="00D72AC3">
              <w:rPr>
                <w:rFonts w:cs="Times New Roman"/>
                <w:sz w:val="20"/>
                <w:szCs w:val="20"/>
                <w:lang w:val="en-GB" w:bidi="en-GB"/>
              </w:rPr>
              <w:t>5.1.</w:t>
            </w:r>
          </w:p>
        </w:tc>
        <w:tc>
          <w:tcPr>
            <w:tcW w:w="3683" w:type="dxa"/>
            <w:gridSpan w:val="2"/>
            <w:vMerge w:val="restart"/>
            <w:shd w:val="clear" w:color="auto" w:fill="FFFFFF" w:themeFill="background1"/>
          </w:tcPr>
          <w:p w:rsidR="00942E92" w:rsidRPr="00D72AC3" w:rsidRDefault="00942E92" w:rsidP="00DF745E">
            <w:pPr>
              <w:jc w:val="both"/>
              <w:rPr>
                <w:rFonts w:cs="Times New Roman"/>
                <w:sz w:val="20"/>
                <w:szCs w:val="20"/>
                <w:lang w:val="en-GB"/>
              </w:rPr>
            </w:pPr>
            <w:r w:rsidRPr="00D72AC3">
              <w:rPr>
                <w:rFonts w:cs="Times New Roman"/>
                <w:sz w:val="20"/>
                <w:szCs w:val="20"/>
                <w:lang w:val="en-GB" w:bidi="en-GB"/>
              </w:rPr>
              <w:t>To assess the necessity to introduce amendments to the legal framework, prescribing penalties for the failure to provide information or provision of false information to the Register of Enterprises regarding the beneficial owner or other duties and preventive measures</w:t>
            </w:r>
            <w:r w:rsidR="00B1756A">
              <w:rPr>
                <w:rFonts w:cs="Times New Roman"/>
                <w:sz w:val="20"/>
                <w:szCs w:val="20"/>
                <w:lang w:val="en-GB" w:bidi="en-GB"/>
              </w:rPr>
              <w:t>.</w:t>
            </w:r>
            <w:r w:rsidRPr="00D72AC3">
              <w:rPr>
                <w:rFonts w:cs="Times New Roman"/>
                <w:sz w:val="20"/>
                <w:szCs w:val="20"/>
                <w:lang w:val="en-GB" w:bidi="en-GB"/>
              </w:rPr>
              <w:t xml:space="preserve"> By elevating the sanctions, the accessibility and accuracy (compliance) of information regarding beneficial owner is facilitated</w:t>
            </w:r>
          </w:p>
        </w:tc>
        <w:tc>
          <w:tcPr>
            <w:tcW w:w="1704" w:type="dxa"/>
            <w:vMerge w:val="restart"/>
            <w:shd w:val="clear" w:color="auto" w:fill="FFFFFF" w:themeFill="background1"/>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5.1.</w:t>
            </w:r>
          </w:p>
          <w:p w:rsidR="00942E92" w:rsidRPr="00D72AC3" w:rsidRDefault="00942E92" w:rsidP="00DF745E">
            <w:pPr>
              <w:ind w:left="-108" w:right="-108"/>
              <w:jc w:val="center"/>
              <w:rPr>
                <w:rFonts w:cs="Times New Roman"/>
                <w:sz w:val="20"/>
                <w:szCs w:val="20"/>
                <w:lang w:val="en-GB"/>
              </w:rPr>
            </w:pPr>
          </w:p>
          <w:p w:rsidR="00942E92" w:rsidRPr="00D72AC3" w:rsidRDefault="00942E92" w:rsidP="001932D5">
            <w:pPr>
              <w:jc w:val="both"/>
              <w:rPr>
                <w:rFonts w:cs="Times New Roman"/>
                <w:sz w:val="20"/>
                <w:szCs w:val="20"/>
                <w:lang w:val="en-GB"/>
              </w:rPr>
            </w:pPr>
            <w:r w:rsidRPr="00D72AC3">
              <w:rPr>
                <w:sz w:val="20"/>
                <w:szCs w:val="20"/>
                <w:lang w:val="en-GB" w:bidi="en-GB"/>
              </w:rPr>
              <w:t>Plan of Measures for 2017-2019 Measure 3.1.</w:t>
            </w:r>
          </w:p>
        </w:tc>
        <w:tc>
          <w:tcPr>
            <w:tcW w:w="1984" w:type="dxa"/>
            <w:shd w:val="clear" w:color="auto" w:fill="FFFFFF" w:themeFill="background1"/>
          </w:tcPr>
          <w:p w:rsidR="00942E92" w:rsidRPr="00D72AC3" w:rsidRDefault="00405F7F" w:rsidP="00942E92">
            <w:pPr>
              <w:jc w:val="both"/>
              <w:rPr>
                <w:rFonts w:cs="Times New Roman"/>
                <w:sz w:val="20"/>
                <w:szCs w:val="20"/>
                <w:lang w:val="en-GB"/>
              </w:rPr>
            </w:pPr>
            <w:r w:rsidRPr="00D72AC3">
              <w:rPr>
                <w:rFonts w:cs="Times New Roman"/>
                <w:sz w:val="20"/>
                <w:szCs w:val="20"/>
                <w:lang w:val="en-GB" w:bidi="en-GB"/>
              </w:rPr>
              <w:t>1. The assessment prepared on the necessary preventive measures and amendments to the legal framework</w:t>
            </w:r>
          </w:p>
        </w:tc>
        <w:tc>
          <w:tcPr>
            <w:tcW w:w="2835" w:type="dxa"/>
            <w:shd w:val="clear" w:color="auto" w:fill="FFFFFF" w:themeFill="background1"/>
          </w:tcPr>
          <w:p w:rsidR="00942E92" w:rsidRPr="00D72AC3" w:rsidRDefault="00405F7F" w:rsidP="00016F1F">
            <w:pPr>
              <w:jc w:val="both"/>
              <w:rPr>
                <w:rFonts w:cs="Times New Roman"/>
                <w:sz w:val="20"/>
                <w:szCs w:val="20"/>
                <w:lang w:val="en-GB"/>
              </w:rPr>
            </w:pPr>
            <w:r w:rsidRPr="00D72AC3">
              <w:rPr>
                <w:rFonts w:cs="Times New Roman"/>
                <w:sz w:val="20"/>
                <w:szCs w:val="20"/>
                <w:lang w:val="en-GB" w:bidi="en-GB"/>
              </w:rPr>
              <w:t>1. Informative report (concept note) prepared and submitted for the review to the Cabinet of Ministers meeting</w:t>
            </w: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w:t>
            </w:r>
          </w:p>
        </w:tc>
        <w:tc>
          <w:tcPr>
            <w:tcW w:w="1701" w:type="dxa"/>
            <w:shd w:val="clear" w:color="auto" w:fill="FFFFFF" w:themeFill="background1"/>
          </w:tcPr>
          <w:p w:rsidR="00942E92" w:rsidRPr="00D72AC3" w:rsidRDefault="002D63BE" w:rsidP="002D63BE">
            <w:pPr>
              <w:jc w:val="center"/>
              <w:rPr>
                <w:rFonts w:cs="Times New Roman"/>
                <w:sz w:val="20"/>
                <w:szCs w:val="20"/>
                <w:lang w:val="en-GB"/>
              </w:rPr>
            </w:pPr>
            <w:r w:rsidRPr="00D72AC3">
              <w:rPr>
                <w:rFonts w:cs="Times New Roman"/>
                <w:sz w:val="20"/>
                <w:szCs w:val="20"/>
                <w:lang w:val="en-GB" w:bidi="en-GB"/>
              </w:rPr>
              <w:t>30 November 2018</w:t>
            </w:r>
          </w:p>
        </w:tc>
      </w:tr>
      <w:tr w:rsidR="00942E92" w:rsidRPr="00D72AC3" w:rsidTr="00FE237C">
        <w:trPr>
          <w:trHeight w:val="1952"/>
        </w:trPr>
        <w:tc>
          <w:tcPr>
            <w:tcW w:w="567" w:type="dxa"/>
            <w:vMerge/>
            <w:shd w:val="clear" w:color="auto" w:fill="FFFFFF" w:themeFill="background1"/>
          </w:tcPr>
          <w:p w:rsidR="00942E92" w:rsidRPr="00D72AC3" w:rsidRDefault="00942E92" w:rsidP="00942E92">
            <w:pPr>
              <w:rPr>
                <w:rFonts w:cs="Times New Roman"/>
                <w:sz w:val="20"/>
                <w:szCs w:val="20"/>
                <w:lang w:val="en-GB"/>
              </w:rPr>
            </w:pPr>
          </w:p>
        </w:tc>
        <w:tc>
          <w:tcPr>
            <w:tcW w:w="3683" w:type="dxa"/>
            <w:gridSpan w:val="2"/>
            <w:vMerge/>
            <w:shd w:val="clear" w:color="auto" w:fill="FFFFFF" w:themeFill="background1"/>
          </w:tcPr>
          <w:p w:rsidR="00942E92" w:rsidRPr="00D72AC3" w:rsidRDefault="00942E92" w:rsidP="00942E92">
            <w:pPr>
              <w:jc w:val="both"/>
              <w:rPr>
                <w:rFonts w:cs="Times New Roman"/>
                <w:sz w:val="20"/>
                <w:szCs w:val="20"/>
                <w:lang w:val="en-GB"/>
              </w:rPr>
            </w:pPr>
          </w:p>
        </w:tc>
        <w:tc>
          <w:tcPr>
            <w:tcW w:w="1704" w:type="dxa"/>
            <w:vMerge/>
            <w:shd w:val="clear" w:color="auto" w:fill="FFFFFF" w:themeFill="background1"/>
          </w:tcPr>
          <w:p w:rsidR="00942E92" w:rsidRPr="00D72AC3" w:rsidRDefault="00942E92" w:rsidP="00942E92">
            <w:pPr>
              <w:ind w:left="-108" w:right="-108"/>
              <w:jc w:val="center"/>
              <w:rPr>
                <w:rFonts w:cs="Times New Roman"/>
                <w:sz w:val="20"/>
                <w:szCs w:val="20"/>
                <w:lang w:val="en-GB"/>
              </w:rPr>
            </w:pPr>
          </w:p>
        </w:tc>
        <w:tc>
          <w:tcPr>
            <w:tcW w:w="1984" w:type="dxa"/>
            <w:shd w:val="clear" w:color="auto" w:fill="FFFFFF" w:themeFill="background1"/>
          </w:tcPr>
          <w:p w:rsidR="00942E92" w:rsidRPr="00D72AC3" w:rsidRDefault="00405F7F" w:rsidP="00942E92">
            <w:pPr>
              <w:jc w:val="both"/>
              <w:rPr>
                <w:rFonts w:cs="Times New Roman"/>
                <w:sz w:val="20"/>
                <w:szCs w:val="20"/>
                <w:lang w:val="en-GB"/>
              </w:rPr>
            </w:pPr>
            <w:r w:rsidRPr="00D72AC3">
              <w:rPr>
                <w:rFonts w:cs="Times New Roman"/>
                <w:sz w:val="20"/>
                <w:szCs w:val="20"/>
                <w:lang w:val="en-GB" w:bidi="en-GB"/>
              </w:rPr>
              <w:t>2. Amendments to the legal framework developed</w:t>
            </w:r>
          </w:p>
        </w:tc>
        <w:tc>
          <w:tcPr>
            <w:tcW w:w="2835" w:type="dxa"/>
            <w:shd w:val="clear" w:color="auto" w:fill="FFFFFF" w:themeFill="background1"/>
          </w:tcPr>
          <w:p w:rsidR="00942E92" w:rsidRPr="00D72AC3" w:rsidRDefault="00405F7F" w:rsidP="00942E92">
            <w:pPr>
              <w:jc w:val="both"/>
              <w:rPr>
                <w:rFonts w:cs="Times New Roman"/>
                <w:sz w:val="20"/>
                <w:szCs w:val="20"/>
                <w:lang w:val="en-GB"/>
              </w:rPr>
            </w:pPr>
            <w:r w:rsidRPr="00D72AC3">
              <w:rPr>
                <w:rFonts w:cs="Times New Roman"/>
                <w:sz w:val="20"/>
                <w:szCs w:val="20"/>
                <w:lang w:val="en-GB" w:bidi="en-GB"/>
              </w:rPr>
              <w:t>2. Draft amendments to the legal framework</w:t>
            </w: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w:t>
            </w:r>
          </w:p>
        </w:tc>
        <w:tc>
          <w:tcPr>
            <w:tcW w:w="1701" w:type="dxa"/>
            <w:shd w:val="clear" w:color="auto" w:fill="FFFFFF" w:themeFill="background1"/>
          </w:tcPr>
          <w:p w:rsidR="00942E92" w:rsidRPr="00D72AC3" w:rsidRDefault="00942E92" w:rsidP="00FE237C">
            <w:pPr>
              <w:jc w:val="center"/>
              <w:rPr>
                <w:sz w:val="20"/>
                <w:szCs w:val="20"/>
                <w:lang w:val="en-GB"/>
              </w:rPr>
            </w:pPr>
            <w:r w:rsidRPr="00D72AC3">
              <w:rPr>
                <w:sz w:val="20"/>
                <w:szCs w:val="20"/>
                <w:lang w:val="en-GB" w:bidi="en-GB"/>
              </w:rPr>
              <w:t>28 December 2018</w:t>
            </w:r>
          </w:p>
        </w:tc>
      </w:tr>
      <w:tr w:rsidR="00942E92" w:rsidRPr="00D72AC3" w:rsidTr="00FE237C">
        <w:trPr>
          <w:trHeight w:val="1952"/>
        </w:trPr>
        <w:tc>
          <w:tcPr>
            <w:tcW w:w="567" w:type="dxa"/>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lastRenderedPageBreak/>
              <w:t>5.2.</w:t>
            </w:r>
          </w:p>
          <w:p w:rsidR="00942E92" w:rsidRPr="00D72AC3" w:rsidRDefault="00942E92" w:rsidP="00942E92">
            <w:pPr>
              <w:rPr>
                <w:rFonts w:cs="Times New Roman"/>
                <w:sz w:val="20"/>
                <w:szCs w:val="20"/>
                <w:lang w:val="en-GB"/>
              </w:rPr>
            </w:pPr>
            <w:r w:rsidRPr="00D72AC3">
              <w:rPr>
                <w:rFonts w:cs="Times New Roman"/>
                <w:sz w:val="20"/>
                <w:szCs w:val="20"/>
                <w:lang w:val="en-GB" w:bidi="en-GB"/>
              </w:rPr>
              <w:t> </w:t>
            </w:r>
          </w:p>
        </w:tc>
        <w:tc>
          <w:tcPr>
            <w:tcW w:w="3683" w:type="dxa"/>
            <w:gridSpan w:val="2"/>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In accordance with the assessment carried out in Clause 5.1, by ensuring the modernisation of the registers of the RE, a risk-based approach has been developed in the RE with respect to the verification of information about the ultimate beneficial owners.</w:t>
            </w:r>
            <w:r w:rsidR="00D72AC3" w:rsidRPr="00D72AC3">
              <w:rPr>
                <w:rFonts w:cs="Times New Roman"/>
                <w:sz w:val="20"/>
                <w:szCs w:val="20"/>
                <w:lang w:val="en-GB" w:bidi="en-GB"/>
              </w:rPr>
              <w:t xml:space="preserve"> </w:t>
            </w:r>
          </w:p>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w:t>
            </w:r>
          </w:p>
        </w:tc>
        <w:tc>
          <w:tcPr>
            <w:tcW w:w="1704" w:type="dxa"/>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ind w:left="-108" w:right="-108"/>
              <w:jc w:val="center"/>
              <w:rPr>
                <w:rFonts w:cs="Times New Roman"/>
                <w:sz w:val="20"/>
                <w:szCs w:val="20"/>
                <w:lang w:val="en-GB"/>
              </w:rPr>
            </w:pPr>
            <w:r w:rsidRPr="00D72AC3">
              <w:rPr>
                <w:rFonts w:cs="Times New Roman"/>
                <w:sz w:val="20"/>
                <w:szCs w:val="20"/>
                <w:lang w:val="en-GB" w:bidi="en-GB"/>
              </w:rPr>
              <w:t>Moneyval recommendation 5.1.</w:t>
            </w:r>
          </w:p>
          <w:p w:rsidR="00942E92" w:rsidRPr="00D72AC3" w:rsidRDefault="00942E92" w:rsidP="00942E92">
            <w:pPr>
              <w:ind w:left="-108" w:right="-108"/>
              <w:jc w:val="center"/>
              <w:rPr>
                <w:rFonts w:cs="Times New Roman"/>
                <w:sz w:val="20"/>
                <w:szCs w:val="20"/>
                <w:lang w:val="en-GB"/>
              </w:rPr>
            </w:pPr>
            <w:r w:rsidRPr="00D72AC3">
              <w:rPr>
                <w:rFonts w:cs="Times New Roman"/>
                <w:sz w:val="20"/>
                <w:szCs w:val="20"/>
                <w:lang w:val="en-GB" w:bidi="en-GB"/>
              </w:rPr>
              <w:t> </w:t>
            </w:r>
          </w:p>
        </w:tc>
        <w:tc>
          <w:tcPr>
            <w:tcW w:w="1984" w:type="dxa"/>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Modernisation of the registers maintained by the RE, by introducing possibly more automated registration process and including therein the formation of the risk-based approach to verification of information on ultimate beneficial owners submitted for registration to the RE.</w:t>
            </w:r>
          </w:p>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1. Modernisation of the Commercial Register maintained by the RE, ensuring modern and comfortable data input both to customer and the RE employees, data verification, storage, as well as interoperability with information distribution environment and data exchange with other State and local government authorities.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42E92" w:rsidRPr="00D72AC3" w:rsidRDefault="00942E92" w:rsidP="00C1575A">
            <w:pPr>
              <w:jc w:val="center"/>
              <w:rPr>
                <w:sz w:val="20"/>
                <w:szCs w:val="20"/>
                <w:lang w:val="en-GB"/>
              </w:rPr>
            </w:pPr>
            <w:r w:rsidRPr="00D72AC3">
              <w:rPr>
                <w:sz w:val="20"/>
                <w:szCs w:val="20"/>
                <w:lang w:val="en-GB" w:bidi="en-GB"/>
              </w:rPr>
              <w:t>1 July 2019</w:t>
            </w:r>
          </w:p>
        </w:tc>
      </w:tr>
      <w:tr w:rsidR="00942E92" w:rsidRPr="00D72AC3" w:rsidTr="00FE237C">
        <w:trPr>
          <w:trHeight w:val="699"/>
        </w:trPr>
        <w:tc>
          <w:tcPr>
            <w:tcW w:w="567" w:type="dxa"/>
            <w:vMerge/>
            <w:tcBorders>
              <w:left w:val="single" w:sz="4" w:space="0" w:color="auto"/>
              <w:right w:val="single" w:sz="4" w:space="0" w:color="auto"/>
            </w:tcBorders>
            <w:shd w:val="clear" w:color="auto" w:fill="FFFFFF" w:themeFill="background1"/>
          </w:tcPr>
          <w:p w:rsidR="00942E92" w:rsidRPr="00D72AC3" w:rsidRDefault="00942E92" w:rsidP="00942E92">
            <w:pPr>
              <w:rPr>
                <w:rFonts w:cs="Times New Roman"/>
                <w:sz w:val="20"/>
                <w:szCs w:val="20"/>
                <w:highlight w:val="yellow"/>
                <w:lang w:val="en-GB"/>
              </w:rPr>
            </w:pPr>
          </w:p>
        </w:tc>
        <w:tc>
          <w:tcPr>
            <w:tcW w:w="3683" w:type="dxa"/>
            <w:gridSpan w:val="2"/>
            <w:vMerge/>
            <w:tcBorders>
              <w:left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highlight w:val="yellow"/>
                <w:lang w:val="en-GB"/>
              </w:rPr>
            </w:pPr>
          </w:p>
        </w:tc>
        <w:tc>
          <w:tcPr>
            <w:tcW w:w="1704" w:type="dxa"/>
            <w:vMerge/>
            <w:tcBorders>
              <w:left w:val="single" w:sz="4" w:space="0" w:color="auto"/>
              <w:right w:val="single" w:sz="4" w:space="0" w:color="auto"/>
            </w:tcBorders>
            <w:shd w:val="clear" w:color="auto" w:fill="FFFFFF" w:themeFill="background1"/>
          </w:tcPr>
          <w:p w:rsidR="00942E92" w:rsidRPr="00D72AC3" w:rsidRDefault="00942E92" w:rsidP="00942E92">
            <w:pPr>
              <w:ind w:left="-108" w:right="-108"/>
              <w:jc w:val="center"/>
              <w:rPr>
                <w:rFonts w:cs="Times New Roman"/>
                <w:sz w:val="20"/>
                <w:szCs w:val="20"/>
                <w:highlight w:val="yellow"/>
                <w:lang w:val="en-GB"/>
              </w:rPr>
            </w:pPr>
          </w:p>
        </w:tc>
        <w:tc>
          <w:tcPr>
            <w:tcW w:w="1984" w:type="dxa"/>
            <w:vMerge/>
            <w:tcBorders>
              <w:left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highlight w:val="yellow"/>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2. Modernisation of all registers maintained by the RE, new information system built, ensuring in all registers of the RE modern and comfortable data input both to customer and the RE employees, data verification, storage, as well as interoperability with information distribution environment and data exchange with other State and local government authorities.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sz w:val="20"/>
                <w:szCs w:val="20"/>
                <w:lang w:val="en-GB"/>
              </w:rPr>
            </w:pPr>
            <w:r w:rsidRPr="00D72AC3">
              <w:rPr>
                <w:sz w:val="20"/>
                <w:szCs w:val="20"/>
                <w:lang w:val="en-GB" w:bidi="en-GB"/>
              </w:rPr>
              <w:t>1 July 2020</w:t>
            </w:r>
          </w:p>
        </w:tc>
      </w:tr>
      <w:tr w:rsidR="00942E92" w:rsidRPr="00D72AC3" w:rsidTr="00FE237C">
        <w:trPr>
          <w:trHeight w:val="1952"/>
        </w:trPr>
        <w:tc>
          <w:tcPr>
            <w:tcW w:w="567" w:type="dxa"/>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rPr>
                <w:rFonts w:cs="Times New Roman"/>
                <w:sz w:val="20"/>
                <w:szCs w:val="20"/>
                <w:highlight w:val="yellow"/>
                <w:lang w:val="en-GB"/>
              </w:rPr>
            </w:pPr>
          </w:p>
        </w:tc>
        <w:tc>
          <w:tcPr>
            <w:tcW w:w="3683" w:type="dxa"/>
            <w:gridSpan w:val="2"/>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highlight w:val="yellow"/>
                <w:lang w:val="en-GB"/>
              </w:rPr>
            </w:pPr>
          </w:p>
        </w:tc>
        <w:tc>
          <w:tcPr>
            <w:tcW w:w="1704" w:type="dxa"/>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ind w:left="-108" w:right="-108"/>
              <w:jc w:val="center"/>
              <w:rPr>
                <w:rFonts w:cs="Times New Roman"/>
                <w:sz w:val="20"/>
                <w:szCs w:val="20"/>
                <w:highlight w:val="yellow"/>
                <w:lang w:val="en-GB"/>
              </w:rPr>
            </w:pPr>
          </w:p>
        </w:tc>
        <w:tc>
          <w:tcPr>
            <w:tcW w:w="1984" w:type="dxa"/>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highlight w:val="yellow"/>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3. Risk-based approach established in the RE, when verifying the information about the ultimate beneficial owners filed for registration, which includes automated risk assessment, defined risks, upon occurrence whereof: 1. the unusual or suspicious transaction is reported; 2. the term for registration is extended; 3. the registration is postponed or refused.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EC0850">
            <w:pPr>
              <w:jc w:val="center"/>
              <w:rPr>
                <w:sz w:val="20"/>
                <w:szCs w:val="20"/>
                <w:lang w:val="en-GB"/>
              </w:rPr>
            </w:pPr>
            <w:r w:rsidRPr="00D72AC3">
              <w:rPr>
                <w:sz w:val="20"/>
                <w:szCs w:val="20"/>
                <w:lang w:val="en-GB" w:bidi="en-GB"/>
              </w:rPr>
              <w:t>1 July 20</w:t>
            </w:r>
            <w:r w:rsidR="00EC0850">
              <w:rPr>
                <w:sz w:val="20"/>
                <w:szCs w:val="20"/>
                <w:lang w:val="en-GB" w:bidi="en-GB"/>
              </w:rPr>
              <w:t>19</w:t>
            </w:r>
          </w:p>
        </w:tc>
      </w:tr>
      <w:tr w:rsidR="00942E92" w:rsidRPr="00D72AC3" w:rsidTr="00FE237C">
        <w:trPr>
          <w:trHeight w:val="1952"/>
        </w:trPr>
        <w:tc>
          <w:tcPr>
            <w:tcW w:w="567" w:type="dxa"/>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lastRenderedPageBreak/>
              <w:t>5.3.</w:t>
            </w:r>
          </w:p>
        </w:tc>
        <w:tc>
          <w:tcPr>
            <w:tcW w:w="3683" w:type="dxa"/>
            <w:gridSpan w:val="2"/>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In accordance with the assessment carried out in Clause 5.1 the procedure is established, under which the supervisory and control authorities inform the competent institutions on the cases, when there are suspicions on non-compliance of information about the ultimate beneficial owner specified in the RE.</w:t>
            </w:r>
          </w:p>
        </w:tc>
        <w:tc>
          <w:tcPr>
            <w:tcW w:w="1704" w:type="dxa"/>
            <w:shd w:val="clear" w:color="auto" w:fill="FFFFFF" w:themeFill="background1"/>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5.1.</w:t>
            </w: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The RE receives information on non-compliant information about the ultimate beneficial owners</w:t>
            </w:r>
            <w:r w:rsidR="00D72AC3" w:rsidRPr="00D72AC3">
              <w:rPr>
                <w:rFonts w:cs="Times New Roman"/>
                <w:sz w:val="20"/>
                <w:szCs w:val="20"/>
                <w:lang w:val="en-GB" w:bidi="en-GB"/>
              </w:rPr>
              <w:t xml:space="preserve"> </w:t>
            </w:r>
          </w:p>
        </w:tc>
        <w:tc>
          <w:tcPr>
            <w:tcW w:w="2835"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Information exchange mechanism established for verification of information about the ultimate beneficial owner </w:t>
            </w: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 FCMC, SRS, CS, LCSN, LCSA, MoL, LACA and NCCH</w:t>
            </w:r>
          </w:p>
        </w:tc>
        <w:tc>
          <w:tcPr>
            <w:tcW w:w="1701"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1 July 2020</w:t>
            </w:r>
          </w:p>
        </w:tc>
      </w:tr>
      <w:tr w:rsidR="00942E92" w:rsidRPr="00D72AC3" w:rsidTr="00FE237C">
        <w:trPr>
          <w:trHeight w:val="850"/>
        </w:trPr>
        <w:tc>
          <w:tcPr>
            <w:tcW w:w="567" w:type="dxa"/>
            <w:shd w:val="clear" w:color="auto" w:fill="auto"/>
          </w:tcPr>
          <w:p w:rsidR="00942E92" w:rsidRPr="00D72AC3" w:rsidRDefault="00942E92" w:rsidP="00942E92">
            <w:pPr>
              <w:rPr>
                <w:rFonts w:cs="Times New Roman"/>
                <w:sz w:val="20"/>
                <w:szCs w:val="20"/>
                <w:lang w:val="en-GB"/>
              </w:rPr>
            </w:pPr>
            <w:r w:rsidRPr="00D72AC3">
              <w:rPr>
                <w:rFonts w:cs="Times New Roman"/>
                <w:sz w:val="20"/>
                <w:szCs w:val="20"/>
                <w:lang w:val="en-GB" w:bidi="en-GB"/>
              </w:rPr>
              <w:t>5.4.</w:t>
            </w:r>
          </w:p>
        </w:tc>
        <w:tc>
          <w:tcPr>
            <w:tcW w:w="3683" w:type="dxa"/>
            <w:gridSpan w:val="2"/>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To improve the understanding of the legal framework on identification and verification of ultimate beneficial owner and application thereof to the financial and capital market participants</w:t>
            </w:r>
          </w:p>
        </w:tc>
        <w:tc>
          <w:tcPr>
            <w:tcW w:w="1704" w:type="dxa"/>
            <w:shd w:val="clear" w:color="auto" w:fill="auto"/>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5.1.</w:t>
            </w:r>
          </w:p>
        </w:tc>
        <w:tc>
          <w:tcPr>
            <w:tcW w:w="1984" w:type="dxa"/>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Improved understanding of the financial and capital market participants </w:t>
            </w:r>
          </w:p>
        </w:tc>
        <w:tc>
          <w:tcPr>
            <w:tcW w:w="2835" w:type="dxa"/>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The problems with respect to the identification and verification of ultimate beneficial owner aggregated and guidelines provided </w:t>
            </w:r>
          </w:p>
        </w:tc>
        <w:tc>
          <w:tcPr>
            <w:tcW w:w="1134" w:type="dxa"/>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FCMC</w:t>
            </w:r>
          </w:p>
        </w:tc>
        <w:tc>
          <w:tcPr>
            <w:tcW w:w="1276" w:type="dxa"/>
            <w:shd w:val="clear" w:color="auto" w:fill="auto"/>
          </w:tcPr>
          <w:p w:rsidR="00942E92" w:rsidRPr="00D72AC3" w:rsidRDefault="00942E92" w:rsidP="002D63BE">
            <w:pPr>
              <w:jc w:val="center"/>
              <w:rPr>
                <w:rFonts w:cs="Times New Roman"/>
                <w:sz w:val="20"/>
                <w:szCs w:val="20"/>
                <w:lang w:val="en-GB"/>
              </w:rPr>
            </w:pPr>
          </w:p>
        </w:tc>
        <w:tc>
          <w:tcPr>
            <w:tcW w:w="1701" w:type="dxa"/>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1 April 2019</w:t>
            </w:r>
          </w:p>
        </w:tc>
      </w:tr>
      <w:tr w:rsidR="00942E92" w:rsidRPr="00D72AC3" w:rsidTr="00FE237C">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rPr>
                <w:rFonts w:cs="Times New Roman"/>
                <w:sz w:val="20"/>
                <w:szCs w:val="20"/>
                <w:lang w:val="en-GB"/>
              </w:rPr>
            </w:pPr>
            <w:r w:rsidRPr="00D72AC3">
              <w:rPr>
                <w:rFonts w:cs="Times New Roman"/>
                <w:sz w:val="20"/>
                <w:szCs w:val="20"/>
                <w:lang w:val="en-GB" w:bidi="en-GB"/>
              </w:rPr>
              <w:t>5.5.</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Lowering the threshold of the beneficial owner from 25% to 10% or introducing sector-adapted threshold, determining a separate threshold for politically exposed persons</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5.1., FSDB complementary measures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505985">
            <w:pPr>
              <w:rPr>
                <w:rFonts w:cs="Times New Roman"/>
                <w:sz w:val="20"/>
                <w:szCs w:val="20"/>
                <w:lang w:val="en-GB"/>
              </w:rPr>
            </w:pPr>
            <w:r w:rsidRPr="00D72AC3">
              <w:rPr>
                <w:rFonts w:cs="Times New Roman"/>
                <w:sz w:val="20"/>
                <w:szCs w:val="20"/>
                <w:lang w:val="en-GB" w:bidi="en-GB"/>
              </w:rPr>
              <w:t>Assessment prepared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Assessment submitted for the review to the FSDB meeting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MoF</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FE237C">
            <w:pPr>
              <w:jc w:val="center"/>
              <w:rPr>
                <w:rFonts w:cs="Times New Roman"/>
                <w:sz w:val="20"/>
                <w:szCs w:val="20"/>
                <w:lang w:val="en-GB"/>
              </w:rPr>
            </w:pPr>
            <w:r w:rsidRPr="00D72AC3">
              <w:rPr>
                <w:rFonts w:cs="Times New Roman"/>
                <w:sz w:val="20"/>
                <w:szCs w:val="20"/>
                <w:lang w:val="en-GB" w:bidi="en-GB"/>
              </w:rPr>
              <w:t>28 December 2018</w:t>
            </w:r>
          </w:p>
        </w:tc>
      </w:tr>
      <w:tr w:rsidR="00942E92" w:rsidRPr="00D72AC3" w:rsidTr="00FE237C">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rPr>
                <w:rFonts w:cs="Times New Roman"/>
                <w:sz w:val="20"/>
                <w:szCs w:val="20"/>
                <w:lang w:val="en-GB"/>
              </w:rPr>
            </w:pPr>
            <w:r w:rsidRPr="00D72AC3">
              <w:rPr>
                <w:rFonts w:cs="Times New Roman"/>
                <w:sz w:val="20"/>
                <w:szCs w:val="20"/>
                <w:lang w:val="en-GB" w:bidi="en-GB"/>
              </w:rPr>
              <w:t>5.6.</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Introducing the mechanism for identifying nominal directors in the register of ultimate beneficial owners. The </w:t>
            </w:r>
            <w:r w:rsidRPr="00D72AC3">
              <w:rPr>
                <w:rFonts w:cs="Times New Roman"/>
                <w:i/>
                <w:sz w:val="20"/>
                <w:szCs w:val="20"/>
                <w:lang w:val="en-GB" w:bidi="en-GB"/>
              </w:rPr>
              <w:t>Law on the PMLTF</w:t>
            </w:r>
            <w:r w:rsidRPr="00D72AC3">
              <w:rPr>
                <w:rFonts w:cs="Times New Roman"/>
                <w:sz w:val="20"/>
                <w:szCs w:val="20"/>
                <w:lang w:val="en-GB" w:bidi="en-GB"/>
              </w:rPr>
              <w:t xml:space="preserve"> allows considering that the beneficial owner of the company is a person holding the office in the supreme management body, if it is not possible to determine the ultimate beneficial owner. Such persons may be nominal directors appointed by the offshore companies without any actual control over the company. It encumbers the assessment of money laundering risks; therefore the nominal directors should be expressly stated in the Register of Enterprises. This was also agreed in the negotiations on the new European Directive in the field of anti-money laundering (5AMLD) in December of 2017.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Assessment prepared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942E92">
            <w:pPr>
              <w:jc w:val="both"/>
              <w:rPr>
                <w:rFonts w:cs="Times New Roman"/>
                <w:b/>
                <w:sz w:val="20"/>
                <w:szCs w:val="20"/>
                <w:lang w:val="en-GB"/>
              </w:rPr>
            </w:pPr>
            <w:r w:rsidRPr="00D72AC3">
              <w:rPr>
                <w:rFonts w:cs="Times New Roman"/>
                <w:sz w:val="20"/>
                <w:szCs w:val="20"/>
                <w:lang w:val="en-GB" w:bidi="en-GB"/>
              </w:rPr>
              <w:t>Assessment submitted for the review to the FSDB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MoF</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 FCMC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E92" w:rsidRPr="00D72AC3" w:rsidRDefault="00942E92" w:rsidP="00FE237C">
            <w:pPr>
              <w:jc w:val="center"/>
              <w:rPr>
                <w:rFonts w:cs="Times New Roman"/>
                <w:sz w:val="20"/>
                <w:szCs w:val="20"/>
                <w:lang w:val="en-GB"/>
              </w:rPr>
            </w:pPr>
            <w:r w:rsidRPr="00D72AC3">
              <w:rPr>
                <w:rFonts w:cs="Times New Roman"/>
                <w:sz w:val="20"/>
                <w:szCs w:val="20"/>
                <w:lang w:val="en-GB" w:bidi="en-GB"/>
              </w:rPr>
              <w:t>28 December 2018</w:t>
            </w:r>
          </w:p>
        </w:tc>
      </w:tr>
      <w:tr w:rsidR="00942E92" w:rsidRPr="00D72AC3" w:rsidTr="00FE237C">
        <w:trPr>
          <w:trHeight w:val="1952"/>
        </w:trPr>
        <w:tc>
          <w:tcPr>
            <w:tcW w:w="567" w:type="dxa"/>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lastRenderedPageBreak/>
              <w:t>5.7.</w:t>
            </w:r>
          </w:p>
        </w:tc>
        <w:tc>
          <w:tcPr>
            <w:tcW w:w="3683" w:type="dxa"/>
            <w:gridSpan w:val="2"/>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Online connection introduced in the Notaries Information System (NIS) with the registers of the RE, in order to improve the availability of information necessary for verifying the ultimate beneficial owners of the legal persons.</w:t>
            </w:r>
          </w:p>
        </w:tc>
        <w:tc>
          <w:tcPr>
            <w:tcW w:w="1704" w:type="dxa"/>
            <w:shd w:val="clear" w:color="auto" w:fill="FFFFFF" w:themeFill="background1"/>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5.2.</w:t>
            </w: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Adjustments introduced in the Notaries Information System (NIS), to ensure the online receipt of information about the ultimate beneficial owners from the RE.</w:t>
            </w:r>
          </w:p>
          <w:p w:rsidR="00942E92" w:rsidRPr="00D72AC3" w:rsidRDefault="00942E92" w:rsidP="00942E92">
            <w:pPr>
              <w:jc w:val="both"/>
              <w:rPr>
                <w:rFonts w:cs="Times New Roman"/>
                <w:sz w:val="20"/>
                <w:szCs w:val="20"/>
                <w:lang w:val="en-GB"/>
              </w:rPr>
            </w:pPr>
          </w:p>
        </w:tc>
        <w:tc>
          <w:tcPr>
            <w:tcW w:w="2835"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Online tool set up in the Notaries Information System (NIS) for clarifying the ultimate beneficial owner in the RE registers.</w:t>
            </w:r>
          </w:p>
          <w:p w:rsidR="00942E92" w:rsidRPr="00D72AC3" w:rsidRDefault="00942E92" w:rsidP="00942E92">
            <w:pPr>
              <w:jc w:val="both"/>
              <w:rPr>
                <w:rFonts w:cs="Times New Roman"/>
                <w:sz w:val="20"/>
                <w:szCs w:val="20"/>
                <w:lang w:val="en-GB"/>
              </w:rPr>
            </w:pPr>
          </w:p>
          <w:p w:rsidR="00942E92" w:rsidRPr="00D72AC3" w:rsidRDefault="00942E92" w:rsidP="00942E92">
            <w:pPr>
              <w:jc w:val="both"/>
              <w:rPr>
                <w:rFonts w:cs="Times New Roman"/>
                <w:sz w:val="20"/>
                <w:szCs w:val="20"/>
                <w:lang w:val="en-GB"/>
              </w:rPr>
            </w:pP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LCSN</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RE</w:t>
            </w:r>
          </w:p>
        </w:tc>
        <w:tc>
          <w:tcPr>
            <w:tcW w:w="1701" w:type="dxa"/>
            <w:shd w:val="clear" w:color="auto" w:fill="FFFFFF" w:themeFill="background1"/>
          </w:tcPr>
          <w:p w:rsidR="00942E92" w:rsidRPr="00D72AC3" w:rsidRDefault="00942E92" w:rsidP="00FE237C">
            <w:pPr>
              <w:jc w:val="center"/>
              <w:rPr>
                <w:rFonts w:cs="Times New Roman"/>
                <w:sz w:val="20"/>
                <w:szCs w:val="20"/>
                <w:lang w:val="en-GB"/>
              </w:rPr>
            </w:pPr>
            <w:r w:rsidRPr="00D72AC3">
              <w:rPr>
                <w:rFonts w:cs="Times New Roman"/>
                <w:sz w:val="20"/>
                <w:szCs w:val="20"/>
                <w:lang w:val="en-GB" w:bidi="en-GB"/>
              </w:rPr>
              <w:t>28 December 2019</w:t>
            </w:r>
          </w:p>
        </w:tc>
      </w:tr>
      <w:tr w:rsidR="00942E92" w:rsidRPr="00D72AC3" w:rsidTr="00FE237C">
        <w:trPr>
          <w:trHeight w:val="841"/>
        </w:trPr>
        <w:tc>
          <w:tcPr>
            <w:tcW w:w="567" w:type="dxa"/>
            <w:vMerge w:val="restart"/>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t>5.8.</w:t>
            </w:r>
          </w:p>
        </w:tc>
        <w:tc>
          <w:tcPr>
            <w:tcW w:w="3683" w:type="dxa"/>
            <w:gridSpan w:val="2"/>
            <w:vMerge w:val="restart"/>
            <w:shd w:val="clear" w:color="auto" w:fill="FFFFFF" w:themeFill="background1"/>
          </w:tcPr>
          <w:p w:rsidR="00942E92" w:rsidRPr="00D72AC3" w:rsidRDefault="00942E92" w:rsidP="00942E92">
            <w:pPr>
              <w:spacing w:after="160" w:line="259" w:lineRule="auto"/>
              <w:ind w:right="34"/>
              <w:jc w:val="both"/>
              <w:rPr>
                <w:rFonts w:cs="Times New Roman"/>
                <w:sz w:val="20"/>
                <w:szCs w:val="20"/>
                <w:lang w:val="en-GB"/>
              </w:rPr>
            </w:pPr>
            <w:r w:rsidRPr="00D72AC3">
              <w:rPr>
                <w:rFonts w:cs="Times New Roman"/>
                <w:sz w:val="20"/>
                <w:szCs w:val="20"/>
                <w:lang w:val="en-GB" w:bidi="en-GB"/>
              </w:rPr>
              <w:t>High-risk commercial companies which have not disclosed their beneficial owners have been excluded from the register maintained by the RE.</w:t>
            </w:r>
          </w:p>
        </w:tc>
        <w:tc>
          <w:tcPr>
            <w:tcW w:w="1704" w:type="dxa"/>
            <w:vMerge w:val="restart"/>
            <w:shd w:val="clear" w:color="auto" w:fill="FFFFFF" w:themeFill="background1"/>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5.2.</w:t>
            </w: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1. Exclusion of the actually inactive (dormant) commercial companies from the Commercial Register ensured. Commercial companies not carrying out actual economic activity are deemed to be risky and they are often used for criminal purposes. On 15 August 2018, 9, 156 commercial companies were registered in the Commercial Register, which in accordance with the legal framework are to be excluded from the Commercial Register under simplified liquidation procedure.</w:t>
            </w:r>
          </w:p>
        </w:tc>
        <w:tc>
          <w:tcPr>
            <w:tcW w:w="2835" w:type="dxa"/>
            <w:shd w:val="clear" w:color="auto" w:fill="FFFFFF" w:themeFill="background1"/>
          </w:tcPr>
          <w:p w:rsidR="00942E92" w:rsidRPr="00D72AC3" w:rsidRDefault="00405F7F" w:rsidP="00942E92">
            <w:pPr>
              <w:jc w:val="both"/>
              <w:rPr>
                <w:rFonts w:cs="Times New Roman"/>
                <w:sz w:val="20"/>
                <w:szCs w:val="20"/>
                <w:lang w:val="en-GB"/>
              </w:rPr>
            </w:pPr>
            <w:r w:rsidRPr="00D72AC3">
              <w:rPr>
                <w:rFonts w:cs="Times New Roman"/>
                <w:sz w:val="20"/>
                <w:szCs w:val="20"/>
                <w:lang w:val="en-GB" w:bidi="en-GB"/>
              </w:rPr>
              <w:t>1. 9, 156 dormant commercial companies identified by 15 August 2018 have been excluded from the Commercial Register.</w:t>
            </w: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 (RE)</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SRS</w:t>
            </w:r>
          </w:p>
        </w:tc>
        <w:tc>
          <w:tcPr>
            <w:tcW w:w="1701" w:type="dxa"/>
            <w:shd w:val="clear" w:color="auto" w:fill="FFFFFF" w:themeFill="background1"/>
          </w:tcPr>
          <w:p w:rsidR="00942E92" w:rsidRPr="00D72AC3" w:rsidRDefault="00942E92" w:rsidP="00FE237C">
            <w:pPr>
              <w:jc w:val="center"/>
              <w:rPr>
                <w:rFonts w:cs="Times New Roman"/>
                <w:sz w:val="20"/>
                <w:szCs w:val="20"/>
                <w:lang w:val="en-GB"/>
              </w:rPr>
            </w:pPr>
            <w:r w:rsidRPr="00D72AC3">
              <w:rPr>
                <w:rFonts w:cs="Times New Roman"/>
                <w:sz w:val="20"/>
                <w:szCs w:val="20"/>
                <w:lang w:val="en-GB" w:bidi="en-GB"/>
              </w:rPr>
              <w:t>28 December 2018</w:t>
            </w:r>
          </w:p>
        </w:tc>
      </w:tr>
      <w:tr w:rsidR="00942E92" w:rsidRPr="00D72AC3" w:rsidTr="00FE237C">
        <w:trPr>
          <w:trHeight w:val="1952"/>
        </w:trPr>
        <w:tc>
          <w:tcPr>
            <w:tcW w:w="567" w:type="dxa"/>
            <w:vMerge/>
            <w:shd w:val="clear" w:color="auto" w:fill="FFFFFF" w:themeFill="background1"/>
          </w:tcPr>
          <w:p w:rsidR="00942E92" w:rsidRPr="00D72AC3" w:rsidRDefault="00942E92" w:rsidP="00942E92">
            <w:pPr>
              <w:rPr>
                <w:rFonts w:cs="Times New Roman"/>
                <w:sz w:val="20"/>
                <w:szCs w:val="20"/>
                <w:lang w:val="en-GB"/>
              </w:rPr>
            </w:pPr>
          </w:p>
        </w:tc>
        <w:tc>
          <w:tcPr>
            <w:tcW w:w="3683" w:type="dxa"/>
            <w:gridSpan w:val="2"/>
            <w:vMerge/>
            <w:shd w:val="clear" w:color="auto" w:fill="FFFFFF" w:themeFill="background1"/>
          </w:tcPr>
          <w:p w:rsidR="00942E92" w:rsidRPr="00D72AC3" w:rsidRDefault="00942E92" w:rsidP="00942E92">
            <w:pPr>
              <w:jc w:val="both"/>
              <w:rPr>
                <w:rFonts w:cs="Times New Roman"/>
                <w:sz w:val="20"/>
                <w:szCs w:val="20"/>
                <w:lang w:val="en-GB"/>
              </w:rPr>
            </w:pPr>
          </w:p>
        </w:tc>
        <w:tc>
          <w:tcPr>
            <w:tcW w:w="1704" w:type="dxa"/>
            <w:vMerge/>
            <w:shd w:val="clear" w:color="auto" w:fill="FFFFFF" w:themeFill="background1"/>
          </w:tcPr>
          <w:p w:rsidR="00942E92" w:rsidRPr="00D72AC3" w:rsidRDefault="00942E92" w:rsidP="00942E92">
            <w:pPr>
              <w:ind w:left="-108" w:right="-108"/>
              <w:jc w:val="center"/>
              <w:rPr>
                <w:rFonts w:cs="Times New Roman"/>
                <w:sz w:val="20"/>
                <w:szCs w:val="20"/>
                <w:lang w:val="en-GB"/>
              </w:rPr>
            </w:pP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2. The assessment carried out, in order to identify those LLCs, who have higher ML/FT risks (priority to the LLC with the shareholders - foreign legal persons holding more than 25% of capital shares) and who have not disclosed their ultimate beneficial owners.</w:t>
            </w:r>
          </w:p>
        </w:tc>
        <w:tc>
          <w:tcPr>
            <w:tcW w:w="2835" w:type="dxa"/>
            <w:shd w:val="clear" w:color="auto" w:fill="FFFFFF" w:themeFill="background1"/>
          </w:tcPr>
          <w:p w:rsidR="00942E92" w:rsidRPr="00D72AC3" w:rsidRDefault="00405F7F" w:rsidP="00942E92">
            <w:pPr>
              <w:jc w:val="both"/>
              <w:rPr>
                <w:rFonts w:cs="Times New Roman"/>
                <w:sz w:val="20"/>
                <w:szCs w:val="20"/>
                <w:lang w:val="en-GB"/>
              </w:rPr>
            </w:pPr>
            <w:r w:rsidRPr="00D72AC3">
              <w:rPr>
                <w:rFonts w:cs="Times New Roman"/>
                <w:sz w:val="20"/>
                <w:szCs w:val="20"/>
                <w:lang w:val="en-GB" w:bidi="en-GB"/>
              </w:rPr>
              <w:t>2. Assessment - the list of LLCs, who have higher ML/FT risks and who have not disclosed their ultimate beneficial owners.</w:t>
            </w:r>
          </w:p>
          <w:p w:rsidR="00942E92" w:rsidRPr="00D72AC3" w:rsidRDefault="00942E92" w:rsidP="00942E92">
            <w:pPr>
              <w:jc w:val="both"/>
              <w:rPr>
                <w:rFonts w:cs="Times New Roman"/>
                <w:sz w:val="20"/>
                <w:szCs w:val="20"/>
                <w:lang w:val="en-GB"/>
              </w:rPr>
            </w:pP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 (RE)</w:t>
            </w:r>
          </w:p>
          <w:p w:rsidR="00942E92" w:rsidRPr="00D72AC3" w:rsidRDefault="00942E92" w:rsidP="002D63BE">
            <w:pPr>
              <w:jc w:val="center"/>
              <w:rPr>
                <w:rFonts w:cs="Times New Roman"/>
                <w:sz w:val="20"/>
                <w:szCs w:val="20"/>
                <w:lang w:val="en-GB"/>
              </w:rPr>
            </w:pP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CS, SRS</w:t>
            </w:r>
          </w:p>
          <w:p w:rsidR="00942E92" w:rsidRPr="00D72AC3" w:rsidRDefault="00942E92" w:rsidP="002D63BE">
            <w:pPr>
              <w:jc w:val="center"/>
              <w:rPr>
                <w:rFonts w:cs="Times New Roman"/>
                <w:sz w:val="20"/>
                <w:szCs w:val="20"/>
                <w:lang w:val="en-GB"/>
              </w:rPr>
            </w:pPr>
          </w:p>
        </w:tc>
        <w:tc>
          <w:tcPr>
            <w:tcW w:w="1701"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1 February 2019</w:t>
            </w:r>
          </w:p>
          <w:p w:rsidR="00942E92" w:rsidRPr="00D72AC3" w:rsidRDefault="00942E92" w:rsidP="002D63BE">
            <w:pPr>
              <w:jc w:val="center"/>
              <w:rPr>
                <w:rFonts w:cs="Times New Roman"/>
                <w:sz w:val="20"/>
                <w:szCs w:val="20"/>
                <w:lang w:val="en-GB"/>
              </w:rPr>
            </w:pPr>
          </w:p>
        </w:tc>
      </w:tr>
      <w:tr w:rsidR="00942E92" w:rsidRPr="00D72AC3" w:rsidTr="00FE237C">
        <w:trPr>
          <w:trHeight w:val="1952"/>
        </w:trPr>
        <w:tc>
          <w:tcPr>
            <w:tcW w:w="567" w:type="dxa"/>
            <w:vMerge/>
            <w:shd w:val="clear" w:color="auto" w:fill="FFFFFF" w:themeFill="background1"/>
          </w:tcPr>
          <w:p w:rsidR="00942E92" w:rsidRPr="00D72AC3" w:rsidRDefault="00942E92" w:rsidP="00942E92">
            <w:pPr>
              <w:rPr>
                <w:rFonts w:cs="Times New Roman"/>
                <w:sz w:val="20"/>
                <w:szCs w:val="20"/>
                <w:lang w:val="en-GB"/>
              </w:rPr>
            </w:pPr>
          </w:p>
        </w:tc>
        <w:tc>
          <w:tcPr>
            <w:tcW w:w="3683" w:type="dxa"/>
            <w:gridSpan w:val="2"/>
            <w:vMerge/>
            <w:shd w:val="clear" w:color="auto" w:fill="FFFFFF" w:themeFill="background1"/>
          </w:tcPr>
          <w:p w:rsidR="00942E92" w:rsidRPr="00D72AC3" w:rsidRDefault="00942E92" w:rsidP="00942E92">
            <w:pPr>
              <w:jc w:val="both"/>
              <w:rPr>
                <w:rFonts w:cs="Times New Roman"/>
                <w:sz w:val="20"/>
                <w:szCs w:val="20"/>
                <w:lang w:val="en-GB"/>
              </w:rPr>
            </w:pPr>
          </w:p>
        </w:tc>
        <w:tc>
          <w:tcPr>
            <w:tcW w:w="1704" w:type="dxa"/>
            <w:vMerge/>
            <w:shd w:val="clear" w:color="auto" w:fill="FFFFFF" w:themeFill="background1"/>
          </w:tcPr>
          <w:p w:rsidR="00942E92" w:rsidRPr="00D72AC3" w:rsidRDefault="00942E92" w:rsidP="00942E92">
            <w:pPr>
              <w:ind w:left="-108" w:right="-108"/>
              <w:jc w:val="center"/>
              <w:rPr>
                <w:rFonts w:cs="Times New Roman"/>
                <w:sz w:val="20"/>
                <w:szCs w:val="20"/>
                <w:lang w:val="en-GB"/>
              </w:rPr>
            </w:pP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3. To ensure that LLCs with increased risks submit information about ultimate beneficial owners or are excluded from the Commercial Register; the RE will send warnings to the LLCs identified during the assessment carried out within the scope of Clause 2 regarding the failure to submit the documents prescribed by the legal framework to the RE. Further steps will be taken in accordance with information submitted by the relevant LLCs, within </w:t>
            </w:r>
            <w:r w:rsidRPr="00D72AC3">
              <w:rPr>
                <w:rFonts w:cs="Times New Roman"/>
                <w:sz w:val="20"/>
                <w:szCs w:val="20"/>
                <w:lang w:val="en-GB" w:bidi="en-GB"/>
              </w:rPr>
              <w:lastRenderedPageBreak/>
              <w:t xml:space="preserve">the scope of the regulation of the applicable legal framework and by the RE cooperating with the SRS. </w:t>
            </w:r>
          </w:p>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LLCs with increased risks in the ML/FT field have disclosed ultimate beneficial owners or, alternatively, they are dissolved or the application on the dissolution thereof has been filed to court.</w:t>
            </w:r>
          </w:p>
        </w:tc>
        <w:tc>
          <w:tcPr>
            <w:tcW w:w="2835" w:type="dxa"/>
            <w:shd w:val="clear" w:color="auto" w:fill="FFFFFF" w:themeFill="background1"/>
          </w:tcPr>
          <w:p w:rsidR="00942E92" w:rsidRPr="00D72AC3" w:rsidRDefault="00405F7F" w:rsidP="00942E92">
            <w:pPr>
              <w:jc w:val="both"/>
              <w:rPr>
                <w:rFonts w:cs="Times New Roman"/>
                <w:sz w:val="20"/>
                <w:szCs w:val="20"/>
                <w:lang w:val="en-GB"/>
              </w:rPr>
            </w:pPr>
            <w:r w:rsidRPr="00D72AC3">
              <w:rPr>
                <w:rFonts w:cs="Times New Roman"/>
                <w:sz w:val="20"/>
                <w:szCs w:val="20"/>
                <w:lang w:val="en-GB" w:bidi="en-GB"/>
              </w:rPr>
              <w:lastRenderedPageBreak/>
              <w:t>3. LLCs with increased risks in the ML/FT field have disclosed ultimate beneficial owners (particular number of LLCs) or, alternatively, they are dissolved (particular number of LLCs) or the application on the dissolution thereof has been filed to court (particular number of LLCs).</w:t>
            </w:r>
          </w:p>
          <w:p w:rsidR="00942E92" w:rsidRPr="00D72AC3" w:rsidRDefault="00942E92" w:rsidP="00942E92">
            <w:pPr>
              <w:jc w:val="both"/>
              <w:rPr>
                <w:rFonts w:cs="Times New Roman"/>
                <w:sz w:val="20"/>
                <w:szCs w:val="20"/>
                <w:lang w:val="en-GB"/>
              </w:rPr>
            </w:pPr>
          </w:p>
          <w:p w:rsidR="00942E92" w:rsidRPr="00D72AC3" w:rsidRDefault="00942E92" w:rsidP="00942E92">
            <w:pPr>
              <w:jc w:val="both"/>
              <w:rPr>
                <w:rFonts w:cs="Times New Roman"/>
                <w:sz w:val="20"/>
                <w:szCs w:val="20"/>
                <w:lang w:val="en-GB"/>
              </w:rPr>
            </w:pP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 (RE)</w:t>
            </w:r>
          </w:p>
          <w:p w:rsidR="00942E92" w:rsidRPr="00D72AC3" w:rsidRDefault="00942E92" w:rsidP="002D63BE">
            <w:pPr>
              <w:jc w:val="center"/>
              <w:rPr>
                <w:rFonts w:cs="Times New Roman"/>
                <w:sz w:val="20"/>
                <w:szCs w:val="20"/>
                <w:lang w:val="en-GB"/>
              </w:rPr>
            </w:pP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SRS</w:t>
            </w:r>
          </w:p>
          <w:p w:rsidR="00942E92" w:rsidRPr="00D72AC3" w:rsidRDefault="00942E92" w:rsidP="002D63BE">
            <w:pPr>
              <w:jc w:val="center"/>
              <w:rPr>
                <w:rFonts w:cs="Times New Roman"/>
                <w:sz w:val="20"/>
                <w:szCs w:val="20"/>
                <w:lang w:val="en-GB"/>
              </w:rPr>
            </w:pPr>
          </w:p>
        </w:tc>
        <w:tc>
          <w:tcPr>
            <w:tcW w:w="1701"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1 August 2019</w:t>
            </w:r>
          </w:p>
        </w:tc>
      </w:tr>
      <w:tr w:rsidR="00942E92" w:rsidRPr="00D72AC3" w:rsidTr="00FE237C">
        <w:trPr>
          <w:trHeight w:val="1952"/>
        </w:trPr>
        <w:tc>
          <w:tcPr>
            <w:tcW w:w="567" w:type="dxa"/>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t>5.9.</w:t>
            </w:r>
          </w:p>
        </w:tc>
        <w:tc>
          <w:tcPr>
            <w:tcW w:w="3683" w:type="dxa"/>
            <w:gridSpan w:val="2"/>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 xml:space="preserve">To assess the possibilities of ensuring free-of-charge access to the Latvian register of the ultimate beneficial owners </w:t>
            </w:r>
          </w:p>
        </w:tc>
        <w:tc>
          <w:tcPr>
            <w:tcW w:w="1704" w:type="dxa"/>
            <w:shd w:val="clear" w:color="auto" w:fill="FFFFFF" w:themeFill="background1"/>
          </w:tcPr>
          <w:p w:rsidR="00405F7F" w:rsidRPr="00D72AC3" w:rsidRDefault="00405F7F" w:rsidP="00EE1B29">
            <w:pPr>
              <w:ind w:left="-108" w:right="-108"/>
              <w:rPr>
                <w:sz w:val="20"/>
                <w:szCs w:val="20"/>
                <w:lang w:val="en-GB"/>
              </w:rPr>
            </w:pPr>
            <w:r w:rsidRPr="00D72AC3">
              <w:rPr>
                <w:sz w:val="20"/>
                <w:szCs w:val="20"/>
                <w:lang w:val="en-GB" w:bidi="en-GB"/>
              </w:rPr>
              <w:t xml:space="preserve">Plan of Measures for 2017-2019 </w:t>
            </w:r>
          </w:p>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5.3.</w:t>
            </w: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Assessment prepared</w:t>
            </w:r>
          </w:p>
        </w:tc>
        <w:tc>
          <w:tcPr>
            <w:tcW w:w="2835" w:type="dxa"/>
            <w:shd w:val="clear" w:color="auto" w:fill="FFFFFF" w:themeFill="background1"/>
          </w:tcPr>
          <w:p w:rsidR="00942E92" w:rsidRPr="00D72AC3" w:rsidRDefault="00942E92" w:rsidP="00405F7F">
            <w:pPr>
              <w:jc w:val="both"/>
              <w:rPr>
                <w:rFonts w:cs="Times New Roman"/>
                <w:sz w:val="20"/>
                <w:szCs w:val="20"/>
                <w:lang w:val="en-GB"/>
              </w:rPr>
            </w:pPr>
            <w:r w:rsidRPr="00D72AC3">
              <w:rPr>
                <w:rFonts w:cs="Times New Roman"/>
                <w:sz w:val="20"/>
                <w:szCs w:val="20"/>
                <w:lang w:val="en-GB" w:bidi="en-GB"/>
              </w:rPr>
              <w:t>Assessment submitted for the review to the FSDB meeting</w:t>
            </w: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MoJ, in cooperation with the MoF</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p>
        </w:tc>
        <w:tc>
          <w:tcPr>
            <w:tcW w:w="1701" w:type="dxa"/>
            <w:shd w:val="clear" w:color="auto" w:fill="FFFFFF" w:themeFill="background1"/>
          </w:tcPr>
          <w:p w:rsidR="00942E92" w:rsidRPr="00D72AC3" w:rsidRDefault="00942E92" w:rsidP="006F5E15">
            <w:pPr>
              <w:jc w:val="center"/>
              <w:rPr>
                <w:rFonts w:cs="Times New Roman"/>
                <w:sz w:val="20"/>
                <w:szCs w:val="20"/>
                <w:lang w:val="en-GB"/>
              </w:rPr>
            </w:pPr>
            <w:r w:rsidRPr="00D72AC3">
              <w:rPr>
                <w:rFonts w:cs="Times New Roman"/>
                <w:sz w:val="20"/>
                <w:szCs w:val="20"/>
                <w:lang w:val="en-GB" w:bidi="en-GB"/>
              </w:rPr>
              <w:t>28 December 2018</w:t>
            </w:r>
          </w:p>
        </w:tc>
      </w:tr>
      <w:tr w:rsidR="00942E92" w:rsidRPr="00D72AC3" w:rsidTr="00FE237C">
        <w:trPr>
          <w:trHeight w:val="805"/>
        </w:trPr>
        <w:tc>
          <w:tcPr>
            <w:tcW w:w="567" w:type="dxa"/>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t>5.10.</w:t>
            </w:r>
          </w:p>
        </w:tc>
        <w:tc>
          <w:tcPr>
            <w:tcW w:w="3683" w:type="dxa"/>
            <w:gridSpan w:val="2"/>
            <w:shd w:val="clear" w:color="auto" w:fill="FFFFFF" w:themeFill="background1"/>
          </w:tcPr>
          <w:p w:rsidR="00942E92" w:rsidRPr="00D72AC3" w:rsidRDefault="00942E92" w:rsidP="00942E92">
            <w:pPr>
              <w:spacing w:after="160" w:line="259" w:lineRule="auto"/>
              <w:ind w:right="34"/>
              <w:jc w:val="both"/>
              <w:rPr>
                <w:rFonts w:cs="Times New Roman"/>
                <w:bCs/>
                <w:sz w:val="20"/>
                <w:szCs w:val="20"/>
                <w:lang w:val="en-GB"/>
              </w:rPr>
            </w:pPr>
            <w:r w:rsidRPr="00D72AC3">
              <w:rPr>
                <w:rFonts w:cs="Times New Roman"/>
                <w:sz w:val="20"/>
                <w:szCs w:val="20"/>
                <w:lang w:val="en-GB" w:bidi="en-GB"/>
              </w:rPr>
              <w:t>Identification of the providers of services of foundation and provision of operation of legal persons and legal arrangements ensured</w:t>
            </w:r>
          </w:p>
        </w:tc>
        <w:tc>
          <w:tcPr>
            <w:tcW w:w="1704" w:type="dxa"/>
            <w:shd w:val="clear" w:color="auto" w:fill="FFFFFF" w:themeFill="background1"/>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5.3.</w:t>
            </w:r>
          </w:p>
        </w:tc>
        <w:tc>
          <w:tcPr>
            <w:tcW w:w="1984"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Strengthening of the mechanism for identification, selection and supervision of the providers of services of foundation and provision of operation of legal persons and legal arrangements to be supervised by the SRS</w:t>
            </w:r>
          </w:p>
          <w:p w:rsidR="00942E92" w:rsidRPr="00D72AC3" w:rsidRDefault="00942E92" w:rsidP="00942E92">
            <w:pPr>
              <w:jc w:val="both"/>
              <w:rPr>
                <w:rFonts w:cs="Times New Roman"/>
                <w:sz w:val="20"/>
                <w:szCs w:val="20"/>
                <w:lang w:val="en-GB"/>
              </w:rPr>
            </w:pPr>
          </w:p>
        </w:tc>
        <w:tc>
          <w:tcPr>
            <w:tcW w:w="2835" w:type="dxa"/>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lastRenderedPageBreak/>
              <w:t>The assessment carried out regarding possible mechanisms, ensuring the identification and supervision of the providers of services of foundation and provision of operation of legal persons and legal arrangements</w:t>
            </w:r>
          </w:p>
          <w:p w:rsidR="00942E92" w:rsidRPr="00D72AC3" w:rsidRDefault="00942E92" w:rsidP="00942E92">
            <w:pPr>
              <w:jc w:val="both"/>
              <w:rPr>
                <w:rFonts w:cs="Times New Roman"/>
                <w:sz w:val="20"/>
                <w:szCs w:val="20"/>
                <w:lang w:val="en-GB"/>
              </w:rPr>
            </w:pPr>
          </w:p>
        </w:tc>
        <w:tc>
          <w:tcPr>
            <w:tcW w:w="1134"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MoF, in cooperation with the MoJ</w:t>
            </w: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MoF, SRS</w:t>
            </w:r>
          </w:p>
        </w:tc>
        <w:tc>
          <w:tcPr>
            <w:tcW w:w="1701"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1 December 2018</w:t>
            </w:r>
          </w:p>
        </w:tc>
      </w:tr>
      <w:tr w:rsidR="00942E92" w:rsidRPr="00D72AC3" w:rsidTr="00FE237C">
        <w:trPr>
          <w:trHeight w:val="2087"/>
        </w:trPr>
        <w:tc>
          <w:tcPr>
            <w:tcW w:w="567" w:type="dxa"/>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t>5.11.</w:t>
            </w:r>
          </w:p>
        </w:tc>
        <w:tc>
          <w:tcPr>
            <w:tcW w:w="3683" w:type="dxa"/>
            <w:gridSpan w:val="2"/>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To ensure that the subject of the law (financial and non-financial institutions) take measures for determination of the ultimate beneficial owners of the customer, being legal persons, and carry out active verification of such information</w:t>
            </w:r>
          </w:p>
        </w:tc>
        <w:tc>
          <w:tcPr>
            <w:tcW w:w="1704" w:type="dxa"/>
            <w:vMerge w:val="restart"/>
            <w:tcBorders>
              <w:top w:val="single" w:sz="4" w:space="0" w:color="auto"/>
              <w:left w:val="single" w:sz="4" w:space="0" w:color="auto"/>
              <w:right w:val="single" w:sz="4" w:space="0" w:color="auto"/>
            </w:tcBorders>
            <w:shd w:val="clear" w:color="auto" w:fill="FFFFFF" w:themeFill="background1"/>
          </w:tcPr>
          <w:p w:rsidR="00942E92" w:rsidRPr="00D72AC3" w:rsidRDefault="00942E92" w:rsidP="00EE1B29">
            <w:pPr>
              <w:ind w:left="-108" w:right="-108"/>
              <w:rPr>
                <w:rFonts w:cs="Times New Roman"/>
                <w:sz w:val="20"/>
                <w:szCs w:val="20"/>
                <w:lang w:val="en-GB"/>
              </w:rPr>
            </w:pPr>
            <w:r w:rsidRPr="00D72AC3">
              <w:rPr>
                <w:rFonts w:cs="Times New Roman"/>
                <w:sz w:val="20"/>
                <w:szCs w:val="20"/>
                <w:lang w:val="en-GB" w:bidi="en-GB"/>
              </w:rPr>
              <w:t>Moneyval recommendation 5.4.</w:t>
            </w:r>
          </w:p>
        </w:tc>
        <w:tc>
          <w:tcPr>
            <w:tcW w:w="1984" w:type="dxa"/>
            <w:tcBorders>
              <w:top w:val="single" w:sz="4" w:space="0" w:color="auto"/>
              <w:left w:val="single" w:sz="4" w:space="0" w:color="auto"/>
              <w:right w:val="single" w:sz="4" w:space="0" w:color="auto"/>
            </w:tcBorders>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1. A single general approach established in the methodology pf the supervisory authorities with respect to the due diligence of customers - legal persons, with special focus on determination of ultimate beneficial owners, and the guidelines of supervisory and control authorities correspondingly enhanced.</w:t>
            </w:r>
          </w:p>
        </w:tc>
        <w:tc>
          <w:tcPr>
            <w:tcW w:w="2835" w:type="dxa"/>
            <w:tcBorders>
              <w:top w:val="single" w:sz="4" w:space="0" w:color="auto"/>
              <w:left w:val="single" w:sz="4" w:space="0" w:color="auto"/>
              <w:right w:val="single" w:sz="4" w:space="0" w:color="auto"/>
            </w:tcBorders>
            <w:shd w:val="clear" w:color="auto" w:fill="FFFFFF" w:themeFill="background1"/>
          </w:tcPr>
          <w:p w:rsidR="00942E92" w:rsidRPr="00D72AC3" w:rsidRDefault="00850F9E" w:rsidP="00942E92">
            <w:pPr>
              <w:jc w:val="both"/>
              <w:rPr>
                <w:rFonts w:cs="Times New Roman"/>
                <w:sz w:val="20"/>
                <w:szCs w:val="20"/>
                <w:lang w:val="en-GB"/>
              </w:rPr>
            </w:pPr>
            <w:r w:rsidRPr="00D72AC3">
              <w:rPr>
                <w:rFonts w:cs="Times New Roman"/>
                <w:sz w:val="20"/>
                <w:szCs w:val="20"/>
                <w:lang w:val="en-GB" w:bidi="en-GB"/>
              </w:rPr>
              <w:t xml:space="preserve">1. A single approach established and guidelines enhanced, on the basis of identified risks, the scope of verifications to be carried out defined </w:t>
            </w:r>
          </w:p>
          <w:p w:rsidR="00942E92" w:rsidRPr="00D72AC3" w:rsidRDefault="00942E92" w:rsidP="00942E92">
            <w:pPr>
              <w:jc w:val="both"/>
              <w:rPr>
                <w:rFonts w:cs="Times New Roman"/>
                <w:sz w:val="20"/>
                <w:szCs w:val="20"/>
                <w:lang w:val="en-GB"/>
              </w:rPr>
            </w:pPr>
          </w:p>
        </w:tc>
        <w:tc>
          <w:tcPr>
            <w:tcW w:w="1134" w:type="dxa"/>
            <w:tcBorders>
              <w:top w:val="single" w:sz="4" w:space="0" w:color="auto"/>
              <w:left w:val="single" w:sz="4" w:space="0" w:color="auto"/>
              <w:right w:val="single" w:sz="4" w:space="0" w:color="auto"/>
            </w:tcBorders>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CS</w:t>
            </w:r>
          </w:p>
        </w:tc>
        <w:tc>
          <w:tcPr>
            <w:tcW w:w="1276" w:type="dxa"/>
            <w:tcBorders>
              <w:top w:val="single" w:sz="4" w:space="0" w:color="auto"/>
              <w:left w:val="single" w:sz="4" w:space="0" w:color="auto"/>
              <w:right w:val="single" w:sz="4" w:space="0" w:color="auto"/>
            </w:tcBorders>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FCMC, SRS, LCSN, LCSA, BoL, LACA, NCCH</w:t>
            </w:r>
          </w:p>
        </w:tc>
        <w:tc>
          <w:tcPr>
            <w:tcW w:w="1701" w:type="dxa"/>
            <w:tcBorders>
              <w:top w:val="single" w:sz="4" w:space="0" w:color="auto"/>
              <w:left w:val="single" w:sz="4" w:space="0" w:color="auto"/>
              <w:right w:val="single" w:sz="4" w:space="0" w:color="auto"/>
            </w:tcBorders>
            <w:shd w:val="clear" w:color="auto" w:fill="FFFFFF" w:themeFill="background1"/>
          </w:tcPr>
          <w:p w:rsidR="00942E92" w:rsidRPr="00D72AC3" w:rsidRDefault="00942E92" w:rsidP="006F5E15">
            <w:pPr>
              <w:jc w:val="center"/>
              <w:rPr>
                <w:rFonts w:cs="Times New Roman"/>
                <w:sz w:val="20"/>
                <w:szCs w:val="20"/>
                <w:lang w:val="en-GB"/>
              </w:rPr>
            </w:pPr>
            <w:r w:rsidRPr="00D72AC3">
              <w:rPr>
                <w:rFonts w:cs="Times New Roman"/>
                <w:sz w:val="20"/>
                <w:szCs w:val="20"/>
                <w:lang w:val="en-GB" w:bidi="en-GB"/>
              </w:rPr>
              <w:t>28 December 2018</w:t>
            </w:r>
          </w:p>
        </w:tc>
      </w:tr>
      <w:tr w:rsidR="00942E92" w:rsidRPr="00D72AC3" w:rsidTr="009E6048">
        <w:trPr>
          <w:trHeight w:val="1691"/>
        </w:trPr>
        <w:tc>
          <w:tcPr>
            <w:tcW w:w="567" w:type="dxa"/>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rPr>
                <w:rFonts w:cs="Times New Roman"/>
                <w:sz w:val="20"/>
                <w:szCs w:val="20"/>
                <w:lang w:val="en-GB"/>
              </w:rPr>
            </w:pPr>
          </w:p>
        </w:tc>
        <w:tc>
          <w:tcPr>
            <w:tcW w:w="3683" w:type="dxa"/>
            <w:gridSpan w:val="2"/>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jc w:val="both"/>
              <w:rPr>
                <w:rFonts w:cs="Times New Roman"/>
                <w:bCs/>
                <w:sz w:val="20"/>
                <w:szCs w:val="20"/>
                <w:lang w:val="en-GB"/>
              </w:rPr>
            </w:pPr>
          </w:p>
        </w:tc>
        <w:tc>
          <w:tcPr>
            <w:tcW w:w="1704" w:type="dxa"/>
            <w:vMerge/>
            <w:tcBorders>
              <w:left w:val="single" w:sz="4" w:space="0" w:color="auto"/>
              <w:bottom w:val="single" w:sz="4" w:space="0" w:color="auto"/>
              <w:right w:val="single" w:sz="4" w:space="0" w:color="auto"/>
            </w:tcBorders>
            <w:shd w:val="clear" w:color="auto" w:fill="FFFFFF" w:themeFill="background1"/>
          </w:tcPr>
          <w:p w:rsidR="00942E92" w:rsidRPr="00D72AC3" w:rsidRDefault="00942E92" w:rsidP="00942E92">
            <w:pPr>
              <w:ind w:left="-108" w:right="-108"/>
              <w:jc w:val="center"/>
              <w:rPr>
                <w:rFonts w:cs="Times New Roman"/>
                <w:sz w:val="20"/>
                <w:szCs w:val="20"/>
                <w:lang w:val="en-GB"/>
              </w:rPr>
            </w:pPr>
          </w:p>
        </w:tc>
        <w:tc>
          <w:tcPr>
            <w:tcW w:w="1984" w:type="dxa"/>
            <w:tcBorders>
              <w:left w:val="single" w:sz="4" w:space="0" w:color="auto"/>
              <w:bottom w:val="single" w:sz="4" w:space="0" w:color="auto"/>
            </w:tcBorders>
            <w:shd w:val="clear" w:color="auto" w:fill="FFFFFF" w:themeFill="background1"/>
          </w:tcPr>
          <w:p w:rsidR="00942E92" w:rsidRPr="00D72AC3" w:rsidRDefault="00942E92" w:rsidP="00942E92">
            <w:pPr>
              <w:jc w:val="both"/>
              <w:rPr>
                <w:rFonts w:cs="Times New Roman"/>
                <w:sz w:val="20"/>
                <w:szCs w:val="20"/>
                <w:lang w:val="en-GB"/>
              </w:rPr>
            </w:pPr>
            <w:r w:rsidRPr="00D72AC3">
              <w:rPr>
                <w:rFonts w:cs="Times New Roman"/>
                <w:sz w:val="20"/>
                <w:szCs w:val="20"/>
                <w:lang w:val="en-GB" w:bidi="en-GB"/>
              </w:rPr>
              <w:t>2. Targeted verification, ranting larger priority to such types of economic activity as are exposed to larger ML/FT risk</w:t>
            </w:r>
          </w:p>
        </w:tc>
        <w:tc>
          <w:tcPr>
            <w:tcW w:w="2835" w:type="dxa"/>
            <w:tcBorders>
              <w:bottom w:val="single" w:sz="4" w:space="0" w:color="auto"/>
            </w:tcBorders>
            <w:shd w:val="clear" w:color="auto" w:fill="FFFFFF" w:themeFill="background1"/>
          </w:tcPr>
          <w:p w:rsidR="00942E92" w:rsidRPr="00D72AC3" w:rsidRDefault="00850F9E" w:rsidP="00942E92">
            <w:pPr>
              <w:jc w:val="both"/>
              <w:rPr>
                <w:rFonts w:cs="Times New Roman"/>
                <w:sz w:val="20"/>
                <w:szCs w:val="20"/>
                <w:lang w:val="en-GB"/>
              </w:rPr>
            </w:pPr>
            <w:r w:rsidRPr="00D72AC3">
              <w:rPr>
                <w:rFonts w:cs="Times New Roman"/>
                <w:sz w:val="20"/>
                <w:szCs w:val="20"/>
                <w:lang w:val="en-GB" w:bidi="en-GB"/>
              </w:rPr>
              <w:t>2. The number of targeted verifications, number of applied penal sanctions/warnings for the failure to perform or duly perform the UBO due diligence</w:t>
            </w:r>
          </w:p>
        </w:tc>
        <w:tc>
          <w:tcPr>
            <w:tcW w:w="1134" w:type="dxa"/>
            <w:tcBorders>
              <w:bottom w:val="single" w:sz="4" w:space="0" w:color="auto"/>
            </w:tcBorders>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FCMC, SRS, LCSN, LCSA, BoL, LACA</w:t>
            </w:r>
          </w:p>
        </w:tc>
        <w:tc>
          <w:tcPr>
            <w:tcW w:w="1276" w:type="dxa"/>
            <w:tcBorders>
              <w:bottom w:val="single" w:sz="4" w:space="0" w:color="auto"/>
            </w:tcBorders>
            <w:shd w:val="clear" w:color="auto" w:fill="FFFFFF" w:themeFill="background1"/>
          </w:tcPr>
          <w:p w:rsidR="00942E92" w:rsidRPr="00D72AC3" w:rsidRDefault="00942E92" w:rsidP="002D63BE">
            <w:pPr>
              <w:jc w:val="center"/>
              <w:rPr>
                <w:rFonts w:cs="Times New Roman"/>
                <w:sz w:val="20"/>
                <w:szCs w:val="20"/>
                <w:lang w:val="en-GB"/>
              </w:rPr>
            </w:pPr>
          </w:p>
        </w:tc>
        <w:tc>
          <w:tcPr>
            <w:tcW w:w="1701" w:type="dxa"/>
            <w:tcBorders>
              <w:bottom w:val="single" w:sz="4" w:space="0" w:color="auto"/>
            </w:tcBorders>
            <w:shd w:val="clear" w:color="auto" w:fill="FFFFFF" w:themeFill="background1"/>
          </w:tcPr>
          <w:p w:rsidR="00942E92" w:rsidRPr="00D72AC3" w:rsidRDefault="00942E92" w:rsidP="006F5E15">
            <w:pPr>
              <w:jc w:val="center"/>
              <w:rPr>
                <w:rFonts w:cs="Times New Roman"/>
                <w:sz w:val="20"/>
                <w:szCs w:val="20"/>
                <w:lang w:val="en-GB"/>
              </w:rPr>
            </w:pPr>
            <w:r w:rsidRPr="00D72AC3">
              <w:rPr>
                <w:rFonts w:cs="Times New Roman"/>
                <w:sz w:val="20"/>
                <w:szCs w:val="20"/>
                <w:lang w:val="en-GB" w:bidi="en-GB"/>
              </w:rPr>
              <w:t>28 December 2019</w:t>
            </w:r>
          </w:p>
        </w:tc>
      </w:tr>
      <w:tr w:rsidR="00306969" w:rsidRPr="00D72AC3" w:rsidTr="009E6048">
        <w:trPr>
          <w:trHeight w:val="1191"/>
        </w:trPr>
        <w:tc>
          <w:tcPr>
            <w:tcW w:w="567" w:type="dxa"/>
            <w:vMerge w:val="restart"/>
            <w:tcBorders>
              <w:left w:val="single" w:sz="4" w:space="0" w:color="auto"/>
              <w:bottom w:val="single" w:sz="4" w:space="0" w:color="auto"/>
              <w:right w:val="single" w:sz="4" w:space="0" w:color="auto"/>
            </w:tcBorders>
            <w:shd w:val="clear" w:color="auto" w:fill="FFFFFF" w:themeFill="background1"/>
          </w:tcPr>
          <w:p w:rsidR="00306969" w:rsidRPr="00D72AC3" w:rsidRDefault="00306969" w:rsidP="000D4C76">
            <w:pPr>
              <w:rPr>
                <w:rFonts w:cs="Times New Roman"/>
                <w:sz w:val="20"/>
                <w:szCs w:val="20"/>
                <w:lang w:val="en-GB"/>
              </w:rPr>
            </w:pPr>
            <w:r w:rsidRPr="00D72AC3">
              <w:rPr>
                <w:rFonts w:cs="Times New Roman"/>
                <w:sz w:val="20"/>
                <w:szCs w:val="20"/>
                <w:lang w:val="en-GB" w:bidi="en-GB"/>
              </w:rPr>
              <w:t>5.12.</w:t>
            </w:r>
          </w:p>
        </w:tc>
        <w:tc>
          <w:tcPr>
            <w:tcW w:w="3683" w:type="dxa"/>
            <w:gridSpan w:val="2"/>
            <w:tcBorders>
              <w:left w:val="single" w:sz="4" w:space="0" w:color="auto"/>
              <w:bottom w:val="single" w:sz="4" w:space="0" w:color="auto"/>
              <w:right w:val="single" w:sz="4" w:space="0" w:color="auto"/>
            </w:tcBorders>
            <w:shd w:val="clear" w:color="auto" w:fill="FFFFFF" w:themeFill="background1"/>
          </w:tcPr>
          <w:p w:rsidR="00306969" w:rsidRPr="00D72AC3" w:rsidRDefault="00306969" w:rsidP="000D4C76">
            <w:pPr>
              <w:jc w:val="both"/>
              <w:rPr>
                <w:rFonts w:cs="Times New Roman"/>
                <w:bCs/>
                <w:sz w:val="20"/>
                <w:szCs w:val="20"/>
                <w:lang w:val="en-GB"/>
              </w:rPr>
            </w:pPr>
            <w:r w:rsidRPr="00D72AC3">
              <w:rPr>
                <w:rFonts w:cs="Times New Roman"/>
                <w:sz w:val="20"/>
                <w:szCs w:val="20"/>
                <w:lang w:val="en-GB" w:bidi="en-GB"/>
              </w:rPr>
              <w:t xml:space="preserve">Understanding and mechanisms improved in the customer due diligence measures taken by the sworn notaries, when determining the ultimate beneficial owners. </w:t>
            </w:r>
          </w:p>
        </w:tc>
        <w:tc>
          <w:tcPr>
            <w:tcW w:w="1704" w:type="dxa"/>
            <w:tcBorders>
              <w:left w:val="single" w:sz="4" w:space="0" w:color="auto"/>
              <w:bottom w:val="single" w:sz="4" w:space="0" w:color="auto"/>
              <w:right w:val="single" w:sz="4" w:space="0" w:color="auto"/>
            </w:tcBorders>
            <w:shd w:val="clear" w:color="auto" w:fill="FFFFFF" w:themeFill="background1"/>
          </w:tcPr>
          <w:p w:rsidR="00306969" w:rsidRPr="00D72AC3" w:rsidRDefault="00306969" w:rsidP="00EE1B29">
            <w:pPr>
              <w:ind w:left="-108" w:right="-108"/>
              <w:rPr>
                <w:rFonts w:cs="Times New Roman"/>
                <w:sz w:val="20"/>
                <w:szCs w:val="20"/>
                <w:lang w:val="en-GB"/>
              </w:rPr>
            </w:pPr>
            <w:r w:rsidRPr="00D72AC3">
              <w:rPr>
                <w:rFonts w:cs="Times New Roman"/>
                <w:sz w:val="20"/>
                <w:szCs w:val="20"/>
                <w:lang w:val="en-GB" w:bidi="en-GB"/>
              </w:rPr>
              <w:t>Moneyval recommendation 3.1., 5.4.</w:t>
            </w:r>
          </w:p>
        </w:tc>
        <w:tc>
          <w:tcPr>
            <w:tcW w:w="1984" w:type="dxa"/>
            <w:tcBorders>
              <w:left w:val="single" w:sz="4" w:space="0" w:color="auto"/>
              <w:bottom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r w:rsidRPr="00D72AC3">
              <w:rPr>
                <w:rFonts w:cs="Times New Roman"/>
                <w:sz w:val="20"/>
                <w:szCs w:val="20"/>
                <w:lang w:val="en-GB" w:bidi="en-GB"/>
              </w:rPr>
              <w:t xml:space="preserve">Strengthened supervisory mechanism of the subjects of the </w:t>
            </w:r>
            <w:r w:rsidRPr="00D72AC3">
              <w:rPr>
                <w:rFonts w:cs="Times New Roman"/>
                <w:i/>
                <w:sz w:val="20"/>
                <w:szCs w:val="20"/>
                <w:lang w:val="en-GB" w:bidi="en-GB"/>
              </w:rPr>
              <w:t>Law on the PMLTF</w:t>
            </w:r>
            <w:r w:rsidRPr="00D72AC3">
              <w:rPr>
                <w:rFonts w:cs="Times New Roman"/>
                <w:sz w:val="20"/>
                <w:szCs w:val="20"/>
                <w:lang w:val="en-GB" w:bidi="en-GB"/>
              </w:rPr>
              <w:t xml:space="preserve"> (notaries), forming a uniform understanding and improving the </w:t>
            </w:r>
            <w:r w:rsidRPr="00D72AC3">
              <w:rPr>
                <w:rFonts w:cs="Times New Roman"/>
                <w:sz w:val="20"/>
                <w:szCs w:val="20"/>
                <w:lang w:val="en-GB" w:bidi="en-GB"/>
              </w:rPr>
              <w:lastRenderedPageBreak/>
              <w:t>mechanisms for determination of the ultimate beneficial owners.</w:t>
            </w:r>
          </w:p>
        </w:tc>
        <w:tc>
          <w:tcPr>
            <w:tcW w:w="2835" w:type="dxa"/>
            <w:tcBorders>
              <w:bottom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r w:rsidRPr="00D72AC3">
              <w:rPr>
                <w:rFonts w:cs="Times New Roman"/>
                <w:sz w:val="20"/>
                <w:szCs w:val="20"/>
                <w:lang w:val="en-GB" w:bidi="en-GB"/>
              </w:rPr>
              <w:lastRenderedPageBreak/>
              <w:t>1. Data obtained from 22 other Member States of the CNUE (The Council of the Notariats of the European Union) on the possibilities of determining the ultimate beneficial owner.</w:t>
            </w:r>
          </w:p>
        </w:tc>
        <w:tc>
          <w:tcPr>
            <w:tcW w:w="1134" w:type="dxa"/>
            <w:tcBorders>
              <w:bottom w:val="single" w:sz="4" w:space="0" w:color="auto"/>
            </w:tcBorders>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LCSN</w:t>
            </w:r>
          </w:p>
        </w:tc>
        <w:tc>
          <w:tcPr>
            <w:tcW w:w="1276" w:type="dxa"/>
            <w:tcBorders>
              <w:bottom w:val="single" w:sz="4" w:space="0" w:color="auto"/>
            </w:tcBorders>
            <w:shd w:val="clear" w:color="auto" w:fill="FFFFFF" w:themeFill="background1"/>
          </w:tcPr>
          <w:p w:rsidR="00306969" w:rsidRPr="00D72AC3" w:rsidRDefault="00306969" w:rsidP="000D4C76">
            <w:pPr>
              <w:jc w:val="center"/>
              <w:rPr>
                <w:rFonts w:cs="Times New Roman"/>
                <w:sz w:val="20"/>
                <w:szCs w:val="20"/>
                <w:lang w:val="en-GB"/>
              </w:rPr>
            </w:pPr>
          </w:p>
        </w:tc>
        <w:tc>
          <w:tcPr>
            <w:tcW w:w="1701" w:type="dxa"/>
            <w:tcBorders>
              <w:bottom w:val="single" w:sz="4" w:space="0" w:color="auto"/>
            </w:tcBorders>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1 January 2019</w:t>
            </w:r>
          </w:p>
        </w:tc>
      </w:tr>
      <w:tr w:rsidR="00306969" w:rsidRPr="00D72AC3" w:rsidTr="009E6048">
        <w:trPr>
          <w:trHeight w:val="1191"/>
        </w:trPr>
        <w:tc>
          <w:tcPr>
            <w:tcW w:w="567" w:type="dxa"/>
            <w:vMerge/>
            <w:tcBorders>
              <w:top w:val="single" w:sz="4" w:space="0" w:color="auto"/>
              <w:left w:val="single" w:sz="4" w:space="0" w:color="auto"/>
              <w:righ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3675" w:type="dxa"/>
            <w:vMerge w:val="restart"/>
            <w:tcBorders>
              <w:top w:val="single" w:sz="4" w:space="0" w:color="auto"/>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712" w:type="dxa"/>
            <w:gridSpan w:val="2"/>
            <w:vMerge w:val="restart"/>
            <w:tcBorders>
              <w:top w:val="single" w:sz="4" w:space="0" w:color="auto"/>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984" w:type="dxa"/>
            <w:vMerge w:val="restart"/>
            <w:tcBorders>
              <w:top w:val="single" w:sz="4" w:space="0" w:color="auto"/>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2835" w:type="dxa"/>
            <w:tcBorders>
              <w:top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r w:rsidRPr="00D72AC3">
              <w:rPr>
                <w:rFonts w:cs="Times New Roman"/>
                <w:sz w:val="20"/>
                <w:szCs w:val="20"/>
                <w:lang w:val="en-GB" w:bidi="en-GB"/>
              </w:rPr>
              <w:t>2.</w:t>
            </w:r>
            <w:r w:rsidRPr="00D72AC3">
              <w:rPr>
                <w:lang w:val="en-GB" w:bidi="en-GB"/>
              </w:rPr>
              <w:t xml:space="preserve"> </w:t>
            </w:r>
            <w:r w:rsidRPr="00D72AC3">
              <w:rPr>
                <w:rFonts w:cs="Times New Roman"/>
                <w:sz w:val="20"/>
                <w:szCs w:val="20"/>
                <w:lang w:val="en-GB" w:bidi="en-GB"/>
              </w:rPr>
              <w:t>Guidelines on the ML/FT prevention in the Latin Notariate adopted in the UINL (International Union of Notaries) (</w:t>
            </w:r>
            <w:r w:rsidRPr="00D72AC3">
              <w:rPr>
                <w:rFonts w:cs="Times New Roman"/>
                <w:i/>
                <w:sz w:val="20"/>
                <w:szCs w:val="20"/>
                <w:lang w:val="en-GB" w:bidi="en-GB"/>
              </w:rPr>
              <w:t>the Guide “Good practices on the prevention of money laundering and terrorist financing in the notarial sector”</w:t>
            </w:r>
            <w:r w:rsidRPr="00D72AC3">
              <w:rPr>
                <w:rFonts w:cs="Times New Roman"/>
                <w:sz w:val="20"/>
                <w:szCs w:val="20"/>
                <w:lang w:val="en-GB" w:bidi="en-GB"/>
              </w:rPr>
              <w:t>).</w:t>
            </w:r>
          </w:p>
        </w:tc>
        <w:tc>
          <w:tcPr>
            <w:tcW w:w="1134" w:type="dxa"/>
            <w:tcBorders>
              <w:top w:val="single" w:sz="4" w:space="0" w:color="auto"/>
            </w:tcBorders>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LCSN</w:t>
            </w:r>
          </w:p>
        </w:tc>
        <w:tc>
          <w:tcPr>
            <w:tcW w:w="1276" w:type="dxa"/>
            <w:tcBorders>
              <w:top w:val="single" w:sz="4" w:space="0" w:color="auto"/>
            </w:tcBorders>
            <w:shd w:val="clear" w:color="auto" w:fill="FFFFFF" w:themeFill="background1"/>
          </w:tcPr>
          <w:p w:rsidR="00306969" w:rsidRPr="00D72AC3" w:rsidRDefault="00306969" w:rsidP="000D4C76">
            <w:pPr>
              <w:jc w:val="center"/>
              <w:rPr>
                <w:rFonts w:cs="Times New Roman"/>
                <w:sz w:val="20"/>
                <w:szCs w:val="20"/>
                <w:lang w:val="en-GB"/>
              </w:rPr>
            </w:pPr>
          </w:p>
        </w:tc>
        <w:tc>
          <w:tcPr>
            <w:tcW w:w="1701" w:type="dxa"/>
            <w:tcBorders>
              <w:top w:val="single" w:sz="4" w:space="0" w:color="auto"/>
            </w:tcBorders>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1 May 2019</w:t>
            </w:r>
          </w:p>
        </w:tc>
      </w:tr>
      <w:tr w:rsidR="00306969" w:rsidRPr="00D72AC3" w:rsidTr="00FE237C">
        <w:trPr>
          <w:trHeight w:val="1191"/>
        </w:trPr>
        <w:tc>
          <w:tcPr>
            <w:tcW w:w="567" w:type="dxa"/>
            <w:vMerge/>
            <w:tcBorders>
              <w:left w:val="single" w:sz="4" w:space="0" w:color="auto"/>
              <w:righ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3675" w:type="dxa"/>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712" w:type="dxa"/>
            <w:gridSpan w:val="2"/>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984" w:type="dxa"/>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2835" w:type="dxa"/>
            <w:shd w:val="clear" w:color="auto" w:fill="FFFFFF" w:themeFill="background1"/>
          </w:tcPr>
          <w:p w:rsidR="00306969" w:rsidRPr="00D72AC3" w:rsidRDefault="00306969" w:rsidP="000D4C76">
            <w:pPr>
              <w:jc w:val="both"/>
              <w:rPr>
                <w:lang w:val="en-GB"/>
              </w:rPr>
            </w:pPr>
            <w:r w:rsidRPr="00D72AC3">
              <w:rPr>
                <w:rFonts w:cs="Times New Roman"/>
                <w:sz w:val="20"/>
                <w:szCs w:val="20"/>
                <w:lang w:val="en-GB" w:bidi="en-GB"/>
              </w:rPr>
              <w:t>3.</w:t>
            </w:r>
            <w:r w:rsidRPr="00D72AC3">
              <w:rPr>
                <w:lang w:val="en-GB" w:bidi="en-GB"/>
              </w:rPr>
              <w:t xml:space="preserve"> </w:t>
            </w:r>
            <w:r w:rsidRPr="00D72AC3">
              <w:rPr>
                <w:rFonts w:cs="Times New Roman"/>
                <w:sz w:val="20"/>
                <w:szCs w:val="20"/>
                <w:lang w:val="en-GB" w:bidi="en-GB"/>
              </w:rPr>
              <w:t>Report prepared on the progress in the formation of the transaction register, where the feature “ultimate beneficial owner" is included.</w:t>
            </w:r>
          </w:p>
        </w:tc>
        <w:tc>
          <w:tcPr>
            <w:tcW w:w="1134" w:type="dxa"/>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LCSN</w:t>
            </w:r>
          </w:p>
        </w:tc>
        <w:tc>
          <w:tcPr>
            <w:tcW w:w="1276" w:type="dxa"/>
            <w:shd w:val="clear" w:color="auto" w:fill="FFFFFF" w:themeFill="background1"/>
          </w:tcPr>
          <w:p w:rsidR="00306969" w:rsidRPr="00D72AC3" w:rsidRDefault="00306969" w:rsidP="000D4C76">
            <w:pPr>
              <w:jc w:val="center"/>
              <w:rPr>
                <w:rFonts w:cs="Times New Roman"/>
                <w:sz w:val="20"/>
                <w:szCs w:val="20"/>
                <w:lang w:val="en-GB"/>
              </w:rPr>
            </w:pPr>
          </w:p>
        </w:tc>
        <w:tc>
          <w:tcPr>
            <w:tcW w:w="1701" w:type="dxa"/>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31 December 2019</w:t>
            </w:r>
          </w:p>
        </w:tc>
      </w:tr>
      <w:tr w:rsidR="00306969" w:rsidRPr="00D72AC3" w:rsidTr="00FE237C">
        <w:trPr>
          <w:trHeight w:val="1191"/>
        </w:trPr>
        <w:tc>
          <w:tcPr>
            <w:tcW w:w="567" w:type="dxa"/>
            <w:vMerge/>
            <w:tcBorders>
              <w:left w:val="single" w:sz="4" w:space="0" w:color="auto"/>
              <w:righ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3675" w:type="dxa"/>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712" w:type="dxa"/>
            <w:gridSpan w:val="2"/>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984" w:type="dxa"/>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2835" w:type="dxa"/>
            <w:shd w:val="clear" w:color="auto" w:fill="FFFFFF" w:themeFill="background1"/>
          </w:tcPr>
          <w:p w:rsidR="00306969" w:rsidRPr="00D72AC3" w:rsidRDefault="00306969" w:rsidP="000D4C76">
            <w:pPr>
              <w:jc w:val="both"/>
              <w:rPr>
                <w:rFonts w:cs="Times New Roman"/>
                <w:sz w:val="20"/>
                <w:szCs w:val="20"/>
                <w:lang w:val="en-GB"/>
              </w:rPr>
            </w:pPr>
            <w:r w:rsidRPr="00D72AC3">
              <w:rPr>
                <w:rFonts w:cs="Times New Roman"/>
                <w:sz w:val="20"/>
                <w:szCs w:val="20"/>
                <w:lang w:val="en-GB" w:bidi="en-GB"/>
              </w:rPr>
              <w:t>4. The register of transactions closed via sworn notaries established, incorporating therein the feature "ultimate beneficial owner".</w:t>
            </w:r>
          </w:p>
        </w:tc>
        <w:tc>
          <w:tcPr>
            <w:tcW w:w="1134" w:type="dxa"/>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LCSN</w:t>
            </w:r>
          </w:p>
        </w:tc>
        <w:tc>
          <w:tcPr>
            <w:tcW w:w="1276" w:type="dxa"/>
            <w:shd w:val="clear" w:color="auto" w:fill="FFFFFF" w:themeFill="background1"/>
          </w:tcPr>
          <w:p w:rsidR="00306969" w:rsidRPr="00D72AC3" w:rsidRDefault="00306969" w:rsidP="000D4C76">
            <w:pPr>
              <w:jc w:val="center"/>
              <w:rPr>
                <w:rFonts w:cs="Times New Roman"/>
                <w:sz w:val="20"/>
                <w:szCs w:val="20"/>
                <w:lang w:val="en-GB"/>
              </w:rPr>
            </w:pPr>
          </w:p>
        </w:tc>
        <w:tc>
          <w:tcPr>
            <w:tcW w:w="1701" w:type="dxa"/>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31 December 2021</w:t>
            </w:r>
          </w:p>
        </w:tc>
      </w:tr>
      <w:tr w:rsidR="00306969" w:rsidRPr="00D72AC3" w:rsidTr="00FE237C">
        <w:trPr>
          <w:trHeight w:val="940"/>
        </w:trPr>
        <w:tc>
          <w:tcPr>
            <w:tcW w:w="567" w:type="dxa"/>
            <w:vMerge/>
            <w:tcBorders>
              <w:left w:val="single" w:sz="4" w:space="0" w:color="auto"/>
              <w:righ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3675" w:type="dxa"/>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712" w:type="dxa"/>
            <w:gridSpan w:val="2"/>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1984" w:type="dxa"/>
            <w:vMerge/>
            <w:tcBorders>
              <w:top w:val="nil"/>
              <w:left w:val="single" w:sz="4" w:space="0" w:color="auto"/>
            </w:tcBorders>
            <w:shd w:val="clear" w:color="auto" w:fill="FFFFFF" w:themeFill="background1"/>
          </w:tcPr>
          <w:p w:rsidR="00306969" w:rsidRPr="00D72AC3" w:rsidRDefault="00306969" w:rsidP="000D4C76">
            <w:pPr>
              <w:jc w:val="both"/>
              <w:rPr>
                <w:rFonts w:cs="Times New Roman"/>
                <w:sz w:val="20"/>
                <w:szCs w:val="20"/>
                <w:lang w:val="en-GB"/>
              </w:rPr>
            </w:pPr>
          </w:p>
        </w:tc>
        <w:tc>
          <w:tcPr>
            <w:tcW w:w="2835" w:type="dxa"/>
            <w:shd w:val="clear" w:color="auto" w:fill="FFFFFF" w:themeFill="background1"/>
          </w:tcPr>
          <w:p w:rsidR="00306969" w:rsidRPr="00D72AC3" w:rsidRDefault="00306969" w:rsidP="000D4C76">
            <w:pPr>
              <w:jc w:val="both"/>
              <w:rPr>
                <w:rFonts w:cs="Times New Roman"/>
                <w:sz w:val="20"/>
                <w:szCs w:val="20"/>
                <w:lang w:val="en-GB"/>
              </w:rPr>
            </w:pPr>
            <w:r w:rsidRPr="00D72AC3">
              <w:rPr>
                <w:rFonts w:cs="Times New Roman"/>
                <w:sz w:val="20"/>
                <w:szCs w:val="20"/>
                <w:lang w:val="en-GB" w:bidi="en-GB"/>
              </w:rPr>
              <w:t>5.</w:t>
            </w:r>
            <w:r w:rsidRPr="00D72AC3">
              <w:rPr>
                <w:lang w:val="en-GB" w:bidi="en-GB"/>
              </w:rPr>
              <w:t xml:space="preserve"> </w:t>
            </w:r>
            <w:r w:rsidRPr="00D72AC3">
              <w:rPr>
                <w:rFonts w:cs="Times New Roman"/>
                <w:sz w:val="20"/>
                <w:szCs w:val="20"/>
                <w:lang w:val="en-GB" w:bidi="en-GB"/>
              </w:rPr>
              <w:t>A visualised image and methodology established for determination of the ultimate beneficial owner.</w:t>
            </w:r>
          </w:p>
        </w:tc>
        <w:tc>
          <w:tcPr>
            <w:tcW w:w="1134" w:type="dxa"/>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LCSN</w:t>
            </w:r>
          </w:p>
        </w:tc>
        <w:tc>
          <w:tcPr>
            <w:tcW w:w="1276" w:type="dxa"/>
            <w:shd w:val="clear" w:color="auto" w:fill="FFFFFF" w:themeFill="background1"/>
          </w:tcPr>
          <w:p w:rsidR="00306969" w:rsidRPr="00D72AC3" w:rsidRDefault="00306969" w:rsidP="000D4C76">
            <w:pPr>
              <w:jc w:val="center"/>
              <w:rPr>
                <w:rFonts w:cs="Times New Roman"/>
                <w:sz w:val="20"/>
                <w:szCs w:val="20"/>
                <w:lang w:val="en-GB"/>
              </w:rPr>
            </w:pPr>
          </w:p>
        </w:tc>
        <w:tc>
          <w:tcPr>
            <w:tcW w:w="1701" w:type="dxa"/>
            <w:shd w:val="clear" w:color="auto" w:fill="FFFFFF" w:themeFill="background1"/>
          </w:tcPr>
          <w:p w:rsidR="00306969" w:rsidRPr="00D72AC3" w:rsidRDefault="00306969" w:rsidP="000D4C76">
            <w:pPr>
              <w:jc w:val="center"/>
              <w:rPr>
                <w:rFonts w:cs="Times New Roman"/>
                <w:sz w:val="20"/>
                <w:szCs w:val="20"/>
                <w:lang w:val="en-GB"/>
              </w:rPr>
            </w:pPr>
            <w:r w:rsidRPr="00D72AC3">
              <w:rPr>
                <w:rFonts w:cs="Times New Roman"/>
                <w:sz w:val="20"/>
                <w:szCs w:val="20"/>
                <w:lang w:val="en-GB" w:bidi="en-GB"/>
              </w:rPr>
              <w:t>31 December 2021</w:t>
            </w:r>
          </w:p>
        </w:tc>
      </w:tr>
    </w:tbl>
    <w:p w:rsidR="005E007F" w:rsidRPr="00D72AC3" w:rsidRDefault="005E007F" w:rsidP="00FF0BBA">
      <w:pPr>
        <w:jc w:val="both"/>
        <w:rPr>
          <w:b/>
          <w:sz w:val="28"/>
          <w:szCs w:val="28"/>
          <w:lang w:val="en-GB"/>
        </w:rPr>
      </w:pPr>
    </w:p>
    <w:p w:rsidR="00306969" w:rsidRPr="00D72AC3" w:rsidRDefault="00306969" w:rsidP="00FF0BBA">
      <w:pPr>
        <w:jc w:val="both"/>
        <w:rPr>
          <w:b/>
          <w:sz w:val="28"/>
          <w:szCs w:val="28"/>
          <w:lang w:val="en-GB"/>
        </w:rPr>
      </w:pPr>
    </w:p>
    <w:p w:rsidR="00FF0BBA" w:rsidRPr="00D72AC3" w:rsidRDefault="009C6D67" w:rsidP="00E24F37">
      <w:pPr>
        <w:pStyle w:val="Heading2"/>
        <w:rPr>
          <w:rFonts w:ascii="Times New Roman" w:hAnsi="Times New Roman" w:cs="Times New Roman"/>
          <w:b/>
          <w:color w:val="auto"/>
          <w:sz w:val="28"/>
          <w:szCs w:val="28"/>
          <w:lang w:val="en-GB"/>
        </w:rPr>
      </w:pPr>
      <w:bookmarkStart w:id="12" w:name="_Toc526510439"/>
      <w:r w:rsidRPr="00D72AC3">
        <w:rPr>
          <w:rFonts w:ascii="Times New Roman" w:eastAsia="Times New Roman" w:hAnsi="Times New Roman" w:cs="Times New Roman"/>
          <w:b/>
          <w:color w:val="auto"/>
          <w:sz w:val="28"/>
          <w:szCs w:val="28"/>
          <w:lang w:val="en-GB" w:bidi="en-GB"/>
        </w:rPr>
        <w:t>Sixth course of action - Financial intelligence</w:t>
      </w:r>
      <w:bookmarkEnd w:id="12"/>
      <w:r w:rsidR="00D72AC3" w:rsidRPr="00D72AC3">
        <w:rPr>
          <w:rFonts w:ascii="Times New Roman" w:eastAsia="Times New Roman" w:hAnsi="Times New Roman" w:cs="Times New Roman"/>
          <w:b/>
          <w:color w:val="auto"/>
          <w:sz w:val="28"/>
          <w:szCs w:val="28"/>
          <w:lang w:val="en-GB" w:bidi="en-GB"/>
        </w:rPr>
        <w:t xml:space="preserve"> </w:t>
      </w:r>
    </w:p>
    <w:p w:rsidR="00FF0BBA" w:rsidRPr="00D72AC3" w:rsidRDefault="00FF0BBA"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CS</w:t>
      </w:r>
    </w:p>
    <w:p w:rsidR="00FF0BBA" w:rsidRPr="00D72AC3" w:rsidRDefault="00FF0BBA" w:rsidP="00FF0BBA">
      <w:pPr>
        <w:jc w:val="both"/>
        <w:rPr>
          <w:szCs w:val="24"/>
          <w:lang w:val="en-GB"/>
        </w:rPr>
      </w:pPr>
      <w:r w:rsidRPr="00D72AC3">
        <w:rPr>
          <w:szCs w:val="24"/>
          <w:lang w:val="en-GB" w:bidi="en-GB"/>
        </w:rPr>
        <w:t>Co-responsible authorities: SP, SRS, SeP, CPCB, GPO, FCMC, LCSN, LCSA, BoL, LACA, NCCH, CRPC, NCCH, LGSI, MoT</w:t>
      </w:r>
    </w:p>
    <w:p w:rsidR="00A3142E" w:rsidRPr="00D72AC3" w:rsidRDefault="00A3142E" w:rsidP="00FF0BBA">
      <w:pPr>
        <w:jc w:val="both"/>
        <w:rPr>
          <w:sz w:val="28"/>
          <w:szCs w:val="28"/>
          <w:lang w:val="en-GB"/>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701"/>
        <w:gridCol w:w="1984"/>
        <w:gridCol w:w="2835"/>
        <w:gridCol w:w="1276"/>
        <w:gridCol w:w="1134"/>
        <w:gridCol w:w="1701"/>
      </w:tblGrid>
      <w:tr w:rsidR="00A3142E" w:rsidRPr="00D72AC3" w:rsidTr="0041273D">
        <w:tc>
          <w:tcPr>
            <w:tcW w:w="4253" w:type="dxa"/>
            <w:gridSpan w:val="2"/>
          </w:tcPr>
          <w:p w:rsidR="00A3142E" w:rsidRPr="007714D2" w:rsidRDefault="007714D2" w:rsidP="007714D2">
            <w:pPr>
              <w:rPr>
                <w:rFonts w:cs="Times New Roman"/>
                <w:b/>
                <w:sz w:val="20"/>
                <w:szCs w:val="20"/>
                <w:lang w:val="en-GB" w:bidi="en-GB"/>
              </w:rPr>
            </w:pPr>
            <w:r>
              <w:rPr>
                <w:rFonts w:cs="Times New Roman"/>
                <w:b/>
                <w:sz w:val="20"/>
                <w:szCs w:val="20"/>
                <w:lang w:val="en-GB" w:bidi="en-GB"/>
              </w:rPr>
              <w:t>Sixth</w:t>
            </w:r>
            <w:r w:rsidR="00A3142E" w:rsidRPr="00D72AC3">
              <w:rPr>
                <w:rFonts w:cs="Times New Roman"/>
                <w:b/>
                <w:sz w:val="20"/>
                <w:szCs w:val="20"/>
                <w:lang w:val="en-GB" w:bidi="en-GB"/>
              </w:rPr>
              <w:t xml:space="preserve"> course of action</w:t>
            </w:r>
          </w:p>
        </w:tc>
        <w:tc>
          <w:tcPr>
            <w:tcW w:w="10631" w:type="dxa"/>
            <w:gridSpan w:val="6"/>
          </w:tcPr>
          <w:p w:rsidR="00A3142E" w:rsidRPr="00D72AC3" w:rsidRDefault="00A3142E" w:rsidP="00A3142E">
            <w:pPr>
              <w:jc w:val="both"/>
              <w:rPr>
                <w:rFonts w:cs="Times New Roman"/>
                <w:b/>
                <w:bCs/>
                <w:sz w:val="20"/>
                <w:szCs w:val="20"/>
                <w:lang w:val="en-GB"/>
              </w:rPr>
            </w:pPr>
            <w:r w:rsidRPr="00D72AC3">
              <w:rPr>
                <w:rFonts w:cs="Times New Roman"/>
                <w:b/>
                <w:sz w:val="20"/>
                <w:szCs w:val="20"/>
                <w:lang w:val="en-GB" w:bidi="en-GB"/>
              </w:rPr>
              <w:t>FINANCIAL INTELLIGENCE</w:t>
            </w:r>
          </w:p>
        </w:tc>
      </w:tr>
      <w:tr w:rsidR="00A3142E" w:rsidRPr="00D72AC3" w:rsidTr="0041273D">
        <w:tc>
          <w:tcPr>
            <w:tcW w:w="4253" w:type="dxa"/>
            <w:gridSpan w:val="2"/>
          </w:tcPr>
          <w:p w:rsidR="00A3142E" w:rsidRPr="00D72AC3" w:rsidRDefault="00A3142E" w:rsidP="00A3142E">
            <w:pPr>
              <w:rPr>
                <w:rFonts w:cs="Times New Roman"/>
                <w:b/>
                <w:bCs/>
                <w:sz w:val="20"/>
                <w:szCs w:val="20"/>
                <w:lang w:val="en-GB"/>
              </w:rPr>
            </w:pPr>
            <w:r w:rsidRPr="00D72AC3">
              <w:rPr>
                <w:rFonts w:cs="Times New Roman"/>
                <w:b/>
                <w:sz w:val="20"/>
                <w:szCs w:val="20"/>
                <w:lang w:val="en-GB" w:bidi="en-GB"/>
              </w:rPr>
              <w:t>Sub-objectives to be achieved:</w:t>
            </w:r>
          </w:p>
        </w:tc>
        <w:tc>
          <w:tcPr>
            <w:tcW w:w="10631" w:type="dxa"/>
            <w:gridSpan w:val="6"/>
          </w:tcPr>
          <w:p w:rsidR="00A3142E" w:rsidRPr="00D72AC3" w:rsidRDefault="00A3142E" w:rsidP="00342D0D">
            <w:pPr>
              <w:jc w:val="both"/>
              <w:rPr>
                <w:rFonts w:cs="Times New Roman"/>
                <w:b/>
                <w:bCs/>
                <w:sz w:val="20"/>
                <w:szCs w:val="20"/>
                <w:lang w:val="en-GB"/>
              </w:rPr>
            </w:pPr>
            <w:r w:rsidRPr="00D72AC3">
              <w:rPr>
                <w:rFonts w:cs="Times New Roman"/>
                <w:b/>
                <w:sz w:val="20"/>
                <w:szCs w:val="20"/>
                <w:lang w:val="en-GB" w:bidi="en-GB"/>
              </w:rPr>
              <w:t>1. System for reporting suspicious and unusual transactions improved</w:t>
            </w:r>
          </w:p>
        </w:tc>
      </w:tr>
      <w:tr w:rsidR="00A3142E" w:rsidRPr="00D72AC3" w:rsidTr="0041273D">
        <w:tc>
          <w:tcPr>
            <w:tcW w:w="4253" w:type="dxa"/>
            <w:gridSpan w:val="2"/>
          </w:tcPr>
          <w:p w:rsidR="00A3142E" w:rsidRPr="00D72AC3" w:rsidRDefault="00A3142E" w:rsidP="00A3142E">
            <w:pPr>
              <w:rPr>
                <w:rFonts w:cs="Times New Roman"/>
                <w:b/>
                <w:bCs/>
                <w:sz w:val="20"/>
                <w:szCs w:val="20"/>
                <w:lang w:val="en-GB"/>
              </w:rPr>
            </w:pPr>
          </w:p>
        </w:tc>
        <w:tc>
          <w:tcPr>
            <w:tcW w:w="10631" w:type="dxa"/>
            <w:gridSpan w:val="6"/>
          </w:tcPr>
          <w:p w:rsidR="00A3142E" w:rsidRPr="00D72AC3" w:rsidRDefault="007B2625" w:rsidP="00342D0D">
            <w:pPr>
              <w:jc w:val="both"/>
              <w:rPr>
                <w:rFonts w:cs="Times New Roman"/>
                <w:b/>
                <w:bCs/>
                <w:sz w:val="20"/>
                <w:szCs w:val="20"/>
                <w:lang w:val="en-GB"/>
              </w:rPr>
            </w:pPr>
            <w:r w:rsidRPr="00D72AC3">
              <w:rPr>
                <w:rFonts w:cs="Times New Roman"/>
                <w:b/>
                <w:sz w:val="20"/>
                <w:szCs w:val="20"/>
                <w:lang w:val="en-GB" w:bidi="en-GB"/>
              </w:rPr>
              <w:t>2. Coordination ensured between the CS, supervisory and controlling authorities, law enforcement authorities and subjects of the law</w:t>
            </w:r>
          </w:p>
        </w:tc>
      </w:tr>
      <w:tr w:rsidR="00FD1DE9" w:rsidRPr="00D72AC3" w:rsidTr="0041273D">
        <w:tc>
          <w:tcPr>
            <w:tcW w:w="4253" w:type="dxa"/>
            <w:gridSpan w:val="2"/>
          </w:tcPr>
          <w:p w:rsidR="00FD1DE9" w:rsidRPr="00D72AC3" w:rsidRDefault="00FD1DE9" w:rsidP="00A3142E">
            <w:pPr>
              <w:rPr>
                <w:rFonts w:cs="Times New Roman"/>
                <w:b/>
                <w:bCs/>
                <w:sz w:val="20"/>
                <w:szCs w:val="20"/>
                <w:lang w:val="en-GB"/>
              </w:rPr>
            </w:pPr>
          </w:p>
        </w:tc>
        <w:tc>
          <w:tcPr>
            <w:tcW w:w="10631" w:type="dxa"/>
            <w:gridSpan w:val="6"/>
          </w:tcPr>
          <w:p w:rsidR="00FD1DE9" w:rsidRPr="00D72AC3" w:rsidRDefault="00FD1DE9" w:rsidP="00342D0D">
            <w:pPr>
              <w:jc w:val="both"/>
              <w:rPr>
                <w:rFonts w:cs="Times New Roman"/>
                <w:b/>
                <w:bCs/>
                <w:sz w:val="20"/>
                <w:szCs w:val="20"/>
                <w:lang w:val="en-GB"/>
              </w:rPr>
            </w:pPr>
            <w:r w:rsidRPr="00D72AC3">
              <w:rPr>
                <w:rFonts w:cs="Times New Roman"/>
                <w:b/>
                <w:sz w:val="20"/>
                <w:szCs w:val="20"/>
                <w:lang w:val="en-GB" w:bidi="en-GB"/>
              </w:rPr>
              <w:t>3. Adequate possibilities ensured to carry out strategic and operational analysis</w:t>
            </w:r>
          </w:p>
        </w:tc>
      </w:tr>
      <w:tr w:rsidR="00FD1DE9" w:rsidRPr="00D72AC3" w:rsidTr="0041273D">
        <w:tc>
          <w:tcPr>
            <w:tcW w:w="4253" w:type="dxa"/>
            <w:gridSpan w:val="2"/>
          </w:tcPr>
          <w:p w:rsidR="00FD1DE9" w:rsidRPr="00D72AC3" w:rsidRDefault="00FD1DE9" w:rsidP="00A3142E">
            <w:pPr>
              <w:rPr>
                <w:rFonts w:cs="Times New Roman"/>
                <w:b/>
                <w:bCs/>
                <w:sz w:val="20"/>
                <w:szCs w:val="20"/>
                <w:lang w:val="en-GB"/>
              </w:rPr>
            </w:pPr>
          </w:p>
        </w:tc>
        <w:tc>
          <w:tcPr>
            <w:tcW w:w="10631" w:type="dxa"/>
            <w:gridSpan w:val="6"/>
          </w:tcPr>
          <w:p w:rsidR="00FD1DE9" w:rsidRPr="00D72AC3" w:rsidRDefault="00FD1DE9" w:rsidP="0025344E">
            <w:pPr>
              <w:pStyle w:val="ListParagraph"/>
              <w:tabs>
                <w:tab w:val="left" w:pos="6307"/>
              </w:tabs>
              <w:ind w:left="0"/>
              <w:jc w:val="both"/>
              <w:rPr>
                <w:rFonts w:cs="Times New Roman"/>
                <w:b/>
                <w:bCs/>
                <w:sz w:val="20"/>
                <w:szCs w:val="20"/>
                <w:lang w:val="en-GB"/>
              </w:rPr>
            </w:pPr>
            <w:r w:rsidRPr="00D72AC3">
              <w:rPr>
                <w:rFonts w:cs="Times New Roman"/>
                <w:b/>
                <w:sz w:val="20"/>
                <w:szCs w:val="20"/>
                <w:lang w:val="en-GB" w:bidi="en-GB"/>
              </w:rPr>
              <w:t>4. The CS is reorganised into the administrative type financial intelligence service, prescribing complete autonomy and operational independence thereof</w:t>
            </w:r>
          </w:p>
        </w:tc>
      </w:tr>
      <w:tr w:rsidR="00A3142E" w:rsidRPr="00D72AC3" w:rsidTr="0041273D">
        <w:tc>
          <w:tcPr>
            <w:tcW w:w="567" w:type="dxa"/>
          </w:tcPr>
          <w:p w:rsidR="00A3142E" w:rsidRPr="00D72AC3" w:rsidRDefault="0041273D" w:rsidP="0041273D">
            <w:pPr>
              <w:jc w:val="center"/>
              <w:rPr>
                <w:rFonts w:cs="Times New Roman"/>
                <w:bCs/>
                <w:sz w:val="20"/>
                <w:szCs w:val="20"/>
                <w:lang w:val="en-GB"/>
              </w:rPr>
            </w:pPr>
            <w:r w:rsidRPr="00D72AC3">
              <w:rPr>
                <w:rFonts w:cs="Times New Roman"/>
                <w:sz w:val="20"/>
                <w:szCs w:val="20"/>
                <w:lang w:val="en-GB" w:bidi="en-GB"/>
              </w:rPr>
              <w:t>No.</w:t>
            </w:r>
          </w:p>
        </w:tc>
        <w:tc>
          <w:tcPr>
            <w:tcW w:w="3686" w:type="dxa"/>
            <w:shd w:val="clear" w:color="auto" w:fill="auto"/>
          </w:tcPr>
          <w:p w:rsidR="00A3142E" w:rsidRPr="00D72AC3" w:rsidRDefault="00A3142E" w:rsidP="00A3142E">
            <w:pPr>
              <w:jc w:val="center"/>
              <w:rPr>
                <w:rFonts w:cs="Times New Roman"/>
                <w:bCs/>
                <w:i/>
                <w:sz w:val="20"/>
                <w:szCs w:val="20"/>
                <w:lang w:val="en-GB"/>
              </w:rPr>
            </w:pPr>
            <w:r w:rsidRPr="00D72AC3">
              <w:rPr>
                <w:rFonts w:cs="Times New Roman"/>
                <w:b/>
                <w:sz w:val="20"/>
                <w:szCs w:val="20"/>
                <w:lang w:val="en-GB" w:bidi="en-GB"/>
              </w:rPr>
              <w:t>Measure</w:t>
            </w:r>
          </w:p>
        </w:tc>
        <w:tc>
          <w:tcPr>
            <w:tcW w:w="1701" w:type="dxa"/>
          </w:tcPr>
          <w:p w:rsidR="00A3142E" w:rsidRPr="00D72AC3" w:rsidRDefault="00A3142E" w:rsidP="00A3142E">
            <w:pPr>
              <w:ind w:right="-108"/>
              <w:rPr>
                <w:rFonts w:cs="Times New Roman"/>
                <w:b/>
                <w:sz w:val="20"/>
                <w:szCs w:val="20"/>
                <w:lang w:val="en-GB"/>
              </w:rPr>
            </w:pPr>
            <w:r w:rsidRPr="00D72AC3">
              <w:rPr>
                <w:rFonts w:cs="Times New Roman"/>
                <w:b/>
                <w:sz w:val="20"/>
                <w:szCs w:val="20"/>
                <w:lang w:val="en-GB" w:bidi="en-GB"/>
              </w:rPr>
              <w:t xml:space="preserve">Source </w:t>
            </w:r>
          </w:p>
        </w:tc>
        <w:tc>
          <w:tcPr>
            <w:tcW w:w="1984" w:type="dxa"/>
            <w:shd w:val="clear" w:color="auto" w:fill="auto"/>
          </w:tcPr>
          <w:p w:rsidR="00A3142E" w:rsidRPr="00D72AC3" w:rsidRDefault="00A3142E" w:rsidP="00A3142E">
            <w:pPr>
              <w:rPr>
                <w:rFonts w:cs="Times New Roman"/>
                <w:b/>
                <w:bCs/>
                <w:i/>
                <w:sz w:val="20"/>
                <w:szCs w:val="20"/>
                <w:lang w:val="en-GB"/>
              </w:rPr>
            </w:pPr>
            <w:r w:rsidRPr="00D72AC3">
              <w:rPr>
                <w:rFonts w:cs="Times New Roman"/>
                <w:b/>
                <w:sz w:val="20"/>
                <w:szCs w:val="20"/>
                <w:lang w:val="en-GB" w:bidi="en-GB"/>
              </w:rPr>
              <w:t>Activity outcome</w:t>
            </w:r>
          </w:p>
        </w:tc>
        <w:tc>
          <w:tcPr>
            <w:tcW w:w="2835" w:type="dxa"/>
          </w:tcPr>
          <w:p w:rsidR="00A3142E" w:rsidRPr="00D72AC3" w:rsidRDefault="00A3142E" w:rsidP="00A3142E">
            <w:pPr>
              <w:jc w:val="center"/>
              <w:rPr>
                <w:rFonts w:cs="Times New Roman"/>
                <w:bCs/>
                <w:i/>
                <w:sz w:val="20"/>
                <w:szCs w:val="20"/>
                <w:lang w:val="en-GB"/>
              </w:rPr>
            </w:pPr>
            <w:r w:rsidRPr="00D72AC3">
              <w:rPr>
                <w:rFonts w:cs="Times New Roman"/>
                <w:b/>
                <w:sz w:val="20"/>
                <w:szCs w:val="20"/>
                <w:lang w:val="en-GB" w:bidi="en-GB"/>
              </w:rPr>
              <w:t>Outcome indicator</w:t>
            </w:r>
          </w:p>
        </w:tc>
        <w:tc>
          <w:tcPr>
            <w:tcW w:w="1276" w:type="dxa"/>
            <w:shd w:val="clear" w:color="auto" w:fill="auto"/>
          </w:tcPr>
          <w:p w:rsidR="00A3142E" w:rsidRPr="00D72AC3" w:rsidRDefault="00A3142E" w:rsidP="00A3142E">
            <w:pPr>
              <w:jc w:val="center"/>
              <w:rPr>
                <w:rFonts w:cs="Times New Roman"/>
                <w:bCs/>
                <w:i/>
                <w:sz w:val="20"/>
                <w:szCs w:val="20"/>
                <w:lang w:val="en-GB"/>
              </w:rPr>
            </w:pPr>
            <w:r w:rsidRPr="00D72AC3">
              <w:rPr>
                <w:rFonts w:cs="Times New Roman"/>
                <w:b/>
                <w:sz w:val="20"/>
                <w:szCs w:val="20"/>
                <w:lang w:val="en-GB" w:bidi="en-GB"/>
              </w:rPr>
              <w:t>Responsible authority</w:t>
            </w:r>
          </w:p>
        </w:tc>
        <w:tc>
          <w:tcPr>
            <w:tcW w:w="1134" w:type="dxa"/>
            <w:shd w:val="clear" w:color="auto" w:fill="auto"/>
          </w:tcPr>
          <w:p w:rsidR="00A3142E" w:rsidRPr="00D72AC3" w:rsidRDefault="00A3142E" w:rsidP="00A3142E">
            <w:pPr>
              <w:jc w:val="center"/>
              <w:rPr>
                <w:rFonts w:cs="Times New Roman"/>
                <w:bCs/>
                <w:i/>
                <w:sz w:val="20"/>
                <w:szCs w:val="20"/>
                <w:lang w:val="en-GB"/>
              </w:rPr>
            </w:pPr>
            <w:r w:rsidRPr="00D72AC3">
              <w:rPr>
                <w:rFonts w:cs="Times New Roman"/>
                <w:b/>
                <w:sz w:val="20"/>
                <w:szCs w:val="20"/>
                <w:lang w:val="en-GB" w:bidi="en-GB"/>
              </w:rPr>
              <w:t>Co-responsible authorities</w:t>
            </w:r>
          </w:p>
        </w:tc>
        <w:tc>
          <w:tcPr>
            <w:tcW w:w="1701" w:type="dxa"/>
            <w:shd w:val="clear" w:color="auto" w:fill="auto"/>
          </w:tcPr>
          <w:p w:rsidR="00A3142E" w:rsidRPr="00D72AC3" w:rsidRDefault="00A3142E" w:rsidP="00A3142E">
            <w:pPr>
              <w:jc w:val="center"/>
              <w:rPr>
                <w:rFonts w:cs="Times New Roman"/>
                <w:bCs/>
                <w:i/>
                <w:sz w:val="20"/>
                <w:szCs w:val="20"/>
                <w:lang w:val="en-GB"/>
              </w:rPr>
            </w:pPr>
            <w:r w:rsidRPr="00D72AC3">
              <w:rPr>
                <w:rFonts w:cs="Times New Roman"/>
                <w:b/>
                <w:sz w:val="20"/>
                <w:szCs w:val="20"/>
                <w:lang w:val="en-GB" w:bidi="en-GB"/>
              </w:rPr>
              <w:t>Term for implementation</w:t>
            </w:r>
          </w:p>
        </w:tc>
      </w:tr>
      <w:tr w:rsidR="00921C02" w:rsidRPr="00D72AC3" w:rsidTr="0041273D">
        <w:trPr>
          <w:trHeight w:val="1228"/>
        </w:trPr>
        <w:tc>
          <w:tcPr>
            <w:tcW w:w="567" w:type="dxa"/>
            <w:shd w:val="clear" w:color="auto" w:fill="FFFFFF" w:themeFill="background1"/>
          </w:tcPr>
          <w:p w:rsidR="00921C02" w:rsidRPr="00D72AC3" w:rsidRDefault="00921C02" w:rsidP="00A3142E">
            <w:pPr>
              <w:rPr>
                <w:rFonts w:cs="Times New Roman"/>
                <w:sz w:val="20"/>
                <w:szCs w:val="20"/>
                <w:lang w:val="en-GB"/>
              </w:rPr>
            </w:pPr>
            <w:r w:rsidRPr="00D72AC3">
              <w:rPr>
                <w:rFonts w:cs="Times New Roman"/>
                <w:sz w:val="20"/>
                <w:szCs w:val="20"/>
                <w:lang w:val="en-GB" w:bidi="en-GB"/>
              </w:rPr>
              <w:t>6.1.</w:t>
            </w:r>
          </w:p>
        </w:tc>
        <w:tc>
          <w:tcPr>
            <w:tcW w:w="3686" w:type="dxa"/>
            <w:shd w:val="clear" w:color="auto" w:fill="FFFFFF" w:themeFill="background1"/>
          </w:tcPr>
          <w:p w:rsidR="00921C02" w:rsidRPr="00D72AC3" w:rsidRDefault="00921C02" w:rsidP="00A3142E">
            <w:pPr>
              <w:jc w:val="both"/>
              <w:rPr>
                <w:rFonts w:cs="Times New Roman"/>
                <w:sz w:val="20"/>
                <w:szCs w:val="20"/>
                <w:lang w:val="en-GB"/>
              </w:rPr>
            </w:pPr>
            <w:r w:rsidRPr="00D72AC3">
              <w:rPr>
                <w:rFonts w:cs="Times New Roman"/>
                <w:sz w:val="20"/>
                <w:szCs w:val="20"/>
                <w:lang w:val="en-GB" w:bidi="en-GB"/>
              </w:rPr>
              <w:t xml:space="preserve">To ensure the training of the subjects of the </w:t>
            </w:r>
            <w:r w:rsidRPr="00D72AC3">
              <w:rPr>
                <w:rFonts w:cs="Times New Roman"/>
                <w:i/>
                <w:sz w:val="20"/>
                <w:szCs w:val="20"/>
                <w:lang w:val="en-GB" w:bidi="en-GB"/>
              </w:rPr>
              <w:t>Law on the PMLTF</w:t>
            </w:r>
            <w:r w:rsidRPr="00D72AC3">
              <w:rPr>
                <w:rFonts w:cs="Times New Roman"/>
                <w:sz w:val="20"/>
                <w:szCs w:val="20"/>
                <w:lang w:val="en-GB" w:bidi="en-GB"/>
              </w:rPr>
              <w:t xml:space="preserve"> and the supervisors.</w:t>
            </w:r>
          </w:p>
        </w:tc>
        <w:tc>
          <w:tcPr>
            <w:tcW w:w="1701" w:type="dxa"/>
            <w:shd w:val="clear" w:color="auto" w:fill="FFFFFF" w:themeFill="background1"/>
          </w:tcPr>
          <w:p w:rsidR="00921C02" w:rsidRPr="00D72AC3" w:rsidRDefault="00921C02" w:rsidP="00A3142E">
            <w:pPr>
              <w:jc w:val="both"/>
              <w:rPr>
                <w:rFonts w:cs="Times New Roman"/>
                <w:sz w:val="20"/>
                <w:szCs w:val="20"/>
                <w:lang w:val="en-GB"/>
              </w:rPr>
            </w:pPr>
            <w:r w:rsidRPr="00D72AC3">
              <w:rPr>
                <w:rFonts w:cs="Times New Roman"/>
                <w:sz w:val="20"/>
                <w:szCs w:val="20"/>
                <w:lang w:val="en-GB" w:bidi="en-GB"/>
              </w:rPr>
              <w:t>Moneyval recommendation 6.1.</w:t>
            </w:r>
          </w:p>
        </w:tc>
        <w:tc>
          <w:tcPr>
            <w:tcW w:w="1984" w:type="dxa"/>
            <w:shd w:val="clear" w:color="auto" w:fill="FFFFFF" w:themeFill="background1"/>
          </w:tcPr>
          <w:p w:rsidR="00921C02" w:rsidRPr="00D72AC3" w:rsidRDefault="00211EDC" w:rsidP="00FC417E">
            <w:pPr>
              <w:jc w:val="both"/>
              <w:rPr>
                <w:rFonts w:cs="Times New Roman"/>
                <w:sz w:val="20"/>
                <w:szCs w:val="20"/>
                <w:lang w:val="en-GB"/>
              </w:rPr>
            </w:pPr>
            <w:r w:rsidRPr="00D72AC3">
              <w:rPr>
                <w:rFonts w:cs="Times New Roman"/>
                <w:sz w:val="20"/>
                <w:szCs w:val="20"/>
                <w:lang w:val="en-GB" w:bidi="en-GB"/>
              </w:rPr>
              <w:t>1. The CS has carried out the two-tier training of the supervisors (introductory seminar for all supervisors, 1-2 specialised seminars for each supervisory and control authority separately) about the preconditions for quality reporting:</w:t>
            </w:r>
          </w:p>
          <w:p w:rsidR="001A7662" w:rsidRPr="00D72AC3" w:rsidRDefault="001A7662" w:rsidP="0025344E">
            <w:pPr>
              <w:pStyle w:val="ListParagraph"/>
              <w:numPr>
                <w:ilvl w:val="0"/>
                <w:numId w:val="2"/>
              </w:numPr>
              <w:jc w:val="both"/>
              <w:rPr>
                <w:rFonts w:cs="Times New Roman"/>
                <w:sz w:val="20"/>
                <w:szCs w:val="20"/>
                <w:lang w:val="en-GB"/>
              </w:rPr>
            </w:pPr>
            <w:r w:rsidRPr="00D72AC3">
              <w:rPr>
                <w:rFonts w:cs="Times New Roman"/>
                <w:sz w:val="20"/>
                <w:szCs w:val="20"/>
                <w:lang w:val="en-GB" w:bidi="en-GB"/>
              </w:rPr>
              <w:t>differences between suspicious and unusual transactions;</w:t>
            </w:r>
          </w:p>
          <w:p w:rsidR="00211EDC" w:rsidRPr="00D72AC3" w:rsidRDefault="001A7662" w:rsidP="0025344E">
            <w:pPr>
              <w:pStyle w:val="ListParagraph"/>
              <w:numPr>
                <w:ilvl w:val="0"/>
                <w:numId w:val="2"/>
              </w:numPr>
              <w:jc w:val="both"/>
              <w:rPr>
                <w:rFonts w:cs="Times New Roman"/>
                <w:sz w:val="20"/>
                <w:szCs w:val="20"/>
                <w:lang w:val="en-GB"/>
              </w:rPr>
            </w:pPr>
            <w:r w:rsidRPr="00D72AC3">
              <w:rPr>
                <w:rFonts w:cs="Times New Roman"/>
                <w:sz w:val="20"/>
                <w:szCs w:val="20"/>
                <w:lang w:val="en-GB" w:bidi="en-GB"/>
              </w:rPr>
              <w:t>possible adverse effects of delayed or protective reporting.</w:t>
            </w:r>
          </w:p>
          <w:p w:rsidR="00211EDC" w:rsidRPr="00D72AC3" w:rsidRDefault="00211EDC" w:rsidP="0025344E">
            <w:pPr>
              <w:pStyle w:val="ListParagraph"/>
              <w:ind w:left="0"/>
              <w:jc w:val="both"/>
              <w:rPr>
                <w:rFonts w:cs="Times New Roman"/>
                <w:sz w:val="20"/>
                <w:szCs w:val="20"/>
                <w:lang w:val="en-GB"/>
              </w:rPr>
            </w:pPr>
            <w:r w:rsidRPr="00D72AC3">
              <w:rPr>
                <w:rFonts w:cs="Times New Roman"/>
                <w:sz w:val="20"/>
                <w:szCs w:val="20"/>
                <w:lang w:val="en-GB" w:bidi="en-GB"/>
              </w:rPr>
              <w:lastRenderedPageBreak/>
              <w:t>2. The CS, following separate agreement with groups of certain subjects, performs a specialised training thereof about the preconditions of quality reporting:</w:t>
            </w:r>
          </w:p>
          <w:p w:rsidR="00211EDC" w:rsidRPr="00D72AC3" w:rsidRDefault="00211EDC" w:rsidP="00211EDC">
            <w:pPr>
              <w:pStyle w:val="ListParagraph"/>
              <w:numPr>
                <w:ilvl w:val="0"/>
                <w:numId w:val="2"/>
              </w:numPr>
              <w:jc w:val="both"/>
              <w:rPr>
                <w:rFonts w:cs="Times New Roman"/>
                <w:sz w:val="20"/>
                <w:szCs w:val="20"/>
                <w:lang w:val="en-GB"/>
              </w:rPr>
            </w:pPr>
            <w:r w:rsidRPr="00D72AC3">
              <w:rPr>
                <w:rFonts w:cs="Times New Roman"/>
                <w:sz w:val="20"/>
                <w:szCs w:val="20"/>
                <w:lang w:val="en-GB" w:bidi="en-GB"/>
              </w:rPr>
              <w:t>differences between suspicious and unusual transactions;</w:t>
            </w:r>
          </w:p>
          <w:p w:rsidR="00211EDC" w:rsidRPr="00D72AC3" w:rsidRDefault="00211EDC" w:rsidP="0025344E">
            <w:pPr>
              <w:pStyle w:val="ListParagraph"/>
              <w:numPr>
                <w:ilvl w:val="0"/>
                <w:numId w:val="2"/>
              </w:numPr>
              <w:jc w:val="both"/>
              <w:rPr>
                <w:rFonts w:cs="Times New Roman"/>
                <w:sz w:val="20"/>
                <w:szCs w:val="20"/>
                <w:lang w:val="en-GB"/>
              </w:rPr>
            </w:pPr>
            <w:r w:rsidRPr="00D72AC3">
              <w:rPr>
                <w:rFonts w:cs="Times New Roman"/>
                <w:sz w:val="20"/>
                <w:szCs w:val="20"/>
                <w:lang w:val="en-GB" w:bidi="en-GB"/>
              </w:rPr>
              <w:t>possible adverse effects of delayed or protective reporting.</w:t>
            </w:r>
          </w:p>
        </w:tc>
        <w:tc>
          <w:tcPr>
            <w:tcW w:w="2835" w:type="dxa"/>
            <w:shd w:val="clear" w:color="auto" w:fill="FFFFFF" w:themeFill="background1"/>
          </w:tcPr>
          <w:p w:rsidR="00C02CAA" w:rsidRPr="00D72AC3" w:rsidRDefault="001D5BB4" w:rsidP="00C02CAA">
            <w:pPr>
              <w:jc w:val="both"/>
              <w:rPr>
                <w:rFonts w:cs="Times New Roman"/>
                <w:sz w:val="20"/>
                <w:szCs w:val="20"/>
                <w:lang w:val="en-GB"/>
              </w:rPr>
            </w:pPr>
            <w:r w:rsidRPr="00D72AC3">
              <w:rPr>
                <w:rFonts w:cs="Times New Roman"/>
                <w:sz w:val="20"/>
                <w:szCs w:val="20"/>
                <w:lang w:val="en-GB" w:bidi="en-GB"/>
              </w:rPr>
              <w:lastRenderedPageBreak/>
              <w:t>1. and 2. At least 11 seminars of mandatory attendance.</w:t>
            </w:r>
          </w:p>
        </w:tc>
        <w:tc>
          <w:tcPr>
            <w:tcW w:w="1276" w:type="dxa"/>
            <w:shd w:val="clear" w:color="auto" w:fill="FFFFFF" w:themeFill="background1"/>
          </w:tcPr>
          <w:p w:rsidR="00921C02" w:rsidRPr="00D72AC3" w:rsidRDefault="001D5BB4"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921C02" w:rsidRPr="00D72AC3" w:rsidRDefault="001D5BB4" w:rsidP="002D63BE">
            <w:pPr>
              <w:jc w:val="center"/>
              <w:rPr>
                <w:rFonts w:cs="Times New Roman"/>
                <w:sz w:val="20"/>
                <w:szCs w:val="20"/>
                <w:lang w:val="en-GB"/>
              </w:rPr>
            </w:pPr>
            <w:r w:rsidRPr="00D72AC3">
              <w:rPr>
                <w:rFonts w:cs="Times New Roman"/>
                <w:sz w:val="20"/>
                <w:szCs w:val="20"/>
                <w:lang w:val="en-GB" w:bidi="en-GB"/>
              </w:rPr>
              <w:t xml:space="preserve">FCMC, SRS, LCSN, LCSA, BoL, CRPC, MoT, NCCH, subjects of the </w:t>
            </w:r>
            <w:r w:rsidRPr="00D72AC3">
              <w:rPr>
                <w:rFonts w:cs="Times New Roman"/>
                <w:i/>
                <w:sz w:val="20"/>
                <w:szCs w:val="20"/>
                <w:lang w:val="en-GB" w:bidi="en-GB"/>
              </w:rPr>
              <w:t>Law on the PMLTF</w:t>
            </w:r>
          </w:p>
        </w:tc>
        <w:tc>
          <w:tcPr>
            <w:tcW w:w="1701" w:type="dxa"/>
            <w:shd w:val="clear" w:color="auto" w:fill="FFFFFF" w:themeFill="background1"/>
          </w:tcPr>
          <w:p w:rsidR="00921C02" w:rsidRPr="00D72AC3" w:rsidRDefault="001D5BB4" w:rsidP="002D63BE">
            <w:pPr>
              <w:jc w:val="center"/>
              <w:rPr>
                <w:rFonts w:cs="Times New Roman"/>
                <w:sz w:val="20"/>
                <w:szCs w:val="20"/>
                <w:lang w:val="en-GB"/>
              </w:rPr>
            </w:pPr>
            <w:r w:rsidRPr="00D72AC3">
              <w:rPr>
                <w:rFonts w:cs="Times New Roman"/>
                <w:sz w:val="20"/>
                <w:szCs w:val="20"/>
                <w:lang w:val="en-GB" w:bidi="en-GB"/>
              </w:rPr>
              <w:t>1 May 2019</w:t>
            </w:r>
          </w:p>
        </w:tc>
      </w:tr>
      <w:tr w:rsidR="0075119B" w:rsidRPr="00D72AC3" w:rsidTr="0041273D">
        <w:trPr>
          <w:trHeight w:val="1228"/>
        </w:trPr>
        <w:tc>
          <w:tcPr>
            <w:tcW w:w="567" w:type="dxa"/>
            <w:vMerge w:val="restart"/>
            <w:shd w:val="clear" w:color="auto" w:fill="FFFFFF" w:themeFill="background1"/>
          </w:tcPr>
          <w:p w:rsidR="0075119B" w:rsidRPr="00D72AC3" w:rsidRDefault="0075119B" w:rsidP="00A3142E">
            <w:pPr>
              <w:rPr>
                <w:rFonts w:cs="Times New Roman"/>
                <w:sz w:val="20"/>
                <w:szCs w:val="20"/>
                <w:lang w:val="en-GB"/>
              </w:rPr>
            </w:pPr>
            <w:r w:rsidRPr="00D72AC3">
              <w:rPr>
                <w:rFonts w:cs="Times New Roman"/>
                <w:sz w:val="20"/>
                <w:szCs w:val="20"/>
                <w:lang w:val="en-GB" w:bidi="en-GB"/>
              </w:rPr>
              <w:t xml:space="preserve">6.2. </w:t>
            </w:r>
          </w:p>
        </w:tc>
        <w:tc>
          <w:tcPr>
            <w:tcW w:w="3686" w:type="dxa"/>
            <w:vMerge w:val="restart"/>
            <w:shd w:val="clear" w:color="auto" w:fill="FFFFFF" w:themeFill="background1"/>
          </w:tcPr>
          <w:p w:rsidR="0075119B" w:rsidRPr="00D72AC3" w:rsidRDefault="0075119B" w:rsidP="00A3142E">
            <w:pPr>
              <w:jc w:val="both"/>
              <w:rPr>
                <w:rFonts w:cs="Times New Roman"/>
                <w:sz w:val="20"/>
                <w:szCs w:val="20"/>
                <w:lang w:val="en-GB"/>
              </w:rPr>
            </w:pPr>
            <w:r w:rsidRPr="00D72AC3">
              <w:rPr>
                <w:rFonts w:cs="Times New Roman"/>
                <w:sz w:val="20"/>
                <w:szCs w:val="20"/>
                <w:lang w:val="en-GB" w:bidi="en-GB"/>
              </w:rPr>
              <w:t>Provision of information ensured to the subjects of the</w:t>
            </w:r>
            <w:r w:rsidRPr="00D72AC3">
              <w:rPr>
                <w:rFonts w:cs="Times New Roman"/>
                <w:i/>
                <w:sz w:val="20"/>
                <w:szCs w:val="20"/>
                <w:lang w:val="en-GB" w:bidi="en-GB"/>
              </w:rPr>
              <w:t xml:space="preserve"> Law on the PMLTF</w:t>
            </w:r>
          </w:p>
        </w:tc>
        <w:tc>
          <w:tcPr>
            <w:tcW w:w="1701" w:type="dxa"/>
            <w:vMerge w:val="restart"/>
            <w:shd w:val="clear" w:color="auto" w:fill="FFFFFF" w:themeFill="background1"/>
          </w:tcPr>
          <w:p w:rsidR="0075119B" w:rsidRPr="00D72AC3" w:rsidRDefault="0075119B" w:rsidP="00A3142E">
            <w:pPr>
              <w:jc w:val="both"/>
              <w:rPr>
                <w:rFonts w:cs="Times New Roman"/>
                <w:sz w:val="20"/>
                <w:szCs w:val="20"/>
                <w:lang w:val="en-GB"/>
              </w:rPr>
            </w:pPr>
            <w:r w:rsidRPr="00D72AC3">
              <w:rPr>
                <w:rFonts w:cs="Times New Roman"/>
                <w:sz w:val="20"/>
                <w:szCs w:val="20"/>
                <w:lang w:val="en-GB" w:bidi="en-GB"/>
              </w:rPr>
              <w:t>Moneyval recommendation 6.1.</w:t>
            </w:r>
          </w:p>
        </w:tc>
        <w:tc>
          <w:tcPr>
            <w:tcW w:w="1984" w:type="dxa"/>
            <w:shd w:val="clear" w:color="auto" w:fill="FFFFFF" w:themeFill="background1"/>
          </w:tcPr>
          <w:p w:rsidR="0075119B" w:rsidRPr="00D72AC3" w:rsidRDefault="0075119B" w:rsidP="00FC417E">
            <w:pPr>
              <w:jc w:val="both"/>
              <w:rPr>
                <w:rFonts w:cs="Times New Roman"/>
                <w:sz w:val="20"/>
                <w:szCs w:val="20"/>
                <w:lang w:val="en-GB"/>
              </w:rPr>
            </w:pPr>
            <w:r w:rsidRPr="00D72AC3">
              <w:rPr>
                <w:rFonts w:cs="Times New Roman"/>
                <w:sz w:val="20"/>
                <w:szCs w:val="20"/>
                <w:lang w:val="en-GB" w:bidi="en-GB"/>
              </w:rPr>
              <w:t>1. Information about the AML/CFT posted on the CS website enhanced</w:t>
            </w:r>
          </w:p>
        </w:tc>
        <w:tc>
          <w:tcPr>
            <w:tcW w:w="2835" w:type="dxa"/>
            <w:shd w:val="clear" w:color="auto" w:fill="FFFFFF" w:themeFill="background1"/>
          </w:tcPr>
          <w:p w:rsidR="0075119B" w:rsidRPr="00D72AC3" w:rsidRDefault="0075119B" w:rsidP="00A3142E">
            <w:pPr>
              <w:jc w:val="both"/>
              <w:rPr>
                <w:rFonts w:cs="Times New Roman"/>
                <w:sz w:val="20"/>
                <w:szCs w:val="20"/>
                <w:lang w:val="en-GB"/>
              </w:rPr>
            </w:pPr>
            <w:r w:rsidRPr="00D72AC3">
              <w:rPr>
                <w:rFonts w:cs="Times New Roman"/>
                <w:sz w:val="20"/>
                <w:szCs w:val="20"/>
                <w:lang w:val="en-GB" w:bidi="en-GB"/>
              </w:rPr>
              <w:t>1. Operative and practically applicable information prepared on a monthly basis, for the purposes of preparation of reports to the CS</w:t>
            </w:r>
          </w:p>
        </w:tc>
        <w:tc>
          <w:tcPr>
            <w:tcW w:w="1276" w:type="dxa"/>
            <w:shd w:val="clear" w:color="auto" w:fill="FFFFFF" w:themeFill="background1"/>
          </w:tcPr>
          <w:p w:rsidR="0075119B" w:rsidRPr="00D72AC3" w:rsidRDefault="0075119B"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75119B" w:rsidRPr="00D72AC3" w:rsidRDefault="0075119B" w:rsidP="002D63BE">
            <w:pPr>
              <w:jc w:val="center"/>
              <w:rPr>
                <w:rFonts w:cs="Times New Roman"/>
                <w:sz w:val="20"/>
                <w:szCs w:val="20"/>
                <w:lang w:val="en-GB"/>
              </w:rPr>
            </w:pPr>
          </w:p>
        </w:tc>
        <w:tc>
          <w:tcPr>
            <w:tcW w:w="1701" w:type="dxa"/>
            <w:shd w:val="clear" w:color="auto" w:fill="FFFFFF" w:themeFill="background1"/>
          </w:tcPr>
          <w:p w:rsidR="0075119B" w:rsidRPr="00D72AC3" w:rsidRDefault="0075119B" w:rsidP="002D63BE">
            <w:pPr>
              <w:jc w:val="center"/>
              <w:rPr>
                <w:rFonts w:cs="Times New Roman"/>
                <w:sz w:val="20"/>
                <w:szCs w:val="20"/>
                <w:lang w:val="en-GB"/>
              </w:rPr>
            </w:pPr>
            <w:r w:rsidRPr="00D72AC3">
              <w:rPr>
                <w:rFonts w:cs="Times New Roman"/>
                <w:sz w:val="20"/>
                <w:szCs w:val="20"/>
                <w:lang w:val="en-GB" w:bidi="en-GB"/>
              </w:rPr>
              <w:t>Regularly, starting from 1 November 2018</w:t>
            </w:r>
          </w:p>
          <w:p w:rsidR="0075119B" w:rsidRPr="00D72AC3" w:rsidRDefault="0075119B" w:rsidP="002D63BE">
            <w:pPr>
              <w:jc w:val="center"/>
              <w:rPr>
                <w:rFonts w:cs="Times New Roman"/>
                <w:sz w:val="20"/>
                <w:szCs w:val="20"/>
                <w:lang w:val="en-GB"/>
              </w:rPr>
            </w:pPr>
          </w:p>
        </w:tc>
      </w:tr>
      <w:tr w:rsidR="0075119B" w:rsidRPr="00D72AC3" w:rsidTr="0041273D">
        <w:trPr>
          <w:trHeight w:val="1228"/>
        </w:trPr>
        <w:tc>
          <w:tcPr>
            <w:tcW w:w="567" w:type="dxa"/>
            <w:vMerge/>
            <w:shd w:val="clear" w:color="auto" w:fill="FFFFFF" w:themeFill="background1"/>
          </w:tcPr>
          <w:p w:rsidR="0075119B" w:rsidRPr="00D72AC3" w:rsidRDefault="0075119B" w:rsidP="00A3142E">
            <w:pPr>
              <w:rPr>
                <w:rFonts w:cs="Times New Roman"/>
                <w:sz w:val="20"/>
                <w:szCs w:val="20"/>
                <w:lang w:val="en-GB"/>
              </w:rPr>
            </w:pPr>
          </w:p>
        </w:tc>
        <w:tc>
          <w:tcPr>
            <w:tcW w:w="3686" w:type="dxa"/>
            <w:vMerge/>
            <w:shd w:val="clear" w:color="auto" w:fill="FFFFFF" w:themeFill="background1"/>
          </w:tcPr>
          <w:p w:rsidR="0075119B" w:rsidRPr="00D72AC3" w:rsidRDefault="0075119B" w:rsidP="00A3142E">
            <w:pPr>
              <w:jc w:val="both"/>
              <w:rPr>
                <w:rFonts w:cs="Times New Roman"/>
                <w:sz w:val="20"/>
                <w:szCs w:val="20"/>
                <w:lang w:val="en-GB"/>
              </w:rPr>
            </w:pPr>
          </w:p>
        </w:tc>
        <w:tc>
          <w:tcPr>
            <w:tcW w:w="1701" w:type="dxa"/>
            <w:vMerge/>
            <w:shd w:val="clear" w:color="auto" w:fill="FFFFFF" w:themeFill="background1"/>
          </w:tcPr>
          <w:p w:rsidR="0075119B" w:rsidRPr="00D72AC3" w:rsidRDefault="0075119B" w:rsidP="00A3142E">
            <w:pPr>
              <w:jc w:val="both"/>
              <w:rPr>
                <w:rFonts w:cs="Times New Roman"/>
                <w:sz w:val="20"/>
                <w:szCs w:val="20"/>
                <w:lang w:val="en-GB"/>
              </w:rPr>
            </w:pPr>
          </w:p>
        </w:tc>
        <w:tc>
          <w:tcPr>
            <w:tcW w:w="1984" w:type="dxa"/>
            <w:shd w:val="clear" w:color="auto" w:fill="FFFFFF" w:themeFill="background1"/>
          </w:tcPr>
          <w:p w:rsidR="0075119B" w:rsidRPr="00D72AC3" w:rsidRDefault="0075119B" w:rsidP="00FC417E">
            <w:pPr>
              <w:jc w:val="both"/>
              <w:rPr>
                <w:rFonts w:cs="Times New Roman"/>
                <w:sz w:val="20"/>
                <w:szCs w:val="20"/>
                <w:lang w:val="en-GB"/>
              </w:rPr>
            </w:pPr>
            <w:r w:rsidRPr="00D72AC3">
              <w:rPr>
                <w:rFonts w:cs="Times New Roman"/>
                <w:sz w:val="20"/>
                <w:szCs w:val="20"/>
                <w:lang w:val="en-GB" w:bidi="en-GB"/>
              </w:rPr>
              <w:t>2. The information section created available to the registered users of the e-services section of the CS website, posting therein information addressed to the submitters of reports, which is not to be disclosed to public.</w:t>
            </w:r>
          </w:p>
        </w:tc>
        <w:tc>
          <w:tcPr>
            <w:tcW w:w="2835" w:type="dxa"/>
            <w:shd w:val="clear" w:color="auto" w:fill="FFFFFF" w:themeFill="background1"/>
          </w:tcPr>
          <w:p w:rsidR="0075119B" w:rsidRPr="00D72AC3" w:rsidRDefault="0075119B" w:rsidP="00A3142E">
            <w:pPr>
              <w:jc w:val="both"/>
              <w:rPr>
                <w:rFonts w:cs="Times New Roman"/>
                <w:sz w:val="20"/>
                <w:szCs w:val="20"/>
                <w:lang w:val="en-GB"/>
              </w:rPr>
            </w:pPr>
            <w:r w:rsidRPr="00D72AC3">
              <w:rPr>
                <w:rFonts w:cs="Times New Roman"/>
                <w:sz w:val="20"/>
                <w:szCs w:val="20"/>
                <w:lang w:val="en-GB" w:bidi="en-GB"/>
              </w:rPr>
              <w:t>2. Operative, practically applicable information prepared on a monthly basis, for the purposes of preparation of reports.</w:t>
            </w:r>
          </w:p>
        </w:tc>
        <w:tc>
          <w:tcPr>
            <w:tcW w:w="1276" w:type="dxa"/>
            <w:shd w:val="clear" w:color="auto" w:fill="FFFFFF" w:themeFill="background1"/>
          </w:tcPr>
          <w:p w:rsidR="0075119B" w:rsidRPr="00D72AC3" w:rsidRDefault="0075119B"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75119B" w:rsidRPr="00D72AC3" w:rsidRDefault="0075119B" w:rsidP="002D63BE">
            <w:pPr>
              <w:jc w:val="center"/>
              <w:rPr>
                <w:rFonts w:cs="Times New Roman"/>
                <w:sz w:val="20"/>
                <w:szCs w:val="20"/>
                <w:lang w:val="en-GB"/>
              </w:rPr>
            </w:pPr>
          </w:p>
        </w:tc>
        <w:tc>
          <w:tcPr>
            <w:tcW w:w="1701" w:type="dxa"/>
            <w:shd w:val="clear" w:color="auto" w:fill="FFFFFF" w:themeFill="background1"/>
          </w:tcPr>
          <w:p w:rsidR="0075119B" w:rsidRPr="00D72AC3" w:rsidRDefault="0075119B" w:rsidP="002D63BE">
            <w:pPr>
              <w:jc w:val="center"/>
              <w:rPr>
                <w:rFonts w:cs="Times New Roman"/>
                <w:sz w:val="20"/>
                <w:szCs w:val="20"/>
                <w:lang w:val="en-GB"/>
              </w:rPr>
            </w:pPr>
            <w:r w:rsidRPr="00D72AC3">
              <w:rPr>
                <w:rFonts w:cs="Times New Roman"/>
                <w:sz w:val="20"/>
                <w:szCs w:val="20"/>
                <w:lang w:val="en-GB" w:bidi="en-GB"/>
              </w:rPr>
              <w:t>Regularly, starting from 1 January 2019</w:t>
            </w:r>
          </w:p>
        </w:tc>
      </w:tr>
      <w:tr w:rsidR="00A3142E" w:rsidRPr="00D72AC3" w:rsidTr="0041273D">
        <w:trPr>
          <w:trHeight w:val="1228"/>
        </w:trPr>
        <w:tc>
          <w:tcPr>
            <w:tcW w:w="567" w:type="dxa"/>
            <w:shd w:val="clear" w:color="auto" w:fill="FFFFFF" w:themeFill="background1"/>
          </w:tcPr>
          <w:p w:rsidR="00A3142E" w:rsidRPr="00D72AC3" w:rsidRDefault="00A3142E" w:rsidP="00A3142E">
            <w:pPr>
              <w:rPr>
                <w:rFonts w:cs="Times New Roman"/>
                <w:sz w:val="20"/>
                <w:szCs w:val="20"/>
                <w:lang w:val="en-GB"/>
              </w:rPr>
            </w:pPr>
            <w:r w:rsidRPr="00D72AC3">
              <w:rPr>
                <w:rFonts w:cs="Times New Roman"/>
                <w:sz w:val="20"/>
                <w:szCs w:val="20"/>
                <w:lang w:val="en-GB" w:bidi="en-GB"/>
              </w:rPr>
              <w:lastRenderedPageBreak/>
              <w:t>6.3.</w:t>
            </w:r>
          </w:p>
        </w:tc>
        <w:tc>
          <w:tcPr>
            <w:tcW w:w="3686" w:type="dxa"/>
            <w:shd w:val="clear" w:color="auto" w:fill="FFFFFF" w:themeFill="background1"/>
          </w:tcPr>
          <w:p w:rsidR="00A3142E" w:rsidRPr="00D72AC3" w:rsidRDefault="00EC20E7" w:rsidP="00A3142E">
            <w:pPr>
              <w:jc w:val="both"/>
              <w:rPr>
                <w:rFonts w:cs="Times New Roman"/>
                <w:sz w:val="20"/>
                <w:szCs w:val="20"/>
                <w:lang w:val="en-GB"/>
              </w:rPr>
            </w:pPr>
            <w:r w:rsidRPr="00D72AC3">
              <w:rPr>
                <w:rFonts w:cs="Times New Roman"/>
                <w:sz w:val="20"/>
                <w:szCs w:val="20"/>
                <w:lang w:val="en-GB" w:bidi="en-GB"/>
              </w:rPr>
              <w:t>To improve system for reporting suspicious and unusual transactions</w:t>
            </w:r>
          </w:p>
        </w:tc>
        <w:tc>
          <w:tcPr>
            <w:tcW w:w="1701" w:type="dxa"/>
            <w:shd w:val="clear" w:color="auto" w:fill="FFFFFF" w:themeFill="background1"/>
          </w:tcPr>
          <w:p w:rsidR="00A3142E" w:rsidRPr="00D72AC3" w:rsidRDefault="00A3142E" w:rsidP="00EC20E7">
            <w:pPr>
              <w:jc w:val="both"/>
              <w:rPr>
                <w:rFonts w:cs="Times New Roman"/>
                <w:sz w:val="20"/>
                <w:szCs w:val="20"/>
                <w:lang w:val="en-GB"/>
              </w:rPr>
            </w:pPr>
            <w:r w:rsidRPr="00D72AC3">
              <w:rPr>
                <w:rFonts w:cs="Times New Roman"/>
                <w:sz w:val="20"/>
                <w:szCs w:val="20"/>
                <w:lang w:val="en-GB" w:bidi="en-GB"/>
              </w:rPr>
              <w:t xml:space="preserve">Moneyval recommendation 6.1. </w:t>
            </w:r>
          </w:p>
        </w:tc>
        <w:tc>
          <w:tcPr>
            <w:tcW w:w="1984" w:type="dxa"/>
            <w:shd w:val="clear" w:color="auto" w:fill="FFFFFF" w:themeFill="background1"/>
          </w:tcPr>
          <w:p w:rsidR="00A3142E" w:rsidRPr="00D72AC3" w:rsidRDefault="00185B7D" w:rsidP="00185B7D">
            <w:pPr>
              <w:jc w:val="both"/>
              <w:rPr>
                <w:rFonts w:cs="Times New Roman"/>
                <w:sz w:val="20"/>
                <w:szCs w:val="20"/>
                <w:lang w:val="en-GB"/>
              </w:rPr>
            </w:pPr>
            <w:r w:rsidRPr="00D72AC3">
              <w:rPr>
                <w:rFonts w:cs="Times New Roman"/>
                <w:sz w:val="20"/>
                <w:szCs w:val="20"/>
                <w:lang w:val="en-GB" w:bidi="en-GB"/>
              </w:rPr>
              <w:t xml:space="preserve">Profiling of risks of the subjects of the law performed, in order to improve the quality of suspicious transactions reports. Feedback ensured for the subjects of the </w:t>
            </w:r>
            <w:r w:rsidRPr="00D72AC3">
              <w:rPr>
                <w:rFonts w:cs="Times New Roman"/>
                <w:i/>
                <w:sz w:val="20"/>
                <w:szCs w:val="20"/>
                <w:lang w:val="en-GB" w:bidi="en-GB"/>
              </w:rPr>
              <w:t>Law on the PMLTF</w:t>
            </w:r>
            <w:r w:rsidRPr="00D72AC3">
              <w:rPr>
                <w:rFonts w:cs="Times New Roman"/>
                <w:sz w:val="20"/>
                <w:szCs w:val="20"/>
                <w:lang w:val="en-GB" w:bidi="en-GB"/>
              </w:rPr>
              <w:t xml:space="preserve"> and the supervisory and control instructions, the motivation of the subjects to submit reports increased. </w:t>
            </w:r>
          </w:p>
        </w:tc>
        <w:tc>
          <w:tcPr>
            <w:tcW w:w="2835" w:type="dxa"/>
            <w:shd w:val="clear" w:color="auto" w:fill="FFFFFF" w:themeFill="background1"/>
          </w:tcPr>
          <w:p w:rsidR="00A3142E" w:rsidRPr="00D72AC3" w:rsidRDefault="0075119B" w:rsidP="00A3142E">
            <w:pPr>
              <w:jc w:val="both"/>
              <w:rPr>
                <w:rFonts w:cs="Times New Roman"/>
                <w:sz w:val="20"/>
                <w:szCs w:val="20"/>
                <w:lang w:val="en-GB"/>
              </w:rPr>
            </w:pPr>
            <w:r w:rsidRPr="00D72AC3">
              <w:rPr>
                <w:rFonts w:cs="Times New Roman"/>
                <w:sz w:val="20"/>
                <w:szCs w:val="20"/>
                <w:lang w:val="en-GB" w:bidi="en-GB"/>
              </w:rPr>
              <w:t xml:space="preserve">A risk-based approach established in cooperation with the subjects of the </w:t>
            </w:r>
            <w:r w:rsidRPr="00D72AC3">
              <w:rPr>
                <w:rFonts w:cs="Times New Roman"/>
                <w:i/>
                <w:sz w:val="20"/>
                <w:szCs w:val="20"/>
                <w:lang w:val="en-GB" w:bidi="en-GB"/>
              </w:rPr>
              <w:t>Law on the PMLTF</w:t>
            </w:r>
            <w:r w:rsidRPr="00D72AC3">
              <w:rPr>
                <w:rFonts w:cs="Times New Roman"/>
                <w:sz w:val="20"/>
                <w:szCs w:val="20"/>
                <w:lang w:val="en-GB" w:bidi="en-GB"/>
              </w:rPr>
              <w:t>. Higher quality communication between the CS and the subjects ensured. The number of poor quality reports reduced by 20%.</w:t>
            </w:r>
          </w:p>
        </w:tc>
        <w:tc>
          <w:tcPr>
            <w:tcW w:w="1276" w:type="dxa"/>
            <w:shd w:val="clear" w:color="auto" w:fill="FFFFFF" w:themeFill="background1"/>
          </w:tcPr>
          <w:p w:rsidR="00A3142E" w:rsidRPr="00D72AC3" w:rsidRDefault="00A3142E"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A3142E" w:rsidRPr="00D72AC3" w:rsidRDefault="00EC20E7" w:rsidP="002D63BE">
            <w:pPr>
              <w:jc w:val="center"/>
              <w:rPr>
                <w:rFonts w:cs="Times New Roman"/>
                <w:sz w:val="20"/>
                <w:szCs w:val="20"/>
                <w:lang w:val="en-GB"/>
              </w:rPr>
            </w:pPr>
            <w:r w:rsidRPr="00D72AC3">
              <w:rPr>
                <w:rFonts w:cs="Times New Roman"/>
                <w:sz w:val="20"/>
                <w:szCs w:val="20"/>
                <w:lang w:val="en-GB" w:bidi="en-GB"/>
              </w:rPr>
              <w:t>FCMC, SRS, LCSN, LCSA, LACA, BoL, TCPD, CRPC, NCCH, LGSI, MoT</w:t>
            </w:r>
          </w:p>
        </w:tc>
        <w:tc>
          <w:tcPr>
            <w:tcW w:w="1701" w:type="dxa"/>
            <w:shd w:val="clear" w:color="auto" w:fill="FFFFFF" w:themeFill="background1"/>
          </w:tcPr>
          <w:p w:rsidR="00A3142E" w:rsidRPr="00D72AC3" w:rsidRDefault="00516D42" w:rsidP="0092169A">
            <w:pPr>
              <w:jc w:val="center"/>
              <w:rPr>
                <w:rFonts w:cs="Times New Roman"/>
                <w:sz w:val="20"/>
                <w:szCs w:val="20"/>
                <w:lang w:val="en-GB"/>
              </w:rPr>
            </w:pPr>
            <w:r w:rsidRPr="00D72AC3">
              <w:rPr>
                <w:rFonts w:cs="Times New Roman"/>
                <w:sz w:val="20"/>
                <w:szCs w:val="20"/>
                <w:lang w:val="en-GB" w:bidi="en-GB"/>
              </w:rPr>
              <w:t>Starting from 1 November 2018</w:t>
            </w:r>
          </w:p>
        </w:tc>
      </w:tr>
      <w:tr w:rsidR="00850F9E" w:rsidRPr="00D72AC3" w:rsidTr="0041273D">
        <w:trPr>
          <w:trHeight w:val="1228"/>
        </w:trPr>
        <w:tc>
          <w:tcPr>
            <w:tcW w:w="567" w:type="dxa"/>
            <w:vMerge w:val="restart"/>
            <w:shd w:val="clear" w:color="auto" w:fill="auto"/>
          </w:tcPr>
          <w:p w:rsidR="00850F9E" w:rsidRPr="00D72AC3" w:rsidRDefault="00850F9E" w:rsidP="0040642E">
            <w:pPr>
              <w:rPr>
                <w:rFonts w:cs="Times New Roman"/>
                <w:sz w:val="20"/>
                <w:szCs w:val="20"/>
                <w:lang w:val="en-GB"/>
              </w:rPr>
            </w:pPr>
            <w:r w:rsidRPr="00D72AC3">
              <w:rPr>
                <w:rFonts w:cs="Times New Roman"/>
                <w:sz w:val="20"/>
                <w:szCs w:val="20"/>
                <w:lang w:val="en-GB" w:bidi="en-GB"/>
              </w:rPr>
              <w:t>6.4.</w:t>
            </w:r>
          </w:p>
        </w:tc>
        <w:tc>
          <w:tcPr>
            <w:tcW w:w="3686" w:type="dxa"/>
            <w:vMerge w:val="restart"/>
            <w:shd w:val="clear" w:color="auto" w:fill="auto"/>
          </w:tcPr>
          <w:p w:rsidR="00850F9E" w:rsidRPr="00D72AC3" w:rsidRDefault="00850F9E" w:rsidP="0025344E">
            <w:pPr>
              <w:jc w:val="both"/>
              <w:rPr>
                <w:rFonts w:cs="Times New Roman"/>
                <w:sz w:val="20"/>
                <w:szCs w:val="20"/>
                <w:lang w:val="en-GB"/>
              </w:rPr>
            </w:pPr>
            <w:r w:rsidRPr="00D72AC3">
              <w:rPr>
                <w:rFonts w:cs="Times New Roman"/>
                <w:sz w:val="20"/>
                <w:szCs w:val="20"/>
                <w:lang w:val="en-GB" w:bidi="en-GB"/>
              </w:rPr>
              <w:t>To strengthen the public and private sector cooperation, enhance the information exchange and improve mutual reliability</w:t>
            </w:r>
          </w:p>
        </w:tc>
        <w:tc>
          <w:tcPr>
            <w:tcW w:w="1701" w:type="dxa"/>
            <w:vMerge w:val="restart"/>
            <w:shd w:val="clear" w:color="auto" w:fill="auto"/>
          </w:tcPr>
          <w:p w:rsidR="00850F9E" w:rsidRPr="00D72AC3" w:rsidRDefault="00850F9E" w:rsidP="0040642E">
            <w:pPr>
              <w:jc w:val="both"/>
              <w:rPr>
                <w:rFonts w:cs="Times New Roman"/>
                <w:sz w:val="20"/>
                <w:szCs w:val="20"/>
                <w:lang w:val="en-GB"/>
              </w:rPr>
            </w:pPr>
            <w:r w:rsidRPr="00D72AC3">
              <w:rPr>
                <w:rFonts w:cs="Times New Roman"/>
                <w:sz w:val="20"/>
                <w:szCs w:val="20"/>
                <w:lang w:val="en-GB" w:bidi="en-GB"/>
              </w:rPr>
              <w:t>Moneyval recommendation 6.2.</w:t>
            </w:r>
          </w:p>
        </w:tc>
        <w:tc>
          <w:tcPr>
            <w:tcW w:w="1984" w:type="dxa"/>
            <w:vMerge w:val="restart"/>
            <w:shd w:val="clear" w:color="auto" w:fill="auto"/>
          </w:tcPr>
          <w:p w:rsidR="00850F9E" w:rsidRPr="00D72AC3" w:rsidRDefault="00850F9E" w:rsidP="0025344E">
            <w:pPr>
              <w:jc w:val="both"/>
              <w:rPr>
                <w:rFonts w:cs="Times New Roman"/>
                <w:sz w:val="20"/>
                <w:szCs w:val="20"/>
                <w:lang w:val="en-GB"/>
              </w:rPr>
            </w:pPr>
            <w:r w:rsidRPr="00D72AC3">
              <w:rPr>
                <w:rFonts w:cs="Times New Roman"/>
                <w:sz w:val="20"/>
                <w:szCs w:val="20"/>
                <w:lang w:val="en-GB" w:bidi="en-GB"/>
              </w:rPr>
              <w:t xml:space="preserve">Effective operation of the CS Advisory Board and the cooperation platform ensured, </w:t>
            </w:r>
            <w:r w:rsidRPr="00D72AC3">
              <w:rPr>
                <w:rFonts w:cs="Times New Roman"/>
                <w:i/>
                <w:sz w:val="20"/>
                <w:szCs w:val="20"/>
                <w:lang w:val="en-GB" w:bidi="en-GB"/>
              </w:rPr>
              <w:t>inter alia</w:t>
            </w:r>
            <w:r w:rsidRPr="00D72AC3">
              <w:rPr>
                <w:rFonts w:cs="Times New Roman"/>
                <w:sz w:val="20"/>
                <w:szCs w:val="20"/>
                <w:lang w:val="en-GB" w:bidi="en-GB"/>
              </w:rPr>
              <w:t>, the work organisation, record-keeping, observance of confidentiality within the cooperation coordination group established, and other key issues of effective operation of the group.</w:t>
            </w:r>
          </w:p>
        </w:tc>
        <w:tc>
          <w:tcPr>
            <w:tcW w:w="2835" w:type="dxa"/>
            <w:shd w:val="clear" w:color="auto" w:fill="auto"/>
          </w:tcPr>
          <w:p w:rsidR="00850F9E" w:rsidRPr="00D72AC3" w:rsidRDefault="00850F9E" w:rsidP="00EC75AE">
            <w:pPr>
              <w:pStyle w:val="ListParagraph"/>
              <w:ind w:left="33"/>
              <w:jc w:val="both"/>
              <w:rPr>
                <w:rFonts w:cs="Times New Roman"/>
                <w:sz w:val="20"/>
                <w:szCs w:val="20"/>
                <w:lang w:val="en-GB"/>
              </w:rPr>
            </w:pPr>
            <w:r w:rsidRPr="00D72AC3">
              <w:rPr>
                <w:rFonts w:cs="Times New Roman"/>
                <w:sz w:val="20"/>
                <w:szCs w:val="20"/>
                <w:lang w:val="en-GB" w:bidi="en-GB"/>
              </w:rPr>
              <w:t xml:space="preserve">1. The internal legal framework developed necessary for the operation of the cooperation coordination group (Section 55 of the </w:t>
            </w:r>
            <w:r w:rsidRPr="00D72AC3">
              <w:rPr>
                <w:rFonts w:cs="Times New Roman"/>
                <w:i/>
                <w:sz w:val="20"/>
                <w:szCs w:val="20"/>
                <w:lang w:val="en-GB" w:bidi="en-GB"/>
              </w:rPr>
              <w:t>Law on the PMLTF</w:t>
            </w:r>
            <w:r w:rsidRPr="00D72AC3">
              <w:rPr>
                <w:rFonts w:cs="Times New Roman"/>
                <w:sz w:val="20"/>
                <w:szCs w:val="20"/>
                <w:lang w:val="en-GB" w:bidi="en-GB"/>
              </w:rPr>
              <w:t>). The operation of the cooperation group ensured.</w:t>
            </w:r>
          </w:p>
        </w:tc>
        <w:tc>
          <w:tcPr>
            <w:tcW w:w="1276" w:type="dxa"/>
            <w:shd w:val="clear" w:color="auto" w:fill="auto"/>
          </w:tcPr>
          <w:p w:rsidR="00850F9E" w:rsidRPr="00D72AC3" w:rsidRDefault="00850F9E"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auto"/>
          </w:tcPr>
          <w:p w:rsidR="00850F9E" w:rsidRPr="00D72AC3" w:rsidRDefault="00850F9E" w:rsidP="002D63BE">
            <w:pPr>
              <w:jc w:val="center"/>
              <w:rPr>
                <w:rFonts w:cs="Times New Roman"/>
                <w:sz w:val="20"/>
                <w:szCs w:val="20"/>
                <w:lang w:val="en-GB"/>
              </w:rPr>
            </w:pPr>
            <w:r w:rsidRPr="00D72AC3">
              <w:rPr>
                <w:rFonts w:cs="Times New Roman"/>
                <w:sz w:val="20"/>
                <w:szCs w:val="20"/>
                <w:lang w:val="en-GB" w:bidi="en-GB"/>
              </w:rPr>
              <w:t>SP, TCPB, CPCB, SeP, GPO, FLA</w:t>
            </w:r>
          </w:p>
        </w:tc>
        <w:tc>
          <w:tcPr>
            <w:tcW w:w="1701" w:type="dxa"/>
            <w:shd w:val="clear" w:color="auto" w:fill="auto"/>
          </w:tcPr>
          <w:p w:rsidR="00850F9E" w:rsidRPr="00D72AC3" w:rsidRDefault="00850F9E" w:rsidP="0080332D">
            <w:pPr>
              <w:jc w:val="center"/>
              <w:rPr>
                <w:rFonts w:cs="Times New Roman"/>
                <w:sz w:val="20"/>
                <w:szCs w:val="20"/>
                <w:lang w:val="en-GB"/>
              </w:rPr>
            </w:pPr>
            <w:r w:rsidRPr="00D72AC3">
              <w:rPr>
                <w:rFonts w:cs="Times New Roman"/>
                <w:sz w:val="20"/>
                <w:szCs w:val="20"/>
                <w:lang w:val="en-GB" w:bidi="en-GB"/>
              </w:rPr>
              <w:t xml:space="preserve">30 November 2018 </w:t>
            </w:r>
          </w:p>
          <w:p w:rsidR="00850F9E" w:rsidRPr="00D72AC3" w:rsidRDefault="00850F9E" w:rsidP="0092169A">
            <w:pPr>
              <w:jc w:val="center"/>
              <w:rPr>
                <w:rFonts w:cs="Times New Roman"/>
                <w:sz w:val="20"/>
                <w:szCs w:val="20"/>
                <w:lang w:val="en-GB"/>
              </w:rPr>
            </w:pPr>
          </w:p>
        </w:tc>
      </w:tr>
      <w:tr w:rsidR="00850F9E" w:rsidRPr="00D72AC3" w:rsidTr="0041273D">
        <w:trPr>
          <w:trHeight w:val="1228"/>
        </w:trPr>
        <w:tc>
          <w:tcPr>
            <w:tcW w:w="567" w:type="dxa"/>
            <w:vMerge/>
            <w:shd w:val="clear" w:color="auto" w:fill="auto"/>
          </w:tcPr>
          <w:p w:rsidR="00850F9E" w:rsidRPr="00D72AC3" w:rsidRDefault="00850F9E" w:rsidP="0040642E">
            <w:pPr>
              <w:rPr>
                <w:rFonts w:cs="Times New Roman"/>
                <w:sz w:val="20"/>
                <w:szCs w:val="20"/>
                <w:lang w:val="en-GB"/>
              </w:rPr>
            </w:pPr>
          </w:p>
        </w:tc>
        <w:tc>
          <w:tcPr>
            <w:tcW w:w="3686" w:type="dxa"/>
            <w:vMerge/>
            <w:shd w:val="clear" w:color="auto" w:fill="auto"/>
          </w:tcPr>
          <w:p w:rsidR="00850F9E" w:rsidRPr="00D72AC3" w:rsidRDefault="00850F9E" w:rsidP="008171F9">
            <w:pPr>
              <w:rPr>
                <w:rFonts w:cs="Times New Roman"/>
                <w:sz w:val="20"/>
                <w:szCs w:val="20"/>
                <w:lang w:val="en-GB"/>
              </w:rPr>
            </w:pPr>
          </w:p>
        </w:tc>
        <w:tc>
          <w:tcPr>
            <w:tcW w:w="1701" w:type="dxa"/>
            <w:vMerge/>
            <w:shd w:val="clear" w:color="auto" w:fill="auto"/>
          </w:tcPr>
          <w:p w:rsidR="00850F9E" w:rsidRPr="00D72AC3" w:rsidRDefault="00850F9E" w:rsidP="0040642E">
            <w:pPr>
              <w:jc w:val="both"/>
              <w:rPr>
                <w:rFonts w:cs="Times New Roman"/>
                <w:sz w:val="20"/>
                <w:szCs w:val="20"/>
                <w:lang w:val="en-GB"/>
              </w:rPr>
            </w:pPr>
          </w:p>
        </w:tc>
        <w:tc>
          <w:tcPr>
            <w:tcW w:w="1984" w:type="dxa"/>
            <w:vMerge/>
            <w:shd w:val="clear" w:color="auto" w:fill="auto"/>
          </w:tcPr>
          <w:p w:rsidR="00850F9E" w:rsidRPr="00D72AC3" w:rsidRDefault="00850F9E" w:rsidP="008171F9">
            <w:pPr>
              <w:rPr>
                <w:rFonts w:cs="Times New Roman"/>
                <w:sz w:val="20"/>
                <w:szCs w:val="20"/>
                <w:lang w:val="en-GB"/>
              </w:rPr>
            </w:pPr>
          </w:p>
        </w:tc>
        <w:tc>
          <w:tcPr>
            <w:tcW w:w="2835" w:type="dxa"/>
            <w:shd w:val="clear" w:color="auto" w:fill="auto"/>
          </w:tcPr>
          <w:p w:rsidR="00850F9E" w:rsidRPr="00D72AC3" w:rsidRDefault="00850F9E" w:rsidP="0080332D">
            <w:pPr>
              <w:pStyle w:val="ListParagraph"/>
              <w:ind w:left="33"/>
              <w:jc w:val="both"/>
              <w:rPr>
                <w:rFonts w:cs="Times New Roman"/>
                <w:sz w:val="20"/>
                <w:szCs w:val="20"/>
                <w:lang w:val="en-GB"/>
              </w:rPr>
            </w:pPr>
            <w:r w:rsidRPr="00D72AC3">
              <w:rPr>
                <w:rFonts w:cs="Times New Roman"/>
                <w:sz w:val="20"/>
                <w:szCs w:val="20"/>
                <w:lang w:val="en-GB" w:bidi="en-GB"/>
              </w:rPr>
              <w:t>2. The CS Advisory Board, in line with the restored mandate, convened at least once per month.</w:t>
            </w:r>
          </w:p>
        </w:tc>
        <w:tc>
          <w:tcPr>
            <w:tcW w:w="1276" w:type="dxa"/>
            <w:shd w:val="clear" w:color="auto" w:fill="auto"/>
          </w:tcPr>
          <w:p w:rsidR="00850F9E" w:rsidRPr="00D72AC3" w:rsidRDefault="00850F9E"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auto"/>
          </w:tcPr>
          <w:p w:rsidR="00850F9E" w:rsidRPr="00D72AC3" w:rsidRDefault="00850F9E" w:rsidP="002D63BE">
            <w:pPr>
              <w:jc w:val="center"/>
              <w:rPr>
                <w:rFonts w:cs="Times New Roman"/>
                <w:sz w:val="20"/>
                <w:szCs w:val="20"/>
                <w:lang w:val="en-GB"/>
              </w:rPr>
            </w:pPr>
            <w:r w:rsidRPr="00D72AC3">
              <w:rPr>
                <w:rFonts w:cs="Times New Roman"/>
                <w:sz w:val="20"/>
                <w:szCs w:val="20"/>
                <w:lang w:val="en-GB" w:bidi="en-GB"/>
              </w:rPr>
              <w:t>SP, TCPB, CPCB, SeP, GPO</w:t>
            </w:r>
          </w:p>
        </w:tc>
        <w:tc>
          <w:tcPr>
            <w:tcW w:w="1701" w:type="dxa"/>
            <w:shd w:val="clear" w:color="auto" w:fill="auto"/>
          </w:tcPr>
          <w:p w:rsidR="00850F9E" w:rsidRPr="00D72AC3" w:rsidRDefault="00850F9E" w:rsidP="0080332D">
            <w:pPr>
              <w:jc w:val="center"/>
              <w:rPr>
                <w:rFonts w:cs="Times New Roman"/>
                <w:sz w:val="20"/>
                <w:szCs w:val="20"/>
                <w:lang w:val="en-GB"/>
              </w:rPr>
            </w:pPr>
            <w:r w:rsidRPr="00D72AC3">
              <w:rPr>
                <w:rFonts w:cs="Times New Roman"/>
                <w:sz w:val="20"/>
                <w:szCs w:val="20"/>
                <w:lang w:val="en-GB" w:bidi="en-GB"/>
              </w:rPr>
              <w:t>Starting from 1 January 2019</w:t>
            </w:r>
          </w:p>
        </w:tc>
      </w:tr>
      <w:tr w:rsidR="0080332D" w:rsidRPr="00D72AC3" w:rsidTr="0041273D">
        <w:trPr>
          <w:trHeight w:val="1228"/>
        </w:trPr>
        <w:tc>
          <w:tcPr>
            <w:tcW w:w="567" w:type="dxa"/>
            <w:vMerge w:val="restart"/>
            <w:shd w:val="clear" w:color="auto" w:fill="auto"/>
          </w:tcPr>
          <w:p w:rsidR="0080332D" w:rsidRPr="00D72AC3" w:rsidRDefault="0080332D" w:rsidP="0040642E">
            <w:pPr>
              <w:rPr>
                <w:rFonts w:cs="Times New Roman"/>
                <w:sz w:val="20"/>
                <w:szCs w:val="20"/>
                <w:lang w:val="en-GB"/>
              </w:rPr>
            </w:pPr>
            <w:r w:rsidRPr="00D72AC3">
              <w:rPr>
                <w:rFonts w:cs="Times New Roman"/>
                <w:sz w:val="20"/>
                <w:szCs w:val="20"/>
                <w:lang w:val="en-GB" w:bidi="en-GB"/>
              </w:rPr>
              <w:t>6.5.</w:t>
            </w:r>
          </w:p>
        </w:tc>
        <w:tc>
          <w:tcPr>
            <w:tcW w:w="3686" w:type="dxa"/>
            <w:vMerge w:val="restart"/>
            <w:shd w:val="clear" w:color="auto" w:fill="auto"/>
          </w:tcPr>
          <w:p w:rsidR="0080332D" w:rsidRPr="00D72AC3" w:rsidRDefault="0080332D" w:rsidP="0025344E">
            <w:pPr>
              <w:jc w:val="both"/>
              <w:rPr>
                <w:rFonts w:cs="Times New Roman"/>
                <w:sz w:val="20"/>
                <w:szCs w:val="20"/>
                <w:lang w:val="en-GB"/>
              </w:rPr>
            </w:pPr>
            <w:r w:rsidRPr="00D72AC3">
              <w:rPr>
                <w:rFonts w:cs="Times New Roman"/>
                <w:sz w:val="20"/>
                <w:szCs w:val="20"/>
                <w:lang w:val="en-GB" w:bidi="en-GB"/>
              </w:rPr>
              <w:t xml:space="preserve">To increase the number of employees of the CS, </w:t>
            </w:r>
            <w:r w:rsidRPr="00D72AC3">
              <w:rPr>
                <w:rFonts w:cs="Times New Roman"/>
                <w:i/>
                <w:sz w:val="20"/>
                <w:szCs w:val="20"/>
                <w:lang w:val="en-GB" w:bidi="en-GB"/>
              </w:rPr>
              <w:t>inter alia</w:t>
            </w:r>
            <w:r w:rsidRPr="00D72AC3">
              <w:rPr>
                <w:rFonts w:cs="Times New Roman"/>
                <w:sz w:val="20"/>
                <w:szCs w:val="20"/>
                <w:lang w:val="en-GB" w:bidi="en-GB"/>
              </w:rPr>
              <w:t>, to increase the resources of the CS for performance of strategic analysis.</w:t>
            </w:r>
          </w:p>
          <w:p w:rsidR="0080332D" w:rsidRPr="00D72AC3" w:rsidRDefault="0080332D" w:rsidP="0040642E">
            <w:pPr>
              <w:rPr>
                <w:rFonts w:cs="Times New Roman"/>
                <w:sz w:val="20"/>
                <w:szCs w:val="20"/>
                <w:lang w:val="en-GB"/>
              </w:rPr>
            </w:pPr>
          </w:p>
        </w:tc>
        <w:tc>
          <w:tcPr>
            <w:tcW w:w="1701" w:type="dxa"/>
            <w:vMerge w:val="restart"/>
            <w:shd w:val="clear" w:color="auto" w:fill="auto"/>
          </w:tcPr>
          <w:p w:rsidR="0080332D" w:rsidRPr="00D72AC3" w:rsidRDefault="0080332D" w:rsidP="0040642E">
            <w:pPr>
              <w:jc w:val="both"/>
              <w:rPr>
                <w:rFonts w:cs="Times New Roman"/>
                <w:sz w:val="20"/>
                <w:szCs w:val="20"/>
                <w:lang w:val="en-GB"/>
              </w:rPr>
            </w:pPr>
            <w:r w:rsidRPr="00D72AC3">
              <w:rPr>
                <w:rFonts w:cs="Times New Roman"/>
                <w:sz w:val="20"/>
                <w:szCs w:val="20"/>
                <w:lang w:val="en-GB" w:bidi="en-GB"/>
              </w:rPr>
              <w:t>Moneyval recommendation 6.3.</w:t>
            </w:r>
          </w:p>
        </w:tc>
        <w:tc>
          <w:tcPr>
            <w:tcW w:w="1984" w:type="dxa"/>
            <w:vMerge w:val="restart"/>
            <w:shd w:val="clear" w:color="auto" w:fill="auto"/>
          </w:tcPr>
          <w:p w:rsidR="0080332D" w:rsidRPr="00D72AC3" w:rsidRDefault="0080332D" w:rsidP="0025344E">
            <w:pPr>
              <w:jc w:val="both"/>
              <w:rPr>
                <w:rFonts w:cs="Times New Roman"/>
                <w:sz w:val="20"/>
                <w:szCs w:val="20"/>
                <w:lang w:val="en-GB"/>
              </w:rPr>
            </w:pPr>
            <w:r w:rsidRPr="00D72AC3">
              <w:rPr>
                <w:rFonts w:cs="Times New Roman"/>
                <w:sz w:val="20"/>
                <w:szCs w:val="20"/>
                <w:lang w:val="en-GB" w:bidi="en-GB"/>
              </w:rPr>
              <w:t xml:space="preserve">CS capacity built in the field of both strategic analysis and operational analysis. Training of new employees and </w:t>
            </w:r>
            <w:r w:rsidRPr="00D72AC3">
              <w:rPr>
                <w:rFonts w:cs="Times New Roman"/>
                <w:sz w:val="20"/>
                <w:szCs w:val="20"/>
                <w:lang w:val="en-GB" w:bidi="en-GB"/>
              </w:rPr>
              <w:lastRenderedPageBreak/>
              <w:t>enhancement of knowledge of the existing employees ensured in accordance with the latest risks.</w:t>
            </w:r>
          </w:p>
        </w:tc>
        <w:tc>
          <w:tcPr>
            <w:tcW w:w="2835" w:type="dxa"/>
            <w:shd w:val="clear" w:color="auto" w:fill="auto"/>
          </w:tcPr>
          <w:p w:rsidR="0080332D" w:rsidRPr="00D72AC3" w:rsidRDefault="0080332D" w:rsidP="0080332D">
            <w:pPr>
              <w:pStyle w:val="ListParagraph"/>
              <w:ind w:left="33"/>
              <w:jc w:val="both"/>
              <w:rPr>
                <w:rFonts w:cs="Times New Roman"/>
                <w:sz w:val="20"/>
                <w:szCs w:val="20"/>
                <w:lang w:val="en-GB"/>
              </w:rPr>
            </w:pPr>
            <w:r w:rsidRPr="00D72AC3">
              <w:rPr>
                <w:rFonts w:cs="Times New Roman"/>
                <w:sz w:val="20"/>
                <w:szCs w:val="20"/>
                <w:lang w:val="en-GB" w:bidi="en-GB"/>
              </w:rPr>
              <w:lastRenderedPageBreak/>
              <w:t xml:space="preserve">1. In 2018, 2 (two) additional job position established. </w:t>
            </w:r>
          </w:p>
          <w:p w:rsidR="0080332D" w:rsidRPr="00D72AC3" w:rsidRDefault="0080332D" w:rsidP="0080332D">
            <w:pPr>
              <w:pStyle w:val="ListParagraph"/>
              <w:ind w:left="33"/>
              <w:jc w:val="both"/>
              <w:rPr>
                <w:rFonts w:cs="Times New Roman"/>
                <w:sz w:val="20"/>
                <w:szCs w:val="20"/>
                <w:lang w:val="en-GB"/>
              </w:rPr>
            </w:pPr>
            <w:r w:rsidRPr="00D72AC3">
              <w:rPr>
                <w:rFonts w:cs="Times New Roman"/>
                <w:sz w:val="20"/>
                <w:szCs w:val="20"/>
                <w:lang w:val="en-GB" w:bidi="en-GB"/>
              </w:rPr>
              <w:t>In 2019, 16 new job positions established;</w:t>
            </w:r>
          </w:p>
          <w:p w:rsidR="0080332D" w:rsidRPr="00D72AC3" w:rsidRDefault="0080332D" w:rsidP="0080332D">
            <w:pPr>
              <w:pStyle w:val="ListParagraph"/>
              <w:ind w:left="33"/>
              <w:jc w:val="both"/>
              <w:rPr>
                <w:rFonts w:cs="Times New Roman"/>
                <w:sz w:val="20"/>
                <w:szCs w:val="20"/>
                <w:lang w:val="en-GB"/>
              </w:rPr>
            </w:pPr>
            <w:r w:rsidRPr="00D72AC3">
              <w:rPr>
                <w:rFonts w:cs="Times New Roman"/>
                <w:color w:val="000000"/>
                <w:sz w:val="20"/>
                <w:szCs w:val="20"/>
                <w:lang w:val="en-GB" w:bidi="en-GB"/>
              </w:rPr>
              <w:t xml:space="preserve">changes introduced with respect to the staff remuneration. </w:t>
            </w:r>
          </w:p>
        </w:tc>
        <w:tc>
          <w:tcPr>
            <w:tcW w:w="1276" w:type="dxa"/>
            <w:shd w:val="clear" w:color="auto" w:fill="auto"/>
          </w:tcPr>
          <w:p w:rsidR="0080332D" w:rsidRPr="00D72AC3" w:rsidRDefault="0080332D"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auto"/>
          </w:tcPr>
          <w:p w:rsidR="0080332D" w:rsidRPr="00D72AC3" w:rsidRDefault="0080332D" w:rsidP="002D63BE">
            <w:pPr>
              <w:jc w:val="center"/>
              <w:rPr>
                <w:rFonts w:cs="Times New Roman"/>
                <w:sz w:val="20"/>
                <w:szCs w:val="20"/>
                <w:lang w:val="en-GB"/>
              </w:rPr>
            </w:pPr>
          </w:p>
        </w:tc>
        <w:tc>
          <w:tcPr>
            <w:tcW w:w="1701" w:type="dxa"/>
            <w:shd w:val="clear" w:color="auto" w:fill="auto"/>
          </w:tcPr>
          <w:p w:rsidR="0080332D" w:rsidRPr="00D72AC3" w:rsidRDefault="0080332D" w:rsidP="0080332D">
            <w:pPr>
              <w:jc w:val="center"/>
              <w:rPr>
                <w:rFonts w:cs="Times New Roman"/>
                <w:sz w:val="20"/>
                <w:szCs w:val="20"/>
                <w:lang w:val="en-GB"/>
              </w:rPr>
            </w:pPr>
            <w:r w:rsidRPr="00D72AC3">
              <w:rPr>
                <w:rFonts w:cs="Times New Roman"/>
                <w:sz w:val="20"/>
                <w:szCs w:val="20"/>
                <w:lang w:val="en-GB" w:bidi="en-GB"/>
              </w:rPr>
              <w:t>28 December 2018</w:t>
            </w:r>
          </w:p>
          <w:p w:rsidR="0080332D" w:rsidRPr="00D72AC3" w:rsidRDefault="0080332D" w:rsidP="002D63BE">
            <w:pPr>
              <w:jc w:val="center"/>
              <w:rPr>
                <w:rFonts w:cs="Times New Roman"/>
                <w:sz w:val="20"/>
                <w:szCs w:val="20"/>
                <w:lang w:val="en-GB"/>
              </w:rPr>
            </w:pPr>
          </w:p>
        </w:tc>
      </w:tr>
      <w:tr w:rsidR="0080332D" w:rsidRPr="00D72AC3" w:rsidTr="0041273D">
        <w:trPr>
          <w:trHeight w:val="1228"/>
        </w:trPr>
        <w:tc>
          <w:tcPr>
            <w:tcW w:w="567" w:type="dxa"/>
            <w:vMerge/>
            <w:shd w:val="clear" w:color="auto" w:fill="auto"/>
          </w:tcPr>
          <w:p w:rsidR="0080332D" w:rsidRPr="00D72AC3" w:rsidRDefault="0080332D" w:rsidP="0040642E">
            <w:pPr>
              <w:rPr>
                <w:rFonts w:cs="Times New Roman"/>
                <w:sz w:val="20"/>
                <w:szCs w:val="20"/>
                <w:lang w:val="en-GB"/>
              </w:rPr>
            </w:pPr>
          </w:p>
        </w:tc>
        <w:tc>
          <w:tcPr>
            <w:tcW w:w="3686" w:type="dxa"/>
            <w:vMerge/>
            <w:shd w:val="clear" w:color="auto" w:fill="auto"/>
          </w:tcPr>
          <w:p w:rsidR="0080332D" w:rsidRPr="00D72AC3" w:rsidRDefault="0080332D" w:rsidP="0040642E">
            <w:pPr>
              <w:rPr>
                <w:rFonts w:cs="Times New Roman"/>
                <w:sz w:val="20"/>
                <w:szCs w:val="20"/>
                <w:lang w:val="en-GB"/>
              </w:rPr>
            </w:pPr>
          </w:p>
        </w:tc>
        <w:tc>
          <w:tcPr>
            <w:tcW w:w="1701" w:type="dxa"/>
            <w:vMerge/>
            <w:shd w:val="clear" w:color="auto" w:fill="auto"/>
          </w:tcPr>
          <w:p w:rsidR="0080332D" w:rsidRPr="00D72AC3" w:rsidRDefault="0080332D" w:rsidP="0040642E">
            <w:pPr>
              <w:jc w:val="both"/>
              <w:rPr>
                <w:rFonts w:cs="Times New Roman"/>
                <w:sz w:val="20"/>
                <w:szCs w:val="20"/>
                <w:lang w:val="en-GB"/>
              </w:rPr>
            </w:pPr>
          </w:p>
        </w:tc>
        <w:tc>
          <w:tcPr>
            <w:tcW w:w="1984" w:type="dxa"/>
            <w:vMerge/>
            <w:shd w:val="clear" w:color="auto" w:fill="auto"/>
          </w:tcPr>
          <w:p w:rsidR="0080332D" w:rsidRPr="00D72AC3" w:rsidRDefault="0080332D" w:rsidP="0040642E">
            <w:pPr>
              <w:rPr>
                <w:rFonts w:cs="Times New Roman"/>
                <w:sz w:val="20"/>
                <w:szCs w:val="20"/>
                <w:lang w:val="en-GB"/>
              </w:rPr>
            </w:pPr>
          </w:p>
        </w:tc>
        <w:tc>
          <w:tcPr>
            <w:tcW w:w="2835" w:type="dxa"/>
            <w:shd w:val="clear" w:color="auto" w:fill="auto"/>
          </w:tcPr>
          <w:p w:rsidR="0080332D" w:rsidRPr="00D72AC3" w:rsidRDefault="0080332D" w:rsidP="0041273D">
            <w:pPr>
              <w:jc w:val="both"/>
              <w:rPr>
                <w:rFonts w:cs="Times New Roman"/>
                <w:sz w:val="20"/>
                <w:szCs w:val="20"/>
                <w:lang w:val="en-GB"/>
              </w:rPr>
            </w:pPr>
            <w:r w:rsidRPr="00D72AC3">
              <w:rPr>
                <w:rFonts w:cs="Times New Roman"/>
                <w:color w:val="000000"/>
                <w:sz w:val="20"/>
                <w:szCs w:val="20"/>
                <w:lang w:val="en-GB" w:bidi="en-GB"/>
              </w:rPr>
              <w:t>2. The effectiveness of the software of the CS is assessed and the conclusions made with respect to the necessary improvements for data processing</w:t>
            </w:r>
            <w:r w:rsidR="00D72AC3" w:rsidRPr="00D72AC3">
              <w:rPr>
                <w:rFonts w:cs="Times New Roman"/>
                <w:color w:val="000000"/>
                <w:sz w:val="20"/>
                <w:szCs w:val="20"/>
                <w:lang w:val="en-GB" w:bidi="en-GB"/>
              </w:rPr>
              <w:t xml:space="preserve"> </w:t>
            </w:r>
            <w:r w:rsidRPr="00D72AC3">
              <w:rPr>
                <w:rFonts w:cs="Times New Roman"/>
                <w:color w:val="000000"/>
                <w:sz w:val="20"/>
                <w:szCs w:val="20"/>
                <w:lang w:val="en-GB" w:bidi="en-GB"/>
              </w:rPr>
              <w:t>IT systems development.</w:t>
            </w:r>
          </w:p>
        </w:tc>
        <w:tc>
          <w:tcPr>
            <w:tcW w:w="1276" w:type="dxa"/>
            <w:shd w:val="clear" w:color="auto" w:fill="auto"/>
          </w:tcPr>
          <w:p w:rsidR="0080332D" w:rsidRPr="00D72AC3" w:rsidRDefault="0080332D"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auto"/>
          </w:tcPr>
          <w:p w:rsidR="0080332D" w:rsidRPr="00D72AC3" w:rsidRDefault="0080332D" w:rsidP="002D63BE">
            <w:pPr>
              <w:jc w:val="center"/>
              <w:rPr>
                <w:rFonts w:cs="Times New Roman"/>
                <w:sz w:val="20"/>
                <w:szCs w:val="20"/>
                <w:lang w:val="en-GB"/>
              </w:rPr>
            </w:pPr>
          </w:p>
        </w:tc>
        <w:tc>
          <w:tcPr>
            <w:tcW w:w="1701" w:type="dxa"/>
            <w:shd w:val="clear" w:color="auto" w:fill="auto"/>
          </w:tcPr>
          <w:p w:rsidR="0080332D" w:rsidRPr="00D72AC3" w:rsidRDefault="0080332D" w:rsidP="002D63BE">
            <w:pPr>
              <w:jc w:val="center"/>
              <w:rPr>
                <w:rFonts w:cs="Times New Roman"/>
                <w:sz w:val="20"/>
                <w:szCs w:val="20"/>
                <w:lang w:val="en-GB"/>
              </w:rPr>
            </w:pPr>
            <w:r w:rsidRPr="00D72AC3">
              <w:rPr>
                <w:rFonts w:cs="Times New Roman"/>
                <w:sz w:val="20"/>
                <w:szCs w:val="20"/>
                <w:lang w:val="en-GB" w:bidi="en-GB"/>
              </w:rPr>
              <w:t>20 December 2018</w:t>
            </w:r>
          </w:p>
        </w:tc>
      </w:tr>
      <w:tr w:rsidR="0080332D" w:rsidRPr="00D72AC3" w:rsidTr="0041273D">
        <w:trPr>
          <w:trHeight w:val="1228"/>
        </w:trPr>
        <w:tc>
          <w:tcPr>
            <w:tcW w:w="567" w:type="dxa"/>
            <w:vMerge/>
            <w:shd w:val="clear" w:color="auto" w:fill="FFFFFF" w:themeFill="background1"/>
          </w:tcPr>
          <w:p w:rsidR="0080332D" w:rsidRPr="00D72AC3" w:rsidRDefault="0080332D" w:rsidP="00BD055F">
            <w:pPr>
              <w:rPr>
                <w:rFonts w:cs="Times New Roman"/>
                <w:sz w:val="20"/>
                <w:szCs w:val="20"/>
                <w:lang w:val="en-GB"/>
              </w:rPr>
            </w:pPr>
          </w:p>
        </w:tc>
        <w:tc>
          <w:tcPr>
            <w:tcW w:w="3686" w:type="dxa"/>
            <w:vMerge/>
            <w:shd w:val="clear" w:color="auto" w:fill="FFFFFF" w:themeFill="background1"/>
          </w:tcPr>
          <w:p w:rsidR="0080332D" w:rsidRPr="00D72AC3" w:rsidRDefault="0080332D" w:rsidP="00454EA5">
            <w:pPr>
              <w:rPr>
                <w:rFonts w:cs="Times New Roman"/>
                <w:sz w:val="20"/>
                <w:szCs w:val="20"/>
                <w:lang w:val="en-GB"/>
              </w:rPr>
            </w:pPr>
          </w:p>
        </w:tc>
        <w:tc>
          <w:tcPr>
            <w:tcW w:w="1701" w:type="dxa"/>
            <w:vMerge/>
            <w:shd w:val="clear" w:color="auto" w:fill="FFFFFF" w:themeFill="background1"/>
          </w:tcPr>
          <w:p w:rsidR="0080332D" w:rsidRPr="00D72AC3" w:rsidRDefault="0080332D" w:rsidP="00A3142E">
            <w:pPr>
              <w:jc w:val="both"/>
              <w:rPr>
                <w:rFonts w:cs="Times New Roman"/>
                <w:sz w:val="20"/>
                <w:szCs w:val="20"/>
                <w:lang w:val="en-GB"/>
              </w:rPr>
            </w:pPr>
          </w:p>
        </w:tc>
        <w:tc>
          <w:tcPr>
            <w:tcW w:w="1984" w:type="dxa"/>
            <w:vMerge/>
            <w:shd w:val="clear" w:color="auto" w:fill="FFFFFF" w:themeFill="background1"/>
          </w:tcPr>
          <w:p w:rsidR="0080332D" w:rsidRPr="00D72AC3" w:rsidRDefault="0080332D" w:rsidP="00926CD8">
            <w:pPr>
              <w:jc w:val="both"/>
              <w:rPr>
                <w:rFonts w:cs="Times New Roman"/>
                <w:sz w:val="20"/>
                <w:szCs w:val="20"/>
                <w:lang w:val="en-GB"/>
              </w:rPr>
            </w:pPr>
          </w:p>
        </w:tc>
        <w:tc>
          <w:tcPr>
            <w:tcW w:w="2835" w:type="dxa"/>
            <w:shd w:val="clear" w:color="auto" w:fill="FFFFFF" w:themeFill="background1"/>
          </w:tcPr>
          <w:p w:rsidR="0080332D" w:rsidRPr="00D72AC3" w:rsidRDefault="0080332D" w:rsidP="00926CD8">
            <w:pPr>
              <w:jc w:val="both"/>
              <w:rPr>
                <w:rFonts w:cs="Times New Roman"/>
                <w:sz w:val="20"/>
                <w:szCs w:val="20"/>
                <w:lang w:val="en-GB"/>
              </w:rPr>
            </w:pPr>
            <w:r w:rsidRPr="00D72AC3">
              <w:rPr>
                <w:rFonts w:cs="Times New Roman"/>
                <w:sz w:val="20"/>
                <w:szCs w:val="20"/>
                <w:lang w:val="en-GB" w:bidi="en-GB"/>
              </w:rPr>
              <w:t>3. Training of the CS employees.</w:t>
            </w:r>
          </w:p>
        </w:tc>
        <w:tc>
          <w:tcPr>
            <w:tcW w:w="1276" w:type="dxa"/>
            <w:shd w:val="clear" w:color="auto" w:fill="FFFFFF" w:themeFill="background1"/>
          </w:tcPr>
          <w:p w:rsidR="0080332D" w:rsidRPr="00D72AC3" w:rsidRDefault="0080332D"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80332D" w:rsidRPr="00D72AC3" w:rsidRDefault="0080332D" w:rsidP="002D63BE">
            <w:pPr>
              <w:jc w:val="center"/>
              <w:rPr>
                <w:rFonts w:cs="Times New Roman"/>
                <w:sz w:val="20"/>
                <w:szCs w:val="20"/>
                <w:lang w:val="en-GB"/>
              </w:rPr>
            </w:pPr>
          </w:p>
        </w:tc>
        <w:tc>
          <w:tcPr>
            <w:tcW w:w="1701" w:type="dxa"/>
            <w:shd w:val="clear" w:color="auto" w:fill="FFFFFF" w:themeFill="background1"/>
          </w:tcPr>
          <w:p w:rsidR="0080332D" w:rsidRPr="00D72AC3" w:rsidRDefault="0080332D" w:rsidP="0041273D">
            <w:pPr>
              <w:jc w:val="center"/>
              <w:rPr>
                <w:rFonts w:cs="Times New Roman"/>
                <w:sz w:val="20"/>
                <w:szCs w:val="20"/>
                <w:lang w:val="en-GB"/>
              </w:rPr>
            </w:pPr>
            <w:r w:rsidRPr="00D72AC3">
              <w:rPr>
                <w:rFonts w:cs="Times New Roman"/>
                <w:sz w:val="20"/>
                <w:szCs w:val="20"/>
                <w:lang w:val="en-GB" w:bidi="en-GB"/>
              </w:rPr>
              <w:t>28 December 2019</w:t>
            </w:r>
          </w:p>
        </w:tc>
      </w:tr>
      <w:tr w:rsidR="0080332D" w:rsidRPr="00D72AC3" w:rsidTr="00613C61">
        <w:trPr>
          <w:trHeight w:val="1228"/>
        </w:trPr>
        <w:tc>
          <w:tcPr>
            <w:tcW w:w="567" w:type="dxa"/>
            <w:vMerge/>
            <w:tcBorders>
              <w:bottom w:val="nil"/>
            </w:tcBorders>
            <w:shd w:val="clear" w:color="auto" w:fill="FFFFFF" w:themeFill="background1"/>
          </w:tcPr>
          <w:p w:rsidR="0080332D" w:rsidRPr="00D72AC3" w:rsidRDefault="0080332D" w:rsidP="00BD055F">
            <w:pPr>
              <w:rPr>
                <w:rFonts w:cs="Times New Roman"/>
                <w:sz w:val="20"/>
                <w:szCs w:val="20"/>
                <w:lang w:val="en-GB"/>
              </w:rPr>
            </w:pPr>
          </w:p>
        </w:tc>
        <w:tc>
          <w:tcPr>
            <w:tcW w:w="3686" w:type="dxa"/>
            <w:vMerge/>
            <w:tcBorders>
              <w:bottom w:val="nil"/>
            </w:tcBorders>
            <w:shd w:val="clear" w:color="auto" w:fill="FFFFFF" w:themeFill="background1"/>
          </w:tcPr>
          <w:p w:rsidR="0080332D" w:rsidRPr="00D72AC3" w:rsidRDefault="0080332D" w:rsidP="00454EA5">
            <w:pPr>
              <w:rPr>
                <w:rFonts w:cs="Times New Roman"/>
                <w:sz w:val="20"/>
                <w:szCs w:val="20"/>
                <w:lang w:val="en-GB"/>
              </w:rPr>
            </w:pPr>
          </w:p>
        </w:tc>
        <w:tc>
          <w:tcPr>
            <w:tcW w:w="1701" w:type="dxa"/>
            <w:vMerge/>
            <w:tcBorders>
              <w:bottom w:val="nil"/>
            </w:tcBorders>
            <w:shd w:val="clear" w:color="auto" w:fill="FFFFFF" w:themeFill="background1"/>
          </w:tcPr>
          <w:p w:rsidR="0080332D" w:rsidRPr="00D72AC3" w:rsidRDefault="0080332D" w:rsidP="00A3142E">
            <w:pPr>
              <w:jc w:val="both"/>
              <w:rPr>
                <w:rFonts w:cs="Times New Roman"/>
                <w:sz w:val="20"/>
                <w:szCs w:val="20"/>
                <w:lang w:val="en-GB"/>
              </w:rPr>
            </w:pPr>
          </w:p>
        </w:tc>
        <w:tc>
          <w:tcPr>
            <w:tcW w:w="1984" w:type="dxa"/>
            <w:vMerge/>
            <w:tcBorders>
              <w:bottom w:val="nil"/>
            </w:tcBorders>
            <w:shd w:val="clear" w:color="auto" w:fill="FFFFFF" w:themeFill="background1"/>
          </w:tcPr>
          <w:p w:rsidR="0080332D" w:rsidRPr="00D72AC3" w:rsidRDefault="0080332D" w:rsidP="00926CD8">
            <w:pPr>
              <w:jc w:val="both"/>
              <w:rPr>
                <w:rFonts w:cs="Times New Roman"/>
                <w:sz w:val="20"/>
                <w:szCs w:val="20"/>
                <w:lang w:val="en-GB"/>
              </w:rPr>
            </w:pPr>
          </w:p>
        </w:tc>
        <w:tc>
          <w:tcPr>
            <w:tcW w:w="2835" w:type="dxa"/>
            <w:shd w:val="clear" w:color="auto" w:fill="FFFFFF" w:themeFill="background1"/>
          </w:tcPr>
          <w:p w:rsidR="0080332D" w:rsidRPr="00D72AC3" w:rsidRDefault="0080332D" w:rsidP="00926CD8">
            <w:pPr>
              <w:jc w:val="both"/>
              <w:rPr>
                <w:rFonts w:cs="Times New Roman"/>
                <w:sz w:val="20"/>
                <w:szCs w:val="20"/>
                <w:lang w:val="en-GB"/>
              </w:rPr>
            </w:pPr>
            <w:r w:rsidRPr="00D72AC3">
              <w:rPr>
                <w:rFonts w:cs="Times New Roman"/>
                <w:sz w:val="20"/>
                <w:szCs w:val="20"/>
                <w:lang w:val="en-GB" w:bidi="en-GB"/>
              </w:rPr>
              <w:t xml:space="preserve">4. Workplaces arranged in the CS for new employees and the work in new premises commenced </w:t>
            </w:r>
          </w:p>
        </w:tc>
        <w:tc>
          <w:tcPr>
            <w:tcW w:w="1276" w:type="dxa"/>
            <w:shd w:val="clear" w:color="auto" w:fill="FFFFFF" w:themeFill="background1"/>
          </w:tcPr>
          <w:p w:rsidR="0080332D" w:rsidRPr="00D72AC3" w:rsidRDefault="0080332D"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80332D" w:rsidRPr="00D72AC3" w:rsidRDefault="0080332D" w:rsidP="002D63BE">
            <w:pPr>
              <w:jc w:val="center"/>
              <w:rPr>
                <w:rFonts w:cs="Times New Roman"/>
                <w:sz w:val="20"/>
                <w:szCs w:val="20"/>
                <w:lang w:val="en-GB"/>
              </w:rPr>
            </w:pPr>
          </w:p>
        </w:tc>
        <w:tc>
          <w:tcPr>
            <w:tcW w:w="1701" w:type="dxa"/>
            <w:shd w:val="clear" w:color="auto" w:fill="FFFFFF" w:themeFill="background1"/>
          </w:tcPr>
          <w:p w:rsidR="0080332D" w:rsidRPr="00D72AC3" w:rsidRDefault="0080332D" w:rsidP="009E6048">
            <w:pPr>
              <w:jc w:val="center"/>
              <w:rPr>
                <w:rFonts w:cs="Times New Roman"/>
                <w:sz w:val="20"/>
                <w:szCs w:val="20"/>
                <w:lang w:val="en-GB"/>
              </w:rPr>
            </w:pPr>
            <w:r w:rsidRPr="00D72AC3">
              <w:rPr>
                <w:rFonts w:cs="Times New Roman"/>
                <w:sz w:val="20"/>
                <w:szCs w:val="20"/>
                <w:lang w:val="en-GB" w:bidi="en-GB"/>
              </w:rPr>
              <w:t>28 December 2019</w:t>
            </w:r>
          </w:p>
        </w:tc>
      </w:tr>
      <w:tr w:rsidR="00613C61" w:rsidRPr="00D72AC3" w:rsidTr="00466A18">
        <w:trPr>
          <w:trHeight w:val="1228"/>
        </w:trPr>
        <w:tc>
          <w:tcPr>
            <w:tcW w:w="567" w:type="dxa"/>
            <w:tcBorders>
              <w:top w:val="nil"/>
            </w:tcBorders>
            <w:shd w:val="clear" w:color="auto" w:fill="FFFFFF" w:themeFill="background1"/>
          </w:tcPr>
          <w:p w:rsidR="00613C61" w:rsidRPr="00D72AC3" w:rsidRDefault="00613C61" w:rsidP="00613C61">
            <w:pPr>
              <w:rPr>
                <w:rFonts w:cs="Times New Roman"/>
                <w:sz w:val="20"/>
                <w:szCs w:val="20"/>
                <w:lang w:val="en-GB"/>
              </w:rPr>
            </w:pPr>
          </w:p>
        </w:tc>
        <w:tc>
          <w:tcPr>
            <w:tcW w:w="3686" w:type="dxa"/>
            <w:tcBorders>
              <w:top w:val="nil"/>
            </w:tcBorders>
            <w:shd w:val="clear" w:color="auto" w:fill="FFFFFF" w:themeFill="background1"/>
          </w:tcPr>
          <w:p w:rsidR="00613C61" w:rsidRPr="00D72AC3" w:rsidRDefault="00613C61" w:rsidP="00613C61">
            <w:pPr>
              <w:jc w:val="center"/>
              <w:rPr>
                <w:rFonts w:cs="Times New Roman"/>
                <w:sz w:val="20"/>
                <w:szCs w:val="20"/>
                <w:lang w:val="en-GB"/>
              </w:rPr>
            </w:pPr>
          </w:p>
        </w:tc>
        <w:tc>
          <w:tcPr>
            <w:tcW w:w="1701" w:type="dxa"/>
            <w:tcBorders>
              <w:top w:val="nil"/>
            </w:tcBorders>
            <w:shd w:val="clear" w:color="auto" w:fill="FFFFFF" w:themeFill="background1"/>
          </w:tcPr>
          <w:p w:rsidR="00613C61" w:rsidRPr="00D72AC3" w:rsidRDefault="00613C61" w:rsidP="00613C61">
            <w:pPr>
              <w:jc w:val="center"/>
              <w:rPr>
                <w:rFonts w:cs="Times New Roman"/>
                <w:sz w:val="20"/>
                <w:szCs w:val="20"/>
                <w:lang w:val="en-GB"/>
              </w:rPr>
            </w:pPr>
          </w:p>
        </w:tc>
        <w:tc>
          <w:tcPr>
            <w:tcW w:w="1984" w:type="dxa"/>
            <w:tcBorders>
              <w:top w:val="nil"/>
            </w:tcBorders>
            <w:shd w:val="clear" w:color="auto" w:fill="FFFFFF" w:themeFill="background1"/>
          </w:tcPr>
          <w:p w:rsidR="00613C61" w:rsidRPr="00D72AC3" w:rsidRDefault="00613C61" w:rsidP="00613C61">
            <w:pPr>
              <w:jc w:val="center"/>
              <w:rPr>
                <w:rFonts w:cs="Times New Roman"/>
                <w:sz w:val="20"/>
                <w:szCs w:val="20"/>
                <w:lang w:val="en-GB"/>
              </w:rPr>
            </w:pPr>
          </w:p>
        </w:tc>
        <w:tc>
          <w:tcPr>
            <w:tcW w:w="2835" w:type="dxa"/>
            <w:shd w:val="clear" w:color="auto" w:fill="auto"/>
          </w:tcPr>
          <w:p w:rsidR="00613C61" w:rsidRPr="00D72AC3" w:rsidRDefault="00613C61" w:rsidP="004A7EED">
            <w:pPr>
              <w:jc w:val="both"/>
              <w:rPr>
                <w:rFonts w:cs="Times New Roman"/>
                <w:sz w:val="20"/>
                <w:szCs w:val="20"/>
                <w:lang w:val="en-GB"/>
              </w:rPr>
            </w:pPr>
            <w:r w:rsidRPr="00D72AC3">
              <w:rPr>
                <w:rFonts w:cs="Times New Roman"/>
                <w:sz w:val="20"/>
                <w:szCs w:val="20"/>
                <w:lang w:val="en-GB" w:bidi="en-GB"/>
              </w:rPr>
              <w:t xml:space="preserve">5. The service provider outsourced for the operational and strategic analysis, etc., to be performed during the self-liquidation process of ABLV </w:t>
            </w:r>
          </w:p>
        </w:tc>
        <w:tc>
          <w:tcPr>
            <w:tcW w:w="1276" w:type="dxa"/>
            <w:shd w:val="clear" w:color="auto" w:fill="auto"/>
          </w:tcPr>
          <w:p w:rsidR="00613C61" w:rsidRPr="00D72AC3" w:rsidRDefault="00613C61" w:rsidP="00613C61">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auto"/>
          </w:tcPr>
          <w:p w:rsidR="00613C61" w:rsidRPr="00D72AC3" w:rsidRDefault="00613C61" w:rsidP="00613C61">
            <w:pPr>
              <w:jc w:val="center"/>
              <w:rPr>
                <w:rFonts w:cs="Times New Roman"/>
                <w:sz w:val="20"/>
                <w:szCs w:val="20"/>
                <w:lang w:val="en-GB"/>
              </w:rPr>
            </w:pPr>
          </w:p>
        </w:tc>
        <w:tc>
          <w:tcPr>
            <w:tcW w:w="1701" w:type="dxa"/>
            <w:shd w:val="clear" w:color="auto" w:fill="auto"/>
          </w:tcPr>
          <w:p w:rsidR="00613C61" w:rsidRPr="00D72AC3" w:rsidRDefault="00613C61" w:rsidP="00613C61">
            <w:pPr>
              <w:jc w:val="center"/>
              <w:rPr>
                <w:rFonts w:cs="Times New Roman"/>
                <w:sz w:val="20"/>
                <w:szCs w:val="20"/>
                <w:lang w:val="en-GB"/>
              </w:rPr>
            </w:pPr>
            <w:r w:rsidRPr="00D72AC3">
              <w:rPr>
                <w:rFonts w:cs="Times New Roman"/>
                <w:sz w:val="20"/>
                <w:szCs w:val="20"/>
                <w:lang w:val="en-GB" w:bidi="en-GB"/>
              </w:rPr>
              <w:t>1 November 2018</w:t>
            </w:r>
          </w:p>
        </w:tc>
      </w:tr>
      <w:tr w:rsidR="00CD49D0" w:rsidRPr="00D72AC3" w:rsidTr="0041273D">
        <w:trPr>
          <w:trHeight w:val="1228"/>
        </w:trPr>
        <w:tc>
          <w:tcPr>
            <w:tcW w:w="567" w:type="dxa"/>
            <w:shd w:val="clear" w:color="auto" w:fill="FFFFFF" w:themeFill="background1"/>
          </w:tcPr>
          <w:p w:rsidR="00CD49D0" w:rsidRPr="00D72AC3" w:rsidRDefault="00942E92" w:rsidP="00942E92">
            <w:pPr>
              <w:rPr>
                <w:rFonts w:cs="Times New Roman"/>
                <w:sz w:val="20"/>
                <w:szCs w:val="20"/>
                <w:lang w:val="en-GB"/>
              </w:rPr>
            </w:pPr>
            <w:r w:rsidRPr="00D72AC3">
              <w:rPr>
                <w:rFonts w:cs="Times New Roman"/>
                <w:sz w:val="20"/>
                <w:szCs w:val="20"/>
                <w:lang w:val="en-GB" w:bidi="en-GB"/>
              </w:rPr>
              <w:t>6.6.</w:t>
            </w:r>
          </w:p>
        </w:tc>
        <w:tc>
          <w:tcPr>
            <w:tcW w:w="3686" w:type="dxa"/>
            <w:shd w:val="clear" w:color="auto" w:fill="FFFFFF" w:themeFill="background1"/>
          </w:tcPr>
          <w:p w:rsidR="00CD49D0" w:rsidRPr="00D72AC3" w:rsidRDefault="00A26F5F" w:rsidP="00333994">
            <w:pPr>
              <w:jc w:val="both"/>
              <w:rPr>
                <w:rFonts w:cs="Times New Roman"/>
                <w:sz w:val="20"/>
                <w:szCs w:val="20"/>
                <w:lang w:val="en-GB"/>
              </w:rPr>
            </w:pPr>
            <w:r w:rsidRPr="00D72AC3">
              <w:rPr>
                <w:rFonts w:cs="Times New Roman"/>
                <w:sz w:val="20"/>
                <w:szCs w:val="20"/>
                <w:lang w:val="en-GB" w:bidi="en-GB"/>
              </w:rPr>
              <w:t xml:space="preserve">To develop the amendments to the law on the PMLTF, in order to prevent the information disclosure risks, providing for a broader range of information to be included in the report. </w:t>
            </w:r>
          </w:p>
        </w:tc>
        <w:tc>
          <w:tcPr>
            <w:tcW w:w="1701" w:type="dxa"/>
            <w:shd w:val="clear" w:color="auto" w:fill="FFFFFF" w:themeFill="background1"/>
          </w:tcPr>
          <w:p w:rsidR="00CD49D0" w:rsidRPr="00D72AC3" w:rsidRDefault="00A26F5F" w:rsidP="00A3142E">
            <w:pPr>
              <w:jc w:val="both"/>
              <w:rPr>
                <w:rFonts w:cs="Times New Roman"/>
                <w:sz w:val="20"/>
                <w:szCs w:val="20"/>
                <w:lang w:val="en-GB"/>
              </w:rPr>
            </w:pPr>
            <w:r w:rsidRPr="00D72AC3">
              <w:rPr>
                <w:rFonts w:cs="Times New Roman"/>
                <w:sz w:val="20"/>
                <w:szCs w:val="20"/>
                <w:lang w:val="en-GB" w:bidi="en-GB"/>
              </w:rPr>
              <w:t>Moneyval recommendation 6.4.</w:t>
            </w:r>
          </w:p>
        </w:tc>
        <w:tc>
          <w:tcPr>
            <w:tcW w:w="1984" w:type="dxa"/>
            <w:shd w:val="clear" w:color="auto" w:fill="FFFFFF" w:themeFill="background1"/>
          </w:tcPr>
          <w:p w:rsidR="00A26F5F" w:rsidRPr="00D72AC3" w:rsidRDefault="00A26F5F" w:rsidP="00333994">
            <w:pPr>
              <w:jc w:val="both"/>
              <w:rPr>
                <w:rFonts w:cs="Times New Roman"/>
                <w:sz w:val="20"/>
                <w:szCs w:val="20"/>
                <w:lang w:val="en-GB"/>
              </w:rPr>
            </w:pPr>
            <w:r w:rsidRPr="00D72AC3">
              <w:rPr>
                <w:rFonts w:cs="Times New Roman"/>
                <w:sz w:val="20"/>
                <w:szCs w:val="20"/>
                <w:lang w:val="en-GB" w:bidi="en-GB"/>
              </w:rPr>
              <w:t>Risk of information disclosure mitigate, when the subjects of law request additional information.</w:t>
            </w:r>
          </w:p>
        </w:tc>
        <w:tc>
          <w:tcPr>
            <w:tcW w:w="2835" w:type="dxa"/>
            <w:shd w:val="clear" w:color="auto" w:fill="FFFFFF" w:themeFill="background1"/>
          </w:tcPr>
          <w:p w:rsidR="00A26F5F" w:rsidRPr="00D72AC3" w:rsidRDefault="00A26F5F" w:rsidP="00333994">
            <w:pPr>
              <w:jc w:val="both"/>
              <w:rPr>
                <w:rFonts w:cs="Times New Roman"/>
                <w:sz w:val="20"/>
                <w:szCs w:val="20"/>
                <w:lang w:val="en-GB"/>
              </w:rPr>
            </w:pPr>
            <w:r w:rsidRPr="00D72AC3">
              <w:rPr>
                <w:rFonts w:cs="Times New Roman"/>
                <w:sz w:val="20"/>
                <w:szCs w:val="20"/>
                <w:lang w:val="en-GB" w:bidi="en-GB"/>
              </w:rPr>
              <w:t xml:space="preserve">Amendments developed to the </w:t>
            </w:r>
            <w:r w:rsidRPr="00D72AC3">
              <w:rPr>
                <w:rFonts w:cs="Times New Roman"/>
                <w:i/>
                <w:sz w:val="20"/>
                <w:szCs w:val="20"/>
                <w:lang w:val="en-GB" w:bidi="en-GB"/>
              </w:rPr>
              <w:t>Law on the PMLTF</w:t>
            </w:r>
            <w:r w:rsidRPr="00D72AC3">
              <w:rPr>
                <w:rFonts w:cs="Times New Roman"/>
                <w:sz w:val="20"/>
                <w:szCs w:val="20"/>
                <w:lang w:val="en-GB" w:bidi="en-GB"/>
              </w:rPr>
              <w:t xml:space="preserve"> </w:t>
            </w:r>
          </w:p>
          <w:p w:rsidR="00CD49D0" w:rsidRPr="00D72AC3" w:rsidRDefault="00CD49D0" w:rsidP="00333994">
            <w:pPr>
              <w:pStyle w:val="ListParagraph"/>
              <w:ind w:left="33"/>
              <w:jc w:val="both"/>
              <w:rPr>
                <w:rFonts w:cs="Times New Roman"/>
                <w:sz w:val="20"/>
                <w:szCs w:val="20"/>
                <w:lang w:val="en-GB"/>
              </w:rPr>
            </w:pPr>
          </w:p>
        </w:tc>
        <w:tc>
          <w:tcPr>
            <w:tcW w:w="1276" w:type="dxa"/>
            <w:shd w:val="clear" w:color="auto" w:fill="FFFFFF" w:themeFill="background1"/>
          </w:tcPr>
          <w:p w:rsidR="00CD49D0" w:rsidRPr="00D72AC3" w:rsidRDefault="00A26F5F" w:rsidP="002D63BE">
            <w:pPr>
              <w:jc w:val="center"/>
              <w:rPr>
                <w:rFonts w:cs="Times New Roman"/>
                <w:sz w:val="20"/>
                <w:szCs w:val="20"/>
                <w:lang w:val="en-GB"/>
              </w:rPr>
            </w:pPr>
            <w:r w:rsidRPr="00D72AC3">
              <w:rPr>
                <w:rFonts w:cs="Times New Roman"/>
                <w:sz w:val="20"/>
                <w:szCs w:val="20"/>
                <w:lang w:val="en-GB" w:bidi="en-GB"/>
              </w:rPr>
              <w:t>MoF</w:t>
            </w:r>
          </w:p>
        </w:tc>
        <w:tc>
          <w:tcPr>
            <w:tcW w:w="1134" w:type="dxa"/>
            <w:shd w:val="clear" w:color="auto" w:fill="FFFFFF" w:themeFill="background1"/>
          </w:tcPr>
          <w:p w:rsidR="00CD49D0" w:rsidRPr="00D72AC3" w:rsidRDefault="00A26F5F" w:rsidP="002D63BE">
            <w:pPr>
              <w:jc w:val="center"/>
              <w:rPr>
                <w:rFonts w:cs="Times New Roman"/>
                <w:sz w:val="20"/>
                <w:szCs w:val="20"/>
                <w:lang w:val="en-GB"/>
              </w:rPr>
            </w:pPr>
            <w:r w:rsidRPr="00D72AC3">
              <w:rPr>
                <w:rFonts w:cs="Times New Roman"/>
                <w:sz w:val="20"/>
                <w:szCs w:val="20"/>
                <w:lang w:val="en-GB" w:bidi="en-GB"/>
              </w:rPr>
              <w:t>CS</w:t>
            </w:r>
          </w:p>
        </w:tc>
        <w:tc>
          <w:tcPr>
            <w:tcW w:w="1701" w:type="dxa"/>
            <w:shd w:val="clear" w:color="auto" w:fill="FFFFFF" w:themeFill="background1"/>
          </w:tcPr>
          <w:p w:rsidR="00CD49D0" w:rsidRPr="00D72AC3" w:rsidRDefault="00A26F5F" w:rsidP="009E6048">
            <w:pPr>
              <w:jc w:val="center"/>
              <w:rPr>
                <w:rFonts w:cs="Times New Roman"/>
                <w:sz w:val="20"/>
                <w:szCs w:val="20"/>
                <w:lang w:val="en-GB"/>
              </w:rPr>
            </w:pPr>
            <w:r w:rsidRPr="00D72AC3">
              <w:rPr>
                <w:rFonts w:cs="Times New Roman"/>
                <w:sz w:val="20"/>
                <w:szCs w:val="20"/>
                <w:lang w:val="en-GB" w:bidi="en-GB"/>
              </w:rPr>
              <w:t>28 December 2018</w:t>
            </w:r>
          </w:p>
        </w:tc>
      </w:tr>
      <w:tr w:rsidR="002F5F09" w:rsidRPr="00D72AC3" w:rsidTr="0041273D">
        <w:trPr>
          <w:trHeight w:val="1228"/>
        </w:trPr>
        <w:tc>
          <w:tcPr>
            <w:tcW w:w="567" w:type="dxa"/>
            <w:vMerge w:val="restart"/>
            <w:shd w:val="clear" w:color="auto" w:fill="FFFFFF" w:themeFill="background1"/>
          </w:tcPr>
          <w:p w:rsidR="002F5F09" w:rsidRPr="00D72AC3" w:rsidRDefault="00942E92" w:rsidP="00A26F5F">
            <w:pPr>
              <w:rPr>
                <w:rFonts w:cs="Times New Roman"/>
                <w:sz w:val="20"/>
                <w:szCs w:val="20"/>
                <w:lang w:val="en-GB"/>
              </w:rPr>
            </w:pPr>
            <w:r w:rsidRPr="00D72AC3">
              <w:rPr>
                <w:rFonts w:cs="Times New Roman"/>
                <w:sz w:val="20"/>
                <w:szCs w:val="20"/>
                <w:lang w:val="en-GB" w:bidi="en-GB"/>
              </w:rPr>
              <w:t>6.7.</w:t>
            </w:r>
          </w:p>
        </w:tc>
        <w:tc>
          <w:tcPr>
            <w:tcW w:w="3686" w:type="dxa"/>
            <w:vMerge w:val="restart"/>
            <w:shd w:val="clear" w:color="auto" w:fill="FFFFFF" w:themeFill="background1"/>
          </w:tcPr>
          <w:p w:rsidR="002F5F09" w:rsidRPr="00D72AC3" w:rsidRDefault="002F5F09" w:rsidP="0025344E">
            <w:pPr>
              <w:jc w:val="both"/>
              <w:rPr>
                <w:rFonts w:cs="Times New Roman"/>
                <w:sz w:val="20"/>
                <w:szCs w:val="20"/>
                <w:lang w:val="en-GB"/>
              </w:rPr>
            </w:pPr>
            <w:r w:rsidRPr="00D72AC3">
              <w:rPr>
                <w:rFonts w:cs="Times New Roman"/>
                <w:sz w:val="20"/>
                <w:szCs w:val="20"/>
                <w:lang w:val="en-GB" w:bidi="en-GB"/>
              </w:rPr>
              <w:t>To provide the CS with online access to the following State information systems databases - KRASS, Tractor-Type Machinery Register, Ship Register.</w:t>
            </w:r>
          </w:p>
        </w:tc>
        <w:tc>
          <w:tcPr>
            <w:tcW w:w="1701" w:type="dxa"/>
            <w:vMerge w:val="restart"/>
            <w:shd w:val="clear" w:color="auto" w:fill="FFFFFF" w:themeFill="background1"/>
          </w:tcPr>
          <w:p w:rsidR="002F5F09" w:rsidRPr="00D72AC3" w:rsidRDefault="002D63BE" w:rsidP="006B5812">
            <w:pPr>
              <w:jc w:val="both"/>
              <w:rPr>
                <w:rFonts w:cs="Times New Roman"/>
                <w:sz w:val="20"/>
                <w:szCs w:val="20"/>
                <w:lang w:val="en-GB"/>
              </w:rPr>
            </w:pPr>
            <w:r w:rsidRPr="00D72AC3">
              <w:rPr>
                <w:rFonts w:cs="Times New Roman"/>
                <w:sz w:val="20"/>
                <w:szCs w:val="20"/>
                <w:lang w:val="en-GB" w:bidi="en-GB"/>
              </w:rPr>
              <w:t>FATF Recommendation 29.</w:t>
            </w:r>
          </w:p>
        </w:tc>
        <w:tc>
          <w:tcPr>
            <w:tcW w:w="1984" w:type="dxa"/>
            <w:vMerge w:val="restart"/>
            <w:shd w:val="clear" w:color="auto" w:fill="FFFFFF" w:themeFill="background1"/>
          </w:tcPr>
          <w:p w:rsidR="002F5F09" w:rsidRPr="00D72AC3" w:rsidRDefault="002F5F09" w:rsidP="00EC75AE">
            <w:pPr>
              <w:jc w:val="both"/>
              <w:rPr>
                <w:rFonts w:cs="Times New Roman"/>
                <w:sz w:val="20"/>
                <w:szCs w:val="20"/>
                <w:lang w:val="en-GB"/>
              </w:rPr>
            </w:pPr>
            <w:r w:rsidRPr="00D72AC3">
              <w:rPr>
                <w:rFonts w:cs="Times New Roman"/>
                <w:sz w:val="20"/>
                <w:szCs w:val="20"/>
                <w:lang w:val="en-GB" w:bidi="en-GB"/>
              </w:rPr>
              <w:t>Accelerated data retrieval from the State information systems</w:t>
            </w:r>
          </w:p>
        </w:tc>
        <w:tc>
          <w:tcPr>
            <w:tcW w:w="2835" w:type="dxa"/>
            <w:shd w:val="clear" w:color="auto" w:fill="FFFFFF" w:themeFill="background1"/>
          </w:tcPr>
          <w:p w:rsidR="002F5F09" w:rsidRPr="00D72AC3" w:rsidRDefault="006B5812" w:rsidP="00FC417E">
            <w:pPr>
              <w:jc w:val="both"/>
              <w:rPr>
                <w:rFonts w:cs="Times New Roman"/>
                <w:sz w:val="20"/>
                <w:szCs w:val="20"/>
                <w:lang w:val="en-GB"/>
              </w:rPr>
            </w:pPr>
            <w:r w:rsidRPr="00D72AC3">
              <w:rPr>
                <w:rFonts w:cs="Times New Roman"/>
                <w:sz w:val="20"/>
                <w:szCs w:val="20"/>
                <w:lang w:val="en-GB" w:bidi="en-GB"/>
              </w:rPr>
              <w:t>1. Online access ensured for the CS to the necessary databases</w:t>
            </w:r>
          </w:p>
        </w:tc>
        <w:tc>
          <w:tcPr>
            <w:tcW w:w="1276" w:type="dxa"/>
            <w:shd w:val="clear" w:color="auto" w:fill="FFFFFF" w:themeFill="background1"/>
          </w:tcPr>
          <w:p w:rsidR="002F5F09" w:rsidRPr="00D72AC3" w:rsidRDefault="002F5F09"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2F5F09" w:rsidRPr="00D72AC3" w:rsidRDefault="002F5F09" w:rsidP="002D63BE">
            <w:pPr>
              <w:jc w:val="center"/>
              <w:rPr>
                <w:rFonts w:cs="Times New Roman"/>
                <w:sz w:val="20"/>
                <w:szCs w:val="20"/>
                <w:lang w:val="en-GB"/>
              </w:rPr>
            </w:pPr>
            <w:r w:rsidRPr="00D72AC3">
              <w:rPr>
                <w:rFonts w:cs="Times New Roman"/>
                <w:sz w:val="20"/>
                <w:szCs w:val="20"/>
                <w:lang w:val="en-GB" w:bidi="en-GB"/>
              </w:rPr>
              <w:t>Database holders</w:t>
            </w:r>
          </w:p>
        </w:tc>
        <w:tc>
          <w:tcPr>
            <w:tcW w:w="1701" w:type="dxa"/>
            <w:shd w:val="clear" w:color="auto" w:fill="FFFFFF" w:themeFill="background1"/>
          </w:tcPr>
          <w:p w:rsidR="002F5F09" w:rsidRPr="00D72AC3" w:rsidRDefault="002F5F09" w:rsidP="002D63BE">
            <w:pPr>
              <w:jc w:val="center"/>
              <w:rPr>
                <w:rFonts w:cs="Times New Roman"/>
                <w:sz w:val="20"/>
                <w:szCs w:val="20"/>
                <w:lang w:val="en-GB"/>
              </w:rPr>
            </w:pPr>
            <w:r w:rsidRPr="00D72AC3">
              <w:rPr>
                <w:rFonts w:cs="Times New Roman"/>
                <w:sz w:val="20"/>
                <w:szCs w:val="20"/>
                <w:lang w:val="en-GB" w:bidi="en-GB"/>
              </w:rPr>
              <w:t>1 July 2019</w:t>
            </w:r>
          </w:p>
        </w:tc>
      </w:tr>
      <w:tr w:rsidR="002F5F09" w:rsidRPr="00D72AC3" w:rsidTr="0041273D">
        <w:trPr>
          <w:trHeight w:val="1228"/>
        </w:trPr>
        <w:tc>
          <w:tcPr>
            <w:tcW w:w="567" w:type="dxa"/>
            <w:vMerge/>
            <w:shd w:val="clear" w:color="auto" w:fill="FFFFFF" w:themeFill="background1"/>
          </w:tcPr>
          <w:p w:rsidR="002F5F09" w:rsidRPr="00D72AC3" w:rsidRDefault="002F5F09" w:rsidP="000C118F">
            <w:pPr>
              <w:rPr>
                <w:rFonts w:cs="Times New Roman"/>
                <w:sz w:val="20"/>
                <w:szCs w:val="20"/>
                <w:lang w:val="en-GB"/>
              </w:rPr>
            </w:pPr>
          </w:p>
        </w:tc>
        <w:tc>
          <w:tcPr>
            <w:tcW w:w="3686" w:type="dxa"/>
            <w:vMerge/>
            <w:shd w:val="clear" w:color="auto" w:fill="FFFFFF" w:themeFill="background1"/>
          </w:tcPr>
          <w:p w:rsidR="002F5F09" w:rsidRPr="00D72AC3" w:rsidRDefault="002F5F09" w:rsidP="000C118F">
            <w:pPr>
              <w:rPr>
                <w:rFonts w:cs="Times New Roman"/>
                <w:sz w:val="20"/>
                <w:szCs w:val="20"/>
                <w:lang w:val="en-GB"/>
              </w:rPr>
            </w:pPr>
          </w:p>
        </w:tc>
        <w:tc>
          <w:tcPr>
            <w:tcW w:w="1701" w:type="dxa"/>
            <w:vMerge/>
            <w:shd w:val="clear" w:color="auto" w:fill="FFFFFF" w:themeFill="background1"/>
          </w:tcPr>
          <w:p w:rsidR="002F5F09" w:rsidRPr="00D72AC3" w:rsidRDefault="002F5F09" w:rsidP="000C118F">
            <w:pPr>
              <w:jc w:val="both"/>
              <w:rPr>
                <w:rFonts w:cs="Times New Roman"/>
                <w:sz w:val="20"/>
                <w:szCs w:val="20"/>
                <w:lang w:val="en-GB"/>
              </w:rPr>
            </w:pPr>
          </w:p>
        </w:tc>
        <w:tc>
          <w:tcPr>
            <w:tcW w:w="1984" w:type="dxa"/>
            <w:vMerge/>
            <w:shd w:val="clear" w:color="auto" w:fill="FFFFFF" w:themeFill="background1"/>
          </w:tcPr>
          <w:p w:rsidR="002F5F09" w:rsidRPr="00D72AC3" w:rsidRDefault="002F5F09" w:rsidP="000C118F">
            <w:pPr>
              <w:rPr>
                <w:rFonts w:cs="Times New Roman"/>
                <w:sz w:val="20"/>
                <w:szCs w:val="20"/>
                <w:lang w:val="en-GB"/>
              </w:rPr>
            </w:pPr>
          </w:p>
        </w:tc>
        <w:tc>
          <w:tcPr>
            <w:tcW w:w="2835" w:type="dxa"/>
            <w:shd w:val="clear" w:color="auto" w:fill="FFFFFF" w:themeFill="background1"/>
          </w:tcPr>
          <w:p w:rsidR="002F5F09" w:rsidRPr="00D72AC3" w:rsidRDefault="006B5812" w:rsidP="00FC417E">
            <w:pPr>
              <w:jc w:val="both"/>
              <w:rPr>
                <w:rFonts w:cs="Times New Roman"/>
                <w:b/>
                <w:sz w:val="20"/>
                <w:szCs w:val="20"/>
                <w:lang w:val="en-GB"/>
              </w:rPr>
            </w:pPr>
            <w:r w:rsidRPr="00D72AC3">
              <w:rPr>
                <w:rFonts w:cs="Times New Roman"/>
                <w:sz w:val="20"/>
                <w:szCs w:val="20"/>
                <w:lang w:val="en-GB" w:bidi="en-GB"/>
              </w:rPr>
              <w:t>2. Information gathered on the new databases available online, table prepared with the new databases available online, including the assessment on the need to add the relevant database to the data sources of the CS.</w:t>
            </w:r>
          </w:p>
        </w:tc>
        <w:tc>
          <w:tcPr>
            <w:tcW w:w="1276" w:type="dxa"/>
            <w:shd w:val="clear" w:color="auto" w:fill="FFFFFF" w:themeFill="background1"/>
          </w:tcPr>
          <w:p w:rsidR="002F5F09" w:rsidRPr="00D72AC3" w:rsidRDefault="002F5F09"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2F5F09" w:rsidRPr="00D72AC3" w:rsidRDefault="002F5F09" w:rsidP="002D63BE">
            <w:pPr>
              <w:jc w:val="center"/>
              <w:rPr>
                <w:rFonts w:cs="Times New Roman"/>
                <w:sz w:val="20"/>
                <w:szCs w:val="20"/>
                <w:lang w:val="en-GB"/>
              </w:rPr>
            </w:pPr>
          </w:p>
        </w:tc>
        <w:tc>
          <w:tcPr>
            <w:tcW w:w="1701" w:type="dxa"/>
            <w:shd w:val="clear" w:color="auto" w:fill="FFFFFF" w:themeFill="background1"/>
          </w:tcPr>
          <w:p w:rsidR="002F5F09" w:rsidRPr="00D72AC3" w:rsidRDefault="002F5F09" w:rsidP="002D63BE">
            <w:pPr>
              <w:jc w:val="center"/>
              <w:rPr>
                <w:rFonts w:cs="Times New Roman"/>
                <w:sz w:val="20"/>
                <w:szCs w:val="20"/>
                <w:lang w:val="en-GB"/>
              </w:rPr>
            </w:pPr>
            <w:r w:rsidRPr="00D72AC3">
              <w:rPr>
                <w:rFonts w:cs="Times New Roman"/>
                <w:sz w:val="20"/>
                <w:szCs w:val="20"/>
                <w:lang w:val="en-GB" w:bidi="en-GB"/>
              </w:rPr>
              <w:t>1 July 2019</w:t>
            </w:r>
          </w:p>
        </w:tc>
      </w:tr>
      <w:tr w:rsidR="00942E92" w:rsidRPr="00D72AC3" w:rsidTr="0041273D">
        <w:trPr>
          <w:trHeight w:val="1228"/>
        </w:trPr>
        <w:tc>
          <w:tcPr>
            <w:tcW w:w="567" w:type="dxa"/>
            <w:shd w:val="clear" w:color="auto" w:fill="FFFFFF" w:themeFill="background1"/>
          </w:tcPr>
          <w:p w:rsidR="00942E92" w:rsidRPr="00D72AC3" w:rsidRDefault="00942E92" w:rsidP="00942E92">
            <w:pPr>
              <w:rPr>
                <w:rFonts w:cs="Times New Roman"/>
                <w:sz w:val="20"/>
                <w:szCs w:val="20"/>
                <w:lang w:val="en-GB"/>
              </w:rPr>
            </w:pPr>
            <w:r w:rsidRPr="00D72AC3">
              <w:rPr>
                <w:rFonts w:cs="Times New Roman"/>
                <w:sz w:val="20"/>
                <w:szCs w:val="20"/>
                <w:lang w:val="en-GB" w:bidi="en-GB"/>
              </w:rPr>
              <w:t>6.8.</w:t>
            </w:r>
          </w:p>
        </w:tc>
        <w:tc>
          <w:tcPr>
            <w:tcW w:w="3686" w:type="dxa"/>
            <w:shd w:val="clear" w:color="auto" w:fill="FFFFFF" w:themeFill="background1"/>
          </w:tcPr>
          <w:p w:rsidR="00942E92" w:rsidRPr="00D72AC3" w:rsidRDefault="00942E92" w:rsidP="0025344E">
            <w:pPr>
              <w:jc w:val="both"/>
              <w:rPr>
                <w:rFonts w:cs="Times New Roman"/>
                <w:sz w:val="20"/>
                <w:szCs w:val="20"/>
                <w:lang w:val="en-GB"/>
              </w:rPr>
            </w:pPr>
            <w:r w:rsidRPr="00D72AC3">
              <w:rPr>
                <w:sz w:val="20"/>
                <w:szCs w:val="20"/>
                <w:lang w:val="en-GB" w:bidi="en-GB"/>
              </w:rPr>
              <w:t xml:space="preserve">To develop the typologies on the criminal offences causing the largest threats to the AML/CFT system of the country. </w:t>
            </w:r>
          </w:p>
        </w:tc>
        <w:tc>
          <w:tcPr>
            <w:tcW w:w="1701" w:type="dxa"/>
            <w:shd w:val="clear" w:color="auto" w:fill="FFFFFF" w:themeFill="background1"/>
          </w:tcPr>
          <w:p w:rsidR="00942E92" w:rsidRPr="00D72AC3" w:rsidRDefault="00942E92" w:rsidP="00942E92">
            <w:pPr>
              <w:ind w:right="-108"/>
              <w:rPr>
                <w:rFonts w:cs="Times New Roman"/>
                <w:sz w:val="20"/>
                <w:szCs w:val="20"/>
                <w:lang w:val="en-GB"/>
              </w:rPr>
            </w:pPr>
            <w:r w:rsidRPr="00D72AC3">
              <w:rPr>
                <w:rFonts w:cs="Times New Roman"/>
                <w:sz w:val="20"/>
                <w:szCs w:val="20"/>
                <w:lang w:val="en-GB" w:bidi="en-GB"/>
              </w:rPr>
              <w:t>Moneyval recommendation 7.2.</w:t>
            </w:r>
          </w:p>
          <w:p w:rsidR="00942E92" w:rsidRPr="00D72AC3" w:rsidRDefault="00942E92" w:rsidP="00942E92">
            <w:pPr>
              <w:jc w:val="both"/>
              <w:rPr>
                <w:rFonts w:cs="Times New Roman"/>
                <w:sz w:val="20"/>
                <w:szCs w:val="20"/>
                <w:lang w:val="en-GB"/>
              </w:rPr>
            </w:pPr>
          </w:p>
        </w:tc>
        <w:tc>
          <w:tcPr>
            <w:tcW w:w="1984" w:type="dxa"/>
            <w:shd w:val="clear" w:color="auto" w:fill="FFFFFF" w:themeFill="background1"/>
          </w:tcPr>
          <w:p w:rsidR="00942E92" w:rsidRPr="00D72AC3" w:rsidRDefault="00942E92" w:rsidP="0025344E">
            <w:pPr>
              <w:jc w:val="both"/>
              <w:rPr>
                <w:rFonts w:cs="Times New Roman"/>
                <w:sz w:val="20"/>
                <w:szCs w:val="20"/>
                <w:lang w:val="en-GB"/>
              </w:rPr>
            </w:pPr>
            <w:r w:rsidRPr="00D72AC3">
              <w:rPr>
                <w:rFonts w:cs="Times New Roman"/>
                <w:sz w:val="20"/>
                <w:szCs w:val="20"/>
                <w:lang w:val="en-GB" w:bidi="en-GB"/>
              </w:rPr>
              <w:t>Improved abilities to discover and effectively investigate the criminal offences related to ML</w:t>
            </w:r>
          </w:p>
          <w:p w:rsidR="00942E92" w:rsidRPr="00D72AC3" w:rsidRDefault="00942E92" w:rsidP="00942E92">
            <w:pPr>
              <w:rPr>
                <w:rFonts w:cs="Times New Roman"/>
                <w:sz w:val="20"/>
                <w:szCs w:val="20"/>
                <w:lang w:val="en-GB"/>
              </w:rPr>
            </w:pPr>
          </w:p>
        </w:tc>
        <w:tc>
          <w:tcPr>
            <w:tcW w:w="2835" w:type="dxa"/>
            <w:shd w:val="clear" w:color="auto" w:fill="FFFFFF" w:themeFill="background1"/>
          </w:tcPr>
          <w:p w:rsidR="00942E92" w:rsidRPr="00D72AC3" w:rsidRDefault="00942E92" w:rsidP="0025344E">
            <w:pPr>
              <w:jc w:val="both"/>
              <w:rPr>
                <w:rFonts w:cs="Times New Roman"/>
                <w:sz w:val="20"/>
                <w:szCs w:val="20"/>
                <w:lang w:val="en-GB"/>
              </w:rPr>
            </w:pPr>
            <w:r w:rsidRPr="00D72AC3">
              <w:rPr>
                <w:rFonts w:cs="Times New Roman"/>
                <w:sz w:val="20"/>
                <w:szCs w:val="20"/>
                <w:lang w:val="en-GB" w:bidi="en-GB"/>
              </w:rPr>
              <w:t>Typologies developed in the field of taxes, as well as regarding the relation of the fraud and corruption to money laundering.</w:t>
            </w:r>
          </w:p>
          <w:p w:rsidR="00942E92" w:rsidRPr="00D72AC3" w:rsidRDefault="00942E92" w:rsidP="00942E92">
            <w:pPr>
              <w:jc w:val="both"/>
              <w:rPr>
                <w:rFonts w:cs="Times New Roman"/>
                <w:sz w:val="20"/>
                <w:szCs w:val="20"/>
                <w:lang w:val="en-GB"/>
              </w:rPr>
            </w:pPr>
          </w:p>
        </w:tc>
        <w:tc>
          <w:tcPr>
            <w:tcW w:w="1276"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CS</w:t>
            </w:r>
          </w:p>
        </w:tc>
        <w:tc>
          <w:tcPr>
            <w:tcW w:w="1134" w:type="dxa"/>
            <w:shd w:val="clear" w:color="auto" w:fill="FFFFFF" w:themeFill="background1"/>
          </w:tcPr>
          <w:p w:rsidR="00942E92" w:rsidRPr="00D72AC3" w:rsidRDefault="00E0273A" w:rsidP="002D63BE">
            <w:pPr>
              <w:jc w:val="center"/>
              <w:rPr>
                <w:rFonts w:cs="Times New Roman"/>
                <w:sz w:val="20"/>
                <w:szCs w:val="20"/>
                <w:lang w:val="en-GB"/>
              </w:rPr>
            </w:pPr>
            <w:r w:rsidRPr="00D72AC3">
              <w:rPr>
                <w:rFonts w:cs="Times New Roman"/>
                <w:sz w:val="20"/>
                <w:szCs w:val="20"/>
                <w:lang w:val="en-GB" w:bidi="en-GB"/>
              </w:rPr>
              <w:t>SP, TCPB, CPCB, GPO</w:t>
            </w:r>
          </w:p>
        </w:tc>
        <w:tc>
          <w:tcPr>
            <w:tcW w:w="1701" w:type="dxa"/>
            <w:shd w:val="clear" w:color="auto" w:fill="FFFFFF" w:themeFill="background1"/>
          </w:tcPr>
          <w:p w:rsidR="00942E92" w:rsidRPr="00D72AC3" w:rsidRDefault="00942E92" w:rsidP="002D63BE">
            <w:pPr>
              <w:jc w:val="center"/>
              <w:rPr>
                <w:rFonts w:cs="Times New Roman"/>
                <w:sz w:val="20"/>
                <w:szCs w:val="20"/>
                <w:lang w:val="en-GB"/>
              </w:rPr>
            </w:pPr>
            <w:r w:rsidRPr="00D72AC3">
              <w:rPr>
                <w:rFonts w:cs="Times New Roman"/>
                <w:sz w:val="20"/>
                <w:szCs w:val="20"/>
                <w:lang w:val="en-GB" w:bidi="en-GB"/>
              </w:rPr>
              <w:t>15 November 2018</w:t>
            </w:r>
          </w:p>
        </w:tc>
      </w:tr>
      <w:tr w:rsidR="0033152C" w:rsidRPr="00D72AC3" w:rsidTr="0041273D">
        <w:trPr>
          <w:trHeight w:val="1228"/>
        </w:trPr>
        <w:tc>
          <w:tcPr>
            <w:tcW w:w="567" w:type="dxa"/>
            <w:shd w:val="clear" w:color="auto" w:fill="FFFFFF" w:themeFill="background1"/>
          </w:tcPr>
          <w:p w:rsidR="0033152C" w:rsidRPr="00D72AC3" w:rsidRDefault="0033152C" w:rsidP="00942E92">
            <w:pPr>
              <w:rPr>
                <w:rFonts w:cs="Times New Roman"/>
                <w:bCs/>
                <w:sz w:val="20"/>
                <w:szCs w:val="20"/>
                <w:lang w:val="en-GB"/>
              </w:rPr>
            </w:pPr>
            <w:r w:rsidRPr="00D72AC3">
              <w:rPr>
                <w:rFonts w:cs="Times New Roman"/>
                <w:sz w:val="20"/>
                <w:szCs w:val="20"/>
                <w:lang w:val="en-GB" w:bidi="en-GB"/>
              </w:rPr>
              <w:t>6.9.</w:t>
            </w:r>
          </w:p>
        </w:tc>
        <w:tc>
          <w:tcPr>
            <w:tcW w:w="3686" w:type="dxa"/>
            <w:shd w:val="clear" w:color="auto" w:fill="FFFFFF" w:themeFill="background1"/>
          </w:tcPr>
          <w:p w:rsidR="0033152C" w:rsidRPr="00D72AC3" w:rsidRDefault="0033152C" w:rsidP="006B5812">
            <w:pPr>
              <w:jc w:val="both"/>
              <w:rPr>
                <w:sz w:val="20"/>
                <w:szCs w:val="20"/>
                <w:lang w:val="en-GB"/>
              </w:rPr>
            </w:pPr>
            <w:r w:rsidRPr="00D72AC3">
              <w:rPr>
                <w:sz w:val="20"/>
                <w:szCs w:val="20"/>
                <w:lang w:val="en-GB" w:bidi="en-GB"/>
              </w:rPr>
              <w:t>Proposal prepared for the change of the status of the CS.</w:t>
            </w:r>
          </w:p>
        </w:tc>
        <w:tc>
          <w:tcPr>
            <w:tcW w:w="1701" w:type="dxa"/>
            <w:shd w:val="clear" w:color="auto" w:fill="FFFFFF" w:themeFill="background1"/>
          </w:tcPr>
          <w:p w:rsidR="0033152C" w:rsidRPr="00D72AC3" w:rsidRDefault="0033152C" w:rsidP="00942E92">
            <w:pPr>
              <w:ind w:right="-108"/>
              <w:rPr>
                <w:rFonts w:cs="Times New Roman"/>
                <w:sz w:val="20"/>
                <w:szCs w:val="20"/>
                <w:lang w:val="en-GB"/>
              </w:rPr>
            </w:pPr>
            <w:r w:rsidRPr="00D72AC3">
              <w:rPr>
                <w:rFonts w:cs="Times New Roman"/>
                <w:sz w:val="20"/>
                <w:szCs w:val="20"/>
                <w:lang w:val="en-GB" w:bidi="en-GB"/>
              </w:rPr>
              <w:t>Moneyval recommendation 6.5.</w:t>
            </w:r>
          </w:p>
        </w:tc>
        <w:tc>
          <w:tcPr>
            <w:tcW w:w="1984" w:type="dxa"/>
            <w:shd w:val="clear" w:color="auto" w:fill="FFFFFF" w:themeFill="background1"/>
          </w:tcPr>
          <w:p w:rsidR="0033152C" w:rsidRPr="00D72AC3" w:rsidRDefault="0033152C" w:rsidP="0033152C">
            <w:pPr>
              <w:jc w:val="both"/>
              <w:rPr>
                <w:rFonts w:cs="Times New Roman"/>
                <w:sz w:val="20"/>
                <w:szCs w:val="20"/>
                <w:lang w:val="en-GB"/>
              </w:rPr>
            </w:pPr>
            <w:r w:rsidRPr="00D72AC3">
              <w:rPr>
                <w:rFonts w:cs="Times New Roman"/>
                <w:sz w:val="20"/>
                <w:szCs w:val="20"/>
                <w:lang w:val="en-GB" w:bidi="en-GB"/>
              </w:rPr>
              <w:t xml:space="preserve">Draft law developed for the change of the status of the CS (in coordination with </w:t>
            </w:r>
            <w:r w:rsidRPr="00D72AC3">
              <w:rPr>
                <w:rFonts w:cs="Times New Roman"/>
                <w:i/>
                <w:sz w:val="20"/>
                <w:szCs w:val="20"/>
                <w:lang w:val="en-GB" w:bidi="en-GB"/>
              </w:rPr>
              <w:t>Egmont Group</w:t>
            </w:r>
            <w:r w:rsidRPr="00D72AC3">
              <w:rPr>
                <w:rFonts w:cs="Times New Roman"/>
                <w:sz w:val="20"/>
                <w:szCs w:val="20"/>
                <w:lang w:val="en-GB" w:bidi="en-GB"/>
              </w:rPr>
              <w:t>), ensuring complete autonomy and operational independence of the CS, providing for appropriate funding, number of employees and other necessary resources for a full-fledged performance of the actions prescribed by the legal framework and this plan.</w:t>
            </w:r>
          </w:p>
        </w:tc>
        <w:tc>
          <w:tcPr>
            <w:tcW w:w="2835" w:type="dxa"/>
            <w:shd w:val="clear" w:color="auto" w:fill="FFFFFF" w:themeFill="background1"/>
          </w:tcPr>
          <w:p w:rsidR="0033152C" w:rsidRPr="00D72AC3" w:rsidRDefault="00B7226F" w:rsidP="00E0273A">
            <w:pPr>
              <w:jc w:val="both"/>
              <w:rPr>
                <w:rFonts w:cs="Times New Roman"/>
                <w:sz w:val="20"/>
                <w:szCs w:val="20"/>
                <w:lang w:val="en-GB"/>
              </w:rPr>
            </w:pPr>
            <w:r w:rsidRPr="00D72AC3">
              <w:rPr>
                <w:rFonts w:cs="Times New Roman"/>
                <w:sz w:val="20"/>
                <w:szCs w:val="20"/>
                <w:lang w:val="en-GB" w:bidi="en-GB"/>
              </w:rPr>
              <w:t>Draft law submitted for the review to the Saeima (Parliament)</w:t>
            </w:r>
          </w:p>
        </w:tc>
        <w:tc>
          <w:tcPr>
            <w:tcW w:w="1276" w:type="dxa"/>
            <w:shd w:val="clear" w:color="auto" w:fill="FFFFFF" w:themeFill="background1"/>
          </w:tcPr>
          <w:p w:rsidR="0033152C" w:rsidRPr="00D72AC3" w:rsidRDefault="00B7226F" w:rsidP="002D63BE">
            <w:pPr>
              <w:jc w:val="center"/>
              <w:rPr>
                <w:rFonts w:cs="Times New Roman"/>
                <w:bCs/>
                <w:sz w:val="20"/>
                <w:szCs w:val="20"/>
                <w:lang w:val="en-GB"/>
              </w:rPr>
            </w:pPr>
            <w:r w:rsidRPr="00D72AC3">
              <w:rPr>
                <w:rFonts w:cs="Times New Roman"/>
                <w:sz w:val="20"/>
                <w:szCs w:val="20"/>
                <w:lang w:val="en-GB" w:bidi="en-GB"/>
              </w:rPr>
              <w:t>MoF</w:t>
            </w:r>
          </w:p>
        </w:tc>
        <w:tc>
          <w:tcPr>
            <w:tcW w:w="1134" w:type="dxa"/>
            <w:shd w:val="clear" w:color="auto" w:fill="FFFFFF" w:themeFill="background1"/>
          </w:tcPr>
          <w:p w:rsidR="0033152C" w:rsidRPr="00D72AC3" w:rsidRDefault="00B7226F" w:rsidP="002D63BE">
            <w:pPr>
              <w:jc w:val="center"/>
              <w:rPr>
                <w:rFonts w:cs="Times New Roman"/>
                <w:bCs/>
                <w:sz w:val="20"/>
                <w:szCs w:val="20"/>
                <w:lang w:val="en-GB"/>
              </w:rPr>
            </w:pPr>
            <w:r w:rsidRPr="00D72AC3">
              <w:rPr>
                <w:rFonts w:cs="Times New Roman"/>
                <w:sz w:val="20"/>
                <w:szCs w:val="20"/>
                <w:lang w:val="en-GB" w:bidi="en-GB"/>
              </w:rPr>
              <w:t>CS, the Treasury, MoJ, MoI, GPO</w:t>
            </w:r>
          </w:p>
        </w:tc>
        <w:tc>
          <w:tcPr>
            <w:tcW w:w="1701" w:type="dxa"/>
            <w:shd w:val="clear" w:color="auto" w:fill="FFFFFF" w:themeFill="background1"/>
          </w:tcPr>
          <w:p w:rsidR="0033152C" w:rsidRPr="00D72AC3" w:rsidRDefault="00294DB7" w:rsidP="002D63BE">
            <w:pPr>
              <w:jc w:val="center"/>
              <w:rPr>
                <w:rFonts w:cs="Times New Roman"/>
                <w:sz w:val="20"/>
                <w:szCs w:val="20"/>
                <w:lang w:val="en-GB"/>
              </w:rPr>
            </w:pPr>
            <w:r w:rsidRPr="00D72AC3">
              <w:rPr>
                <w:rFonts w:cs="Times New Roman"/>
                <w:sz w:val="20"/>
                <w:szCs w:val="20"/>
                <w:lang w:val="en-GB" w:bidi="en-GB"/>
              </w:rPr>
              <w:t>15 October 2018</w:t>
            </w:r>
          </w:p>
        </w:tc>
      </w:tr>
    </w:tbl>
    <w:p w:rsidR="00A3142E" w:rsidRPr="00D72AC3" w:rsidRDefault="00A3142E" w:rsidP="00A3142E">
      <w:pPr>
        <w:jc w:val="both"/>
        <w:rPr>
          <w:rFonts w:cs="Times New Roman"/>
          <w:lang w:val="en-GB"/>
        </w:rPr>
      </w:pPr>
    </w:p>
    <w:p w:rsidR="00A3142E" w:rsidRPr="00D72AC3" w:rsidRDefault="00A3142E" w:rsidP="00FF0BBA">
      <w:pPr>
        <w:jc w:val="both"/>
        <w:rPr>
          <w:b/>
          <w:sz w:val="28"/>
          <w:szCs w:val="28"/>
          <w:lang w:val="en-GB"/>
        </w:rPr>
      </w:pPr>
    </w:p>
    <w:p w:rsidR="00A3142E" w:rsidRPr="00D72AC3" w:rsidRDefault="00A3142E" w:rsidP="00FF0BBA">
      <w:pPr>
        <w:jc w:val="both"/>
        <w:rPr>
          <w:b/>
          <w:sz w:val="28"/>
          <w:szCs w:val="28"/>
          <w:lang w:val="en-GB"/>
        </w:rPr>
      </w:pPr>
    </w:p>
    <w:p w:rsidR="00FF0BBA" w:rsidRPr="00D72AC3" w:rsidRDefault="00FC14D0" w:rsidP="00E24F37">
      <w:pPr>
        <w:pStyle w:val="Heading2"/>
        <w:rPr>
          <w:rFonts w:ascii="Times New Roman" w:hAnsi="Times New Roman" w:cs="Times New Roman"/>
          <w:b/>
          <w:color w:val="auto"/>
          <w:sz w:val="28"/>
          <w:szCs w:val="28"/>
          <w:lang w:val="en-GB"/>
        </w:rPr>
      </w:pPr>
      <w:bookmarkStart w:id="13" w:name="_Toc526510440"/>
      <w:r w:rsidRPr="00D72AC3">
        <w:rPr>
          <w:rFonts w:ascii="Times New Roman" w:eastAsia="Times New Roman" w:hAnsi="Times New Roman" w:cs="Times New Roman"/>
          <w:b/>
          <w:color w:val="auto"/>
          <w:sz w:val="28"/>
          <w:szCs w:val="28"/>
          <w:lang w:val="en-GB" w:bidi="en-GB"/>
        </w:rPr>
        <w:lastRenderedPageBreak/>
        <w:t>Seventh course of action - Money laundering investigation and prosecution</w:t>
      </w:r>
      <w:bookmarkEnd w:id="13"/>
    </w:p>
    <w:p w:rsidR="00FF0BBA" w:rsidRPr="00D72AC3" w:rsidRDefault="00FF0BBA"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MoJ</w:t>
      </w:r>
    </w:p>
    <w:p w:rsidR="00FF0BBA" w:rsidRPr="00D72AC3" w:rsidRDefault="00FF0BBA" w:rsidP="00FF0BBA">
      <w:pPr>
        <w:jc w:val="both"/>
        <w:rPr>
          <w:szCs w:val="24"/>
          <w:lang w:val="en-GB"/>
        </w:rPr>
      </w:pPr>
      <w:r w:rsidRPr="00D72AC3">
        <w:rPr>
          <w:szCs w:val="24"/>
          <w:lang w:val="en-GB" w:bidi="en-GB"/>
        </w:rPr>
        <w:t>Co-responsible authorities: MoI, CS, SP, SRS, CPCB, SeP,GPO</w:t>
      </w:r>
    </w:p>
    <w:p w:rsidR="00FF0BBA" w:rsidRPr="00D72AC3" w:rsidRDefault="00FF0BBA" w:rsidP="00FF0BBA">
      <w:pPr>
        <w:jc w:val="both"/>
        <w:rPr>
          <w:sz w:val="28"/>
          <w:szCs w:val="28"/>
          <w:lang w:val="en-GB"/>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686"/>
        <w:gridCol w:w="1590"/>
        <w:gridCol w:w="2507"/>
        <w:gridCol w:w="2639"/>
        <w:gridCol w:w="1197"/>
        <w:gridCol w:w="1202"/>
        <w:gridCol w:w="1390"/>
      </w:tblGrid>
      <w:tr w:rsidR="00914F28" w:rsidRPr="00D72AC3" w:rsidTr="002941FC">
        <w:tc>
          <w:tcPr>
            <w:tcW w:w="4359" w:type="dxa"/>
            <w:gridSpan w:val="2"/>
            <w:tcBorders>
              <w:top w:val="single" w:sz="4" w:space="0" w:color="auto"/>
              <w:left w:val="single" w:sz="4" w:space="0" w:color="auto"/>
              <w:bottom w:val="single" w:sz="4" w:space="0" w:color="auto"/>
              <w:right w:val="single" w:sz="4" w:space="0" w:color="auto"/>
            </w:tcBorders>
            <w:hideMark/>
          </w:tcPr>
          <w:p w:rsidR="00914F28" w:rsidRPr="00D72AC3" w:rsidRDefault="007714D2" w:rsidP="007714D2">
            <w:pPr>
              <w:rPr>
                <w:rFonts w:cs="Times New Roman"/>
                <w:b/>
                <w:bCs/>
                <w:sz w:val="20"/>
                <w:szCs w:val="20"/>
                <w:lang w:val="en-GB"/>
              </w:rPr>
            </w:pPr>
            <w:bookmarkStart w:id="14" w:name="_Hlk522202723"/>
            <w:r>
              <w:rPr>
                <w:rFonts w:cs="Times New Roman"/>
                <w:b/>
                <w:sz w:val="20"/>
                <w:szCs w:val="20"/>
                <w:lang w:val="en-GB" w:bidi="en-GB"/>
              </w:rPr>
              <w:t>Seventh</w:t>
            </w:r>
            <w:r w:rsidR="00914F28" w:rsidRPr="00D72AC3">
              <w:rPr>
                <w:rFonts w:cs="Times New Roman"/>
                <w:b/>
                <w:sz w:val="20"/>
                <w:szCs w:val="20"/>
                <w:lang w:val="en-GB" w:bidi="en-GB"/>
              </w:rPr>
              <w:t xml:space="preserve"> </w:t>
            </w:r>
            <w:r>
              <w:rPr>
                <w:rFonts w:cs="Times New Roman"/>
                <w:b/>
                <w:sz w:val="20"/>
                <w:szCs w:val="20"/>
                <w:lang w:val="en-GB" w:bidi="en-GB"/>
              </w:rPr>
              <w:t>c</w:t>
            </w:r>
            <w:r w:rsidR="00914F28" w:rsidRPr="00D72AC3">
              <w:rPr>
                <w:rFonts w:cs="Times New Roman"/>
                <w:b/>
                <w:sz w:val="20"/>
                <w:szCs w:val="20"/>
                <w:lang w:val="en-GB" w:bidi="en-GB"/>
              </w:rPr>
              <w:t>ourse of action</w:t>
            </w:r>
          </w:p>
        </w:tc>
        <w:tc>
          <w:tcPr>
            <w:tcW w:w="1590" w:type="dxa"/>
            <w:tcBorders>
              <w:top w:val="single" w:sz="4" w:space="0" w:color="auto"/>
              <w:left w:val="single" w:sz="4" w:space="0" w:color="auto"/>
              <w:bottom w:val="single" w:sz="4" w:space="0" w:color="auto"/>
              <w:right w:val="single" w:sz="4" w:space="0" w:color="auto"/>
            </w:tcBorders>
          </w:tcPr>
          <w:p w:rsidR="00914F28" w:rsidRPr="00D72AC3" w:rsidRDefault="00914F28" w:rsidP="00710E51">
            <w:pPr>
              <w:ind w:right="-108"/>
              <w:jc w:val="both"/>
              <w:rPr>
                <w:rFonts w:cs="Times New Roman"/>
                <w:b/>
                <w:bCs/>
                <w:sz w:val="20"/>
                <w:szCs w:val="20"/>
                <w:lang w:val="en-GB"/>
              </w:rPr>
            </w:pPr>
          </w:p>
        </w:tc>
        <w:tc>
          <w:tcPr>
            <w:tcW w:w="8935" w:type="dxa"/>
            <w:gridSpan w:val="5"/>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both"/>
              <w:rPr>
                <w:rFonts w:cs="Times New Roman"/>
                <w:b/>
                <w:bCs/>
                <w:sz w:val="20"/>
                <w:szCs w:val="20"/>
                <w:lang w:val="en-GB"/>
              </w:rPr>
            </w:pPr>
            <w:r w:rsidRPr="00D72AC3">
              <w:rPr>
                <w:rFonts w:cs="Times New Roman"/>
                <w:b/>
                <w:sz w:val="20"/>
                <w:szCs w:val="20"/>
                <w:lang w:val="en-GB" w:bidi="en-GB"/>
              </w:rPr>
              <w:t>MONEY LAUNDERING INVESTIGATION AND PROSECUTION</w:t>
            </w:r>
          </w:p>
        </w:tc>
      </w:tr>
      <w:tr w:rsidR="00914F28" w:rsidRPr="00D72AC3" w:rsidTr="002941FC">
        <w:tc>
          <w:tcPr>
            <w:tcW w:w="4359" w:type="dxa"/>
            <w:gridSpan w:val="2"/>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rPr>
                <w:rFonts w:cs="Times New Roman"/>
                <w:b/>
                <w:bCs/>
                <w:sz w:val="20"/>
                <w:szCs w:val="20"/>
                <w:lang w:val="en-GB"/>
              </w:rPr>
            </w:pPr>
            <w:r w:rsidRPr="00D72AC3">
              <w:rPr>
                <w:rFonts w:cs="Times New Roman"/>
                <w:b/>
                <w:sz w:val="20"/>
                <w:szCs w:val="20"/>
                <w:lang w:val="en-GB" w:bidi="en-GB"/>
              </w:rPr>
              <w:t>Sub-objectives to be achieved:</w:t>
            </w:r>
          </w:p>
        </w:tc>
        <w:tc>
          <w:tcPr>
            <w:tcW w:w="1590" w:type="dxa"/>
            <w:tcBorders>
              <w:top w:val="single" w:sz="4" w:space="0" w:color="auto"/>
              <w:left w:val="single" w:sz="4" w:space="0" w:color="auto"/>
              <w:bottom w:val="single" w:sz="4" w:space="0" w:color="auto"/>
              <w:right w:val="single" w:sz="4" w:space="0" w:color="auto"/>
            </w:tcBorders>
          </w:tcPr>
          <w:p w:rsidR="00914F28" w:rsidRPr="00D72AC3" w:rsidRDefault="00914F28" w:rsidP="00710E51">
            <w:pPr>
              <w:ind w:right="-108"/>
              <w:jc w:val="both"/>
              <w:rPr>
                <w:rFonts w:cs="Times New Roman"/>
                <w:b/>
                <w:bCs/>
                <w:sz w:val="20"/>
                <w:szCs w:val="20"/>
                <w:lang w:val="en-GB"/>
              </w:rPr>
            </w:pPr>
          </w:p>
        </w:tc>
        <w:tc>
          <w:tcPr>
            <w:tcW w:w="8935" w:type="dxa"/>
            <w:gridSpan w:val="5"/>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both"/>
              <w:rPr>
                <w:rFonts w:cs="Times New Roman"/>
                <w:b/>
                <w:bCs/>
                <w:sz w:val="20"/>
                <w:szCs w:val="20"/>
                <w:lang w:val="en-GB"/>
              </w:rPr>
            </w:pPr>
            <w:r w:rsidRPr="00D72AC3">
              <w:rPr>
                <w:rFonts w:cs="Times New Roman"/>
                <w:b/>
                <w:sz w:val="20"/>
                <w:szCs w:val="20"/>
                <w:lang w:val="en-GB" w:bidi="en-GB"/>
              </w:rPr>
              <w:t>1. Priority importance granted to combating and investigation of money laundering</w:t>
            </w:r>
          </w:p>
        </w:tc>
      </w:tr>
      <w:tr w:rsidR="00914F28" w:rsidRPr="00D72AC3" w:rsidTr="002941FC">
        <w:tc>
          <w:tcPr>
            <w:tcW w:w="4359" w:type="dxa"/>
            <w:gridSpan w:val="2"/>
            <w:tcBorders>
              <w:top w:val="single" w:sz="4" w:space="0" w:color="auto"/>
              <w:left w:val="single" w:sz="4" w:space="0" w:color="auto"/>
              <w:bottom w:val="single" w:sz="4" w:space="0" w:color="auto"/>
              <w:right w:val="single" w:sz="4" w:space="0" w:color="auto"/>
            </w:tcBorders>
          </w:tcPr>
          <w:p w:rsidR="00914F28" w:rsidRPr="00D72AC3" w:rsidRDefault="00914F28" w:rsidP="00710E51">
            <w:pPr>
              <w:rPr>
                <w:rFonts w:cs="Times New Roman"/>
                <w:b/>
                <w:bCs/>
                <w:sz w:val="20"/>
                <w:szCs w:val="20"/>
                <w:lang w:val="en-GB"/>
              </w:rPr>
            </w:pPr>
          </w:p>
        </w:tc>
        <w:tc>
          <w:tcPr>
            <w:tcW w:w="1590" w:type="dxa"/>
            <w:tcBorders>
              <w:top w:val="single" w:sz="4" w:space="0" w:color="auto"/>
              <w:left w:val="single" w:sz="4" w:space="0" w:color="auto"/>
              <w:bottom w:val="single" w:sz="4" w:space="0" w:color="auto"/>
              <w:right w:val="single" w:sz="4" w:space="0" w:color="auto"/>
            </w:tcBorders>
          </w:tcPr>
          <w:p w:rsidR="00914F28" w:rsidRPr="00D72AC3" w:rsidRDefault="00914F28" w:rsidP="00710E51">
            <w:pPr>
              <w:ind w:right="-108"/>
              <w:jc w:val="both"/>
              <w:rPr>
                <w:rFonts w:cs="Times New Roman"/>
                <w:b/>
                <w:bCs/>
                <w:sz w:val="20"/>
                <w:szCs w:val="20"/>
                <w:lang w:val="en-GB"/>
              </w:rPr>
            </w:pPr>
          </w:p>
        </w:tc>
        <w:tc>
          <w:tcPr>
            <w:tcW w:w="8935" w:type="dxa"/>
            <w:gridSpan w:val="5"/>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both"/>
              <w:rPr>
                <w:rFonts w:cs="Times New Roman"/>
                <w:b/>
                <w:bCs/>
                <w:sz w:val="20"/>
                <w:szCs w:val="20"/>
                <w:lang w:val="en-GB"/>
              </w:rPr>
            </w:pPr>
            <w:r w:rsidRPr="00D72AC3">
              <w:rPr>
                <w:rFonts w:cs="Times New Roman"/>
                <w:b/>
                <w:sz w:val="20"/>
                <w:szCs w:val="20"/>
                <w:lang w:val="en-GB" w:bidi="en-GB"/>
              </w:rPr>
              <w:t>2. The model practice established in investigating ML cases of separate categories</w:t>
            </w:r>
          </w:p>
        </w:tc>
      </w:tr>
      <w:tr w:rsidR="00914F28" w:rsidRPr="00D72AC3" w:rsidTr="002941FC">
        <w:tc>
          <w:tcPr>
            <w:tcW w:w="4359" w:type="dxa"/>
            <w:gridSpan w:val="2"/>
            <w:tcBorders>
              <w:top w:val="single" w:sz="4" w:space="0" w:color="auto"/>
              <w:left w:val="single" w:sz="4" w:space="0" w:color="auto"/>
              <w:bottom w:val="single" w:sz="4" w:space="0" w:color="auto"/>
              <w:right w:val="single" w:sz="4" w:space="0" w:color="auto"/>
            </w:tcBorders>
          </w:tcPr>
          <w:p w:rsidR="00914F28" w:rsidRPr="00D72AC3" w:rsidRDefault="00914F28" w:rsidP="00710E51">
            <w:pPr>
              <w:rPr>
                <w:rFonts w:cs="Times New Roman"/>
                <w:b/>
                <w:bCs/>
                <w:sz w:val="20"/>
                <w:szCs w:val="20"/>
                <w:lang w:val="en-GB"/>
              </w:rPr>
            </w:pPr>
          </w:p>
        </w:tc>
        <w:tc>
          <w:tcPr>
            <w:tcW w:w="1590" w:type="dxa"/>
            <w:tcBorders>
              <w:top w:val="single" w:sz="4" w:space="0" w:color="auto"/>
              <w:left w:val="single" w:sz="4" w:space="0" w:color="auto"/>
              <w:bottom w:val="single" w:sz="4" w:space="0" w:color="auto"/>
              <w:right w:val="single" w:sz="4" w:space="0" w:color="auto"/>
            </w:tcBorders>
          </w:tcPr>
          <w:p w:rsidR="00914F28" w:rsidRPr="00D72AC3" w:rsidRDefault="00914F28" w:rsidP="00710E51">
            <w:pPr>
              <w:ind w:right="-108"/>
              <w:jc w:val="both"/>
              <w:rPr>
                <w:rFonts w:cs="Times New Roman"/>
                <w:b/>
                <w:bCs/>
                <w:sz w:val="20"/>
                <w:szCs w:val="20"/>
                <w:lang w:val="en-GB"/>
              </w:rPr>
            </w:pPr>
          </w:p>
        </w:tc>
        <w:tc>
          <w:tcPr>
            <w:tcW w:w="8935" w:type="dxa"/>
            <w:gridSpan w:val="5"/>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both"/>
              <w:rPr>
                <w:rFonts w:cs="Times New Roman"/>
                <w:b/>
                <w:bCs/>
                <w:sz w:val="20"/>
                <w:szCs w:val="20"/>
                <w:lang w:val="en-GB"/>
              </w:rPr>
            </w:pPr>
            <w:r w:rsidRPr="00D72AC3">
              <w:rPr>
                <w:rFonts w:cs="Times New Roman"/>
                <w:b/>
                <w:sz w:val="20"/>
                <w:szCs w:val="20"/>
                <w:lang w:val="en-GB" w:bidi="en-GB"/>
              </w:rPr>
              <w:t>3. Public awareness raised with respect to adverse effects of ML</w:t>
            </w:r>
          </w:p>
        </w:tc>
      </w:tr>
      <w:tr w:rsidR="00914F28" w:rsidRPr="00D72AC3" w:rsidTr="002941FC">
        <w:tc>
          <w:tcPr>
            <w:tcW w:w="4359" w:type="dxa"/>
            <w:gridSpan w:val="2"/>
            <w:tcBorders>
              <w:top w:val="single" w:sz="4" w:space="0" w:color="auto"/>
              <w:left w:val="single" w:sz="4" w:space="0" w:color="auto"/>
              <w:bottom w:val="single" w:sz="4" w:space="0" w:color="auto"/>
              <w:right w:val="single" w:sz="4" w:space="0" w:color="auto"/>
            </w:tcBorders>
          </w:tcPr>
          <w:p w:rsidR="00914F28" w:rsidRPr="00D72AC3" w:rsidRDefault="00914F28" w:rsidP="00710E51">
            <w:pPr>
              <w:rPr>
                <w:rFonts w:cs="Times New Roman"/>
                <w:b/>
                <w:bCs/>
                <w:sz w:val="20"/>
                <w:szCs w:val="20"/>
                <w:lang w:val="en-GB"/>
              </w:rPr>
            </w:pPr>
          </w:p>
        </w:tc>
        <w:tc>
          <w:tcPr>
            <w:tcW w:w="1590" w:type="dxa"/>
            <w:tcBorders>
              <w:top w:val="single" w:sz="4" w:space="0" w:color="auto"/>
              <w:left w:val="single" w:sz="4" w:space="0" w:color="auto"/>
              <w:bottom w:val="single" w:sz="4" w:space="0" w:color="auto"/>
              <w:right w:val="single" w:sz="4" w:space="0" w:color="auto"/>
            </w:tcBorders>
          </w:tcPr>
          <w:p w:rsidR="00914F28" w:rsidRPr="00D72AC3" w:rsidRDefault="00914F28" w:rsidP="00710E51">
            <w:pPr>
              <w:ind w:right="-108"/>
              <w:jc w:val="both"/>
              <w:rPr>
                <w:rFonts w:cs="Times New Roman"/>
                <w:b/>
                <w:bCs/>
                <w:sz w:val="20"/>
                <w:szCs w:val="20"/>
                <w:lang w:val="en-GB"/>
              </w:rPr>
            </w:pPr>
          </w:p>
        </w:tc>
        <w:tc>
          <w:tcPr>
            <w:tcW w:w="8935" w:type="dxa"/>
            <w:gridSpan w:val="5"/>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both"/>
              <w:rPr>
                <w:rFonts w:cs="Times New Roman"/>
                <w:b/>
                <w:bCs/>
                <w:sz w:val="20"/>
                <w:szCs w:val="20"/>
                <w:lang w:val="en-GB"/>
              </w:rPr>
            </w:pPr>
            <w:r w:rsidRPr="00D72AC3">
              <w:rPr>
                <w:rFonts w:cs="Times New Roman"/>
                <w:b/>
                <w:sz w:val="20"/>
                <w:szCs w:val="20"/>
                <w:lang w:val="en-GB" w:bidi="en-GB"/>
              </w:rPr>
              <w:t>4. Understanding of the officials involved in combating ML promoted with respect to ML identification, arrest and effective investigation</w:t>
            </w:r>
          </w:p>
        </w:tc>
      </w:tr>
      <w:tr w:rsidR="00914F28" w:rsidRPr="00D72AC3" w:rsidTr="002941FC">
        <w:tc>
          <w:tcPr>
            <w:tcW w:w="4359" w:type="dxa"/>
            <w:gridSpan w:val="2"/>
            <w:tcBorders>
              <w:top w:val="single" w:sz="4" w:space="0" w:color="auto"/>
              <w:left w:val="single" w:sz="4" w:space="0" w:color="auto"/>
              <w:bottom w:val="single" w:sz="4" w:space="0" w:color="auto"/>
              <w:right w:val="single" w:sz="4" w:space="0" w:color="auto"/>
            </w:tcBorders>
          </w:tcPr>
          <w:p w:rsidR="00914F28" w:rsidRPr="00D72AC3" w:rsidRDefault="00914F28" w:rsidP="00710E51">
            <w:pPr>
              <w:rPr>
                <w:rFonts w:cs="Times New Roman"/>
                <w:b/>
                <w:bCs/>
                <w:sz w:val="20"/>
                <w:szCs w:val="20"/>
                <w:lang w:val="en-GB"/>
              </w:rPr>
            </w:pPr>
          </w:p>
        </w:tc>
        <w:tc>
          <w:tcPr>
            <w:tcW w:w="1590" w:type="dxa"/>
            <w:tcBorders>
              <w:top w:val="single" w:sz="4" w:space="0" w:color="auto"/>
              <w:left w:val="single" w:sz="4" w:space="0" w:color="auto"/>
              <w:bottom w:val="single" w:sz="4" w:space="0" w:color="auto"/>
              <w:right w:val="single" w:sz="4" w:space="0" w:color="auto"/>
            </w:tcBorders>
          </w:tcPr>
          <w:p w:rsidR="00914F28" w:rsidRPr="00D72AC3" w:rsidRDefault="00914F28" w:rsidP="00710E51">
            <w:pPr>
              <w:ind w:right="-108"/>
              <w:jc w:val="both"/>
              <w:rPr>
                <w:rFonts w:cs="Times New Roman"/>
                <w:b/>
                <w:bCs/>
                <w:sz w:val="20"/>
                <w:szCs w:val="20"/>
                <w:lang w:val="en-GB"/>
              </w:rPr>
            </w:pPr>
          </w:p>
        </w:tc>
        <w:tc>
          <w:tcPr>
            <w:tcW w:w="8935" w:type="dxa"/>
            <w:gridSpan w:val="5"/>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both"/>
              <w:rPr>
                <w:rFonts w:cs="Times New Roman"/>
                <w:b/>
                <w:bCs/>
                <w:sz w:val="20"/>
                <w:szCs w:val="20"/>
                <w:lang w:val="en-GB"/>
              </w:rPr>
            </w:pPr>
            <w:r w:rsidRPr="00D72AC3">
              <w:rPr>
                <w:rFonts w:cs="Times New Roman"/>
                <w:b/>
                <w:sz w:val="20"/>
                <w:szCs w:val="20"/>
                <w:lang w:val="en-GB" w:bidi="en-GB"/>
              </w:rPr>
              <w:t>5. Single practice established in money laundering investigation, as a whole</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914F28" w:rsidP="0041273D">
            <w:pPr>
              <w:jc w:val="center"/>
              <w:rPr>
                <w:rFonts w:cs="Times New Roman"/>
                <w:bCs/>
                <w:sz w:val="20"/>
                <w:szCs w:val="20"/>
                <w:lang w:val="en-GB"/>
              </w:rPr>
            </w:pPr>
            <w:r w:rsidRPr="00D72AC3">
              <w:rPr>
                <w:rFonts w:cs="Times New Roman"/>
                <w:sz w:val="20"/>
                <w:szCs w:val="20"/>
                <w:lang w:val="en-GB" w:bidi="en-GB"/>
              </w:rPr>
              <w:t>No.</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jc w:val="center"/>
              <w:rPr>
                <w:rFonts w:cs="Times New Roman"/>
                <w:bCs/>
                <w:i/>
                <w:sz w:val="20"/>
                <w:szCs w:val="20"/>
                <w:lang w:val="en-GB"/>
              </w:rPr>
            </w:pPr>
            <w:r w:rsidRPr="00D72AC3">
              <w:rPr>
                <w:rFonts w:cs="Times New Roman"/>
                <w:b/>
                <w:sz w:val="20"/>
                <w:szCs w:val="20"/>
                <w:lang w:val="en-GB" w:bidi="en-GB"/>
              </w:rPr>
              <w:t>Measure</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ind w:right="-108"/>
              <w:rPr>
                <w:rFonts w:cs="Times New Roman"/>
                <w:b/>
                <w:sz w:val="20"/>
                <w:szCs w:val="20"/>
                <w:lang w:val="en-GB"/>
              </w:rPr>
            </w:pPr>
            <w:r w:rsidRPr="00D72AC3">
              <w:rPr>
                <w:rFonts w:cs="Times New Roman"/>
                <w:b/>
                <w:sz w:val="20"/>
                <w:szCs w:val="20"/>
                <w:lang w:val="en-GB" w:bidi="en-GB"/>
              </w:rPr>
              <w:t xml:space="preserve">Source </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rPr>
                <w:rFonts w:cs="Times New Roman"/>
                <w:b/>
                <w:bCs/>
                <w:i/>
                <w:sz w:val="20"/>
                <w:szCs w:val="20"/>
                <w:lang w:val="en-GB"/>
              </w:rPr>
            </w:pPr>
            <w:r w:rsidRPr="00D72AC3">
              <w:rPr>
                <w:rFonts w:cs="Times New Roman"/>
                <w:b/>
                <w:sz w:val="20"/>
                <w:szCs w:val="20"/>
                <w:lang w:val="en-GB" w:bidi="en-GB"/>
              </w:rPr>
              <w:t>Activity outcome</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jc w:val="center"/>
              <w:rPr>
                <w:rFonts w:cs="Times New Roman"/>
                <w:bCs/>
                <w:i/>
                <w:sz w:val="20"/>
                <w:szCs w:val="20"/>
                <w:lang w:val="en-GB"/>
              </w:rPr>
            </w:pPr>
            <w:r w:rsidRPr="00D72AC3">
              <w:rPr>
                <w:rFonts w:cs="Times New Roman"/>
                <w:b/>
                <w:sz w:val="20"/>
                <w:szCs w:val="20"/>
                <w:lang w:val="en-GB" w:bidi="en-GB"/>
              </w:rPr>
              <w:t>Outcome indicator</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jc w:val="center"/>
              <w:rPr>
                <w:rFonts w:cs="Times New Roman"/>
                <w:bCs/>
                <w:i/>
                <w:sz w:val="20"/>
                <w:szCs w:val="20"/>
                <w:lang w:val="en-GB"/>
              </w:rPr>
            </w:pPr>
            <w:r w:rsidRPr="00D72AC3">
              <w:rPr>
                <w:rFonts w:cs="Times New Roman"/>
                <w:b/>
                <w:sz w:val="20"/>
                <w:szCs w:val="20"/>
                <w:lang w:val="en-GB" w:bidi="en-GB"/>
              </w:rPr>
              <w:t>Responsible authority</w:t>
            </w:r>
          </w:p>
        </w:tc>
        <w:tc>
          <w:tcPr>
            <w:tcW w:w="1202" w:type="dxa"/>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center"/>
              <w:rPr>
                <w:rFonts w:cs="Times New Roman"/>
                <w:bCs/>
                <w:i/>
                <w:sz w:val="20"/>
                <w:szCs w:val="20"/>
                <w:lang w:val="en-GB"/>
              </w:rPr>
            </w:pPr>
            <w:r w:rsidRPr="00D72AC3">
              <w:rPr>
                <w:rFonts w:cs="Times New Roman"/>
                <w:b/>
                <w:sz w:val="20"/>
                <w:szCs w:val="20"/>
                <w:lang w:val="en-GB" w:bidi="en-GB"/>
              </w:rPr>
              <w:t>Co-responsible authorities</w:t>
            </w: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710E51">
            <w:pPr>
              <w:jc w:val="center"/>
              <w:rPr>
                <w:rFonts w:cs="Times New Roman"/>
                <w:bCs/>
                <w:i/>
                <w:sz w:val="20"/>
                <w:szCs w:val="20"/>
                <w:lang w:val="en-GB"/>
              </w:rPr>
            </w:pPr>
            <w:r w:rsidRPr="00D72AC3">
              <w:rPr>
                <w:rFonts w:cs="Times New Roman"/>
                <w:b/>
                <w:sz w:val="20"/>
                <w:szCs w:val="20"/>
                <w:lang w:val="en-GB" w:bidi="en-GB"/>
              </w:rPr>
              <w:t>Term for implementation</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tcPr>
          <w:p w:rsidR="00914F28" w:rsidRPr="00D72AC3" w:rsidRDefault="00481AD0" w:rsidP="00710E51">
            <w:pPr>
              <w:jc w:val="center"/>
              <w:rPr>
                <w:rFonts w:cs="Times New Roman"/>
                <w:bCs/>
                <w:sz w:val="20"/>
                <w:szCs w:val="20"/>
                <w:lang w:val="en-GB"/>
              </w:rPr>
            </w:pPr>
            <w:r w:rsidRPr="00D72AC3">
              <w:rPr>
                <w:rFonts w:cs="Times New Roman"/>
                <w:sz w:val="20"/>
                <w:szCs w:val="20"/>
                <w:lang w:val="en-GB" w:bidi="en-GB"/>
              </w:rPr>
              <w:t>7.1.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1459F9">
            <w:pPr>
              <w:jc w:val="both"/>
              <w:rPr>
                <w:rFonts w:cs="Times New Roman"/>
                <w:bCs/>
                <w:sz w:val="20"/>
                <w:szCs w:val="20"/>
                <w:lang w:val="en-GB"/>
              </w:rPr>
            </w:pPr>
            <w:r w:rsidRPr="00D72AC3">
              <w:rPr>
                <w:rFonts w:cs="Times New Roman"/>
                <w:sz w:val="20"/>
                <w:szCs w:val="20"/>
                <w:lang w:val="en-GB" w:bidi="en-GB"/>
              </w:rPr>
              <w:t>To develop the draft law Amendments to the Credit Institutions Law, in order to provide for the condition that it shall be prohibited inform the customer about the requests of the investigation authorities, subjects of operational activities, prosecutor’s office or court.</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7.1.</w:t>
            </w:r>
          </w:p>
          <w:p w:rsidR="00914F28" w:rsidRPr="00D72AC3" w:rsidRDefault="00914F28" w:rsidP="00710E51">
            <w:pPr>
              <w:ind w:right="-108"/>
              <w:rPr>
                <w:rFonts w:cs="Times New Roman"/>
                <w:sz w:val="20"/>
                <w:szCs w:val="20"/>
                <w:lang w:val="en-GB"/>
              </w:rPr>
            </w:pPr>
          </w:p>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Decision of the 26 June 2018 FSDB meeting</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EE1B29">
            <w:pPr>
              <w:jc w:val="both"/>
              <w:rPr>
                <w:rFonts w:cs="Times New Roman"/>
                <w:sz w:val="20"/>
                <w:szCs w:val="20"/>
                <w:lang w:val="en-GB"/>
              </w:rPr>
            </w:pPr>
            <w:r w:rsidRPr="00D72AC3">
              <w:rPr>
                <w:rFonts w:cs="Times New Roman"/>
                <w:sz w:val="20"/>
                <w:szCs w:val="20"/>
                <w:lang w:val="en-GB" w:bidi="en-GB"/>
              </w:rPr>
              <w:t>Legal regulation developed for the purposes of facilitating the ML identification and investigation.</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D350E3" w:rsidP="00EE1B29">
            <w:pPr>
              <w:jc w:val="both"/>
              <w:rPr>
                <w:rFonts w:cs="Times New Roman"/>
                <w:sz w:val="20"/>
                <w:szCs w:val="20"/>
                <w:lang w:val="en-GB"/>
              </w:rPr>
            </w:pPr>
            <w:r w:rsidRPr="00D72AC3">
              <w:rPr>
                <w:rFonts w:cs="Times New Roman"/>
                <w:sz w:val="20"/>
                <w:szCs w:val="20"/>
                <w:lang w:val="en-GB" w:bidi="en-GB"/>
              </w:rPr>
              <w:t>Draft law developed</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MoF</w:t>
            </w:r>
          </w:p>
        </w:tc>
        <w:tc>
          <w:tcPr>
            <w:tcW w:w="1202"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FCMC, FLA</w:t>
            </w:r>
          </w:p>
        </w:tc>
        <w:tc>
          <w:tcPr>
            <w:tcW w:w="1390"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1 October 2018</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481AD0" w:rsidP="00EE1B29">
            <w:pPr>
              <w:jc w:val="center"/>
              <w:rPr>
                <w:rFonts w:cs="Times New Roman"/>
                <w:bCs/>
                <w:sz w:val="20"/>
                <w:szCs w:val="20"/>
                <w:lang w:val="en-GB"/>
              </w:rPr>
            </w:pPr>
            <w:r w:rsidRPr="00D72AC3">
              <w:rPr>
                <w:rFonts w:cs="Times New Roman"/>
                <w:sz w:val="20"/>
                <w:szCs w:val="20"/>
                <w:lang w:val="en-GB" w:bidi="en-GB"/>
              </w:rPr>
              <w:t>7.2.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1459F9">
            <w:pPr>
              <w:jc w:val="both"/>
              <w:rPr>
                <w:rFonts w:cs="Times New Roman"/>
                <w:bCs/>
                <w:sz w:val="20"/>
                <w:szCs w:val="20"/>
                <w:lang w:val="en-GB"/>
              </w:rPr>
            </w:pPr>
            <w:r w:rsidRPr="00D72AC3">
              <w:rPr>
                <w:rFonts w:cs="Times New Roman"/>
                <w:sz w:val="20"/>
                <w:szCs w:val="20"/>
                <w:lang w:val="en-GB" w:bidi="en-GB"/>
              </w:rPr>
              <w:t>For the institutions involved in combating ML, within the scope of current investigations, upon initiative of the involved institution, to convene the cooperation coordination group.</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6.2., 7.1.</w:t>
            </w:r>
          </w:p>
          <w:p w:rsidR="00914F28" w:rsidRPr="00D72AC3" w:rsidRDefault="00914F28" w:rsidP="00710E51">
            <w:pPr>
              <w:ind w:right="-108"/>
              <w:rPr>
                <w:rFonts w:cs="Times New Roman"/>
                <w:sz w:val="20"/>
                <w:szCs w:val="20"/>
                <w:lang w:val="en-GB"/>
              </w:rPr>
            </w:pPr>
          </w:p>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Decision of the 26 June FSDB meeting</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Practical operation of the cooperation coordination groups commenced</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Cooperation coordination groups established</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CS</w:t>
            </w:r>
          </w:p>
        </w:tc>
        <w:tc>
          <w:tcPr>
            <w:tcW w:w="1202"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SP, SeP, SRS, CPCB, SBG, ISB, prosecutor’s office and subjects of the law</w:t>
            </w: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Constantly</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481AD0" w:rsidP="00710E51">
            <w:pPr>
              <w:rPr>
                <w:rFonts w:cs="Times New Roman"/>
                <w:bCs/>
                <w:sz w:val="20"/>
                <w:szCs w:val="20"/>
                <w:lang w:val="en-GB"/>
              </w:rPr>
            </w:pPr>
            <w:r w:rsidRPr="00D72AC3">
              <w:rPr>
                <w:rFonts w:cs="Times New Roman"/>
                <w:sz w:val="20"/>
                <w:szCs w:val="20"/>
                <w:lang w:val="en-GB" w:bidi="en-GB"/>
              </w:rPr>
              <w:t>7.3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A02F5">
            <w:pPr>
              <w:jc w:val="both"/>
              <w:rPr>
                <w:rFonts w:cs="Times New Roman"/>
                <w:bCs/>
                <w:sz w:val="20"/>
                <w:szCs w:val="20"/>
                <w:lang w:val="en-GB"/>
              </w:rPr>
            </w:pPr>
            <w:r w:rsidRPr="00D72AC3">
              <w:rPr>
                <w:rFonts w:cs="Times New Roman"/>
                <w:sz w:val="20"/>
                <w:szCs w:val="20"/>
                <w:lang w:val="en-GB" w:bidi="en-GB"/>
              </w:rPr>
              <w:t>To ensure systemic and uniform activities of the law enforcement authorities in the field of combating crime, to establish and fully introduce the National Criminal Intelligence Model.</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7.1.</w:t>
            </w:r>
          </w:p>
          <w:p w:rsidR="00914F28" w:rsidRPr="00D72AC3" w:rsidRDefault="00914F28" w:rsidP="00710E51">
            <w:pPr>
              <w:ind w:right="-108"/>
              <w:rPr>
                <w:rFonts w:cs="Times New Roman"/>
                <w:sz w:val="20"/>
                <w:szCs w:val="20"/>
                <w:lang w:val="en-GB"/>
              </w:rPr>
            </w:pPr>
          </w:p>
          <w:p w:rsidR="00914F28" w:rsidRPr="00D72AC3" w:rsidRDefault="00914F28" w:rsidP="00710E51">
            <w:pPr>
              <w:jc w:val="both"/>
              <w:rPr>
                <w:sz w:val="20"/>
                <w:szCs w:val="20"/>
                <w:lang w:val="en-GB"/>
              </w:rPr>
            </w:pPr>
            <w:r w:rsidRPr="00D72AC3">
              <w:rPr>
                <w:sz w:val="20"/>
                <w:szCs w:val="20"/>
                <w:lang w:val="en-GB" w:bidi="en-GB"/>
              </w:rPr>
              <w:t>Plan of Measures for 2017-2019</w:t>
            </w:r>
          </w:p>
          <w:p w:rsidR="00914F28" w:rsidRPr="00D72AC3" w:rsidRDefault="00914F28" w:rsidP="00710E51">
            <w:pPr>
              <w:jc w:val="both"/>
              <w:rPr>
                <w:sz w:val="20"/>
                <w:szCs w:val="20"/>
                <w:lang w:val="en-GB"/>
              </w:rPr>
            </w:pPr>
            <w:r w:rsidRPr="00D72AC3">
              <w:rPr>
                <w:sz w:val="20"/>
                <w:szCs w:val="20"/>
                <w:lang w:val="en-GB" w:bidi="en-GB"/>
              </w:rPr>
              <w:lastRenderedPageBreak/>
              <w:t>Measure 3.9.</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lastRenderedPageBreak/>
              <w:t>Possibility ensured for the subjects of the immediate activities to immediately exchange intelligence at their disposal</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The possibilities assessed to attract the funding of Phase 2 of the IT system development of the EU structural funds for the purposes or establishment of the uniform IT system</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MoI</w:t>
            </w:r>
          </w:p>
        </w:tc>
        <w:tc>
          <w:tcPr>
            <w:tcW w:w="1202"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MoF, SRS, GPO, MoJ,. CPCB, CPB</w:t>
            </w:r>
          </w:p>
          <w:p w:rsidR="00914F28" w:rsidRPr="00D72AC3" w:rsidRDefault="00914F28" w:rsidP="002D63BE">
            <w:pPr>
              <w:jc w:val="center"/>
              <w:rPr>
                <w:rFonts w:cs="Times New Roman"/>
                <w:bCs/>
                <w:sz w:val="20"/>
                <w:szCs w:val="20"/>
                <w:lang w:val="en-GB"/>
              </w:rPr>
            </w:pP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360B12">
            <w:pPr>
              <w:jc w:val="center"/>
              <w:rPr>
                <w:rFonts w:cs="Times New Roman"/>
                <w:bCs/>
                <w:sz w:val="20"/>
                <w:szCs w:val="20"/>
                <w:lang w:val="en-GB"/>
              </w:rPr>
            </w:pPr>
            <w:r w:rsidRPr="00D72AC3">
              <w:rPr>
                <w:rFonts w:cs="Times New Roman"/>
                <w:sz w:val="20"/>
                <w:szCs w:val="20"/>
                <w:lang w:val="en-GB" w:bidi="en-GB"/>
              </w:rPr>
              <w:t>28 December 2019</w:t>
            </w:r>
          </w:p>
        </w:tc>
        <w:bookmarkEnd w:id="14"/>
      </w:tr>
      <w:tr w:rsidR="000D6C44" w:rsidRPr="00D72AC3" w:rsidTr="000D4C76">
        <w:trPr>
          <w:trHeight w:val="979"/>
        </w:trPr>
        <w:tc>
          <w:tcPr>
            <w:tcW w:w="673" w:type="dxa"/>
            <w:vMerge w:val="restart"/>
            <w:tcBorders>
              <w:top w:val="single" w:sz="4" w:space="0" w:color="auto"/>
              <w:left w:val="single" w:sz="4" w:space="0" w:color="auto"/>
              <w:right w:val="single" w:sz="4" w:space="0" w:color="auto"/>
            </w:tcBorders>
            <w:shd w:val="clear" w:color="auto" w:fill="FFFFFF" w:themeFill="background1"/>
            <w:hideMark/>
          </w:tcPr>
          <w:p w:rsidR="000D6C44" w:rsidRPr="00D72AC3" w:rsidRDefault="00481AD0" w:rsidP="00710E51">
            <w:pPr>
              <w:jc w:val="center"/>
              <w:rPr>
                <w:rFonts w:cs="Times New Roman"/>
                <w:bCs/>
                <w:sz w:val="20"/>
                <w:szCs w:val="20"/>
                <w:lang w:val="en-GB"/>
              </w:rPr>
            </w:pPr>
            <w:r w:rsidRPr="00D72AC3">
              <w:rPr>
                <w:rFonts w:cs="Times New Roman"/>
                <w:sz w:val="20"/>
                <w:szCs w:val="20"/>
                <w:lang w:val="en-GB" w:bidi="en-GB"/>
              </w:rPr>
              <w:t>7.4.</w:t>
            </w:r>
          </w:p>
        </w:tc>
        <w:tc>
          <w:tcPr>
            <w:tcW w:w="3686" w:type="dxa"/>
            <w:vMerge w:val="restart"/>
            <w:tcBorders>
              <w:top w:val="single" w:sz="4" w:space="0" w:color="auto"/>
              <w:left w:val="single" w:sz="4" w:space="0" w:color="auto"/>
              <w:right w:val="single" w:sz="4" w:space="0" w:color="auto"/>
            </w:tcBorders>
            <w:shd w:val="clear" w:color="auto" w:fill="auto"/>
            <w:hideMark/>
          </w:tcPr>
          <w:p w:rsidR="000D6C44" w:rsidRPr="00D72AC3" w:rsidRDefault="000D6C44" w:rsidP="00710E51">
            <w:pPr>
              <w:jc w:val="both"/>
              <w:rPr>
                <w:rFonts w:cs="Times New Roman"/>
                <w:bCs/>
                <w:sz w:val="20"/>
                <w:szCs w:val="20"/>
                <w:lang w:val="en-GB"/>
              </w:rPr>
            </w:pPr>
            <w:r w:rsidRPr="00D72AC3">
              <w:rPr>
                <w:rFonts w:cs="Times New Roman"/>
                <w:sz w:val="20"/>
                <w:szCs w:val="20"/>
                <w:lang w:val="en-GB" w:bidi="en-GB"/>
              </w:rPr>
              <w:t>To develop the typologies, within the scope of the Structural Reform Support Programme of the European Commission, oriented towards formation of model practice in ML cases carried out by the third parties and autonomous ML cases and successful application thereof in practice.</w:t>
            </w:r>
          </w:p>
          <w:p w:rsidR="000D6C44" w:rsidRPr="00D72AC3" w:rsidRDefault="000D6C44" w:rsidP="00710E51">
            <w:pPr>
              <w:jc w:val="both"/>
              <w:rPr>
                <w:rFonts w:cs="Times New Roman"/>
                <w:bCs/>
                <w:sz w:val="20"/>
                <w:szCs w:val="20"/>
                <w:lang w:val="en-GB"/>
              </w:rPr>
            </w:pPr>
          </w:p>
        </w:tc>
        <w:tc>
          <w:tcPr>
            <w:tcW w:w="1590" w:type="dxa"/>
            <w:vMerge w:val="restart"/>
            <w:tcBorders>
              <w:top w:val="single" w:sz="4" w:space="0" w:color="auto"/>
              <w:left w:val="single" w:sz="4" w:space="0" w:color="auto"/>
              <w:right w:val="single" w:sz="4" w:space="0" w:color="auto"/>
            </w:tcBorders>
            <w:shd w:val="clear" w:color="auto" w:fill="auto"/>
          </w:tcPr>
          <w:p w:rsidR="000D6C44" w:rsidRPr="00D72AC3" w:rsidRDefault="000D6C44" w:rsidP="00710E51">
            <w:pPr>
              <w:ind w:right="-108"/>
              <w:rPr>
                <w:rFonts w:cs="Times New Roman"/>
                <w:sz w:val="20"/>
                <w:szCs w:val="20"/>
                <w:lang w:val="en-GB"/>
              </w:rPr>
            </w:pPr>
            <w:r w:rsidRPr="00D72AC3">
              <w:rPr>
                <w:rFonts w:cs="Times New Roman"/>
                <w:sz w:val="20"/>
                <w:szCs w:val="20"/>
                <w:lang w:val="en-GB" w:bidi="en-GB"/>
              </w:rPr>
              <w:t>Moneyval recommendation 7.1.</w:t>
            </w:r>
          </w:p>
          <w:p w:rsidR="000D6C44" w:rsidRPr="00D72AC3" w:rsidRDefault="000D6C44" w:rsidP="00710E51">
            <w:pPr>
              <w:ind w:right="-79"/>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0D6C44" w:rsidRPr="00D72AC3" w:rsidRDefault="000D6C44" w:rsidP="00EE1B29">
            <w:pPr>
              <w:jc w:val="both"/>
              <w:rPr>
                <w:rFonts w:cs="Times New Roman"/>
                <w:sz w:val="20"/>
                <w:szCs w:val="20"/>
                <w:lang w:val="en-GB"/>
              </w:rPr>
            </w:pPr>
            <w:r w:rsidRPr="00D72AC3">
              <w:rPr>
                <w:rFonts w:cs="Times New Roman"/>
                <w:sz w:val="20"/>
                <w:szCs w:val="20"/>
                <w:lang w:val="en-GB" w:bidi="en-GB"/>
              </w:rPr>
              <w:t>1. Typologies developed</w:t>
            </w:r>
          </w:p>
          <w:p w:rsidR="000D6C44" w:rsidRPr="00D72AC3" w:rsidRDefault="000D6C44" w:rsidP="00EE1B29">
            <w:pPr>
              <w:jc w:val="both"/>
              <w:rPr>
                <w:rFonts w:cs="Times New Roman"/>
                <w:sz w:val="20"/>
                <w:szCs w:val="20"/>
                <w:lang w:val="en-GB"/>
              </w:rPr>
            </w:pPr>
          </w:p>
          <w:p w:rsidR="000D6C44" w:rsidRPr="00D72AC3" w:rsidRDefault="000D6C44" w:rsidP="00EE1B29">
            <w:pPr>
              <w:jc w:val="both"/>
              <w:rPr>
                <w:rFonts w:cs="Times New Roman"/>
                <w:sz w:val="20"/>
                <w:szCs w:val="20"/>
                <w:lang w:val="en-GB"/>
              </w:rPr>
            </w:pP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0D6C44" w:rsidRPr="00D72AC3" w:rsidRDefault="00533B4B" w:rsidP="00533B4B">
            <w:pPr>
              <w:jc w:val="both"/>
              <w:rPr>
                <w:rFonts w:cs="Times New Roman"/>
                <w:sz w:val="20"/>
                <w:szCs w:val="20"/>
                <w:lang w:val="en-GB"/>
              </w:rPr>
            </w:pPr>
            <w:r w:rsidRPr="00D72AC3">
              <w:rPr>
                <w:rFonts w:cs="Times New Roman"/>
                <w:sz w:val="20"/>
                <w:szCs w:val="20"/>
                <w:lang w:val="en-GB" w:bidi="en-GB"/>
              </w:rPr>
              <w:t>The formation of model practice facilitated in ML cases carried out by the third parties and autonomous ML cases</w:t>
            </w:r>
          </w:p>
          <w:p w:rsidR="000D6C44" w:rsidRPr="00D72AC3" w:rsidRDefault="000D6C44" w:rsidP="00F83ABE">
            <w:pPr>
              <w:jc w:val="both"/>
              <w:rPr>
                <w:rFonts w:cs="Times New Roman"/>
                <w:sz w:val="20"/>
                <w:szCs w:val="20"/>
                <w:lang w:val="en-GB"/>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D6C44" w:rsidRPr="00D72AC3" w:rsidRDefault="000D6C44" w:rsidP="002D63BE">
            <w:pPr>
              <w:jc w:val="center"/>
              <w:rPr>
                <w:rFonts w:cs="Times New Roman"/>
                <w:bCs/>
                <w:sz w:val="20"/>
                <w:szCs w:val="20"/>
                <w:lang w:val="en-GB"/>
              </w:rPr>
            </w:pPr>
            <w:r w:rsidRPr="00D72AC3">
              <w:rPr>
                <w:rFonts w:cs="Times New Roman"/>
                <w:sz w:val="20"/>
                <w:szCs w:val="20"/>
                <w:lang w:val="en-GB" w:bidi="en-GB"/>
              </w:rPr>
              <w:t>MoI (SP)</w:t>
            </w:r>
          </w:p>
          <w:p w:rsidR="000D6C44" w:rsidRPr="00D72AC3" w:rsidRDefault="000D6C44" w:rsidP="002D63BE">
            <w:pPr>
              <w:jc w:val="center"/>
              <w:rPr>
                <w:rFonts w:cs="Times New Roman"/>
                <w:bCs/>
                <w:sz w:val="20"/>
                <w:szCs w:val="20"/>
                <w:lang w:val="en-GB"/>
              </w:rPr>
            </w:pP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rsidR="000D6C44" w:rsidRPr="00D72AC3" w:rsidRDefault="000D6C44" w:rsidP="000D6C44">
            <w:pPr>
              <w:jc w:val="center"/>
              <w:rPr>
                <w:rFonts w:cs="Times New Roman"/>
                <w:bCs/>
                <w:sz w:val="20"/>
                <w:szCs w:val="20"/>
                <w:lang w:val="en-GB"/>
              </w:rPr>
            </w:pPr>
            <w:r w:rsidRPr="00D72AC3">
              <w:rPr>
                <w:rFonts w:cs="Times New Roman"/>
                <w:sz w:val="20"/>
                <w:szCs w:val="20"/>
                <w:lang w:val="en-GB" w:bidi="en-GB"/>
              </w:rPr>
              <w:t>MoF (SRS, NCCH), CPCB, GPO, CS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6C44" w:rsidRPr="00D72AC3" w:rsidRDefault="000D6C44" w:rsidP="00360B12">
            <w:pPr>
              <w:jc w:val="center"/>
              <w:rPr>
                <w:rFonts w:cs="Times New Roman"/>
                <w:bCs/>
                <w:sz w:val="20"/>
                <w:szCs w:val="20"/>
                <w:lang w:val="en-GB"/>
              </w:rPr>
            </w:pPr>
            <w:r w:rsidRPr="00D72AC3">
              <w:rPr>
                <w:rFonts w:cs="Times New Roman"/>
                <w:sz w:val="20"/>
                <w:szCs w:val="20"/>
                <w:lang w:val="en-GB" w:bidi="en-GB"/>
              </w:rPr>
              <w:t>28 December 2018</w:t>
            </w:r>
          </w:p>
        </w:tc>
      </w:tr>
      <w:tr w:rsidR="000D6C44" w:rsidRPr="00D72AC3" w:rsidTr="000D4C76">
        <w:tc>
          <w:tcPr>
            <w:tcW w:w="673" w:type="dxa"/>
            <w:vMerge/>
            <w:tcBorders>
              <w:left w:val="single" w:sz="4" w:space="0" w:color="auto"/>
              <w:bottom w:val="single" w:sz="4" w:space="0" w:color="auto"/>
              <w:right w:val="single" w:sz="4" w:space="0" w:color="auto"/>
            </w:tcBorders>
          </w:tcPr>
          <w:p w:rsidR="000D6C44" w:rsidRPr="00D72AC3" w:rsidRDefault="000D6C44" w:rsidP="00710E51">
            <w:pPr>
              <w:jc w:val="center"/>
              <w:rPr>
                <w:rFonts w:cs="Times New Roman"/>
                <w:bCs/>
                <w:sz w:val="20"/>
                <w:szCs w:val="20"/>
                <w:lang w:val="en-GB"/>
              </w:rPr>
            </w:pPr>
          </w:p>
        </w:tc>
        <w:tc>
          <w:tcPr>
            <w:tcW w:w="3686" w:type="dxa"/>
            <w:vMerge/>
            <w:tcBorders>
              <w:left w:val="single" w:sz="4" w:space="0" w:color="auto"/>
              <w:bottom w:val="single" w:sz="4" w:space="0" w:color="auto"/>
              <w:right w:val="single" w:sz="4" w:space="0" w:color="auto"/>
            </w:tcBorders>
            <w:shd w:val="clear" w:color="auto" w:fill="auto"/>
          </w:tcPr>
          <w:p w:rsidR="000D6C44" w:rsidRPr="00D72AC3" w:rsidRDefault="000D6C44" w:rsidP="00710E51">
            <w:pPr>
              <w:jc w:val="both"/>
              <w:rPr>
                <w:rFonts w:cs="Times New Roman"/>
                <w:bCs/>
                <w:sz w:val="20"/>
                <w:szCs w:val="20"/>
                <w:lang w:val="en-GB"/>
              </w:rPr>
            </w:pPr>
          </w:p>
        </w:tc>
        <w:tc>
          <w:tcPr>
            <w:tcW w:w="1590" w:type="dxa"/>
            <w:vMerge/>
            <w:tcBorders>
              <w:left w:val="single" w:sz="4" w:space="0" w:color="auto"/>
              <w:bottom w:val="single" w:sz="4" w:space="0" w:color="auto"/>
              <w:right w:val="single" w:sz="4" w:space="0" w:color="auto"/>
            </w:tcBorders>
            <w:shd w:val="clear" w:color="auto" w:fill="auto"/>
          </w:tcPr>
          <w:p w:rsidR="000D6C44" w:rsidRPr="00D72AC3" w:rsidRDefault="000D6C44"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0D6C44" w:rsidRPr="00D72AC3" w:rsidRDefault="000D6C44" w:rsidP="00EE1B29">
            <w:pPr>
              <w:jc w:val="both"/>
              <w:rPr>
                <w:rFonts w:cs="Times New Roman"/>
                <w:sz w:val="20"/>
                <w:szCs w:val="20"/>
                <w:lang w:val="en-GB"/>
              </w:rPr>
            </w:pPr>
            <w:r w:rsidRPr="00D72AC3">
              <w:rPr>
                <w:rFonts w:cs="Times New Roman"/>
                <w:sz w:val="20"/>
                <w:szCs w:val="20"/>
                <w:lang w:val="en-GB" w:bidi="en-GB"/>
              </w:rPr>
              <w:t>2. Typologies successfully implemented in practice</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0D6C44" w:rsidRPr="00D72AC3" w:rsidRDefault="000D6C44" w:rsidP="007A02F5">
            <w:pPr>
              <w:jc w:val="both"/>
              <w:rPr>
                <w:rFonts w:cs="Times New Roman"/>
                <w:sz w:val="20"/>
                <w:szCs w:val="20"/>
                <w:lang w:val="en-GB"/>
              </w:rPr>
            </w:pPr>
            <w:r w:rsidRPr="00D72AC3">
              <w:rPr>
                <w:rFonts w:cs="Times New Roman"/>
                <w:sz w:val="20"/>
                <w:szCs w:val="20"/>
                <w:lang w:val="en-GB" w:bidi="en-GB"/>
              </w:rPr>
              <w:t xml:space="preserve">Increase of the successfully investigated ML cases carried out by the third parties and autonomous ML cases by 20% in 2019, as compared to the indicators of 2018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0D6C44" w:rsidRPr="00D72AC3" w:rsidRDefault="000D6C44" w:rsidP="002D63BE">
            <w:pPr>
              <w:jc w:val="center"/>
              <w:rPr>
                <w:rFonts w:cs="Times New Roman"/>
                <w:bCs/>
                <w:sz w:val="20"/>
                <w:szCs w:val="20"/>
                <w:lang w:val="en-GB"/>
              </w:rPr>
            </w:pPr>
            <w:r w:rsidRPr="00D72AC3">
              <w:rPr>
                <w:rFonts w:cs="Times New Roman"/>
                <w:sz w:val="20"/>
                <w:szCs w:val="20"/>
                <w:lang w:val="en-GB" w:bidi="en-GB"/>
              </w:rPr>
              <w:t>MoI (SP)</w:t>
            </w:r>
          </w:p>
          <w:p w:rsidR="000D6C44" w:rsidRPr="00D72AC3" w:rsidRDefault="000D6C44" w:rsidP="002D63BE">
            <w:pPr>
              <w:jc w:val="center"/>
              <w:rPr>
                <w:rFonts w:cs="Times New Roman"/>
                <w:bCs/>
                <w:sz w:val="20"/>
                <w:szCs w:val="20"/>
                <w:lang w:val="en-GB"/>
              </w:rPr>
            </w:pPr>
          </w:p>
        </w:tc>
        <w:tc>
          <w:tcPr>
            <w:tcW w:w="1202" w:type="dxa"/>
            <w:tcBorders>
              <w:top w:val="single" w:sz="4" w:space="0" w:color="auto"/>
              <w:left w:val="single" w:sz="4" w:space="0" w:color="auto"/>
              <w:bottom w:val="single" w:sz="4" w:space="0" w:color="auto"/>
              <w:right w:val="single" w:sz="4" w:space="0" w:color="auto"/>
            </w:tcBorders>
          </w:tcPr>
          <w:p w:rsidR="000D6C44" w:rsidRPr="00D72AC3" w:rsidRDefault="000D6C44" w:rsidP="000D6C44">
            <w:pPr>
              <w:jc w:val="center"/>
              <w:rPr>
                <w:rFonts w:cs="Times New Roman"/>
                <w:bCs/>
                <w:sz w:val="20"/>
                <w:szCs w:val="20"/>
                <w:lang w:val="en-GB"/>
              </w:rPr>
            </w:pPr>
            <w:r w:rsidRPr="00D72AC3">
              <w:rPr>
                <w:rFonts w:cs="Times New Roman"/>
                <w:sz w:val="20"/>
                <w:szCs w:val="20"/>
                <w:lang w:val="en-GB" w:bidi="en-GB"/>
              </w:rPr>
              <w:t>MoF (SRS, NCCH), CPCB, GPO, CS</w:t>
            </w:r>
          </w:p>
        </w:tc>
        <w:tc>
          <w:tcPr>
            <w:tcW w:w="1390" w:type="dxa"/>
            <w:tcBorders>
              <w:top w:val="single" w:sz="4" w:space="0" w:color="auto"/>
              <w:left w:val="single" w:sz="4" w:space="0" w:color="auto"/>
              <w:bottom w:val="single" w:sz="4" w:space="0" w:color="auto"/>
              <w:right w:val="single" w:sz="4" w:space="0" w:color="auto"/>
            </w:tcBorders>
          </w:tcPr>
          <w:p w:rsidR="000D6C44" w:rsidRPr="00D72AC3" w:rsidRDefault="000D6C44" w:rsidP="00360B12">
            <w:pPr>
              <w:jc w:val="center"/>
              <w:rPr>
                <w:rFonts w:cs="Times New Roman"/>
                <w:sz w:val="20"/>
                <w:szCs w:val="20"/>
                <w:lang w:val="en-GB"/>
              </w:rPr>
            </w:pPr>
            <w:r w:rsidRPr="00D72AC3">
              <w:rPr>
                <w:rFonts w:cs="Times New Roman"/>
                <w:sz w:val="20"/>
                <w:szCs w:val="20"/>
                <w:lang w:val="en-GB" w:bidi="en-GB"/>
              </w:rPr>
              <w:t>28 December 2019</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481AD0" w:rsidP="00710E51">
            <w:pPr>
              <w:jc w:val="center"/>
              <w:rPr>
                <w:rFonts w:cs="Times New Roman"/>
                <w:bCs/>
                <w:sz w:val="20"/>
                <w:szCs w:val="20"/>
                <w:lang w:val="en-GB"/>
              </w:rPr>
            </w:pPr>
            <w:r w:rsidRPr="00D72AC3">
              <w:rPr>
                <w:rFonts w:cs="Times New Roman"/>
                <w:sz w:val="20"/>
                <w:szCs w:val="20"/>
                <w:lang w:val="en-GB" w:bidi="en-GB"/>
              </w:rPr>
              <w:t>7.5.</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jc w:val="both"/>
              <w:rPr>
                <w:rFonts w:cs="Times New Roman"/>
                <w:bCs/>
                <w:sz w:val="20"/>
                <w:szCs w:val="20"/>
                <w:lang w:val="en-GB"/>
              </w:rPr>
            </w:pPr>
            <w:r w:rsidRPr="00D72AC3">
              <w:rPr>
                <w:rFonts w:cs="Times New Roman"/>
                <w:sz w:val="20"/>
                <w:szCs w:val="20"/>
                <w:lang w:val="en-GB" w:bidi="en-GB"/>
              </w:rPr>
              <w:t xml:space="preserve">To carry out consultations with the chairpersons of courts for the purposes of prioritising the adjudication of the ML cases. </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7.1.</w:t>
            </w:r>
          </w:p>
          <w:p w:rsidR="00914F28" w:rsidRPr="00D72AC3" w:rsidRDefault="00914F28"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EE1B29">
            <w:pPr>
              <w:jc w:val="both"/>
              <w:rPr>
                <w:rFonts w:cs="Times New Roman"/>
                <w:sz w:val="20"/>
                <w:szCs w:val="20"/>
                <w:lang w:val="en-GB"/>
              </w:rPr>
            </w:pPr>
            <w:r w:rsidRPr="00D72AC3">
              <w:rPr>
                <w:rFonts w:cs="Times New Roman"/>
                <w:sz w:val="20"/>
                <w:szCs w:val="20"/>
                <w:lang w:val="en-GB" w:bidi="en-GB"/>
              </w:rPr>
              <w:t xml:space="preserve">The possibly faster examination of ML cases in court will be ensured.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EE1B29">
            <w:pPr>
              <w:jc w:val="both"/>
              <w:rPr>
                <w:rFonts w:cs="Times New Roman"/>
                <w:sz w:val="20"/>
                <w:szCs w:val="20"/>
                <w:lang w:val="en-GB"/>
              </w:rPr>
            </w:pPr>
            <w:r w:rsidRPr="00D72AC3">
              <w:rPr>
                <w:rFonts w:cs="Times New Roman"/>
                <w:sz w:val="20"/>
                <w:szCs w:val="20"/>
                <w:lang w:val="en-GB" w:bidi="en-GB"/>
              </w:rPr>
              <w:t xml:space="preserve">Average term for examination of cases - 12 months in one instance </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MoJ (CA)</w:t>
            </w:r>
          </w:p>
        </w:tc>
        <w:tc>
          <w:tcPr>
            <w:tcW w:w="1202"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15 December 2018</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481AD0" w:rsidP="00710E51">
            <w:pPr>
              <w:jc w:val="center"/>
              <w:rPr>
                <w:rFonts w:cs="Times New Roman"/>
                <w:bCs/>
                <w:sz w:val="20"/>
                <w:szCs w:val="20"/>
                <w:lang w:val="en-GB"/>
              </w:rPr>
            </w:pPr>
            <w:r w:rsidRPr="00D72AC3">
              <w:rPr>
                <w:rFonts w:cs="Times New Roman"/>
                <w:sz w:val="20"/>
                <w:szCs w:val="20"/>
                <w:lang w:val="en-GB" w:bidi="en-GB"/>
              </w:rPr>
              <w:t>7.6.</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jc w:val="both"/>
              <w:rPr>
                <w:rFonts w:cs="Times New Roman"/>
                <w:bCs/>
                <w:sz w:val="20"/>
                <w:szCs w:val="20"/>
                <w:lang w:val="en-GB"/>
              </w:rPr>
            </w:pPr>
            <w:r w:rsidRPr="00D72AC3">
              <w:rPr>
                <w:rFonts w:cs="Times New Roman"/>
                <w:sz w:val="20"/>
                <w:szCs w:val="20"/>
                <w:lang w:val="en-GB" w:bidi="en-GB"/>
              </w:rPr>
              <w:t>To carry out the assessment of the capacity of the investigation authorities on performance of the parallel financial investigations and to develop the proposals for reorganisation of resources, in order to ensure systematic parallel financial investigations.</w:t>
            </w:r>
          </w:p>
          <w:p w:rsidR="00914F28" w:rsidRPr="00D72AC3" w:rsidRDefault="00914F28" w:rsidP="00710E51">
            <w:pPr>
              <w:jc w:val="both"/>
              <w:rPr>
                <w:rFonts w:cs="Times New Roman"/>
                <w:bCs/>
                <w:sz w:val="20"/>
                <w:szCs w:val="20"/>
                <w:lang w:val="en-G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7.1.</w:t>
            </w:r>
          </w:p>
          <w:p w:rsidR="00914F28" w:rsidRPr="00D72AC3" w:rsidRDefault="00914F28"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EE1B29">
            <w:pPr>
              <w:jc w:val="both"/>
              <w:rPr>
                <w:rFonts w:cs="Times New Roman"/>
                <w:sz w:val="20"/>
                <w:szCs w:val="20"/>
                <w:lang w:val="en-GB"/>
              </w:rPr>
            </w:pPr>
            <w:r w:rsidRPr="00D72AC3">
              <w:rPr>
                <w:rFonts w:cs="Times New Roman"/>
                <w:sz w:val="20"/>
                <w:szCs w:val="20"/>
                <w:lang w:val="en-GB" w:bidi="en-GB"/>
              </w:rPr>
              <w:t xml:space="preserve"> Abilities of investigation authorities to ensure systematic parallel financial investigations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EE1B29">
            <w:pPr>
              <w:jc w:val="both"/>
              <w:rPr>
                <w:rFonts w:cs="Times New Roman"/>
                <w:sz w:val="20"/>
                <w:szCs w:val="20"/>
                <w:lang w:val="en-GB"/>
              </w:rPr>
            </w:pPr>
            <w:r w:rsidRPr="00D72AC3">
              <w:rPr>
                <w:rFonts w:cs="Times New Roman"/>
                <w:sz w:val="20"/>
                <w:szCs w:val="20"/>
                <w:lang w:val="en-GB" w:bidi="en-GB"/>
              </w:rPr>
              <w:t>The report prepared and submitted to the FSDB - summary on the capacity of investigation authorities to ensure systematic parallel financial investigations with proposals of the investigation authorities on ensuring of systematic parallel financial investigations and improvement thereof</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MoI</w:t>
            </w:r>
          </w:p>
        </w:tc>
        <w:tc>
          <w:tcPr>
            <w:tcW w:w="1202"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SP, CPCB, TCPB, SeP, ISB, SBG</w:t>
            </w: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1 February 2019</w:t>
            </w:r>
          </w:p>
        </w:tc>
      </w:tr>
      <w:tr w:rsidR="00360B12" w:rsidRPr="00D72AC3" w:rsidTr="00C84537">
        <w:tc>
          <w:tcPr>
            <w:tcW w:w="673" w:type="dxa"/>
            <w:vMerge w:val="restart"/>
            <w:tcBorders>
              <w:top w:val="single" w:sz="4" w:space="0" w:color="auto"/>
              <w:left w:val="single" w:sz="4" w:space="0" w:color="auto"/>
              <w:right w:val="single" w:sz="4" w:space="0" w:color="auto"/>
            </w:tcBorders>
            <w:hideMark/>
          </w:tcPr>
          <w:p w:rsidR="00360B12" w:rsidRPr="00D72AC3" w:rsidRDefault="00481AD0" w:rsidP="00710E51">
            <w:pPr>
              <w:jc w:val="center"/>
              <w:rPr>
                <w:rFonts w:cs="Times New Roman"/>
                <w:bCs/>
                <w:sz w:val="20"/>
                <w:szCs w:val="20"/>
                <w:lang w:val="en-GB"/>
              </w:rPr>
            </w:pPr>
            <w:r w:rsidRPr="00D72AC3">
              <w:rPr>
                <w:rFonts w:cs="Times New Roman"/>
                <w:sz w:val="20"/>
                <w:szCs w:val="20"/>
                <w:lang w:val="en-GB" w:bidi="en-GB"/>
              </w:rPr>
              <w:t>7.7.</w:t>
            </w:r>
          </w:p>
          <w:p w:rsidR="00360B12" w:rsidRPr="00D72AC3" w:rsidRDefault="00360B12" w:rsidP="00710E51">
            <w:pPr>
              <w:jc w:val="center"/>
              <w:rPr>
                <w:rFonts w:cs="Times New Roman"/>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710E51">
            <w:pPr>
              <w:jc w:val="both"/>
              <w:rPr>
                <w:rFonts w:cs="Times New Roman"/>
                <w:b/>
                <w:bCs/>
                <w:sz w:val="20"/>
                <w:szCs w:val="20"/>
                <w:lang w:val="en-GB"/>
              </w:rPr>
            </w:pPr>
            <w:r w:rsidRPr="00D72AC3">
              <w:rPr>
                <w:rFonts w:cs="Times New Roman"/>
                <w:b/>
                <w:sz w:val="20"/>
                <w:szCs w:val="20"/>
                <w:lang w:val="en-GB" w:bidi="en-GB"/>
              </w:rPr>
              <w:t>Anti-money laundering training:</w:t>
            </w:r>
          </w:p>
          <w:p w:rsidR="00360B12" w:rsidRPr="00D72AC3" w:rsidRDefault="00360B12" w:rsidP="00710E51">
            <w:pPr>
              <w:jc w:val="both"/>
              <w:rPr>
                <w:rFonts w:cs="Times New Roman"/>
                <w:bCs/>
                <w:sz w:val="20"/>
                <w:szCs w:val="20"/>
                <w:lang w:val="en-GB"/>
              </w:rPr>
            </w:pPr>
          </w:p>
          <w:p w:rsidR="00360B12" w:rsidRPr="00D72AC3" w:rsidRDefault="00360B12" w:rsidP="00710E51">
            <w:pPr>
              <w:jc w:val="both"/>
              <w:rPr>
                <w:rFonts w:cs="Times New Roman"/>
                <w:bCs/>
                <w:sz w:val="20"/>
                <w:szCs w:val="20"/>
                <w:lang w:val="en-GB"/>
              </w:rPr>
            </w:pPr>
            <w:r w:rsidRPr="00D72AC3">
              <w:rPr>
                <w:rFonts w:cs="Times New Roman"/>
                <w:sz w:val="20"/>
                <w:szCs w:val="20"/>
                <w:lang w:val="en-GB" w:bidi="en-GB"/>
              </w:rPr>
              <w:t>1. To organise and carry out the training of investigators and prosecutors regarding crypto-currencies and risks inherent thereto.</w:t>
            </w:r>
          </w:p>
        </w:tc>
        <w:tc>
          <w:tcPr>
            <w:tcW w:w="1590" w:type="dxa"/>
            <w:vMerge w:val="restart"/>
            <w:tcBorders>
              <w:top w:val="single" w:sz="4" w:space="0" w:color="auto"/>
              <w:left w:val="single" w:sz="4" w:space="0" w:color="auto"/>
              <w:right w:val="single" w:sz="4" w:space="0" w:color="auto"/>
            </w:tcBorders>
            <w:shd w:val="clear" w:color="auto" w:fill="auto"/>
          </w:tcPr>
          <w:p w:rsidR="00360B12" w:rsidRPr="00D72AC3" w:rsidRDefault="00360B12" w:rsidP="00710E51">
            <w:pPr>
              <w:ind w:right="-108"/>
              <w:rPr>
                <w:rFonts w:cs="Times New Roman"/>
                <w:sz w:val="20"/>
                <w:szCs w:val="20"/>
                <w:lang w:val="en-GB"/>
              </w:rPr>
            </w:pPr>
            <w:r w:rsidRPr="00D72AC3">
              <w:rPr>
                <w:rFonts w:cs="Times New Roman"/>
                <w:sz w:val="20"/>
                <w:szCs w:val="20"/>
                <w:lang w:val="en-GB" w:bidi="en-GB"/>
              </w:rPr>
              <w:t>Moneyval recommendation 7.1., 7.3., 7.4.</w:t>
            </w:r>
          </w:p>
          <w:p w:rsidR="00360B12" w:rsidRPr="00D72AC3" w:rsidRDefault="00360B12" w:rsidP="00D72AC3">
            <w:pPr>
              <w:ind w:right="-108"/>
              <w:rPr>
                <w:rFonts w:cs="Times New Roman"/>
                <w:sz w:val="20"/>
                <w:szCs w:val="20"/>
                <w:lang w:val="en-GB"/>
              </w:rPr>
            </w:pPr>
            <w:r w:rsidRPr="00D72AC3">
              <w:rPr>
                <w:rFonts w:cs="Times New Roman"/>
                <w:sz w:val="20"/>
                <w:szCs w:val="20"/>
                <w:lang w:val="en-GB" w:bidi="en-GB"/>
              </w:rPr>
              <w:t>Plan of Measures for 2017-2019</w:t>
            </w:r>
            <w:r w:rsidR="00D72AC3">
              <w:rPr>
                <w:rFonts w:cs="Times New Roman"/>
                <w:sz w:val="20"/>
                <w:szCs w:val="20"/>
                <w:lang w:val="en-GB" w:bidi="en-GB"/>
              </w:rPr>
              <w:t xml:space="preserve"> </w:t>
            </w:r>
            <w:r w:rsidRPr="00D72AC3">
              <w:rPr>
                <w:rFonts w:cs="Times New Roman"/>
                <w:sz w:val="20"/>
                <w:szCs w:val="20"/>
                <w:lang w:val="en-GB" w:bidi="en-GB"/>
              </w:rPr>
              <w:t>Measure</w:t>
            </w:r>
            <w:r w:rsidR="00D72AC3" w:rsidRPr="00D72AC3">
              <w:rPr>
                <w:rFonts w:cs="Times New Roman"/>
                <w:sz w:val="20"/>
                <w:szCs w:val="20"/>
                <w:lang w:val="en-GB" w:bidi="en-GB"/>
              </w:rPr>
              <w:t xml:space="preserve"> </w:t>
            </w:r>
            <w:r w:rsidRPr="00D72AC3">
              <w:rPr>
                <w:rFonts w:cs="Times New Roman"/>
                <w:sz w:val="20"/>
                <w:szCs w:val="20"/>
                <w:lang w:val="en-GB" w:bidi="en-GB"/>
              </w:rPr>
              <w:t> 3.6.</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25344E">
            <w:pPr>
              <w:jc w:val="both"/>
              <w:rPr>
                <w:rFonts w:cs="Times New Roman"/>
                <w:sz w:val="20"/>
                <w:szCs w:val="20"/>
                <w:lang w:val="en-GB"/>
              </w:rPr>
            </w:pPr>
            <w:r w:rsidRPr="00D72AC3">
              <w:rPr>
                <w:rFonts w:cs="Times New Roman"/>
                <w:sz w:val="20"/>
                <w:szCs w:val="20"/>
                <w:lang w:val="en-GB" w:bidi="en-GB"/>
              </w:rPr>
              <w:t>1. The understanding raised on the use of crypto-currencies in money laundering, possibilities of identifying and arresting them</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CB2F44" w:rsidP="0025344E">
            <w:pPr>
              <w:jc w:val="both"/>
              <w:rPr>
                <w:rFonts w:cs="Times New Roman"/>
                <w:sz w:val="20"/>
                <w:szCs w:val="20"/>
                <w:lang w:val="en-GB"/>
              </w:rPr>
            </w:pPr>
            <w:r w:rsidRPr="00D72AC3">
              <w:rPr>
                <w:rFonts w:cs="Times New Roman"/>
                <w:sz w:val="20"/>
                <w:szCs w:val="20"/>
                <w:lang w:val="en-GB" w:bidi="en-GB"/>
              </w:rPr>
              <w:t>1. Investigators and prosecutors, judges, the CS employees - 100 persons trained</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360B12" w:rsidRPr="00D72AC3" w:rsidRDefault="00360B12" w:rsidP="002D63BE">
            <w:pPr>
              <w:jc w:val="center"/>
              <w:rPr>
                <w:rFonts w:cs="Times New Roman"/>
                <w:bCs/>
                <w:sz w:val="20"/>
                <w:szCs w:val="20"/>
                <w:lang w:val="en-GB"/>
              </w:rPr>
            </w:pPr>
            <w:r w:rsidRPr="00D72AC3">
              <w:rPr>
                <w:rFonts w:cs="Times New Roman"/>
                <w:sz w:val="20"/>
                <w:szCs w:val="20"/>
                <w:lang w:val="en-GB" w:bidi="en-GB"/>
              </w:rPr>
              <w:t>MoJ (CA), LSPA</w:t>
            </w:r>
          </w:p>
        </w:tc>
        <w:tc>
          <w:tcPr>
            <w:tcW w:w="1202" w:type="dxa"/>
            <w:tcBorders>
              <w:top w:val="single" w:sz="4" w:space="0" w:color="auto"/>
              <w:left w:val="single" w:sz="4" w:space="0" w:color="auto"/>
              <w:bottom w:val="single" w:sz="4" w:space="0" w:color="auto"/>
              <w:right w:val="single" w:sz="4" w:space="0" w:color="auto"/>
            </w:tcBorders>
            <w:hideMark/>
          </w:tcPr>
          <w:p w:rsidR="00360B12" w:rsidRPr="00D72AC3" w:rsidRDefault="00360B12" w:rsidP="002D63BE">
            <w:pPr>
              <w:jc w:val="center"/>
              <w:rPr>
                <w:sz w:val="20"/>
                <w:szCs w:val="20"/>
                <w:lang w:val="en-GB"/>
              </w:rPr>
            </w:pPr>
            <w:r w:rsidRPr="00D72AC3">
              <w:rPr>
                <w:sz w:val="20"/>
                <w:szCs w:val="20"/>
                <w:lang w:val="en-GB" w:bidi="en-GB"/>
              </w:rPr>
              <w:t>FCMC, SP, SRS, CPCB, SeP, GPO, SBG, ISB, CS</w:t>
            </w:r>
          </w:p>
        </w:tc>
        <w:tc>
          <w:tcPr>
            <w:tcW w:w="1390" w:type="dxa"/>
            <w:tcBorders>
              <w:top w:val="single" w:sz="4" w:space="0" w:color="auto"/>
              <w:left w:val="single" w:sz="4" w:space="0" w:color="auto"/>
              <w:bottom w:val="single" w:sz="4" w:space="0" w:color="auto"/>
              <w:right w:val="single" w:sz="4" w:space="0" w:color="auto"/>
            </w:tcBorders>
            <w:hideMark/>
          </w:tcPr>
          <w:p w:rsidR="00360B12" w:rsidRPr="00D72AC3" w:rsidRDefault="00360B12" w:rsidP="00ED4ECE">
            <w:pPr>
              <w:jc w:val="center"/>
              <w:rPr>
                <w:rFonts w:cs="Times New Roman"/>
                <w:bCs/>
                <w:sz w:val="20"/>
                <w:szCs w:val="20"/>
                <w:lang w:val="en-GB"/>
              </w:rPr>
            </w:pPr>
            <w:r w:rsidRPr="00D72AC3">
              <w:rPr>
                <w:rFonts w:cs="Times New Roman"/>
                <w:sz w:val="20"/>
                <w:szCs w:val="20"/>
                <w:lang w:val="en-GB" w:bidi="en-GB"/>
              </w:rPr>
              <w:t>1 July 2019</w:t>
            </w:r>
          </w:p>
        </w:tc>
      </w:tr>
      <w:tr w:rsidR="00360B12" w:rsidRPr="00D72AC3" w:rsidTr="00C84537">
        <w:tc>
          <w:tcPr>
            <w:tcW w:w="673" w:type="dxa"/>
            <w:vMerge/>
            <w:tcBorders>
              <w:left w:val="single" w:sz="4" w:space="0" w:color="auto"/>
              <w:right w:val="single" w:sz="4" w:space="0" w:color="auto"/>
            </w:tcBorders>
            <w:hideMark/>
          </w:tcPr>
          <w:p w:rsidR="00360B12" w:rsidRPr="00D72AC3" w:rsidRDefault="00360B12" w:rsidP="00710E51">
            <w:pPr>
              <w:jc w:val="center"/>
              <w:rPr>
                <w:rFonts w:cs="Times New Roman"/>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710E51">
            <w:pPr>
              <w:jc w:val="both"/>
              <w:rPr>
                <w:rFonts w:cs="Times New Roman"/>
                <w:bCs/>
                <w:sz w:val="20"/>
                <w:szCs w:val="20"/>
                <w:lang w:val="en-GB"/>
              </w:rPr>
            </w:pPr>
            <w:r w:rsidRPr="00D72AC3">
              <w:rPr>
                <w:rFonts w:cs="Times New Roman"/>
                <w:sz w:val="20"/>
                <w:szCs w:val="20"/>
                <w:lang w:val="en-GB" w:bidi="en-GB"/>
              </w:rPr>
              <w:t>2. To organise and carry out the training of investigators and analysts in the field of financial analysis and organisation of financial investigation.</w:t>
            </w:r>
          </w:p>
        </w:tc>
        <w:tc>
          <w:tcPr>
            <w:tcW w:w="1590" w:type="dxa"/>
            <w:vMerge/>
            <w:tcBorders>
              <w:left w:val="single" w:sz="4" w:space="0" w:color="auto"/>
              <w:right w:val="single" w:sz="4" w:space="0" w:color="auto"/>
            </w:tcBorders>
            <w:shd w:val="clear" w:color="auto" w:fill="auto"/>
          </w:tcPr>
          <w:p w:rsidR="00360B12" w:rsidRPr="00D72AC3" w:rsidRDefault="00360B12"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25344E">
            <w:pPr>
              <w:jc w:val="both"/>
              <w:rPr>
                <w:rFonts w:cs="Times New Roman"/>
                <w:sz w:val="20"/>
                <w:szCs w:val="20"/>
                <w:lang w:val="en-GB"/>
              </w:rPr>
            </w:pPr>
            <w:r w:rsidRPr="00D72AC3">
              <w:rPr>
                <w:rFonts w:cs="Times New Roman"/>
                <w:sz w:val="20"/>
                <w:szCs w:val="20"/>
                <w:lang w:val="en-GB" w:bidi="en-GB"/>
              </w:rPr>
              <w:t>2. More effective identification of proceeds from crime ensured.</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CB2F44" w:rsidP="0025344E">
            <w:pPr>
              <w:jc w:val="both"/>
              <w:rPr>
                <w:rFonts w:cs="Times New Roman"/>
                <w:sz w:val="20"/>
                <w:szCs w:val="20"/>
                <w:lang w:val="en-GB"/>
              </w:rPr>
            </w:pPr>
            <w:r w:rsidRPr="00D72AC3">
              <w:rPr>
                <w:rFonts w:cs="Times New Roman"/>
                <w:sz w:val="20"/>
                <w:szCs w:val="20"/>
                <w:lang w:val="en-GB" w:bidi="en-GB"/>
              </w:rPr>
              <w:t>2. Investigators and analysts - 100 persons trained</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2D63BE">
            <w:pPr>
              <w:jc w:val="center"/>
              <w:rPr>
                <w:rFonts w:cs="Times New Roman"/>
                <w:bCs/>
                <w:sz w:val="20"/>
                <w:szCs w:val="20"/>
                <w:lang w:val="en-GB"/>
              </w:rPr>
            </w:pPr>
            <w:r w:rsidRPr="00D72AC3">
              <w:rPr>
                <w:rFonts w:cs="Times New Roman"/>
                <w:sz w:val="20"/>
                <w:szCs w:val="20"/>
                <w:lang w:val="en-GB" w:bidi="en-GB"/>
              </w:rPr>
              <w:t>MoJ (CA), LSPA</w:t>
            </w:r>
          </w:p>
        </w:tc>
        <w:tc>
          <w:tcPr>
            <w:tcW w:w="1202" w:type="dxa"/>
            <w:tcBorders>
              <w:top w:val="single" w:sz="4" w:space="0" w:color="auto"/>
              <w:left w:val="single" w:sz="4" w:space="0" w:color="auto"/>
              <w:bottom w:val="single" w:sz="4" w:space="0" w:color="auto"/>
              <w:right w:val="single" w:sz="4" w:space="0" w:color="auto"/>
            </w:tcBorders>
            <w:hideMark/>
          </w:tcPr>
          <w:p w:rsidR="00360B12" w:rsidRPr="00D72AC3" w:rsidRDefault="00360B12" w:rsidP="002D63BE">
            <w:pPr>
              <w:jc w:val="center"/>
              <w:rPr>
                <w:sz w:val="20"/>
                <w:szCs w:val="20"/>
                <w:lang w:val="en-GB"/>
              </w:rPr>
            </w:pPr>
            <w:r w:rsidRPr="00D72AC3">
              <w:rPr>
                <w:sz w:val="20"/>
                <w:szCs w:val="20"/>
                <w:lang w:val="en-GB" w:bidi="en-GB"/>
              </w:rPr>
              <w:t>SP, SRS, CPCB, SeP, ISB, CS</w:t>
            </w:r>
          </w:p>
        </w:tc>
        <w:tc>
          <w:tcPr>
            <w:tcW w:w="1390" w:type="dxa"/>
            <w:tcBorders>
              <w:top w:val="single" w:sz="4" w:space="0" w:color="auto"/>
              <w:left w:val="single" w:sz="4" w:space="0" w:color="auto"/>
              <w:bottom w:val="single" w:sz="4" w:space="0" w:color="auto"/>
              <w:right w:val="single" w:sz="4" w:space="0" w:color="auto"/>
            </w:tcBorders>
            <w:hideMark/>
          </w:tcPr>
          <w:p w:rsidR="00360B12" w:rsidRPr="00D72AC3" w:rsidRDefault="00360B12" w:rsidP="002D63BE">
            <w:pPr>
              <w:jc w:val="center"/>
              <w:rPr>
                <w:rFonts w:cs="Times New Roman"/>
                <w:bCs/>
                <w:sz w:val="20"/>
                <w:szCs w:val="20"/>
                <w:lang w:val="en-GB"/>
              </w:rPr>
            </w:pPr>
            <w:r w:rsidRPr="00D72AC3">
              <w:rPr>
                <w:rFonts w:cs="Times New Roman"/>
                <w:sz w:val="20"/>
                <w:szCs w:val="20"/>
                <w:lang w:val="en-GB" w:bidi="en-GB"/>
              </w:rPr>
              <w:t>1 July 2019</w:t>
            </w:r>
          </w:p>
        </w:tc>
      </w:tr>
      <w:tr w:rsidR="00360B12" w:rsidRPr="00D72AC3" w:rsidTr="000215A6">
        <w:tc>
          <w:tcPr>
            <w:tcW w:w="673" w:type="dxa"/>
            <w:vMerge/>
            <w:tcBorders>
              <w:left w:val="single" w:sz="4" w:space="0" w:color="auto"/>
              <w:right w:val="single" w:sz="4" w:space="0" w:color="auto"/>
            </w:tcBorders>
            <w:hideMark/>
          </w:tcPr>
          <w:p w:rsidR="00360B12" w:rsidRPr="00D72AC3" w:rsidRDefault="00360B12" w:rsidP="00710E51">
            <w:pPr>
              <w:jc w:val="center"/>
              <w:rPr>
                <w:rFonts w:cs="Times New Roman"/>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710E51">
            <w:pPr>
              <w:jc w:val="both"/>
              <w:rPr>
                <w:rFonts w:cs="Times New Roman"/>
                <w:bCs/>
                <w:sz w:val="20"/>
                <w:szCs w:val="20"/>
                <w:lang w:val="en-GB"/>
              </w:rPr>
            </w:pPr>
            <w:r w:rsidRPr="00D72AC3">
              <w:rPr>
                <w:rFonts w:cs="Times New Roman"/>
                <w:sz w:val="20"/>
                <w:szCs w:val="20"/>
                <w:lang w:val="en-GB" w:bidi="en-GB"/>
              </w:rPr>
              <w:t>3. Training programme "Recovery of Proceeds from Crime (Identification, Tracking, Arrest, Confiscation During the Pre-trial Investigation)" developed and approved</w:t>
            </w:r>
          </w:p>
        </w:tc>
        <w:tc>
          <w:tcPr>
            <w:tcW w:w="1590" w:type="dxa"/>
            <w:vMerge/>
            <w:tcBorders>
              <w:left w:val="single" w:sz="4" w:space="0" w:color="auto"/>
              <w:right w:val="single" w:sz="4" w:space="0" w:color="auto"/>
            </w:tcBorders>
            <w:shd w:val="clear" w:color="auto" w:fill="auto"/>
          </w:tcPr>
          <w:p w:rsidR="00360B12" w:rsidRPr="00D72AC3" w:rsidRDefault="00360B12"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360B12" w:rsidP="0025344E">
            <w:pPr>
              <w:jc w:val="both"/>
              <w:rPr>
                <w:rFonts w:cs="Times New Roman"/>
                <w:sz w:val="20"/>
                <w:szCs w:val="20"/>
                <w:lang w:val="en-GB"/>
              </w:rPr>
            </w:pPr>
            <w:r w:rsidRPr="00D72AC3">
              <w:rPr>
                <w:rFonts w:cs="Times New Roman"/>
                <w:sz w:val="20"/>
                <w:szCs w:val="20"/>
                <w:lang w:val="en-GB" w:bidi="en-GB"/>
              </w:rPr>
              <w:t xml:space="preserve">3. Raised understanding among the SP investigators and other officials with respect to the identification of money laundering and arrest over the property of the persons suspected and a person maintaining permanent relationship, </w:t>
            </w:r>
            <w:r w:rsidRPr="00D72AC3">
              <w:rPr>
                <w:rFonts w:cs="Times New Roman"/>
                <w:i/>
                <w:sz w:val="20"/>
                <w:szCs w:val="20"/>
                <w:lang w:val="en-GB" w:bidi="en-GB"/>
              </w:rPr>
              <w:t>inter alia</w:t>
            </w:r>
            <w:r w:rsidRPr="00D72AC3">
              <w:rPr>
                <w:rFonts w:cs="Times New Roman"/>
                <w:sz w:val="20"/>
                <w:szCs w:val="20"/>
                <w:lang w:val="en-GB" w:bidi="en-GB"/>
              </w:rPr>
              <w:t>, abroad</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360B12" w:rsidRPr="00D72AC3" w:rsidRDefault="00CB2F44" w:rsidP="0025344E">
            <w:pPr>
              <w:jc w:val="both"/>
              <w:rPr>
                <w:rFonts w:cs="Times New Roman"/>
                <w:sz w:val="20"/>
                <w:szCs w:val="20"/>
                <w:lang w:val="en-GB"/>
              </w:rPr>
            </w:pPr>
            <w:r w:rsidRPr="00D72AC3">
              <w:rPr>
                <w:rFonts w:cs="Times New Roman"/>
                <w:sz w:val="20"/>
                <w:szCs w:val="20"/>
                <w:lang w:val="en-GB" w:bidi="en-GB"/>
              </w:rPr>
              <w:t>3. SP investigators and other officials - 100 persons trained</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360B12" w:rsidRPr="00D72AC3" w:rsidRDefault="00360B12" w:rsidP="002D63BE">
            <w:pPr>
              <w:jc w:val="center"/>
              <w:rPr>
                <w:rFonts w:cs="Times New Roman"/>
                <w:bCs/>
                <w:sz w:val="20"/>
                <w:szCs w:val="20"/>
                <w:lang w:val="en-GB"/>
              </w:rPr>
            </w:pPr>
            <w:r w:rsidRPr="00D72AC3">
              <w:rPr>
                <w:rFonts w:cs="Times New Roman"/>
                <w:sz w:val="20"/>
                <w:szCs w:val="20"/>
                <w:lang w:val="en-GB" w:bidi="en-GB"/>
              </w:rPr>
              <w:t>State Police College</w:t>
            </w:r>
          </w:p>
        </w:tc>
        <w:tc>
          <w:tcPr>
            <w:tcW w:w="1202" w:type="dxa"/>
            <w:tcBorders>
              <w:top w:val="single" w:sz="4" w:space="0" w:color="auto"/>
              <w:left w:val="single" w:sz="4" w:space="0" w:color="auto"/>
              <w:bottom w:val="single" w:sz="4" w:space="0" w:color="auto"/>
              <w:right w:val="single" w:sz="4" w:space="0" w:color="auto"/>
            </w:tcBorders>
          </w:tcPr>
          <w:p w:rsidR="00360B12" w:rsidRPr="00D72AC3" w:rsidRDefault="00360B12" w:rsidP="002D63BE">
            <w:pPr>
              <w:jc w:val="center"/>
              <w:rPr>
                <w:sz w:val="16"/>
                <w:szCs w:val="16"/>
                <w:lang w:val="en-GB"/>
              </w:rPr>
            </w:pPr>
          </w:p>
        </w:tc>
        <w:tc>
          <w:tcPr>
            <w:tcW w:w="1390" w:type="dxa"/>
            <w:tcBorders>
              <w:top w:val="single" w:sz="4" w:space="0" w:color="auto"/>
              <w:left w:val="single" w:sz="4" w:space="0" w:color="auto"/>
              <w:bottom w:val="single" w:sz="4" w:space="0" w:color="auto"/>
              <w:right w:val="single" w:sz="4" w:space="0" w:color="auto"/>
            </w:tcBorders>
            <w:hideMark/>
          </w:tcPr>
          <w:p w:rsidR="00360B12" w:rsidRPr="00D72AC3" w:rsidRDefault="00360B12" w:rsidP="002D63BE">
            <w:pPr>
              <w:jc w:val="center"/>
              <w:rPr>
                <w:rFonts w:cs="Times New Roman"/>
                <w:bCs/>
                <w:sz w:val="20"/>
                <w:szCs w:val="20"/>
                <w:lang w:val="en-GB"/>
              </w:rPr>
            </w:pPr>
            <w:r w:rsidRPr="00D72AC3">
              <w:rPr>
                <w:rFonts w:cs="Times New Roman"/>
                <w:sz w:val="20"/>
                <w:szCs w:val="20"/>
                <w:lang w:val="en-GB" w:bidi="en-GB"/>
              </w:rPr>
              <w:t>15 December 2019</w:t>
            </w:r>
          </w:p>
        </w:tc>
      </w:tr>
      <w:tr w:rsidR="00360B12" w:rsidRPr="00D72AC3" w:rsidTr="00C84537">
        <w:tc>
          <w:tcPr>
            <w:tcW w:w="673" w:type="dxa"/>
            <w:vMerge/>
            <w:tcBorders>
              <w:left w:val="single" w:sz="4" w:space="0" w:color="auto"/>
              <w:bottom w:val="single" w:sz="4" w:space="0" w:color="auto"/>
              <w:right w:val="single" w:sz="4" w:space="0" w:color="auto"/>
            </w:tcBorders>
          </w:tcPr>
          <w:p w:rsidR="00360B12" w:rsidRPr="00D72AC3" w:rsidRDefault="00360B12" w:rsidP="00710E51">
            <w:pPr>
              <w:jc w:val="center"/>
              <w:rPr>
                <w:rFonts w:cs="Times New Roman"/>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0B12" w:rsidRPr="00D72AC3" w:rsidRDefault="00360B12" w:rsidP="00710E51">
            <w:pPr>
              <w:jc w:val="both"/>
              <w:rPr>
                <w:rFonts w:cs="Times New Roman"/>
                <w:bCs/>
                <w:sz w:val="20"/>
                <w:szCs w:val="20"/>
                <w:lang w:val="en-GB"/>
              </w:rPr>
            </w:pPr>
            <w:r w:rsidRPr="00D72AC3">
              <w:rPr>
                <w:rFonts w:cs="Times New Roman"/>
                <w:sz w:val="20"/>
                <w:szCs w:val="20"/>
                <w:lang w:val="en-GB" w:bidi="en-GB"/>
              </w:rPr>
              <w:t xml:space="preserve">4. To implement the training of judges, prosecutors and investigators regarding ensuring the necessary scope of evidence for investigating money laundering, </w:t>
            </w:r>
            <w:r w:rsidRPr="00D72AC3">
              <w:rPr>
                <w:rFonts w:cs="Times New Roman"/>
                <w:i/>
                <w:sz w:val="20"/>
                <w:szCs w:val="20"/>
                <w:lang w:val="en-GB" w:bidi="en-GB"/>
              </w:rPr>
              <w:t>inter alia</w:t>
            </w:r>
            <w:r w:rsidRPr="00D72AC3">
              <w:rPr>
                <w:rFonts w:cs="Times New Roman"/>
                <w:sz w:val="20"/>
                <w:szCs w:val="20"/>
                <w:lang w:val="en-GB" w:bidi="en-GB"/>
              </w:rPr>
              <w:t xml:space="preserve">, </w:t>
            </w:r>
            <w:r w:rsidR="00682D68">
              <w:rPr>
                <w:rFonts w:cs="Times New Roman"/>
                <w:sz w:val="20"/>
                <w:szCs w:val="20"/>
                <w:lang w:val="en-GB" w:bidi="en-GB"/>
              </w:rPr>
              <w:t xml:space="preserve"> </w:t>
            </w:r>
            <w:r w:rsidRPr="00D72AC3">
              <w:rPr>
                <w:rFonts w:cs="Times New Roman"/>
                <w:sz w:val="20"/>
                <w:szCs w:val="20"/>
                <w:lang w:val="en-GB" w:bidi="en-GB"/>
              </w:rPr>
              <w:t>regarding penal policy</w:t>
            </w:r>
          </w:p>
        </w:tc>
        <w:tc>
          <w:tcPr>
            <w:tcW w:w="1590" w:type="dxa"/>
            <w:vMerge/>
            <w:tcBorders>
              <w:left w:val="single" w:sz="4" w:space="0" w:color="auto"/>
              <w:bottom w:val="single" w:sz="4" w:space="0" w:color="auto"/>
              <w:right w:val="single" w:sz="4" w:space="0" w:color="auto"/>
            </w:tcBorders>
            <w:shd w:val="clear" w:color="auto" w:fill="auto"/>
          </w:tcPr>
          <w:p w:rsidR="00360B12" w:rsidRPr="00D72AC3" w:rsidRDefault="00360B12"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360B12" w:rsidRPr="00D72AC3" w:rsidRDefault="00360B12" w:rsidP="007A02F5">
            <w:pPr>
              <w:jc w:val="both"/>
              <w:rPr>
                <w:rFonts w:cs="Times New Roman"/>
                <w:sz w:val="20"/>
                <w:szCs w:val="20"/>
                <w:lang w:val="en-GB"/>
              </w:rPr>
            </w:pPr>
            <w:r w:rsidRPr="00D72AC3">
              <w:rPr>
                <w:rFonts w:cs="Times New Roman"/>
                <w:sz w:val="20"/>
                <w:szCs w:val="20"/>
                <w:lang w:val="en-GB" w:bidi="en-GB"/>
              </w:rPr>
              <w:t>4. To establish a single practice in money laundering investigation</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360B12" w:rsidRPr="00D72AC3" w:rsidRDefault="00CB2F44" w:rsidP="007A02F5">
            <w:pPr>
              <w:jc w:val="both"/>
              <w:rPr>
                <w:rFonts w:cs="Times New Roman"/>
                <w:sz w:val="20"/>
                <w:szCs w:val="20"/>
                <w:lang w:val="en-GB"/>
              </w:rPr>
            </w:pPr>
            <w:r w:rsidRPr="00D72AC3">
              <w:rPr>
                <w:rFonts w:cs="Times New Roman"/>
                <w:sz w:val="20"/>
                <w:szCs w:val="20"/>
                <w:lang w:val="en-GB" w:bidi="en-GB"/>
              </w:rPr>
              <w:t>4. Judges, prosecutors and investigators - 300 persons trained</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360B12" w:rsidRPr="00D72AC3" w:rsidRDefault="00360B12" w:rsidP="002D63BE">
            <w:pPr>
              <w:jc w:val="center"/>
              <w:rPr>
                <w:rFonts w:cs="Times New Roman"/>
                <w:bCs/>
                <w:sz w:val="20"/>
                <w:szCs w:val="20"/>
                <w:lang w:val="en-GB"/>
              </w:rPr>
            </w:pPr>
            <w:r w:rsidRPr="00D72AC3">
              <w:rPr>
                <w:rFonts w:cs="Times New Roman"/>
                <w:sz w:val="20"/>
                <w:szCs w:val="20"/>
                <w:lang w:val="en-GB" w:bidi="en-GB"/>
              </w:rPr>
              <w:t>MoJ (CA), Latvian Judicial Training Centre, LSPA</w:t>
            </w:r>
          </w:p>
        </w:tc>
        <w:tc>
          <w:tcPr>
            <w:tcW w:w="1202" w:type="dxa"/>
            <w:tcBorders>
              <w:top w:val="single" w:sz="4" w:space="0" w:color="auto"/>
              <w:left w:val="single" w:sz="4" w:space="0" w:color="auto"/>
              <w:bottom w:val="single" w:sz="4" w:space="0" w:color="auto"/>
              <w:right w:val="single" w:sz="4" w:space="0" w:color="auto"/>
            </w:tcBorders>
          </w:tcPr>
          <w:p w:rsidR="00360B12" w:rsidRPr="00D72AC3" w:rsidRDefault="00360B12" w:rsidP="002D63BE">
            <w:pPr>
              <w:jc w:val="center"/>
              <w:rPr>
                <w:sz w:val="16"/>
                <w:szCs w:val="16"/>
                <w:lang w:val="en-GB"/>
              </w:rPr>
            </w:pPr>
            <w:r w:rsidRPr="00D72AC3">
              <w:rPr>
                <w:sz w:val="16"/>
                <w:szCs w:val="16"/>
                <w:lang w:val="en-GB" w:bidi="en-GB"/>
              </w:rPr>
              <w:t>SP, SRS, CPCB, SeP, SBG, ISB</w:t>
            </w:r>
          </w:p>
        </w:tc>
        <w:tc>
          <w:tcPr>
            <w:tcW w:w="1390" w:type="dxa"/>
            <w:tcBorders>
              <w:top w:val="single" w:sz="4" w:space="0" w:color="auto"/>
              <w:left w:val="single" w:sz="4" w:space="0" w:color="auto"/>
              <w:bottom w:val="single" w:sz="4" w:space="0" w:color="auto"/>
              <w:right w:val="single" w:sz="4" w:space="0" w:color="auto"/>
            </w:tcBorders>
          </w:tcPr>
          <w:p w:rsidR="00360B12" w:rsidRPr="00D72AC3" w:rsidRDefault="00360B12" w:rsidP="002D63BE">
            <w:pPr>
              <w:jc w:val="center"/>
              <w:rPr>
                <w:rFonts w:cs="Times New Roman"/>
                <w:sz w:val="20"/>
                <w:szCs w:val="20"/>
                <w:lang w:val="en-GB"/>
              </w:rPr>
            </w:pPr>
            <w:r w:rsidRPr="00D72AC3">
              <w:rPr>
                <w:rFonts w:cs="Times New Roman"/>
                <w:sz w:val="20"/>
                <w:szCs w:val="20"/>
                <w:lang w:val="en-GB" w:bidi="en-GB"/>
              </w:rPr>
              <w:t>Constantly, starting from the first six months of 2019</w:t>
            </w:r>
          </w:p>
        </w:tc>
      </w:tr>
      <w:tr w:rsidR="008978FB" w:rsidRPr="00D72AC3" w:rsidTr="000D4C76">
        <w:tc>
          <w:tcPr>
            <w:tcW w:w="673" w:type="dxa"/>
            <w:vMerge w:val="restart"/>
            <w:tcBorders>
              <w:top w:val="single" w:sz="4" w:space="0" w:color="auto"/>
              <w:left w:val="single" w:sz="4" w:space="0" w:color="auto"/>
              <w:right w:val="single" w:sz="4" w:space="0" w:color="auto"/>
            </w:tcBorders>
            <w:hideMark/>
          </w:tcPr>
          <w:p w:rsidR="008978FB" w:rsidRPr="00D72AC3" w:rsidRDefault="008978FB" w:rsidP="00325E8D">
            <w:pPr>
              <w:jc w:val="center"/>
              <w:rPr>
                <w:rFonts w:cs="Times New Roman"/>
                <w:bCs/>
                <w:sz w:val="20"/>
                <w:szCs w:val="20"/>
                <w:lang w:val="en-GB"/>
              </w:rPr>
            </w:pPr>
            <w:r w:rsidRPr="00D72AC3">
              <w:rPr>
                <w:rFonts w:cs="Times New Roman"/>
                <w:sz w:val="20"/>
                <w:szCs w:val="20"/>
                <w:lang w:val="en-GB" w:bidi="en-GB"/>
              </w:rPr>
              <w:t xml:space="preserve">7.8. </w:t>
            </w:r>
          </w:p>
        </w:tc>
        <w:tc>
          <w:tcPr>
            <w:tcW w:w="3686" w:type="dxa"/>
            <w:vMerge w:val="restart"/>
            <w:tcBorders>
              <w:top w:val="single" w:sz="4" w:space="0" w:color="auto"/>
              <w:left w:val="single" w:sz="4" w:space="0" w:color="auto"/>
              <w:right w:val="single" w:sz="4" w:space="0" w:color="auto"/>
            </w:tcBorders>
            <w:shd w:val="clear" w:color="auto" w:fill="auto"/>
            <w:hideMark/>
          </w:tcPr>
          <w:p w:rsidR="008978FB" w:rsidRPr="00D72AC3" w:rsidRDefault="008978FB" w:rsidP="00710E51">
            <w:pPr>
              <w:jc w:val="both"/>
              <w:rPr>
                <w:rFonts w:cs="Times New Roman"/>
                <w:bCs/>
                <w:sz w:val="20"/>
                <w:szCs w:val="20"/>
                <w:lang w:val="en-GB"/>
              </w:rPr>
            </w:pPr>
            <w:r w:rsidRPr="00D72AC3">
              <w:rPr>
                <w:rFonts w:cs="Times New Roman"/>
                <w:sz w:val="20"/>
                <w:szCs w:val="20"/>
                <w:lang w:val="en-GB" w:bidi="en-GB"/>
              </w:rPr>
              <w:t>To develop the guidelines for prioritising ML cases (</w:t>
            </w:r>
            <w:r w:rsidRPr="00D72AC3">
              <w:rPr>
                <w:rFonts w:cs="Times New Roman"/>
                <w:i/>
                <w:sz w:val="20"/>
                <w:szCs w:val="20"/>
                <w:lang w:val="en-GB" w:bidi="en-GB"/>
              </w:rPr>
              <w:t>Risk Based Approach</w:t>
            </w:r>
            <w:r w:rsidRPr="00D72AC3">
              <w:rPr>
                <w:rFonts w:cs="Times New Roman"/>
                <w:sz w:val="20"/>
                <w:szCs w:val="20"/>
                <w:lang w:val="en-GB" w:bidi="en-GB"/>
              </w:rPr>
              <w:t>), determining common principles and criteria for selection and assessment, under priority procedure, of the cases to be examined, and according to the principles and criteria for prioritisation of ML cases set by the guidelines to commence and direct complex and voluminous criminal procedures.</w:t>
            </w:r>
          </w:p>
          <w:p w:rsidR="008978FB" w:rsidRPr="00D72AC3" w:rsidRDefault="008978FB" w:rsidP="00710E51">
            <w:pPr>
              <w:jc w:val="both"/>
              <w:rPr>
                <w:rFonts w:cs="Times New Roman"/>
                <w:bCs/>
                <w:sz w:val="20"/>
                <w:szCs w:val="20"/>
                <w:lang w:val="en-GB"/>
              </w:rPr>
            </w:pPr>
          </w:p>
        </w:tc>
        <w:tc>
          <w:tcPr>
            <w:tcW w:w="1590" w:type="dxa"/>
            <w:vMerge w:val="restart"/>
            <w:tcBorders>
              <w:top w:val="single" w:sz="4" w:space="0" w:color="auto"/>
              <w:left w:val="single" w:sz="4" w:space="0" w:color="auto"/>
              <w:right w:val="single" w:sz="4" w:space="0" w:color="auto"/>
            </w:tcBorders>
            <w:shd w:val="clear" w:color="auto" w:fill="auto"/>
          </w:tcPr>
          <w:p w:rsidR="008978FB" w:rsidRPr="00D72AC3" w:rsidRDefault="008978FB" w:rsidP="00710E51">
            <w:pPr>
              <w:ind w:right="-108"/>
              <w:rPr>
                <w:rFonts w:cs="Times New Roman"/>
                <w:sz w:val="20"/>
                <w:szCs w:val="20"/>
                <w:lang w:val="en-GB"/>
              </w:rPr>
            </w:pPr>
            <w:r w:rsidRPr="00D72AC3">
              <w:rPr>
                <w:rFonts w:cs="Times New Roman"/>
                <w:sz w:val="20"/>
                <w:szCs w:val="20"/>
                <w:lang w:val="en-GB" w:bidi="en-GB"/>
              </w:rPr>
              <w:t>Moneyval recommendation 7.2.</w:t>
            </w:r>
          </w:p>
          <w:p w:rsidR="008978FB" w:rsidRPr="00D72AC3" w:rsidRDefault="008978FB"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8978FB" w:rsidRPr="00D72AC3" w:rsidRDefault="008978FB" w:rsidP="0025344E">
            <w:pPr>
              <w:jc w:val="both"/>
              <w:rPr>
                <w:rFonts w:cs="Times New Roman"/>
                <w:sz w:val="20"/>
                <w:szCs w:val="20"/>
                <w:lang w:val="en-GB"/>
              </w:rPr>
            </w:pPr>
            <w:r w:rsidRPr="00D72AC3">
              <w:rPr>
                <w:rFonts w:cs="Times New Roman"/>
                <w:sz w:val="20"/>
                <w:szCs w:val="20"/>
                <w:lang w:val="en-GB" w:bidi="en-GB"/>
              </w:rPr>
              <w:t xml:space="preserve">1. Guidelines developed, approved and distributed </w:t>
            </w:r>
          </w:p>
          <w:p w:rsidR="008978FB" w:rsidRPr="00D72AC3" w:rsidRDefault="008978FB" w:rsidP="0025344E">
            <w:pPr>
              <w:jc w:val="both"/>
              <w:rPr>
                <w:rFonts w:cs="Times New Roman"/>
                <w:sz w:val="20"/>
                <w:szCs w:val="20"/>
                <w:lang w:val="en-GB"/>
              </w:rPr>
            </w:pP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8978FB" w:rsidRPr="00D72AC3" w:rsidRDefault="00AD1137" w:rsidP="0025344E">
            <w:pPr>
              <w:jc w:val="both"/>
              <w:rPr>
                <w:rFonts w:cs="Times New Roman"/>
                <w:sz w:val="20"/>
                <w:szCs w:val="20"/>
                <w:lang w:val="en-GB"/>
              </w:rPr>
            </w:pPr>
            <w:r w:rsidRPr="00D72AC3">
              <w:rPr>
                <w:rFonts w:cs="Times New Roman"/>
                <w:sz w:val="20"/>
                <w:szCs w:val="20"/>
                <w:lang w:val="en-GB" w:bidi="en-GB"/>
              </w:rPr>
              <w:t>1. Guidelines</w:t>
            </w:r>
          </w:p>
          <w:p w:rsidR="008978FB" w:rsidRPr="00D72AC3" w:rsidRDefault="008978FB" w:rsidP="008978FB">
            <w:pPr>
              <w:jc w:val="center"/>
              <w:rPr>
                <w:rFonts w:cs="Times New Roman"/>
                <w:sz w:val="20"/>
                <w:szCs w:val="20"/>
                <w:lang w:val="en-GB"/>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78FB" w:rsidRPr="00D72AC3" w:rsidRDefault="008978FB" w:rsidP="008978FB">
            <w:pPr>
              <w:jc w:val="center"/>
              <w:rPr>
                <w:rFonts w:cs="Times New Roman"/>
                <w:bCs/>
                <w:sz w:val="20"/>
                <w:szCs w:val="20"/>
                <w:lang w:val="en-GB"/>
              </w:rPr>
            </w:pPr>
            <w:r w:rsidRPr="00D72AC3">
              <w:rPr>
                <w:rFonts w:cs="Times New Roman"/>
                <w:sz w:val="20"/>
                <w:szCs w:val="20"/>
                <w:lang w:val="en-GB" w:bidi="en-GB"/>
              </w:rPr>
              <w:t>CS</w:t>
            </w:r>
          </w:p>
        </w:tc>
        <w:tc>
          <w:tcPr>
            <w:tcW w:w="1202" w:type="dxa"/>
            <w:tcBorders>
              <w:top w:val="single" w:sz="4" w:space="0" w:color="auto"/>
              <w:left w:val="single" w:sz="4" w:space="0" w:color="auto"/>
              <w:bottom w:val="single" w:sz="4" w:space="0" w:color="auto"/>
              <w:right w:val="single" w:sz="4" w:space="0" w:color="auto"/>
            </w:tcBorders>
          </w:tcPr>
          <w:p w:rsidR="008978FB" w:rsidRPr="00D72AC3" w:rsidRDefault="00017934" w:rsidP="002D63BE">
            <w:pPr>
              <w:jc w:val="center"/>
              <w:rPr>
                <w:sz w:val="16"/>
                <w:szCs w:val="16"/>
                <w:lang w:val="en-GB"/>
              </w:rPr>
            </w:pPr>
            <w:r w:rsidRPr="00D72AC3">
              <w:rPr>
                <w:sz w:val="16"/>
                <w:szCs w:val="16"/>
                <w:lang w:val="en-GB" w:bidi="en-GB"/>
              </w:rPr>
              <w:t>SP, TCPB, CPCB, GPO</w:t>
            </w:r>
          </w:p>
        </w:tc>
        <w:tc>
          <w:tcPr>
            <w:tcW w:w="1390" w:type="dxa"/>
            <w:tcBorders>
              <w:top w:val="single" w:sz="4" w:space="0" w:color="auto"/>
              <w:left w:val="single" w:sz="4" w:space="0" w:color="auto"/>
              <w:bottom w:val="single" w:sz="4" w:space="0" w:color="auto"/>
              <w:right w:val="single" w:sz="4" w:space="0" w:color="auto"/>
            </w:tcBorders>
            <w:hideMark/>
          </w:tcPr>
          <w:p w:rsidR="008978FB" w:rsidRPr="00D72AC3" w:rsidRDefault="008978FB" w:rsidP="002D63BE">
            <w:pPr>
              <w:jc w:val="center"/>
              <w:rPr>
                <w:rFonts w:cs="Times New Roman"/>
                <w:bCs/>
                <w:sz w:val="20"/>
                <w:szCs w:val="20"/>
                <w:lang w:val="en-GB"/>
              </w:rPr>
            </w:pPr>
            <w:r w:rsidRPr="00D72AC3">
              <w:rPr>
                <w:rFonts w:cs="Times New Roman"/>
                <w:sz w:val="20"/>
                <w:szCs w:val="20"/>
                <w:lang w:val="en-GB" w:bidi="en-GB"/>
              </w:rPr>
              <w:t>15 November 2018</w:t>
            </w:r>
          </w:p>
          <w:p w:rsidR="008978FB" w:rsidRPr="00D72AC3" w:rsidRDefault="008978FB" w:rsidP="002D63BE">
            <w:pPr>
              <w:jc w:val="center"/>
              <w:rPr>
                <w:rFonts w:cs="Times New Roman"/>
                <w:bCs/>
                <w:sz w:val="20"/>
                <w:szCs w:val="20"/>
                <w:lang w:val="en-GB"/>
              </w:rPr>
            </w:pPr>
          </w:p>
        </w:tc>
      </w:tr>
      <w:tr w:rsidR="008978FB" w:rsidRPr="00D72AC3" w:rsidTr="000D4C76">
        <w:tc>
          <w:tcPr>
            <w:tcW w:w="673" w:type="dxa"/>
            <w:vMerge/>
            <w:tcBorders>
              <w:left w:val="single" w:sz="4" w:space="0" w:color="auto"/>
              <w:bottom w:val="single" w:sz="4" w:space="0" w:color="auto"/>
              <w:right w:val="single" w:sz="4" w:space="0" w:color="auto"/>
            </w:tcBorders>
          </w:tcPr>
          <w:p w:rsidR="008978FB" w:rsidRPr="00D72AC3" w:rsidRDefault="008978FB" w:rsidP="00710E51">
            <w:pPr>
              <w:jc w:val="center"/>
              <w:rPr>
                <w:rFonts w:cs="Times New Roman"/>
                <w:bCs/>
                <w:sz w:val="20"/>
                <w:szCs w:val="20"/>
                <w:lang w:val="en-GB"/>
              </w:rPr>
            </w:pPr>
          </w:p>
        </w:tc>
        <w:tc>
          <w:tcPr>
            <w:tcW w:w="3686" w:type="dxa"/>
            <w:vMerge/>
            <w:tcBorders>
              <w:left w:val="single" w:sz="4" w:space="0" w:color="auto"/>
              <w:bottom w:val="single" w:sz="4" w:space="0" w:color="auto"/>
              <w:right w:val="single" w:sz="4" w:space="0" w:color="auto"/>
            </w:tcBorders>
            <w:shd w:val="clear" w:color="auto" w:fill="auto"/>
          </w:tcPr>
          <w:p w:rsidR="008978FB" w:rsidRPr="00D72AC3" w:rsidRDefault="008978FB" w:rsidP="00710E51">
            <w:pPr>
              <w:spacing w:after="160" w:line="256" w:lineRule="auto"/>
              <w:ind w:right="34"/>
              <w:jc w:val="both"/>
              <w:rPr>
                <w:rFonts w:cs="Times New Roman"/>
                <w:bCs/>
                <w:sz w:val="20"/>
                <w:szCs w:val="20"/>
                <w:lang w:val="en-GB"/>
              </w:rPr>
            </w:pPr>
          </w:p>
        </w:tc>
        <w:tc>
          <w:tcPr>
            <w:tcW w:w="1590" w:type="dxa"/>
            <w:vMerge/>
            <w:tcBorders>
              <w:left w:val="single" w:sz="4" w:space="0" w:color="auto"/>
              <w:bottom w:val="single" w:sz="4" w:space="0" w:color="auto"/>
              <w:right w:val="single" w:sz="4" w:space="0" w:color="auto"/>
            </w:tcBorders>
            <w:shd w:val="clear" w:color="auto" w:fill="auto"/>
          </w:tcPr>
          <w:p w:rsidR="008978FB" w:rsidRPr="00D72AC3" w:rsidRDefault="008978FB"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8978FB" w:rsidRPr="00D72AC3" w:rsidRDefault="008978FB" w:rsidP="0025344E">
            <w:pPr>
              <w:jc w:val="both"/>
              <w:rPr>
                <w:rFonts w:cs="Times New Roman"/>
                <w:sz w:val="20"/>
                <w:szCs w:val="20"/>
                <w:lang w:val="en-GB"/>
              </w:rPr>
            </w:pPr>
            <w:r w:rsidRPr="00D72AC3">
              <w:rPr>
                <w:rFonts w:cs="Times New Roman"/>
                <w:sz w:val="20"/>
                <w:szCs w:val="20"/>
                <w:lang w:val="en-GB" w:bidi="en-GB"/>
              </w:rPr>
              <w:t>2.</w:t>
            </w:r>
            <w:r w:rsidRPr="00D72AC3">
              <w:rPr>
                <w:lang w:val="en-GB" w:bidi="en-GB"/>
              </w:rPr>
              <w:t xml:space="preserve"> </w:t>
            </w:r>
            <w:r w:rsidRPr="00D72AC3">
              <w:rPr>
                <w:rFonts w:cs="Times New Roman"/>
                <w:sz w:val="20"/>
                <w:szCs w:val="20"/>
                <w:lang w:val="en-GB" w:bidi="en-GB"/>
              </w:rPr>
              <w:t xml:space="preserve">Abilities and skills enhanced in investigating complex and voluminous ML cases </w:t>
            </w:r>
          </w:p>
          <w:p w:rsidR="008978FB" w:rsidRPr="00D72AC3" w:rsidRDefault="008978FB" w:rsidP="0025344E">
            <w:pPr>
              <w:jc w:val="both"/>
              <w:rPr>
                <w:rFonts w:cs="Times New Roman"/>
                <w:sz w:val="20"/>
                <w:szCs w:val="20"/>
                <w:lang w:val="en-GB"/>
              </w:rPr>
            </w:pP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8978FB" w:rsidRPr="00D72AC3" w:rsidRDefault="00AD1137" w:rsidP="0025344E">
            <w:pPr>
              <w:jc w:val="both"/>
              <w:rPr>
                <w:rFonts w:cs="Times New Roman"/>
                <w:sz w:val="20"/>
                <w:szCs w:val="20"/>
                <w:lang w:val="en-GB"/>
              </w:rPr>
            </w:pPr>
            <w:r w:rsidRPr="00D72AC3">
              <w:rPr>
                <w:rFonts w:cs="Times New Roman"/>
                <w:sz w:val="20"/>
                <w:szCs w:val="20"/>
                <w:lang w:val="en-GB" w:bidi="en-GB"/>
              </w:rPr>
              <w:t>2. At least 10 criminal proceedings commences regarding complex, voluminous ML over the period of one year</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78FB" w:rsidRPr="00D72AC3" w:rsidRDefault="008978FB" w:rsidP="002D63BE">
            <w:pPr>
              <w:jc w:val="center"/>
              <w:rPr>
                <w:rFonts w:cs="Times New Roman"/>
                <w:bCs/>
                <w:sz w:val="20"/>
                <w:szCs w:val="20"/>
                <w:lang w:val="en-GB"/>
              </w:rPr>
            </w:pPr>
            <w:r w:rsidRPr="00D72AC3">
              <w:rPr>
                <w:rFonts w:cs="Times New Roman"/>
                <w:sz w:val="20"/>
                <w:szCs w:val="20"/>
                <w:lang w:val="en-GB" w:bidi="en-GB"/>
              </w:rPr>
              <w:t>SP, TCPB, CPCB, GPO</w:t>
            </w:r>
          </w:p>
        </w:tc>
        <w:tc>
          <w:tcPr>
            <w:tcW w:w="1202" w:type="dxa"/>
            <w:tcBorders>
              <w:top w:val="single" w:sz="4" w:space="0" w:color="auto"/>
              <w:left w:val="single" w:sz="4" w:space="0" w:color="auto"/>
              <w:bottom w:val="single" w:sz="4" w:space="0" w:color="auto"/>
              <w:right w:val="single" w:sz="4" w:space="0" w:color="auto"/>
            </w:tcBorders>
          </w:tcPr>
          <w:p w:rsidR="008978FB" w:rsidRPr="00D72AC3" w:rsidRDefault="008978FB" w:rsidP="002D63BE">
            <w:pPr>
              <w:jc w:val="center"/>
              <w:rPr>
                <w:rFonts w:cs="Times New Roman"/>
                <w:bCs/>
                <w:sz w:val="20"/>
                <w:szCs w:val="20"/>
                <w:lang w:val="en-GB"/>
              </w:rPr>
            </w:pPr>
          </w:p>
        </w:tc>
        <w:tc>
          <w:tcPr>
            <w:tcW w:w="1390" w:type="dxa"/>
            <w:tcBorders>
              <w:top w:val="single" w:sz="4" w:space="0" w:color="auto"/>
              <w:left w:val="single" w:sz="4" w:space="0" w:color="auto"/>
              <w:bottom w:val="single" w:sz="4" w:space="0" w:color="auto"/>
              <w:right w:val="single" w:sz="4" w:space="0" w:color="auto"/>
            </w:tcBorders>
          </w:tcPr>
          <w:p w:rsidR="008978FB" w:rsidRPr="00D72AC3" w:rsidRDefault="008978FB" w:rsidP="00246A4B">
            <w:pPr>
              <w:jc w:val="center"/>
              <w:rPr>
                <w:rFonts w:cs="Times New Roman"/>
                <w:sz w:val="20"/>
                <w:szCs w:val="20"/>
                <w:lang w:val="en-GB"/>
              </w:rPr>
            </w:pPr>
            <w:r w:rsidRPr="00D72AC3">
              <w:rPr>
                <w:rFonts w:cs="Times New Roman"/>
                <w:sz w:val="20"/>
                <w:szCs w:val="20"/>
                <w:lang w:val="en-GB" w:bidi="en-GB"/>
              </w:rPr>
              <w:t>28 December 2019</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481AD0" w:rsidP="008978FB">
            <w:pPr>
              <w:jc w:val="center"/>
              <w:rPr>
                <w:rFonts w:cs="Times New Roman"/>
                <w:bCs/>
                <w:sz w:val="20"/>
                <w:szCs w:val="20"/>
                <w:lang w:val="en-GB"/>
              </w:rPr>
            </w:pPr>
            <w:r w:rsidRPr="00D72AC3">
              <w:rPr>
                <w:rFonts w:cs="Times New Roman"/>
                <w:sz w:val="20"/>
                <w:szCs w:val="20"/>
                <w:lang w:val="en-GB" w:bidi="en-GB"/>
              </w:rPr>
              <w:t>7.9.</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spacing w:after="160" w:line="256" w:lineRule="auto"/>
              <w:ind w:right="34"/>
              <w:jc w:val="both"/>
              <w:rPr>
                <w:rFonts w:cs="Times New Roman"/>
                <w:sz w:val="20"/>
                <w:szCs w:val="20"/>
                <w:lang w:val="en-GB"/>
              </w:rPr>
            </w:pPr>
            <w:r w:rsidRPr="00D72AC3">
              <w:rPr>
                <w:rFonts w:cs="Times New Roman"/>
                <w:sz w:val="20"/>
                <w:szCs w:val="20"/>
                <w:lang w:val="en-GB" w:bidi="en-GB"/>
              </w:rPr>
              <w:t>To prepare analytical summary about the new practice of application of the norms of law (AML), including the analysis of the practice of application of the new norms of law, conclusions and recommendations for improving the effectiveness of prosecution in ML cases, as well as including the analysis on the motivation and ability of prosecutors to test in practice the recently introduced norms of law.</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7.3.</w:t>
            </w:r>
          </w:p>
          <w:p w:rsidR="00914F28" w:rsidRPr="00D72AC3" w:rsidRDefault="00914F28" w:rsidP="00710E51">
            <w:pPr>
              <w:ind w:right="-108"/>
              <w:rPr>
                <w:rFonts w:cs="Times New Roman"/>
                <w:i/>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Raising the effectiveness in the application of new norms of law</w:t>
            </w:r>
          </w:p>
          <w:p w:rsidR="00914F28" w:rsidRPr="00D72AC3" w:rsidRDefault="00914F28" w:rsidP="00710E51">
            <w:pPr>
              <w:rPr>
                <w:rFonts w:cs="Times New Roman"/>
                <w:sz w:val="20"/>
                <w:szCs w:val="20"/>
                <w:lang w:val="en-GB"/>
              </w:rPr>
            </w:pP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 xml:space="preserve">Analytical summary prepared </w:t>
            </w:r>
          </w:p>
          <w:p w:rsidR="00914F28" w:rsidRPr="00D72AC3" w:rsidRDefault="00914F28" w:rsidP="00710E51">
            <w:pPr>
              <w:rPr>
                <w:rFonts w:cs="Times New Roman"/>
                <w:sz w:val="20"/>
                <w:szCs w:val="20"/>
                <w:lang w:val="en-GB"/>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GPO</w:t>
            </w:r>
          </w:p>
        </w:tc>
        <w:tc>
          <w:tcPr>
            <w:tcW w:w="1202"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p>
        </w:tc>
        <w:tc>
          <w:tcPr>
            <w:tcW w:w="1390" w:type="dxa"/>
            <w:tcBorders>
              <w:top w:val="single" w:sz="4" w:space="0" w:color="auto"/>
              <w:left w:val="single" w:sz="4" w:space="0" w:color="auto"/>
              <w:bottom w:val="single" w:sz="4" w:space="0" w:color="auto"/>
              <w:right w:val="single" w:sz="4" w:space="0" w:color="auto"/>
            </w:tcBorders>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31 July 2019</w:t>
            </w:r>
          </w:p>
          <w:p w:rsidR="00914F28" w:rsidRPr="00D72AC3" w:rsidRDefault="00914F28" w:rsidP="002D63BE">
            <w:pPr>
              <w:jc w:val="center"/>
              <w:rPr>
                <w:rFonts w:cs="Times New Roman"/>
                <w:bCs/>
                <w:sz w:val="20"/>
                <w:szCs w:val="20"/>
                <w:lang w:val="en-GB"/>
              </w:rPr>
            </w:pP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914F28" w:rsidP="008978FB">
            <w:pPr>
              <w:jc w:val="center"/>
              <w:rPr>
                <w:rFonts w:cs="Times New Roman"/>
                <w:bCs/>
                <w:sz w:val="20"/>
                <w:szCs w:val="20"/>
                <w:lang w:val="en-GB"/>
              </w:rPr>
            </w:pPr>
            <w:r w:rsidRPr="00D72AC3">
              <w:rPr>
                <w:rFonts w:cs="Times New Roman"/>
                <w:sz w:val="20"/>
                <w:szCs w:val="20"/>
                <w:lang w:val="en-GB" w:bidi="en-GB"/>
              </w:rPr>
              <w:lastRenderedPageBreak/>
              <w:t>7.10.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jc w:val="both"/>
              <w:rPr>
                <w:rFonts w:cs="Times New Roman"/>
                <w:sz w:val="20"/>
                <w:szCs w:val="20"/>
                <w:lang w:val="en-GB"/>
              </w:rPr>
            </w:pPr>
            <w:r w:rsidRPr="00D72AC3">
              <w:rPr>
                <w:rFonts w:cs="Times New Roman"/>
                <w:sz w:val="20"/>
                <w:szCs w:val="20"/>
                <w:lang w:val="en-GB" w:bidi="en-GB"/>
              </w:rPr>
              <w:t>To prepare the case law summary (analysis of the existing practice, expression of conclusions and recommendations for the purposes of promoting the application of uniform norms in the ML field)</w:t>
            </w:r>
          </w:p>
          <w:p w:rsidR="00914F28" w:rsidRPr="00D72AC3" w:rsidRDefault="00914F28" w:rsidP="00710E51">
            <w:pPr>
              <w:jc w:val="both"/>
              <w:rPr>
                <w:rFonts w:cs="Times New Roman"/>
                <w:bCs/>
                <w:sz w:val="20"/>
                <w:szCs w:val="20"/>
                <w:lang w:val="en-G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7.3.</w:t>
            </w:r>
          </w:p>
          <w:p w:rsidR="00914F28" w:rsidRPr="00D72AC3" w:rsidRDefault="00914F28" w:rsidP="00710E51">
            <w:pPr>
              <w:ind w:right="-108"/>
              <w:rPr>
                <w:rFonts w:cs="Times New Roman"/>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rPr>
                <w:rFonts w:cs="Times New Roman"/>
                <w:sz w:val="20"/>
                <w:szCs w:val="20"/>
                <w:lang w:val="en-GB"/>
              </w:rPr>
            </w:pPr>
            <w:r w:rsidRPr="00D72AC3">
              <w:rPr>
                <w:rFonts w:cs="Times New Roman"/>
                <w:sz w:val="20"/>
                <w:szCs w:val="20"/>
                <w:lang w:val="en-GB" w:bidi="en-GB"/>
              </w:rPr>
              <w:t xml:space="preserve">Single understanding of the ML investigation, proof.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Case law summary prepared</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MoJ, in cooperation with the Supreme Court</w:t>
            </w:r>
          </w:p>
        </w:tc>
        <w:tc>
          <w:tcPr>
            <w:tcW w:w="1202"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bCs/>
                <w:sz w:val="20"/>
                <w:szCs w:val="20"/>
                <w:lang w:val="en-GB"/>
              </w:rPr>
            </w:pPr>
            <w:r w:rsidRPr="00D72AC3">
              <w:rPr>
                <w:rFonts w:cs="Times New Roman"/>
                <w:sz w:val="20"/>
                <w:szCs w:val="20"/>
                <w:lang w:val="en-GB" w:bidi="en-GB"/>
              </w:rPr>
              <w:t>CA</w:t>
            </w: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46A4B">
            <w:pPr>
              <w:jc w:val="center"/>
              <w:rPr>
                <w:rFonts w:cs="Times New Roman"/>
                <w:bCs/>
                <w:sz w:val="20"/>
                <w:szCs w:val="20"/>
                <w:lang w:val="en-GB"/>
              </w:rPr>
            </w:pPr>
            <w:r w:rsidRPr="00D72AC3">
              <w:rPr>
                <w:rFonts w:cs="Times New Roman"/>
                <w:sz w:val="20"/>
                <w:szCs w:val="20"/>
                <w:lang w:val="en-GB" w:bidi="en-GB"/>
              </w:rPr>
              <w:t>28 December 2019</w:t>
            </w:r>
          </w:p>
        </w:tc>
      </w:tr>
      <w:tr w:rsidR="00914F28" w:rsidRPr="00D72AC3" w:rsidTr="002D63BE">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14F28" w:rsidRPr="00D72AC3" w:rsidRDefault="00914F28" w:rsidP="00F31326">
            <w:pPr>
              <w:jc w:val="center"/>
              <w:rPr>
                <w:rFonts w:cs="Times New Roman"/>
                <w:bCs/>
                <w:sz w:val="20"/>
                <w:szCs w:val="20"/>
                <w:lang w:val="en-GB"/>
              </w:rPr>
            </w:pPr>
            <w:r w:rsidRPr="00D72AC3">
              <w:rPr>
                <w:rFonts w:cs="Times New Roman"/>
                <w:sz w:val="20"/>
                <w:szCs w:val="20"/>
                <w:lang w:val="en-GB" w:bidi="en-GB"/>
              </w:rPr>
              <w:t>7.11.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spacing w:after="160" w:line="256" w:lineRule="auto"/>
              <w:ind w:right="34"/>
              <w:jc w:val="both"/>
              <w:rPr>
                <w:rFonts w:cs="Times New Roman"/>
                <w:sz w:val="20"/>
                <w:szCs w:val="20"/>
                <w:lang w:val="en-GB"/>
              </w:rPr>
            </w:pPr>
            <w:r w:rsidRPr="00D72AC3">
              <w:rPr>
                <w:rFonts w:cs="Times New Roman"/>
                <w:sz w:val="20"/>
                <w:szCs w:val="20"/>
                <w:lang w:val="en-GB" w:bidi="en-GB"/>
              </w:rPr>
              <w:t>Strengthening the control over the conduct of the prosecutors with respect to expressing the opinion (protest) on the type and scope of penalty to be determined in ML criminal cases.</w:t>
            </w:r>
          </w:p>
          <w:p w:rsidR="00914F28" w:rsidRPr="00D72AC3" w:rsidRDefault="00914F28" w:rsidP="00710E51">
            <w:pPr>
              <w:spacing w:after="160" w:line="256" w:lineRule="auto"/>
              <w:ind w:right="34"/>
              <w:jc w:val="both"/>
              <w:rPr>
                <w:rFonts w:cs="Times New Roman"/>
                <w:sz w:val="20"/>
                <w:szCs w:val="20"/>
                <w:lang w:val="en-GB"/>
              </w:rPr>
            </w:pPr>
          </w:p>
          <w:p w:rsidR="00914F28" w:rsidRPr="00D72AC3" w:rsidRDefault="00914F28" w:rsidP="00710E51">
            <w:pPr>
              <w:spacing w:after="160" w:line="256" w:lineRule="auto"/>
              <w:ind w:right="34"/>
              <w:jc w:val="both"/>
              <w:rPr>
                <w:rFonts w:cs="Times New Roman"/>
                <w:sz w:val="20"/>
                <w:szCs w:val="20"/>
                <w:lang w:val="en-G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7.4.</w:t>
            </w:r>
          </w:p>
          <w:p w:rsidR="00914F28" w:rsidRPr="00D72AC3" w:rsidRDefault="00914F28" w:rsidP="00710E51">
            <w:pPr>
              <w:ind w:right="-108"/>
              <w:rPr>
                <w:rFonts w:cs="Times New Roman"/>
                <w:i/>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 xml:space="preserve">Adequate and consistent response of the State (penal policy) in ML cases ensured </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The outlook carried out, on a semi-annual basis, regarding the results of the prosecutors’ protests and discussed in the Advisory Board of the Control Service</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sz w:val="20"/>
                <w:szCs w:val="20"/>
                <w:lang w:val="en-GB"/>
              </w:rPr>
            </w:pPr>
            <w:r w:rsidRPr="00D72AC3">
              <w:rPr>
                <w:rFonts w:cs="Times New Roman"/>
                <w:sz w:val="20"/>
                <w:szCs w:val="20"/>
                <w:lang w:val="en-GB" w:bidi="en-GB"/>
              </w:rPr>
              <w:t>GPO</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tcPr>
          <w:p w:rsidR="00914F28" w:rsidRPr="00D72AC3" w:rsidRDefault="00914F28" w:rsidP="002D63BE">
            <w:pPr>
              <w:jc w:val="center"/>
              <w:rPr>
                <w:rFonts w:cs="Times New Roman"/>
                <w:sz w:val="20"/>
                <w:szCs w:val="20"/>
                <w:lang w:val="en-GB"/>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14F28" w:rsidRPr="00D72AC3" w:rsidRDefault="00914F28" w:rsidP="002D63BE">
            <w:pPr>
              <w:jc w:val="center"/>
              <w:rPr>
                <w:rFonts w:cs="Times New Roman"/>
                <w:sz w:val="20"/>
                <w:szCs w:val="20"/>
                <w:lang w:val="en-GB"/>
              </w:rPr>
            </w:pPr>
            <w:r w:rsidRPr="00D72AC3">
              <w:rPr>
                <w:rFonts w:cs="Times New Roman"/>
                <w:sz w:val="20"/>
                <w:szCs w:val="20"/>
                <w:lang w:val="en-GB" w:bidi="en-GB"/>
              </w:rPr>
              <w:t>Constantly</w:t>
            </w:r>
          </w:p>
          <w:p w:rsidR="00914F28" w:rsidRPr="00D72AC3" w:rsidRDefault="00914F28" w:rsidP="002D63BE">
            <w:pPr>
              <w:jc w:val="center"/>
              <w:rPr>
                <w:rFonts w:cs="Times New Roman"/>
                <w:i/>
                <w:sz w:val="20"/>
                <w:szCs w:val="20"/>
                <w:lang w:val="en-GB"/>
              </w:rPr>
            </w:pPr>
          </w:p>
          <w:p w:rsidR="00914F28" w:rsidRPr="00D72AC3" w:rsidRDefault="00914F28" w:rsidP="002D63BE">
            <w:pPr>
              <w:jc w:val="center"/>
              <w:rPr>
                <w:rFonts w:cs="Times New Roman"/>
                <w:sz w:val="20"/>
                <w:szCs w:val="20"/>
                <w:lang w:val="en-GB"/>
              </w:rPr>
            </w:pPr>
          </w:p>
        </w:tc>
      </w:tr>
      <w:tr w:rsidR="00914F28" w:rsidRPr="00D72AC3" w:rsidTr="0025344E">
        <w:trPr>
          <w:trHeight w:val="1164"/>
        </w:trPr>
        <w:tc>
          <w:tcPr>
            <w:tcW w:w="673" w:type="dxa"/>
            <w:tcBorders>
              <w:top w:val="single" w:sz="4" w:space="0" w:color="auto"/>
              <w:left w:val="single" w:sz="4" w:space="0" w:color="auto"/>
              <w:bottom w:val="single" w:sz="4" w:space="0" w:color="auto"/>
              <w:right w:val="single" w:sz="4" w:space="0" w:color="auto"/>
            </w:tcBorders>
            <w:hideMark/>
          </w:tcPr>
          <w:p w:rsidR="00914F28" w:rsidRPr="00D72AC3" w:rsidRDefault="00914F28" w:rsidP="00F31326">
            <w:pPr>
              <w:jc w:val="center"/>
              <w:rPr>
                <w:rFonts w:cs="Times New Roman"/>
                <w:bCs/>
                <w:sz w:val="20"/>
                <w:szCs w:val="20"/>
                <w:lang w:val="en-GB"/>
              </w:rPr>
            </w:pPr>
            <w:r w:rsidRPr="00D72AC3">
              <w:rPr>
                <w:rFonts w:cs="Times New Roman"/>
                <w:sz w:val="20"/>
                <w:szCs w:val="20"/>
                <w:lang w:val="en-GB" w:bidi="en-GB"/>
              </w:rPr>
              <w:t>7.12.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710E51">
            <w:pPr>
              <w:spacing w:after="160" w:line="256" w:lineRule="auto"/>
              <w:ind w:right="34"/>
              <w:jc w:val="both"/>
              <w:rPr>
                <w:rFonts w:cs="Times New Roman"/>
                <w:sz w:val="20"/>
                <w:szCs w:val="20"/>
                <w:lang w:val="en-GB"/>
              </w:rPr>
            </w:pPr>
            <w:r w:rsidRPr="00D72AC3">
              <w:rPr>
                <w:rFonts w:cs="Times New Roman"/>
                <w:sz w:val="20"/>
                <w:szCs w:val="20"/>
                <w:lang w:val="en-GB" w:bidi="en-GB"/>
              </w:rPr>
              <w:t>The aggregation from the Court Administration System is prepared on the criminal penalties adjudged for ML/FT</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14F28" w:rsidRPr="00D72AC3" w:rsidRDefault="00914F28" w:rsidP="00710E51">
            <w:pPr>
              <w:jc w:val="both"/>
              <w:rPr>
                <w:sz w:val="20"/>
                <w:szCs w:val="20"/>
                <w:lang w:val="en-GB"/>
              </w:rPr>
            </w:pPr>
            <w:r w:rsidRPr="00D72AC3">
              <w:rPr>
                <w:sz w:val="20"/>
                <w:szCs w:val="20"/>
                <w:lang w:val="en-GB" w:bidi="en-GB"/>
              </w:rPr>
              <w:t>Plan of Measures for 2017-2019 Measure 3.4.</w:t>
            </w:r>
          </w:p>
          <w:p w:rsidR="00914F28" w:rsidRPr="00D72AC3" w:rsidRDefault="00914F28" w:rsidP="00710E51">
            <w:pPr>
              <w:ind w:right="-108"/>
              <w:rPr>
                <w:rFonts w:cs="Times New Roman"/>
                <w:i/>
                <w:sz w:val="20"/>
                <w:szCs w:val="20"/>
                <w:lang w:val="en-GB"/>
              </w:rPr>
            </w:pPr>
          </w:p>
          <w:p w:rsidR="00914F28" w:rsidRPr="00D72AC3" w:rsidRDefault="00914F28" w:rsidP="00710E51">
            <w:pPr>
              <w:ind w:right="-108"/>
              <w:rPr>
                <w:rFonts w:cs="Times New Roman"/>
                <w:sz w:val="20"/>
                <w:szCs w:val="20"/>
                <w:lang w:val="en-GB"/>
              </w:rPr>
            </w:pPr>
            <w:r w:rsidRPr="00D72AC3">
              <w:rPr>
                <w:rFonts w:cs="Times New Roman"/>
                <w:sz w:val="20"/>
                <w:szCs w:val="20"/>
                <w:lang w:val="en-GB" w:bidi="en-GB"/>
              </w:rPr>
              <w:t>Moneyval recommendation 7.4.</w:t>
            </w:r>
          </w:p>
          <w:p w:rsidR="00914F28" w:rsidRPr="00D72AC3" w:rsidRDefault="00914F28" w:rsidP="00710E51">
            <w:pPr>
              <w:ind w:right="-108"/>
              <w:rPr>
                <w:rFonts w:cs="Times New Roman"/>
                <w:i/>
                <w:sz w:val="20"/>
                <w:szCs w:val="20"/>
                <w:lang w:val="en-GB"/>
              </w:rPr>
            </w:pP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Statistical data are prepared and submitted regarding the ML/FT, available in the Court Administration System, thus showing what kind of criminal penalties are adjudged in practice.</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5344E">
            <w:pPr>
              <w:jc w:val="both"/>
              <w:rPr>
                <w:rFonts w:cs="Times New Roman"/>
                <w:sz w:val="20"/>
                <w:szCs w:val="20"/>
                <w:lang w:val="en-GB"/>
              </w:rPr>
            </w:pPr>
            <w:r w:rsidRPr="00D72AC3">
              <w:rPr>
                <w:rFonts w:cs="Times New Roman"/>
                <w:sz w:val="20"/>
                <w:szCs w:val="20"/>
                <w:lang w:val="en-GB" w:bidi="en-GB"/>
              </w:rPr>
              <w:t xml:space="preserve">Information regarding the practice of imposition of criminal penalties prepared and reviewed in the Advisory Board of the Control Service on an annual basis </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914F28" w:rsidRPr="00D72AC3" w:rsidRDefault="00914F28" w:rsidP="002D63BE">
            <w:pPr>
              <w:jc w:val="center"/>
              <w:rPr>
                <w:rFonts w:cs="Times New Roman"/>
                <w:sz w:val="20"/>
                <w:szCs w:val="20"/>
                <w:lang w:val="en-GB"/>
              </w:rPr>
            </w:pPr>
            <w:r w:rsidRPr="00D72AC3">
              <w:rPr>
                <w:rFonts w:cs="Times New Roman"/>
                <w:sz w:val="20"/>
                <w:szCs w:val="20"/>
                <w:lang w:val="en-GB" w:bidi="en-GB"/>
              </w:rPr>
              <w:t>MoJ (CA)</w:t>
            </w:r>
          </w:p>
        </w:tc>
        <w:tc>
          <w:tcPr>
            <w:tcW w:w="1202"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sz w:val="20"/>
                <w:szCs w:val="20"/>
                <w:lang w:val="en-GB"/>
              </w:rPr>
            </w:pPr>
            <w:r w:rsidRPr="00D72AC3">
              <w:rPr>
                <w:rFonts w:cs="Times New Roman"/>
                <w:sz w:val="20"/>
                <w:szCs w:val="20"/>
                <w:lang w:val="en-GB" w:bidi="en-GB"/>
              </w:rPr>
              <w:t>Authorities in the composition of the CSAB</w:t>
            </w:r>
          </w:p>
        </w:tc>
        <w:tc>
          <w:tcPr>
            <w:tcW w:w="1390" w:type="dxa"/>
            <w:tcBorders>
              <w:top w:val="single" w:sz="4" w:space="0" w:color="auto"/>
              <w:left w:val="single" w:sz="4" w:space="0" w:color="auto"/>
              <w:bottom w:val="single" w:sz="4" w:space="0" w:color="auto"/>
              <w:right w:val="single" w:sz="4" w:space="0" w:color="auto"/>
            </w:tcBorders>
            <w:hideMark/>
          </w:tcPr>
          <w:p w:rsidR="00914F28" w:rsidRPr="00D72AC3" w:rsidRDefault="00914F28" w:rsidP="002D63BE">
            <w:pPr>
              <w:jc w:val="center"/>
              <w:rPr>
                <w:rFonts w:cs="Times New Roman"/>
                <w:sz w:val="20"/>
                <w:szCs w:val="20"/>
                <w:lang w:val="en-GB"/>
              </w:rPr>
            </w:pPr>
            <w:r w:rsidRPr="00D72AC3">
              <w:rPr>
                <w:rFonts w:cs="Times New Roman"/>
                <w:sz w:val="20"/>
                <w:szCs w:val="20"/>
                <w:lang w:val="en-GB" w:bidi="en-GB"/>
              </w:rPr>
              <w:t>Constantly</w:t>
            </w:r>
          </w:p>
        </w:tc>
      </w:tr>
      <w:tr w:rsidR="004F6B83" w:rsidRPr="00D72AC3" w:rsidTr="000215A6">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B83" w:rsidRPr="00D72AC3" w:rsidRDefault="00341282" w:rsidP="000215A6">
            <w:pPr>
              <w:jc w:val="center"/>
              <w:rPr>
                <w:rFonts w:cs="Times New Roman"/>
                <w:bCs/>
                <w:sz w:val="20"/>
                <w:szCs w:val="20"/>
                <w:lang w:val="en-GB"/>
              </w:rPr>
            </w:pPr>
            <w:r w:rsidRPr="00D72AC3">
              <w:rPr>
                <w:rFonts w:cs="Times New Roman"/>
                <w:sz w:val="20"/>
                <w:szCs w:val="20"/>
                <w:lang w:val="en-GB" w:bidi="en-GB"/>
              </w:rPr>
              <w:t>7.13.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F6B83" w:rsidRPr="00D72AC3" w:rsidRDefault="004F6B83" w:rsidP="000215A6">
            <w:pPr>
              <w:spacing w:after="160" w:line="256" w:lineRule="auto"/>
              <w:ind w:right="34"/>
              <w:jc w:val="both"/>
              <w:rPr>
                <w:rFonts w:cs="Times New Roman"/>
                <w:sz w:val="20"/>
                <w:szCs w:val="20"/>
                <w:lang w:val="en-GB"/>
              </w:rPr>
            </w:pPr>
            <w:r w:rsidRPr="00D72AC3">
              <w:rPr>
                <w:rFonts w:cs="Times New Roman"/>
                <w:sz w:val="20"/>
                <w:szCs w:val="20"/>
                <w:lang w:val="en-GB" w:bidi="en-GB"/>
              </w:rPr>
              <w:t>To review the number of employees and resources of the Economic Crime Enforcement Department of the Main Criminal Police Department of the State Police , in order to ensure that they are able to adequately accumulate the expected increase in information to be verified and criminal proceedings as a result of the relevant activities of the action plan.</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4F6B83" w:rsidRPr="00D72AC3" w:rsidRDefault="004F6B83" w:rsidP="000215A6">
            <w:pPr>
              <w:jc w:val="both"/>
              <w:rPr>
                <w:sz w:val="20"/>
                <w:szCs w:val="20"/>
                <w:lang w:val="en-GB"/>
              </w:rPr>
            </w:pPr>
            <w:r w:rsidRPr="00D72AC3">
              <w:rPr>
                <w:sz w:val="20"/>
                <w:szCs w:val="20"/>
                <w:lang w:val="en-GB" w:bidi="en-GB"/>
              </w:rPr>
              <w:t>Moneyval recommendation 7.1. and 7.2.</w:t>
            </w:r>
          </w:p>
        </w:tc>
        <w:tc>
          <w:tcPr>
            <w:tcW w:w="2507" w:type="dxa"/>
            <w:tcBorders>
              <w:top w:val="single" w:sz="4" w:space="0" w:color="auto"/>
              <w:left w:val="single" w:sz="4" w:space="0" w:color="auto"/>
              <w:bottom w:val="single" w:sz="4" w:space="0" w:color="auto"/>
              <w:right w:val="single" w:sz="4" w:space="0" w:color="auto"/>
            </w:tcBorders>
            <w:shd w:val="clear" w:color="auto" w:fill="auto"/>
            <w:hideMark/>
          </w:tcPr>
          <w:p w:rsidR="004F6B83" w:rsidRPr="00D72AC3" w:rsidRDefault="004F6B83" w:rsidP="00505985">
            <w:pPr>
              <w:jc w:val="both"/>
              <w:rPr>
                <w:rFonts w:cs="Times New Roman"/>
                <w:sz w:val="20"/>
                <w:szCs w:val="20"/>
                <w:lang w:val="en-GB"/>
              </w:rPr>
            </w:pPr>
            <w:r w:rsidRPr="00D72AC3">
              <w:rPr>
                <w:rFonts w:cs="Times New Roman"/>
                <w:sz w:val="20"/>
                <w:szCs w:val="20"/>
                <w:lang w:val="en-GB" w:bidi="en-GB"/>
              </w:rPr>
              <w:t>The capacity of the ML/FT criminal procedures investigation built</w:t>
            </w:r>
          </w:p>
        </w:tc>
        <w:tc>
          <w:tcPr>
            <w:tcW w:w="2639" w:type="dxa"/>
            <w:tcBorders>
              <w:top w:val="single" w:sz="4" w:space="0" w:color="auto"/>
              <w:left w:val="single" w:sz="4" w:space="0" w:color="auto"/>
              <w:bottom w:val="single" w:sz="4" w:space="0" w:color="auto"/>
              <w:right w:val="single" w:sz="4" w:space="0" w:color="auto"/>
            </w:tcBorders>
            <w:shd w:val="clear" w:color="auto" w:fill="auto"/>
            <w:hideMark/>
          </w:tcPr>
          <w:p w:rsidR="004F6B83" w:rsidRPr="00D72AC3" w:rsidRDefault="004F6B83" w:rsidP="00877487">
            <w:pPr>
              <w:jc w:val="both"/>
              <w:rPr>
                <w:rFonts w:cs="Times New Roman"/>
                <w:sz w:val="20"/>
                <w:szCs w:val="20"/>
                <w:lang w:val="en-GB"/>
              </w:rPr>
            </w:pPr>
            <w:r w:rsidRPr="00D72AC3">
              <w:rPr>
                <w:rFonts w:cs="Times New Roman"/>
                <w:sz w:val="20"/>
                <w:szCs w:val="20"/>
                <w:lang w:val="en-GB" w:bidi="en-GB"/>
              </w:rPr>
              <w:t>Funding granted for the financing of 5 (five) new job positions in the Economic Crime Enforcement Department of the Main Criminal Police Department of the State Police</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4F6B83" w:rsidRPr="00D72AC3" w:rsidRDefault="004F6B83" w:rsidP="000215A6">
            <w:pPr>
              <w:jc w:val="center"/>
              <w:rPr>
                <w:rFonts w:cs="Times New Roman"/>
                <w:sz w:val="20"/>
                <w:szCs w:val="20"/>
                <w:lang w:val="en-GB"/>
              </w:rPr>
            </w:pPr>
            <w:r w:rsidRPr="00D72AC3">
              <w:rPr>
                <w:rFonts w:cs="Times New Roman"/>
                <w:sz w:val="20"/>
                <w:szCs w:val="20"/>
                <w:lang w:val="en-GB" w:bidi="en-GB"/>
              </w:rPr>
              <w:t>MoI (SP)</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B83" w:rsidRPr="00D72AC3" w:rsidRDefault="004F6B83" w:rsidP="000215A6">
            <w:pPr>
              <w:jc w:val="center"/>
              <w:rPr>
                <w:rFonts w:cs="Times New Roman"/>
                <w:sz w:val="20"/>
                <w:szCs w:val="20"/>
                <w:lang w:val="en-GB"/>
              </w:rPr>
            </w:pPr>
            <w:r w:rsidRPr="00D72AC3">
              <w:rPr>
                <w:rFonts w:cs="Times New Roman"/>
                <w:sz w:val="20"/>
                <w:szCs w:val="20"/>
                <w:lang w:val="en-GB" w:bidi="en-GB"/>
              </w:rPr>
              <w:t>MoF</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B83" w:rsidRPr="00D72AC3" w:rsidRDefault="004F6B83" w:rsidP="000215A6">
            <w:pPr>
              <w:jc w:val="center"/>
              <w:rPr>
                <w:rFonts w:cs="Times New Roman"/>
                <w:sz w:val="20"/>
                <w:szCs w:val="20"/>
                <w:lang w:val="en-GB"/>
              </w:rPr>
            </w:pPr>
            <w:r w:rsidRPr="00D72AC3">
              <w:rPr>
                <w:rFonts w:cs="Times New Roman"/>
                <w:sz w:val="20"/>
                <w:szCs w:val="20"/>
                <w:lang w:val="en-GB" w:bidi="en-GB"/>
              </w:rPr>
              <w:t>Starting from 1 January 2019</w:t>
            </w:r>
          </w:p>
        </w:tc>
      </w:tr>
      <w:tr w:rsidR="00446D2C" w:rsidRPr="00D72AC3" w:rsidTr="007E25AD">
        <w:trPr>
          <w:trHeight w:val="803"/>
        </w:trPr>
        <w:tc>
          <w:tcPr>
            <w:tcW w:w="673" w:type="dxa"/>
            <w:vMerge w:val="restart"/>
            <w:tcBorders>
              <w:top w:val="single" w:sz="4" w:space="0" w:color="auto"/>
              <w:left w:val="single" w:sz="4" w:space="0" w:color="auto"/>
              <w:right w:val="single" w:sz="4" w:space="0" w:color="auto"/>
            </w:tcBorders>
            <w:shd w:val="clear" w:color="auto" w:fill="FFFFFF" w:themeFill="background1"/>
          </w:tcPr>
          <w:p w:rsidR="00446D2C" w:rsidRPr="00D72AC3" w:rsidRDefault="00446D2C" w:rsidP="000215A6">
            <w:pPr>
              <w:jc w:val="center"/>
              <w:rPr>
                <w:rFonts w:cs="Times New Roman"/>
                <w:bCs/>
                <w:sz w:val="20"/>
                <w:szCs w:val="20"/>
                <w:lang w:val="en-GB"/>
              </w:rPr>
            </w:pPr>
            <w:r w:rsidRPr="00D72AC3">
              <w:rPr>
                <w:rFonts w:cs="Times New Roman"/>
                <w:sz w:val="20"/>
                <w:szCs w:val="20"/>
                <w:lang w:val="en-GB" w:bidi="en-GB"/>
              </w:rPr>
              <w:t>7.14.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46D2C" w:rsidRPr="00884041" w:rsidRDefault="00446D2C" w:rsidP="00884041">
            <w:pPr>
              <w:pStyle w:val="HTMLPreformatted"/>
              <w:shd w:val="clear" w:color="auto" w:fill="FFFFFF"/>
              <w:rPr>
                <w:rFonts w:ascii="inherit" w:hAnsi="inherit"/>
                <w:color w:val="212121"/>
              </w:rPr>
            </w:pPr>
            <w:r>
              <w:rPr>
                <w:rFonts w:cs="Times New Roman"/>
                <w:lang w:val="en-GB"/>
              </w:rPr>
              <w:t>1.</w:t>
            </w:r>
            <w:r>
              <w:rPr>
                <w:rFonts w:ascii="inherit" w:hAnsi="inherit"/>
                <w:color w:val="212121"/>
                <w:lang w:val="en"/>
              </w:rPr>
              <w:t xml:space="preserve"> Under the leadership of the Ministry of Justice, discuss the content of the guidelines for ensuring a unified approach to investigating the laundering of proceeds </w:t>
            </w:r>
            <w:r>
              <w:rPr>
                <w:rFonts w:ascii="inherit" w:hAnsi="inherit"/>
                <w:color w:val="212121"/>
                <w:lang w:val="en"/>
              </w:rPr>
              <w:lastRenderedPageBreak/>
              <w:t>from crime, ensuring the minimum amount of evidence, involving courts in the discussion.</w:t>
            </w:r>
          </w:p>
        </w:tc>
        <w:tc>
          <w:tcPr>
            <w:tcW w:w="1590" w:type="dxa"/>
            <w:vMerge w:val="restart"/>
            <w:tcBorders>
              <w:top w:val="single" w:sz="4" w:space="0" w:color="auto"/>
              <w:left w:val="single" w:sz="4" w:space="0" w:color="auto"/>
              <w:right w:val="single" w:sz="4" w:space="0" w:color="auto"/>
            </w:tcBorders>
            <w:shd w:val="clear" w:color="auto" w:fill="auto"/>
          </w:tcPr>
          <w:p w:rsidR="00446D2C" w:rsidRPr="00D72AC3" w:rsidRDefault="00446D2C" w:rsidP="000215A6">
            <w:pPr>
              <w:jc w:val="both"/>
              <w:rPr>
                <w:sz w:val="20"/>
                <w:szCs w:val="20"/>
                <w:lang w:val="en-GB"/>
              </w:rPr>
            </w:pPr>
            <w:r w:rsidRPr="00D72AC3">
              <w:rPr>
                <w:sz w:val="20"/>
                <w:szCs w:val="20"/>
                <w:lang w:val="en-GB" w:bidi="en-GB"/>
              </w:rPr>
              <w:lastRenderedPageBreak/>
              <w:t>Moneyval recommendation 7.3.</w:t>
            </w:r>
          </w:p>
          <w:p w:rsidR="00446D2C" w:rsidRPr="00D72AC3" w:rsidRDefault="00446D2C" w:rsidP="000215A6">
            <w:pPr>
              <w:jc w:val="both"/>
              <w:rPr>
                <w:sz w:val="20"/>
                <w:szCs w:val="20"/>
                <w:lang w:val="en-GB"/>
              </w:rPr>
            </w:pPr>
          </w:p>
          <w:p w:rsidR="00446D2C" w:rsidRPr="00D72AC3" w:rsidRDefault="00446D2C" w:rsidP="000215A6">
            <w:pPr>
              <w:jc w:val="both"/>
              <w:rPr>
                <w:sz w:val="20"/>
                <w:szCs w:val="20"/>
                <w:lang w:val="en-GB"/>
              </w:rPr>
            </w:pPr>
            <w:r w:rsidRPr="00D72AC3">
              <w:rPr>
                <w:sz w:val="20"/>
                <w:szCs w:val="20"/>
                <w:lang w:val="en-GB" w:bidi="en-GB"/>
              </w:rPr>
              <w:lastRenderedPageBreak/>
              <w:t>Decision of the 26 June 2018 FSDB meeting</w:t>
            </w:r>
          </w:p>
        </w:tc>
        <w:tc>
          <w:tcPr>
            <w:tcW w:w="2507" w:type="dxa"/>
            <w:tcBorders>
              <w:top w:val="single" w:sz="4" w:space="0" w:color="auto"/>
              <w:left w:val="single" w:sz="4" w:space="0" w:color="auto"/>
              <w:right w:val="single" w:sz="4" w:space="0" w:color="auto"/>
            </w:tcBorders>
            <w:shd w:val="clear" w:color="auto" w:fill="auto"/>
          </w:tcPr>
          <w:p w:rsidR="00446D2C" w:rsidRPr="00492CC9" w:rsidRDefault="00446D2C" w:rsidP="00492CC9">
            <w:pPr>
              <w:rPr>
                <w:rFonts w:cs="Times New Roman"/>
                <w:sz w:val="20"/>
                <w:szCs w:val="20"/>
                <w:lang w:val="en-GB"/>
              </w:rPr>
            </w:pPr>
            <w:r w:rsidRPr="00492CC9">
              <w:rPr>
                <w:rFonts w:cs="Times New Roman"/>
                <w:sz w:val="20"/>
                <w:szCs w:val="20"/>
              </w:rPr>
              <w:lastRenderedPageBreak/>
              <w:t xml:space="preserve">1. A discussion was held on guidelines for ensuring a unified approach to investigating the laundering </w:t>
            </w:r>
            <w:r w:rsidRPr="00492CC9">
              <w:rPr>
                <w:rFonts w:cs="Times New Roman"/>
                <w:sz w:val="20"/>
                <w:szCs w:val="20"/>
              </w:rPr>
              <w:lastRenderedPageBreak/>
              <w:t>of proceeds from crime, ensuring the minimum amount of evidence.</w:t>
            </w:r>
          </w:p>
        </w:tc>
        <w:tc>
          <w:tcPr>
            <w:tcW w:w="2639" w:type="dxa"/>
            <w:tcBorders>
              <w:top w:val="single" w:sz="4" w:space="0" w:color="auto"/>
              <w:left w:val="single" w:sz="4" w:space="0" w:color="auto"/>
              <w:right w:val="single" w:sz="4" w:space="0" w:color="auto"/>
            </w:tcBorders>
            <w:shd w:val="clear" w:color="auto" w:fill="auto"/>
          </w:tcPr>
          <w:p w:rsidR="00446D2C" w:rsidRDefault="00446D2C" w:rsidP="002E0A31">
            <w:pPr>
              <w:pStyle w:val="HTMLPreformatted"/>
              <w:shd w:val="clear" w:color="auto" w:fill="FFFFFF"/>
              <w:rPr>
                <w:rFonts w:ascii="inherit" w:hAnsi="inherit"/>
                <w:color w:val="212121"/>
              </w:rPr>
            </w:pPr>
            <w:r>
              <w:rPr>
                <w:rFonts w:cs="Times New Roman"/>
                <w:lang w:val="en-GB"/>
              </w:rPr>
              <w:lastRenderedPageBreak/>
              <w:t>1</w:t>
            </w:r>
            <w:r w:rsidRPr="002E0A31">
              <w:rPr>
                <w:rFonts w:ascii="Times New Roman" w:eastAsiaTheme="minorHAnsi" w:hAnsi="Times New Roman" w:cs="Times New Roman"/>
                <w:lang w:val="en-US" w:eastAsia="en-US"/>
              </w:rPr>
              <w:t>. Considered minimum evidence of a predictive offense to prove the criminal origin of the funds.</w:t>
            </w:r>
          </w:p>
          <w:p w:rsidR="00446D2C" w:rsidRPr="00D72AC3" w:rsidRDefault="00446D2C" w:rsidP="00877487">
            <w:pPr>
              <w:jc w:val="both"/>
              <w:rPr>
                <w:rFonts w:cs="Times New Roman"/>
                <w:sz w:val="20"/>
                <w:szCs w:val="20"/>
                <w:lang w:val="en-GB"/>
              </w:rPr>
            </w:pPr>
          </w:p>
        </w:tc>
        <w:tc>
          <w:tcPr>
            <w:tcW w:w="1197" w:type="dxa"/>
            <w:tcBorders>
              <w:top w:val="single" w:sz="4" w:space="0" w:color="auto"/>
              <w:left w:val="single" w:sz="4" w:space="0" w:color="auto"/>
              <w:right w:val="single" w:sz="4" w:space="0" w:color="auto"/>
            </w:tcBorders>
            <w:shd w:val="clear" w:color="auto" w:fill="auto"/>
          </w:tcPr>
          <w:p w:rsidR="00446D2C" w:rsidRPr="00D72AC3" w:rsidRDefault="00446D2C" w:rsidP="000215A6">
            <w:pPr>
              <w:jc w:val="center"/>
              <w:rPr>
                <w:rFonts w:cs="Times New Roman"/>
                <w:sz w:val="20"/>
                <w:szCs w:val="20"/>
                <w:lang w:val="en-GB"/>
              </w:rPr>
            </w:pPr>
            <w:r>
              <w:rPr>
                <w:rFonts w:cs="Times New Roman"/>
                <w:sz w:val="20"/>
                <w:szCs w:val="20"/>
                <w:lang w:val="en-GB" w:bidi="en-GB"/>
              </w:rPr>
              <w:lastRenderedPageBreak/>
              <w:t>MoJ</w:t>
            </w:r>
            <w:r w:rsidRPr="00D72AC3">
              <w:rPr>
                <w:rFonts w:cs="Times New Roman"/>
                <w:sz w:val="20"/>
                <w:szCs w:val="20"/>
                <w:lang w:val="en-GB" w:bidi="en-GB"/>
              </w:rPr>
              <w:t xml:space="preserve"> </w:t>
            </w:r>
          </w:p>
        </w:tc>
        <w:tc>
          <w:tcPr>
            <w:tcW w:w="1202" w:type="dxa"/>
            <w:tcBorders>
              <w:top w:val="single" w:sz="4" w:space="0" w:color="auto"/>
              <w:left w:val="single" w:sz="4" w:space="0" w:color="auto"/>
              <w:right w:val="single" w:sz="4" w:space="0" w:color="auto"/>
            </w:tcBorders>
            <w:shd w:val="clear" w:color="auto" w:fill="FFFFFF" w:themeFill="background1"/>
          </w:tcPr>
          <w:p w:rsidR="00446D2C" w:rsidRPr="00D72AC3" w:rsidRDefault="00446D2C" w:rsidP="000215A6">
            <w:pPr>
              <w:jc w:val="center"/>
              <w:rPr>
                <w:rFonts w:cs="Times New Roman"/>
                <w:sz w:val="20"/>
                <w:szCs w:val="20"/>
                <w:lang w:val="en-GB"/>
              </w:rPr>
            </w:pPr>
          </w:p>
        </w:tc>
        <w:tc>
          <w:tcPr>
            <w:tcW w:w="1390" w:type="dxa"/>
            <w:tcBorders>
              <w:top w:val="single" w:sz="4" w:space="0" w:color="auto"/>
              <w:left w:val="single" w:sz="4" w:space="0" w:color="auto"/>
              <w:right w:val="single" w:sz="4" w:space="0" w:color="auto"/>
            </w:tcBorders>
            <w:shd w:val="clear" w:color="auto" w:fill="FFFFFF" w:themeFill="background1"/>
          </w:tcPr>
          <w:p w:rsidR="00446D2C" w:rsidRDefault="00446D2C" w:rsidP="000215A6">
            <w:pPr>
              <w:jc w:val="center"/>
              <w:rPr>
                <w:rFonts w:cs="Times New Roman"/>
                <w:sz w:val="20"/>
                <w:szCs w:val="20"/>
                <w:lang w:val="en-GB"/>
              </w:rPr>
            </w:pPr>
            <w:r>
              <w:rPr>
                <w:rFonts w:cs="Times New Roman"/>
                <w:sz w:val="20"/>
                <w:szCs w:val="20"/>
                <w:lang w:val="en-GB"/>
              </w:rPr>
              <w:t>30 October</w:t>
            </w:r>
          </w:p>
          <w:p w:rsidR="00446D2C" w:rsidRPr="00D72AC3" w:rsidRDefault="00446D2C" w:rsidP="000215A6">
            <w:pPr>
              <w:jc w:val="center"/>
              <w:rPr>
                <w:rFonts w:cs="Times New Roman"/>
                <w:sz w:val="20"/>
                <w:szCs w:val="20"/>
                <w:lang w:val="en-GB"/>
              </w:rPr>
            </w:pPr>
            <w:r>
              <w:rPr>
                <w:rFonts w:cs="Times New Roman"/>
                <w:sz w:val="20"/>
                <w:szCs w:val="20"/>
                <w:lang w:val="en-GB"/>
              </w:rPr>
              <w:t>2018</w:t>
            </w:r>
          </w:p>
        </w:tc>
      </w:tr>
      <w:tr w:rsidR="00446D2C" w:rsidRPr="00D72AC3" w:rsidTr="007E25AD">
        <w:trPr>
          <w:trHeight w:val="802"/>
        </w:trPr>
        <w:tc>
          <w:tcPr>
            <w:tcW w:w="673" w:type="dxa"/>
            <w:vMerge/>
            <w:tcBorders>
              <w:left w:val="single" w:sz="4" w:space="0" w:color="auto"/>
              <w:bottom w:val="single" w:sz="4" w:space="0" w:color="auto"/>
              <w:right w:val="single" w:sz="4" w:space="0" w:color="auto"/>
            </w:tcBorders>
            <w:shd w:val="clear" w:color="auto" w:fill="FFFFFF" w:themeFill="background1"/>
          </w:tcPr>
          <w:p w:rsidR="00446D2C" w:rsidRPr="00D72AC3" w:rsidRDefault="00446D2C" w:rsidP="00446D2C">
            <w:pPr>
              <w:jc w:val="center"/>
              <w:rPr>
                <w:rFonts w:cs="Times New Roman"/>
                <w:sz w:val="20"/>
                <w:szCs w:val="20"/>
                <w:lang w:val="en-GB" w:bidi="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46D2C" w:rsidRPr="00D72AC3" w:rsidRDefault="00446D2C" w:rsidP="00446D2C">
            <w:pPr>
              <w:spacing w:after="160" w:line="256" w:lineRule="auto"/>
              <w:ind w:right="34"/>
              <w:jc w:val="both"/>
              <w:rPr>
                <w:rFonts w:cs="Times New Roman"/>
                <w:sz w:val="20"/>
                <w:szCs w:val="20"/>
                <w:lang w:val="en-GB"/>
              </w:rPr>
            </w:pPr>
            <w:r w:rsidRPr="00423710">
              <w:rPr>
                <w:rFonts w:ascii="inherit" w:eastAsia="Times New Roman" w:hAnsi="inherit" w:cs="Courier New"/>
                <w:color w:val="212121"/>
                <w:sz w:val="20"/>
                <w:szCs w:val="20"/>
                <w:lang w:val="en" w:eastAsia="lv-LV"/>
              </w:rPr>
              <w:t>2. To develop practice guidelines for ensuring a unified approach to the investigation of laundering of proceeds from crime, ensuring the minimum amount of evidence.</w:t>
            </w:r>
          </w:p>
        </w:tc>
        <w:tc>
          <w:tcPr>
            <w:tcW w:w="1590" w:type="dxa"/>
            <w:vMerge/>
            <w:tcBorders>
              <w:left w:val="single" w:sz="4" w:space="0" w:color="auto"/>
              <w:bottom w:val="single" w:sz="4" w:space="0" w:color="auto"/>
              <w:right w:val="single" w:sz="4" w:space="0" w:color="auto"/>
            </w:tcBorders>
            <w:shd w:val="clear" w:color="auto" w:fill="auto"/>
          </w:tcPr>
          <w:p w:rsidR="00446D2C" w:rsidRPr="00D72AC3" w:rsidRDefault="00446D2C" w:rsidP="00446D2C">
            <w:pPr>
              <w:jc w:val="both"/>
              <w:rPr>
                <w:sz w:val="20"/>
                <w:szCs w:val="20"/>
                <w:lang w:val="en-GB" w:bidi="en-GB"/>
              </w:rPr>
            </w:pPr>
          </w:p>
        </w:tc>
        <w:tc>
          <w:tcPr>
            <w:tcW w:w="2507" w:type="dxa"/>
            <w:tcBorders>
              <w:left w:val="single" w:sz="4" w:space="0" w:color="auto"/>
              <w:bottom w:val="single" w:sz="4" w:space="0" w:color="auto"/>
              <w:right w:val="single" w:sz="4" w:space="0" w:color="auto"/>
            </w:tcBorders>
            <w:shd w:val="clear" w:color="auto" w:fill="auto"/>
          </w:tcPr>
          <w:p w:rsidR="00446D2C" w:rsidRPr="00D72AC3" w:rsidRDefault="00446D2C" w:rsidP="00446D2C">
            <w:pPr>
              <w:rPr>
                <w:rFonts w:cs="Times New Roman"/>
                <w:sz w:val="20"/>
                <w:szCs w:val="20"/>
                <w:lang w:val="en-GB" w:bidi="en-GB"/>
              </w:rPr>
            </w:pPr>
            <w:r>
              <w:rPr>
                <w:rFonts w:cs="Times New Roman"/>
                <w:sz w:val="20"/>
                <w:szCs w:val="20"/>
                <w:lang w:val="en-GB" w:bidi="en-GB"/>
              </w:rPr>
              <w:t xml:space="preserve">2. </w:t>
            </w:r>
            <w:r w:rsidRPr="00D72AC3">
              <w:rPr>
                <w:rFonts w:cs="Times New Roman"/>
                <w:sz w:val="20"/>
                <w:szCs w:val="20"/>
                <w:lang w:val="en-GB" w:bidi="en-GB"/>
              </w:rPr>
              <w:t>Guidelines developed, approved and distributed</w:t>
            </w:r>
          </w:p>
        </w:tc>
        <w:tc>
          <w:tcPr>
            <w:tcW w:w="2639" w:type="dxa"/>
            <w:tcBorders>
              <w:left w:val="single" w:sz="4" w:space="0" w:color="auto"/>
              <w:bottom w:val="single" w:sz="4" w:space="0" w:color="auto"/>
              <w:right w:val="single" w:sz="4" w:space="0" w:color="auto"/>
            </w:tcBorders>
            <w:shd w:val="clear" w:color="auto" w:fill="auto"/>
          </w:tcPr>
          <w:p w:rsidR="00446D2C" w:rsidRPr="00D72AC3" w:rsidRDefault="00446D2C" w:rsidP="00446D2C">
            <w:pPr>
              <w:jc w:val="both"/>
              <w:rPr>
                <w:rFonts w:cs="Times New Roman"/>
                <w:sz w:val="20"/>
                <w:szCs w:val="20"/>
                <w:lang w:val="en-GB" w:bidi="en-GB"/>
              </w:rPr>
            </w:pPr>
            <w:r>
              <w:rPr>
                <w:rFonts w:cs="Times New Roman"/>
                <w:sz w:val="20"/>
                <w:szCs w:val="20"/>
                <w:lang w:val="en-GB" w:bidi="en-GB"/>
              </w:rPr>
              <w:t>2.</w:t>
            </w:r>
            <w:r w:rsidRPr="00D72AC3">
              <w:rPr>
                <w:rFonts w:cs="Times New Roman"/>
                <w:sz w:val="20"/>
                <w:szCs w:val="20"/>
                <w:lang w:val="en-GB" w:bidi="en-GB"/>
              </w:rPr>
              <w:t xml:space="preserve"> Single practice established in money laundering investigation</w:t>
            </w:r>
          </w:p>
        </w:tc>
        <w:tc>
          <w:tcPr>
            <w:tcW w:w="1197" w:type="dxa"/>
            <w:tcBorders>
              <w:left w:val="single" w:sz="4" w:space="0" w:color="auto"/>
              <w:bottom w:val="single" w:sz="4" w:space="0" w:color="auto"/>
              <w:right w:val="single" w:sz="4" w:space="0" w:color="auto"/>
            </w:tcBorders>
            <w:shd w:val="clear" w:color="auto" w:fill="auto"/>
          </w:tcPr>
          <w:p w:rsidR="00446D2C" w:rsidRPr="00D72AC3" w:rsidRDefault="00446D2C" w:rsidP="00446D2C">
            <w:pPr>
              <w:jc w:val="center"/>
              <w:rPr>
                <w:rFonts w:cs="Times New Roman"/>
                <w:sz w:val="20"/>
                <w:szCs w:val="20"/>
                <w:lang w:val="en-GB"/>
              </w:rPr>
            </w:pPr>
            <w:r w:rsidRPr="00D72AC3">
              <w:rPr>
                <w:rFonts w:cs="Times New Roman"/>
                <w:sz w:val="20"/>
                <w:szCs w:val="20"/>
                <w:lang w:val="en-GB" w:bidi="en-GB"/>
              </w:rPr>
              <w:t>SP, CPCB</w:t>
            </w:r>
          </w:p>
          <w:p w:rsidR="00446D2C" w:rsidRPr="00D72AC3" w:rsidRDefault="00446D2C" w:rsidP="00446D2C">
            <w:pPr>
              <w:jc w:val="center"/>
              <w:rPr>
                <w:rFonts w:cs="Times New Roman"/>
                <w:sz w:val="20"/>
                <w:szCs w:val="20"/>
                <w:lang w:val="en-GB" w:bidi="en-GB"/>
              </w:rPr>
            </w:pPr>
            <w:r w:rsidRPr="00D72AC3">
              <w:rPr>
                <w:rFonts w:cs="Times New Roman"/>
                <w:sz w:val="20"/>
                <w:szCs w:val="20"/>
                <w:lang w:val="en-GB" w:bidi="en-GB"/>
              </w:rPr>
              <w:t>TCPB</w:t>
            </w:r>
          </w:p>
        </w:tc>
        <w:tc>
          <w:tcPr>
            <w:tcW w:w="1202" w:type="dxa"/>
            <w:tcBorders>
              <w:left w:val="single" w:sz="4" w:space="0" w:color="auto"/>
              <w:bottom w:val="single" w:sz="4" w:space="0" w:color="auto"/>
              <w:right w:val="single" w:sz="4" w:space="0" w:color="auto"/>
            </w:tcBorders>
            <w:shd w:val="clear" w:color="auto" w:fill="FFFFFF" w:themeFill="background1"/>
          </w:tcPr>
          <w:p w:rsidR="00446D2C" w:rsidRPr="00D72AC3" w:rsidRDefault="00446D2C" w:rsidP="00446D2C">
            <w:pPr>
              <w:jc w:val="center"/>
              <w:rPr>
                <w:rFonts w:cs="Times New Roman"/>
                <w:sz w:val="20"/>
                <w:szCs w:val="20"/>
                <w:lang w:val="en-GB" w:bidi="en-GB"/>
              </w:rPr>
            </w:pPr>
            <w:r>
              <w:rPr>
                <w:rFonts w:cs="Times New Roman"/>
                <w:sz w:val="20"/>
                <w:szCs w:val="20"/>
                <w:lang w:val="en-GB" w:bidi="en-GB"/>
              </w:rPr>
              <w:t xml:space="preserve">MoJ., MoI., GPO, </w:t>
            </w:r>
          </w:p>
        </w:tc>
        <w:tc>
          <w:tcPr>
            <w:tcW w:w="1390" w:type="dxa"/>
            <w:tcBorders>
              <w:left w:val="single" w:sz="4" w:space="0" w:color="auto"/>
              <w:bottom w:val="single" w:sz="4" w:space="0" w:color="auto"/>
              <w:right w:val="single" w:sz="4" w:space="0" w:color="auto"/>
            </w:tcBorders>
            <w:shd w:val="clear" w:color="auto" w:fill="FFFFFF" w:themeFill="background1"/>
          </w:tcPr>
          <w:p w:rsidR="00446D2C" w:rsidRPr="00D72AC3" w:rsidRDefault="00446D2C" w:rsidP="00446D2C">
            <w:pPr>
              <w:jc w:val="center"/>
              <w:rPr>
                <w:rFonts w:cs="Times New Roman"/>
                <w:sz w:val="20"/>
                <w:szCs w:val="20"/>
                <w:lang w:val="en-GB"/>
              </w:rPr>
            </w:pPr>
            <w:r w:rsidRPr="00D72AC3">
              <w:rPr>
                <w:rFonts w:cs="Times New Roman"/>
                <w:sz w:val="20"/>
                <w:szCs w:val="20"/>
                <w:lang w:val="en-GB" w:bidi="en-GB"/>
              </w:rPr>
              <w:t>28 December 2018</w:t>
            </w:r>
          </w:p>
        </w:tc>
      </w:tr>
    </w:tbl>
    <w:p w:rsidR="0049399E" w:rsidRPr="00D72AC3" w:rsidRDefault="00FF0BBA" w:rsidP="00FF0BBA">
      <w:pPr>
        <w:jc w:val="both"/>
        <w:rPr>
          <w:b/>
          <w:sz w:val="28"/>
          <w:szCs w:val="28"/>
          <w:lang w:val="en-GB"/>
        </w:rPr>
      </w:pPr>
      <w:r w:rsidRPr="00D72AC3">
        <w:rPr>
          <w:sz w:val="28"/>
          <w:szCs w:val="28"/>
          <w:lang w:val="en-GB" w:bidi="en-GB"/>
        </w:rPr>
        <w:tab/>
      </w:r>
    </w:p>
    <w:p w:rsidR="00FF0BBA" w:rsidRPr="00D72AC3" w:rsidRDefault="00FC14D0" w:rsidP="00E24F37">
      <w:pPr>
        <w:pStyle w:val="Heading2"/>
        <w:rPr>
          <w:rFonts w:ascii="Times New Roman" w:hAnsi="Times New Roman" w:cs="Times New Roman"/>
          <w:b/>
          <w:color w:val="auto"/>
          <w:sz w:val="28"/>
          <w:szCs w:val="28"/>
          <w:lang w:val="en-GB"/>
        </w:rPr>
      </w:pPr>
      <w:bookmarkStart w:id="15" w:name="_Toc526510441"/>
      <w:r w:rsidRPr="00D72AC3">
        <w:rPr>
          <w:rFonts w:ascii="Times New Roman" w:eastAsia="Times New Roman" w:hAnsi="Times New Roman" w:cs="Times New Roman"/>
          <w:b/>
          <w:color w:val="auto"/>
          <w:sz w:val="28"/>
          <w:szCs w:val="28"/>
          <w:lang w:val="en-GB" w:bidi="en-GB"/>
        </w:rPr>
        <w:t>Eighth course of action - Confiscation</w:t>
      </w:r>
      <w:bookmarkEnd w:id="15"/>
      <w:r w:rsidRPr="00D72AC3">
        <w:rPr>
          <w:rFonts w:ascii="Times New Roman" w:eastAsia="Times New Roman" w:hAnsi="Times New Roman" w:cs="Times New Roman"/>
          <w:b/>
          <w:color w:val="auto"/>
          <w:sz w:val="28"/>
          <w:szCs w:val="28"/>
          <w:lang w:val="en-GB" w:bidi="en-GB"/>
        </w:rPr>
        <w:t xml:space="preserve"> </w:t>
      </w:r>
    </w:p>
    <w:p w:rsidR="00FF0BBA" w:rsidRPr="00D72AC3" w:rsidRDefault="00FF0BBA"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MoJ</w:t>
      </w:r>
    </w:p>
    <w:p w:rsidR="00FF0BBA" w:rsidRPr="00D72AC3" w:rsidRDefault="00FF0BBA" w:rsidP="00FF0BBA">
      <w:pPr>
        <w:jc w:val="both"/>
        <w:rPr>
          <w:szCs w:val="24"/>
          <w:lang w:val="en-GB"/>
        </w:rPr>
      </w:pPr>
      <w:r w:rsidRPr="00D72AC3">
        <w:rPr>
          <w:szCs w:val="24"/>
          <w:lang w:val="en-GB" w:bidi="en-GB"/>
        </w:rPr>
        <w:t>Co-responsible authorities: MoI, CS, SP, SRS, CPCB, GPO</w:t>
      </w:r>
    </w:p>
    <w:p w:rsidR="005C7CFF" w:rsidRPr="00D72AC3" w:rsidRDefault="005C7CFF" w:rsidP="00FF0BBA">
      <w:pPr>
        <w:jc w:val="both"/>
        <w:rPr>
          <w:szCs w:val="24"/>
          <w:lang w:val="en-GB"/>
        </w:rPr>
      </w:pPr>
    </w:p>
    <w:p w:rsidR="005C7CFF" w:rsidRPr="00D72AC3" w:rsidRDefault="005C7CFF" w:rsidP="00FF0BBA">
      <w:pPr>
        <w:jc w:val="both"/>
        <w:rPr>
          <w:szCs w:val="24"/>
          <w:lang w:val="en-GB"/>
        </w:rPr>
      </w:pPr>
    </w:p>
    <w:tbl>
      <w:tblPr>
        <w:tblW w:w="153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6"/>
        <w:gridCol w:w="1417"/>
        <w:gridCol w:w="2694"/>
        <w:gridCol w:w="1984"/>
        <w:gridCol w:w="1418"/>
        <w:gridCol w:w="1559"/>
        <w:gridCol w:w="1412"/>
      </w:tblGrid>
      <w:tr w:rsidR="00E73D3E" w:rsidRPr="00D72AC3" w:rsidTr="008978FB">
        <w:tc>
          <w:tcPr>
            <w:tcW w:w="4820" w:type="dxa"/>
            <w:gridSpan w:val="2"/>
          </w:tcPr>
          <w:p w:rsidR="00E73D3E" w:rsidRPr="00D72AC3" w:rsidRDefault="003A5CA4" w:rsidP="003A5CA4">
            <w:pPr>
              <w:rPr>
                <w:rFonts w:cs="Times New Roman"/>
                <w:b/>
                <w:bCs/>
                <w:sz w:val="20"/>
                <w:szCs w:val="20"/>
                <w:lang w:val="en-GB"/>
              </w:rPr>
            </w:pPr>
            <w:r>
              <w:rPr>
                <w:rFonts w:cs="Times New Roman"/>
                <w:b/>
                <w:sz w:val="20"/>
                <w:szCs w:val="20"/>
                <w:lang w:val="en-GB" w:bidi="en-GB"/>
              </w:rPr>
              <w:t>Eight</w:t>
            </w:r>
            <w:r w:rsidR="00E73D3E" w:rsidRPr="00D72AC3">
              <w:rPr>
                <w:rFonts w:cs="Times New Roman"/>
                <w:b/>
                <w:sz w:val="20"/>
                <w:szCs w:val="20"/>
                <w:lang w:val="en-GB" w:bidi="en-GB"/>
              </w:rPr>
              <w:t xml:space="preserve"> course of action</w:t>
            </w:r>
          </w:p>
        </w:tc>
        <w:tc>
          <w:tcPr>
            <w:tcW w:w="10484" w:type="dxa"/>
            <w:gridSpan w:val="6"/>
          </w:tcPr>
          <w:p w:rsidR="00E73D3E" w:rsidRPr="00D72AC3" w:rsidRDefault="00E73D3E" w:rsidP="006C08DD">
            <w:pPr>
              <w:jc w:val="both"/>
              <w:rPr>
                <w:rFonts w:cs="Times New Roman"/>
                <w:b/>
                <w:bCs/>
                <w:sz w:val="20"/>
                <w:szCs w:val="20"/>
                <w:lang w:val="en-GB"/>
              </w:rPr>
            </w:pPr>
            <w:r w:rsidRPr="00D72AC3">
              <w:rPr>
                <w:rFonts w:cs="Times New Roman"/>
                <w:b/>
                <w:sz w:val="20"/>
                <w:szCs w:val="20"/>
                <w:lang w:val="en-GB" w:bidi="en-GB"/>
              </w:rPr>
              <w:t>CONFISCATION</w:t>
            </w:r>
          </w:p>
        </w:tc>
      </w:tr>
      <w:tr w:rsidR="00E73D3E" w:rsidRPr="00D72AC3" w:rsidTr="008978FB">
        <w:tc>
          <w:tcPr>
            <w:tcW w:w="4820" w:type="dxa"/>
            <w:gridSpan w:val="2"/>
          </w:tcPr>
          <w:p w:rsidR="00E73D3E" w:rsidRPr="00D72AC3" w:rsidRDefault="00E73D3E" w:rsidP="006C08DD">
            <w:pPr>
              <w:rPr>
                <w:rFonts w:cs="Times New Roman"/>
                <w:b/>
                <w:bCs/>
                <w:sz w:val="20"/>
                <w:szCs w:val="20"/>
                <w:lang w:val="en-GB"/>
              </w:rPr>
            </w:pPr>
            <w:r w:rsidRPr="00D72AC3">
              <w:rPr>
                <w:rFonts w:cs="Times New Roman"/>
                <w:b/>
                <w:sz w:val="20"/>
                <w:szCs w:val="20"/>
                <w:lang w:val="en-GB" w:bidi="en-GB"/>
              </w:rPr>
              <w:t>Sub-objectives to be achieved:</w:t>
            </w:r>
          </w:p>
        </w:tc>
        <w:tc>
          <w:tcPr>
            <w:tcW w:w="10484" w:type="dxa"/>
            <w:gridSpan w:val="6"/>
          </w:tcPr>
          <w:p w:rsidR="00E73D3E" w:rsidRPr="00D72AC3" w:rsidRDefault="00E73D3E" w:rsidP="006C08DD">
            <w:pPr>
              <w:jc w:val="both"/>
              <w:rPr>
                <w:rFonts w:cs="Times New Roman"/>
                <w:b/>
                <w:bCs/>
                <w:sz w:val="20"/>
                <w:szCs w:val="20"/>
                <w:lang w:val="en-GB"/>
              </w:rPr>
            </w:pPr>
            <w:r w:rsidRPr="00D72AC3">
              <w:rPr>
                <w:rFonts w:cs="Times New Roman"/>
                <w:b/>
                <w:sz w:val="20"/>
                <w:szCs w:val="20"/>
                <w:lang w:val="en-GB" w:bidi="en-GB"/>
              </w:rPr>
              <w:t>1. A single approach to applying the "reverse burden of proof" in the issues of property confiscation developed and introduced.</w:t>
            </w:r>
          </w:p>
        </w:tc>
      </w:tr>
      <w:tr w:rsidR="005B2582" w:rsidRPr="00D72AC3" w:rsidTr="008978FB">
        <w:tc>
          <w:tcPr>
            <w:tcW w:w="534" w:type="dxa"/>
          </w:tcPr>
          <w:p w:rsidR="005B2582" w:rsidRPr="00D72AC3" w:rsidRDefault="005B2582" w:rsidP="006C08DD">
            <w:pPr>
              <w:jc w:val="center"/>
              <w:rPr>
                <w:rFonts w:cs="Times New Roman"/>
                <w:bCs/>
                <w:sz w:val="20"/>
                <w:szCs w:val="20"/>
                <w:lang w:val="en-GB"/>
              </w:rPr>
            </w:pPr>
            <w:r w:rsidRPr="00D72AC3">
              <w:rPr>
                <w:rFonts w:cs="Times New Roman"/>
                <w:sz w:val="20"/>
                <w:szCs w:val="20"/>
                <w:lang w:val="en-GB" w:bidi="en-GB"/>
              </w:rPr>
              <w:t>No.</w:t>
            </w:r>
          </w:p>
        </w:tc>
        <w:tc>
          <w:tcPr>
            <w:tcW w:w="4286" w:type="dxa"/>
            <w:shd w:val="clear" w:color="auto" w:fill="auto"/>
          </w:tcPr>
          <w:p w:rsidR="005B2582" w:rsidRPr="00D72AC3" w:rsidRDefault="005B2582" w:rsidP="008978FB">
            <w:pPr>
              <w:jc w:val="center"/>
              <w:rPr>
                <w:rFonts w:cs="Times New Roman"/>
                <w:bCs/>
                <w:i/>
                <w:sz w:val="20"/>
                <w:szCs w:val="20"/>
                <w:lang w:val="en-GB"/>
              </w:rPr>
            </w:pPr>
            <w:r w:rsidRPr="00D72AC3">
              <w:rPr>
                <w:rFonts w:cs="Times New Roman"/>
                <w:b/>
                <w:sz w:val="20"/>
                <w:szCs w:val="20"/>
                <w:lang w:val="en-GB" w:bidi="en-GB"/>
              </w:rPr>
              <w:t>Measure</w:t>
            </w:r>
          </w:p>
        </w:tc>
        <w:tc>
          <w:tcPr>
            <w:tcW w:w="1417" w:type="dxa"/>
          </w:tcPr>
          <w:p w:rsidR="005B2582" w:rsidRPr="00D72AC3" w:rsidRDefault="005B2582" w:rsidP="008978FB">
            <w:pPr>
              <w:ind w:right="-108"/>
              <w:jc w:val="center"/>
              <w:rPr>
                <w:rFonts w:cs="Times New Roman"/>
                <w:b/>
                <w:sz w:val="20"/>
                <w:szCs w:val="20"/>
                <w:lang w:val="en-GB"/>
              </w:rPr>
            </w:pPr>
            <w:r w:rsidRPr="00D72AC3">
              <w:rPr>
                <w:rFonts w:cs="Times New Roman"/>
                <w:b/>
                <w:sz w:val="20"/>
                <w:szCs w:val="20"/>
                <w:lang w:val="en-GB" w:bidi="en-GB"/>
              </w:rPr>
              <w:t>Source</w:t>
            </w:r>
          </w:p>
        </w:tc>
        <w:tc>
          <w:tcPr>
            <w:tcW w:w="2694" w:type="dxa"/>
            <w:shd w:val="clear" w:color="auto" w:fill="auto"/>
          </w:tcPr>
          <w:p w:rsidR="005B2582" w:rsidRPr="00D72AC3" w:rsidRDefault="005B2582" w:rsidP="008978FB">
            <w:pPr>
              <w:jc w:val="center"/>
              <w:rPr>
                <w:rFonts w:cs="Times New Roman"/>
                <w:b/>
                <w:bCs/>
                <w:i/>
                <w:sz w:val="20"/>
                <w:szCs w:val="20"/>
                <w:lang w:val="en-GB"/>
              </w:rPr>
            </w:pPr>
            <w:r w:rsidRPr="00D72AC3">
              <w:rPr>
                <w:rFonts w:cs="Times New Roman"/>
                <w:b/>
                <w:sz w:val="20"/>
                <w:szCs w:val="20"/>
                <w:lang w:val="en-GB" w:bidi="en-GB"/>
              </w:rPr>
              <w:t>Activity outcome</w:t>
            </w:r>
          </w:p>
        </w:tc>
        <w:tc>
          <w:tcPr>
            <w:tcW w:w="1984" w:type="dxa"/>
          </w:tcPr>
          <w:p w:rsidR="005B2582" w:rsidRPr="00D72AC3" w:rsidRDefault="005B2582" w:rsidP="008978FB">
            <w:pPr>
              <w:jc w:val="center"/>
              <w:rPr>
                <w:rFonts w:cs="Times New Roman"/>
                <w:bCs/>
                <w:i/>
                <w:sz w:val="20"/>
                <w:szCs w:val="20"/>
                <w:lang w:val="en-GB"/>
              </w:rPr>
            </w:pPr>
            <w:r w:rsidRPr="00D72AC3">
              <w:rPr>
                <w:rFonts w:cs="Times New Roman"/>
                <w:b/>
                <w:sz w:val="20"/>
                <w:szCs w:val="20"/>
                <w:lang w:val="en-GB" w:bidi="en-GB"/>
              </w:rPr>
              <w:t>Outcome indicator</w:t>
            </w:r>
          </w:p>
        </w:tc>
        <w:tc>
          <w:tcPr>
            <w:tcW w:w="1418" w:type="dxa"/>
            <w:shd w:val="clear" w:color="auto" w:fill="auto"/>
          </w:tcPr>
          <w:p w:rsidR="005B2582" w:rsidRPr="00D72AC3" w:rsidRDefault="005B2582" w:rsidP="008978FB">
            <w:pPr>
              <w:jc w:val="center"/>
              <w:rPr>
                <w:rFonts w:cs="Times New Roman"/>
                <w:bCs/>
                <w:i/>
                <w:sz w:val="20"/>
                <w:szCs w:val="20"/>
                <w:lang w:val="en-GB"/>
              </w:rPr>
            </w:pPr>
            <w:r w:rsidRPr="00D72AC3">
              <w:rPr>
                <w:rFonts w:cs="Times New Roman"/>
                <w:b/>
                <w:sz w:val="20"/>
                <w:szCs w:val="20"/>
                <w:lang w:val="en-GB" w:bidi="en-GB"/>
              </w:rPr>
              <w:t>Responsible authority</w:t>
            </w:r>
          </w:p>
        </w:tc>
        <w:tc>
          <w:tcPr>
            <w:tcW w:w="1559" w:type="dxa"/>
            <w:shd w:val="clear" w:color="auto" w:fill="auto"/>
          </w:tcPr>
          <w:p w:rsidR="005B2582" w:rsidRPr="00D72AC3" w:rsidRDefault="005B2582" w:rsidP="008978FB">
            <w:pPr>
              <w:jc w:val="center"/>
              <w:rPr>
                <w:rFonts w:cs="Times New Roman"/>
                <w:bCs/>
                <w:i/>
                <w:sz w:val="20"/>
                <w:szCs w:val="20"/>
                <w:lang w:val="en-GB"/>
              </w:rPr>
            </w:pPr>
            <w:r w:rsidRPr="00D72AC3">
              <w:rPr>
                <w:rFonts w:cs="Times New Roman"/>
                <w:b/>
                <w:sz w:val="20"/>
                <w:szCs w:val="20"/>
                <w:lang w:val="en-GB" w:bidi="en-GB"/>
              </w:rPr>
              <w:t>Co-responsible authorities</w:t>
            </w:r>
          </w:p>
        </w:tc>
        <w:tc>
          <w:tcPr>
            <w:tcW w:w="1412" w:type="dxa"/>
            <w:shd w:val="clear" w:color="auto" w:fill="auto"/>
          </w:tcPr>
          <w:p w:rsidR="005B2582" w:rsidRPr="00D72AC3" w:rsidRDefault="005B2582" w:rsidP="008978FB">
            <w:pPr>
              <w:jc w:val="center"/>
              <w:rPr>
                <w:rFonts w:cs="Times New Roman"/>
                <w:bCs/>
                <w:i/>
                <w:sz w:val="20"/>
                <w:szCs w:val="20"/>
                <w:lang w:val="en-GB"/>
              </w:rPr>
            </w:pPr>
            <w:r w:rsidRPr="00D72AC3">
              <w:rPr>
                <w:rFonts w:cs="Times New Roman"/>
                <w:b/>
                <w:sz w:val="20"/>
                <w:szCs w:val="20"/>
                <w:lang w:val="en-GB" w:bidi="en-GB"/>
              </w:rPr>
              <w:t>Term for implementation</w:t>
            </w:r>
          </w:p>
        </w:tc>
      </w:tr>
      <w:tr w:rsidR="005B2582" w:rsidRPr="00D72AC3" w:rsidTr="008978FB">
        <w:trPr>
          <w:trHeight w:val="922"/>
        </w:trPr>
        <w:tc>
          <w:tcPr>
            <w:tcW w:w="534" w:type="dxa"/>
            <w:shd w:val="clear" w:color="auto" w:fill="FFFFFF" w:themeFill="background1"/>
          </w:tcPr>
          <w:p w:rsidR="005B2582" w:rsidRPr="00D72AC3" w:rsidRDefault="00E73D3E" w:rsidP="006C08DD">
            <w:pPr>
              <w:rPr>
                <w:rFonts w:cs="Times New Roman"/>
                <w:sz w:val="20"/>
                <w:szCs w:val="20"/>
                <w:lang w:val="en-GB"/>
              </w:rPr>
            </w:pPr>
            <w:r w:rsidRPr="00D72AC3">
              <w:rPr>
                <w:rFonts w:cs="Times New Roman"/>
                <w:sz w:val="20"/>
                <w:szCs w:val="20"/>
                <w:lang w:val="en-GB" w:bidi="en-GB"/>
              </w:rPr>
              <w:t>8.1.</w:t>
            </w:r>
          </w:p>
        </w:tc>
        <w:tc>
          <w:tcPr>
            <w:tcW w:w="4286" w:type="dxa"/>
            <w:shd w:val="clear" w:color="auto" w:fill="FFFFFF" w:themeFill="background1"/>
          </w:tcPr>
          <w:p w:rsidR="005B2582" w:rsidRPr="00D72AC3" w:rsidRDefault="004D6636" w:rsidP="0025344E">
            <w:pPr>
              <w:spacing w:after="160" w:line="259" w:lineRule="auto"/>
              <w:ind w:right="34"/>
              <w:jc w:val="both"/>
              <w:rPr>
                <w:rFonts w:cs="Times New Roman"/>
                <w:sz w:val="20"/>
                <w:szCs w:val="20"/>
                <w:lang w:val="en-GB"/>
              </w:rPr>
            </w:pPr>
            <w:r w:rsidRPr="00D72AC3">
              <w:rPr>
                <w:rFonts w:cs="Times New Roman"/>
                <w:sz w:val="20"/>
                <w:szCs w:val="20"/>
                <w:lang w:val="en-GB" w:bidi="en-GB"/>
              </w:rPr>
              <w:t xml:space="preserve">To implement the training about the confiscation of proceeds from crime (including, gathering information, freezing of funds, imposition of arrest, confiscation and enforcement of the decision/judgment, in line with the legal framework that took effect on 1 August 2017)". </w:t>
            </w:r>
          </w:p>
        </w:tc>
        <w:tc>
          <w:tcPr>
            <w:tcW w:w="1417" w:type="dxa"/>
            <w:shd w:val="clear" w:color="auto" w:fill="FFFFFF" w:themeFill="background1"/>
          </w:tcPr>
          <w:p w:rsidR="005B2582" w:rsidRPr="00D72AC3" w:rsidRDefault="00004BA0" w:rsidP="0025344E">
            <w:pPr>
              <w:ind w:left="-108" w:right="-108"/>
              <w:rPr>
                <w:rFonts w:cs="Times New Roman"/>
                <w:sz w:val="20"/>
                <w:szCs w:val="20"/>
                <w:lang w:val="en-GB"/>
              </w:rPr>
            </w:pPr>
            <w:r w:rsidRPr="00D72AC3">
              <w:rPr>
                <w:rFonts w:cs="Times New Roman"/>
                <w:sz w:val="20"/>
                <w:szCs w:val="20"/>
                <w:lang w:val="en-GB" w:bidi="en-GB"/>
              </w:rPr>
              <w:t>Moneyval recommendation 8.1.</w:t>
            </w:r>
          </w:p>
        </w:tc>
        <w:tc>
          <w:tcPr>
            <w:tcW w:w="2694" w:type="dxa"/>
            <w:shd w:val="clear" w:color="auto" w:fill="FFFFFF" w:themeFill="background1"/>
          </w:tcPr>
          <w:p w:rsidR="005B2582" w:rsidRPr="00D72AC3" w:rsidRDefault="005B2582" w:rsidP="0025344E">
            <w:pPr>
              <w:jc w:val="both"/>
              <w:rPr>
                <w:rFonts w:cs="Times New Roman"/>
                <w:sz w:val="20"/>
                <w:szCs w:val="20"/>
                <w:lang w:val="en-GB"/>
              </w:rPr>
            </w:pPr>
            <w:r w:rsidRPr="00D72AC3">
              <w:rPr>
                <w:rFonts w:cs="Times New Roman"/>
                <w:sz w:val="20"/>
                <w:szCs w:val="20"/>
                <w:lang w:val="en-GB" w:bidi="en-GB"/>
              </w:rPr>
              <w:t>Single understanding about the arrest and confiscation of the proceeds from crime</w:t>
            </w:r>
          </w:p>
        </w:tc>
        <w:tc>
          <w:tcPr>
            <w:tcW w:w="1984" w:type="dxa"/>
            <w:shd w:val="clear" w:color="auto" w:fill="FFFFFF" w:themeFill="background1"/>
          </w:tcPr>
          <w:p w:rsidR="005B2582" w:rsidRPr="00D72AC3" w:rsidDel="002D7277" w:rsidRDefault="005B2582" w:rsidP="0025344E">
            <w:pPr>
              <w:jc w:val="both"/>
              <w:rPr>
                <w:rFonts w:cs="Times New Roman"/>
                <w:sz w:val="20"/>
                <w:szCs w:val="20"/>
                <w:lang w:val="en-GB"/>
              </w:rPr>
            </w:pPr>
            <w:r w:rsidRPr="00D72AC3">
              <w:rPr>
                <w:rFonts w:cs="Times New Roman"/>
                <w:sz w:val="20"/>
                <w:szCs w:val="20"/>
                <w:lang w:val="en-GB" w:bidi="en-GB"/>
              </w:rPr>
              <w:t>Investigators, prosecutors and judges - 300 persons trained</w:t>
            </w:r>
          </w:p>
        </w:tc>
        <w:tc>
          <w:tcPr>
            <w:tcW w:w="1418" w:type="dxa"/>
            <w:shd w:val="clear" w:color="auto" w:fill="FFFFFF" w:themeFill="background1"/>
          </w:tcPr>
          <w:p w:rsidR="005B2582" w:rsidRPr="00D72AC3" w:rsidDel="002D7277" w:rsidRDefault="005B2582" w:rsidP="008978FB">
            <w:pPr>
              <w:jc w:val="center"/>
              <w:rPr>
                <w:rFonts w:cs="Times New Roman"/>
                <w:sz w:val="20"/>
                <w:szCs w:val="20"/>
                <w:lang w:val="en-GB"/>
              </w:rPr>
            </w:pPr>
            <w:r w:rsidRPr="00D72AC3">
              <w:rPr>
                <w:rFonts w:cs="Times New Roman"/>
                <w:sz w:val="20"/>
                <w:szCs w:val="20"/>
                <w:lang w:val="en-GB" w:bidi="en-GB"/>
              </w:rPr>
              <w:t>LSPA, MoJ (CA)</w:t>
            </w:r>
          </w:p>
        </w:tc>
        <w:tc>
          <w:tcPr>
            <w:tcW w:w="1559" w:type="dxa"/>
            <w:shd w:val="clear" w:color="auto" w:fill="FFFFFF" w:themeFill="background1"/>
          </w:tcPr>
          <w:p w:rsidR="005B2582" w:rsidRPr="00D72AC3" w:rsidDel="002D7277" w:rsidRDefault="005B2582" w:rsidP="008978FB">
            <w:pPr>
              <w:jc w:val="center"/>
              <w:rPr>
                <w:sz w:val="20"/>
                <w:szCs w:val="20"/>
                <w:lang w:val="en-GB"/>
              </w:rPr>
            </w:pPr>
            <w:r w:rsidRPr="00D72AC3">
              <w:rPr>
                <w:sz w:val="20"/>
                <w:szCs w:val="20"/>
                <w:lang w:val="en-GB" w:bidi="en-GB"/>
              </w:rPr>
              <w:t>MoI (SP, SBG), CPCB, MoF (SRS TCPB), CS</w:t>
            </w:r>
          </w:p>
        </w:tc>
        <w:tc>
          <w:tcPr>
            <w:tcW w:w="1412" w:type="dxa"/>
            <w:shd w:val="clear" w:color="auto" w:fill="FFFFFF" w:themeFill="background1"/>
          </w:tcPr>
          <w:p w:rsidR="005B2582" w:rsidRPr="00D72AC3" w:rsidDel="002D7277" w:rsidRDefault="00781568" w:rsidP="00632D1F">
            <w:pPr>
              <w:jc w:val="center"/>
              <w:rPr>
                <w:rFonts w:cs="Times New Roman"/>
                <w:sz w:val="20"/>
                <w:szCs w:val="20"/>
                <w:lang w:val="en-GB"/>
              </w:rPr>
            </w:pPr>
            <w:r w:rsidRPr="00D72AC3">
              <w:rPr>
                <w:rFonts w:cs="Times New Roman"/>
                <w:sz w:val="20"/>
                <w:szCs w:val="20"/>
                <w:lang w:val="en-GB" w:bidi="en-GB"/>
              </w:rPr>
              <w:t>28 December 2019</w:t>
            </w:r>
          </w:p>
        </w:tc>
      </w:tr>
      <w:tr w:rsidR="0043626E" w:rsidRPr="00D72AC3" w:rsidTr="000D4C76">
        <w:trPr>
          <w:trHeight w:val="922"/>
        </w:trPr>
        <w:tc>
          <w:tcPr>
            <w:tcW w:w="534" w:type="dxa"/>
            <w:shd w:val="clear" w:color="auto" w:fill="FFFFFF" w:themeFill="background1"/>
          </w:tcPr>
          <w:p w:rsidR="0043626E" w:rsidRPr="00D72AC3" w:rsidRDefault="0043626E" w:rsidP="0043626E">
            <w:pPr>
              <w:rPr>
                <w:rFonts w:cs="Times New Roman"/>
                <w:sz w:val="20"/>
                <w:szCs w:val="20"/>
                <w:lang w:val="en-GB"/>
              </w:rPr>
            </w:pPr>
            <w:r w:rsidRPr="00D72AC3">
              <w:rPr>
                <w:rFonts w:cs="Times New Roman"/>
                <w:sz w:val="20"/>
                <w:szCs w:val="20"/>
                <w:lang w:val="en-GB" w:bidi="en-GB"/>
              </w:rPr>
              <w:t>8.2.</w:t>
            </w:r>
          </w:p>
        </w:tc>
        <w:tc>
          <w:tcPr>
            <w:tcW w:w="4286"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A07B3C" w:rsidP="0025344E">
            <w:pPr>
              <w:spacing w:line="256" w:lineRule="auto"/>
              <w:ind w:right="34"/>
              <w:jc w:val="both"/>
              <w:rPr>
                <w:rFonts w:cs="Times New Roman"/>
                <w:sz w:val="20"/>
                <w:szCs w:val="20"/>
                <w:lang w:val="en-GB"/>
              </w:rPr>
            </w:pPr>
            <w:r w:rsidRPr="00D72AC3">
              <w:rPr>
                <w:rFonts w:cs="Times New Roman"/>
                <w:sz w:val="20"/>
                <w:szCs w:val="20"/>
                <w:lang w:val="en-GB" w:bidi="en-GB"/>
              </w:rPr>
              <w:t xml:space="preserve">To enhance the guidelines for ensuring the confiscation of the criminally acquired property at the stage of pre-trial investigation, which entails the guidance for the recovery of the presumed </w:t>
            </w:r>
            <w:r w:rsidRPr="00D72AC3">
              <w:rPr>
                <w:rFonts w:cs="Times New Roman"/>
                <w:sz w:val="20"/>
                <w:szCs w:val="20"/>
                <w:lang w:val="en-GB" w:bidi="en-GB"/>
              </w:rPr>
              <w:lastRenderedPageBreak/>
              <w:t>criminally acquired property, effectiveness and to provide proposals for the enhancement thereof.</w:t>
            </w:r>
            <w:r w:rsidR="0043626E" w:rsidRPr="00D72AC3">
              <w:rPr>
                <w:lang w:val="en-GB" w:bidi="en-GB"/>
              </w:rPr>
              <w:t xml:space="preserve"> </w:t>
            </w:r>
          </w:p>
          <w:p w:rsidR="0043626E" w:rsidRPr="00D72AC3" w:rsidRDefault="0043626E" w:rsidP="00A07B3C">
            <w:pPr>
              <w:spacing w:after="160" w:line="259" w:lineRule="auto"/>
              <w:ind w:right="34"/>
              <w:rPr>
                <w:rFonts w:cs="Times New Roman"/>
                <w:sz w:val="20"/>
                <w:szCs w:val="20"/>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43626E" w:rsidP="0025344E">
            <w:pPr>
              <w:ind w:left="-108" w:right="-108"/>
              <w:jc w:val="both"/>
              <w:rPr>
                <w:rFonts w:cs="Times New Roman"/>
                <w:sz w:val="20"/>
                <w:szCs w:val="20"/>
                <w:lang w:val="en-GB"/>
              </w:rPr>
            </w:pPr>
            <w:r w:rsidRPr="00D72AC3">
              <w:rPr>
                <w:rFonts w:cs="Times New Roman"/>
                <w:sz w:val="20"/>
                <w:szCs w:val="20"/>
                <w:lang w:val="en-GB" w:bidi="en-GB"/>
              </w:rPr>
              <w:lastRenderedPageBreak/>
              <w:t>Moneyval recommendation 8.1.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A07B3C" w:rsidP="00A07B3C">
            <w:pPr>
              <w:rPr>
                <w:rFonts w:cs="Times New Roman"/>
                <w:sz w:val="20"/>
                <w:szCs w:val="20"/>
                <w:lang w:val="en-GB"/>
              </w:rPr>
            </w:pPr>
            <w:r w:rsidRPr="00D72AC3">
              <w:rPr>
                <w:rFonts w:cs="Times New Roman"/>
                <w:sz w:val="20"/>
                <w:szCs w:val="20"/>
                <w:lang w:val="en-GB" w:bidi="en-GB"/>
              </w:rPr>
              <w:t>Guidelines enhanced.</w:t>
            </w:r>
            <w:r w:rsidR="00D72AC3" w:rsidRPr="00D72AC3">
              <w:rPr>
                <w:rFonts w:cs="Times New Roman"/>
                <w:sz w:val="20"/>
                <w:szCs w:val="20"/>
                <w:lang w:val="en-GB" w:bidi="en-GB"/>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A07B3C" w:rsidP="0025344E">
            <w:pPr>
              <w:jc w:val="both"/>
              <w:rPr>
                <w:rFonts w:cs="Times New Roman"/>
                <w:sz w:val="20"/>
                <w:szCs w:val="20"/>
                <w:lang w:val="en-GB"/>
              </w:rPr>
            </w:pPr>
            <w:r w:rsidRPr="00D72AC3">
              <w:rPr>
                <w:rFonts w:cs="Times New Roman"/>
                <w:sz w:val="20"/>
                <w:szCs w:val="20"/>
                <w:lang w:val="en-GB" w:bidi="en-GB"/>
              </w:rPr>
              <w:t xml:space="preserve">Increase of identification and imposition of arrest on the criminally acquired property, inter alia, presumed </w:t>
            </w:r>
            <w:r w:rsidRPr="00D72AC3">
              <w:rPr>
                <w:rFonts w:cs="Times New Roman"/>
                <w:sz w:val="20"/>
                <w:szCs w:val="20"/>
                <w:lang w:val="en-GB" w:bidi="en-GB"/>
              </w:rPr>
              <w:lastRenderedPageBreak/>
              <w:t>property, as compared to the year before - 20%</w:t>
            </w:r>
          </w:p>
          <w:p w:rsidR="0043626E" w:rsidRPr="00D72AC3" w:rsidRDefault="0043626E" w:rsidP="0025344E">
            <w:pPr>
              <w:jc w:val="both"/>
              <w:rPr>
                <w:rFonts w:cs="Times New Roman"/>
                <w:sz w:val="20"/>
                <w:szCs w:val="2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43626E" w:rsidP="0043626E">
            <w:pPr>
              <w:jc w:val="center"/>
              <w:rPr>
                <w:rFonts w:cs="Times New Roman"/>
                <w:sz w:val="20"/>
                <w:szCs w:val="20"/>
                <w:lang w:val="en-GB"/>
              </w:rPr>
            </w:pPr>
            <w:r w:rsidRPr="00D72AC3">
              <w:rPr>
                <w:rFonts w:cs="Times New Roman"/>
                <w:sz w:val="20"/>
                <w:szCs w:val="20"/>
                <w:lang w:val="en-GB" w:bidi="en-GB"/>
              </w:rPr>
              <w:lastRenderedPageBreak/>
              <w:t>MoI (SP)</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43626E" w:rsidP="0043626E">
            <w:pPr>
              <w:jc w:val="center"/>
              <w:rPr>
                <w:sz w:val="20"/>
                <w:szCs w:val="20"/>
                <w:lang w:val="en-GB"/>
              </w:rPr>
            </w:pPr>
            <w:r w:rsidRPr="00D72AC3">
              <w:rPr>
                <w:sz w:val="20"/>
                <w:szCs w:val="20"/>
                <w:lang w:val="en-GB" w:bidi="en-GB"/>
              </w:rPr>
              <w:t>GPO, CPCB, NCCH, SBG, ISB</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rsidR="0043626E" w:rsidRPr="00D72AC3" w:rsidRDefault="0043626E" w:rsidP="0043626E">
            <w:pPr>
              <w:jc w:val="both"/>
              <w:rPr>
                <w:rFonts w:cs="Times New Roman"/>
                <w:sz w:val="20"/>
                <w:szCs w:val="20"/>
                <w:lang w:val="en-GB"/>
              </w:rPr>
            </w:pPr>
            <w:r w:rsidRPr="00D72AC3">
              <w:rPr>
                <w:rFonts w:cs="Times New Roman"/>
                <w:sz w:val="20"/>
                <w:szCs w:val="20"/>
                <w:lang w:val="en-GB" w:bidi="en-GB"/>
              </w:rPr>
              <w:t xml:space="preserve"> 28 December 2018</w:t>
            </w:r>
          </w:p>
          <w:p w:rsidR="0043626E" w:rsidRPr="00D72AC3" w:rsidRDefault="0043626E" w:rsidP="0043626E">
            <w:pPr>
              <w:jc w:val="both"/>
              <w:rPr>
                <w:rFonts w:cs="Times New Roman"/>
                <w:sz w:val="20"/>
                <w:szCs w:val="20"/>
                <w:lang w:val="en-GB"/>
              </w:rPr>
            </w:pPr>
          </w:p>
          <w:p w:rsidR="0043626E" w:rsidRPr="00D72AC3" w:rsidRDefault="0043626E" w:rsidP="0043626E">
            <w:pPr>
              <w:jc w:val="both"/>
              <w:rPr>
                <w:rFonts w:cs="Times New Roman"/>
                <w:sz w:val="20"/>
                <w:szCs w:val="20"/>
                <w:lang w:val="en-GB"/>
              </w:rPr>
            </w:pPr>
          </w:p>
          <w:p w:rsidR="0043626E" w:rsidRPr="00D72AC3" w:rsidRDefault="0043626E" w:rsidP="0043626E">
            <w:pPr>
              <w:jc w:val="both"/>
              <w:rPr>
                <w:rFonts w:cs="Times New Roman"/>
                <w:sz w:val="20"/>
                <w:szCs w:val="20"/>
                <w:lang w:val="en-GB"/>
              </w:rPr>
            </w:pPr>
          </w:p>
          <w:p w:rsidR="0043626E" w:rsidRPr="00D72AC3" w:rsidRDefault="0043626E" w:rsidP="0043626E">
            <w:pPr>
              <w:jc w:val="both"/>
              <w:rPr>
                <w:rFonts w:cs="Times New Roman"/>
                <w:sz w:val="20"/>
                <w:szCs w:val="20"/>
                <w:lang w:val="en-GB"/>
              </w:rPr>
            </w:pPr>
          </w:p>
          <w:p w:rsidR="0043626E" w:rsidRPr="00D72AC3" w:rsidRDefault="0043626E" w:rsidP="0043626E">
            <w:pPr>
              <w:jc w:val="center"/>
              <w:rPr>
                <w:rFonts w:cs="Times New Roman"/>
                <w:sz w:val="20"/>
                <w:szCs w:val="20"/>
                <w:lang w:val="en-GB"/>
              </w:rPr>
            </w:pPr>
          </w:p>
        </w:tc>
      </w:tr>
      <w:tr w:rsidR="000D6C44" w:rsidRPr="00D72AC3" w:rsidTr="000D4C76">
        <w:trPr>
          <w:trHeight w:val="922"/>
        </w:trPr>
        <w:tc>
          <w:tcPr>
            <w:tcW w:w="534" w:type="dxa"/>
            <w:tcBorders>
              <w:top w:val="single" w:sz="4" w:space="0" w:color="auto"/>
              <w:left w:val="single" w:sz="4" w:space="0" w:color="auto"/>
              <w:right w:val="single" w:sz="4" w:space="0" w:color="auto"/>
            </w:tcBorders>
            <w:shd w:val="clear" w:color="auto" w:fill="FFFFFF" w:themeFill="background1"/>
          </w:tcPr>
          <w:p w:rsidR="000D6C44" w:rsidRPr="00D72AC3" w:rsidRDefault="000D6C44" w:rsidP="00004BA0">
            <w:pPr>
              <w:rPr>
                <w:rFonts w:cs="Times New Roman"/>
                <w:sz w:val="20"/>
                <w:szCs w:val="20"/>
                <w:lang w:val="en-GB"/>
              </w:rPr>
            </w:pPr>
            <w:bookmarkStart w:id="16" w:name="_Hlk522539006"/>
            <w:r w:rsidRPr="00D72AC3">
              <w:rPr>
                <w:rFonts w:cs="Times New Roman"/>
                <w:sz w:val="20"/>
                <w:szCs w:val="20"/>
                <w:lang w:val="en-GB" w:bidi="en-GB"/>
              </w:rPr>
              <w:lastRenderedPageBreak/>
              <w:t>8.3.</w:t>
            </w:r>
          </w:p>
        </w:tc>
        <w:tc>
          <w:tcPr>
            <w:tcW w:w="4286" w:type="dxa"/>
            <w:tcBorders>
              <w:top w:val="single" w:sz="4" w:space="0" w:color="auto"/>
              <w:left w:val="single" w:sz="4" w:space="0" w:color="auto"/>
              <w:right w:val="single" w:sz="4" w:space="0" w:color="auto"/>
            </w:tcBorders>
            <w:shd w:val="clear" w:color="auto" w:fill="FFFFFF" w:themeFill="background1"/>
          </w:tcPr>
          <w:p w:rsidR="000D6C44" w:rsidRPr="00D72AC3" w:rsidRDefault="00FE4A2E" w:rsidP="009E1CD8">
            <w:pPr>
              <w:spacing w:after="160" w:line="252" w:lineRule="auto"/>
              <w:ind w:right="34"/>
              <w:jc w:val="both"/>
              <w:rPr>
                <w:sz w:val="20"/>
                <w:szCs w:val="20"/>
                <w:lang w:val="en-GB"/>
              </w:rPr>
            </w:pPr>
            <w:r w:rsidRPr="00D72AC3">
              <w:rPr>
                <w:sz w:val="20"/>
                <w:szCs w:val="20"/>
                <w:lang w:val="en-GB" w:bidi="en-GB"/>
              </w:rPr>
              <w:t xml:space="preserve"> To supplement the report of the Statistical Work Group, by defining the fields to be integrated in the State information systems (eventually - CIS (Court Information System) and KRASS (Criminal Procedure Information System)) for the needs of accounts of the statistical data, to ensure a fully-fledged fulfilment of the FATF Recommendation 33.</w:t>
            </w:r>
          </w:p>
        </w:tc>
        <w:tc>
          <w:tcPr>
            <w:tcW w:w="1417" w:type="dxa"/>
            <w:tcBorders>
              <w:top w:val="single" w:sz="4" w:space="0" w:color="auto"/>
              <w:left w:val="single" w:sz="4" w:space="0" w:color="auto"/>
              <w:right w:val="single" w:sz="4" w:space="0" w:color="auto"/>
            </w:tcBorders>
            <w:shd w:val="clear" w:color="auto" w:fill="FFFFFF" w:themeFill="background1"/>
          </w:tcPr>
          <w:p w:rsidR="000D6C44" w:rsidRPr="00D72AC3" w:rsidRDefault="000D6C44" w:rsidP="0025344E">
            <w:pPr>
              <w:ind w:left="-108" w:right="-108"/>
              <w:rPr>
                <w:rFonts w:cs="Times New Roman"/>
                <w:sz w:val="20"/>
                <w:szCs w:val="20"/>
                <w:lang w:val="en-GB"/>
              </w:rPr>
            </w:pPr>
            <w:r w:rsidRPr="00D72AC3">
              <w:rPr>
                <w:rFonts w:cs="Times New Roman"/>
                <w:sz w:val="20"/>
                <w:szCs w:val="20"/>
                <w:lang w:val="en-GB" w:bidi="en-GB"/>
              </w:rPr>
              <w:t>Moneyval recommendation 8.2.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0D6C44" w:rsidRPr="00D72AC3" w:rsidRDefault="00322151" w:rsidP="0025344E">
            <w:pPr>
              <w:spacing w:line="252" w:lineRule="auto"/>
              <w:jc w:val="both"/>
              <w:rPr>
                <w:sz w:val="20"/>
                <w:szCs w:val="20"/>
                <w:lang w:val="en-GB"/>
              </w:rPr>
            </w:pPr>
            <w:r w:rsidRPr="00D72AC3">
              <w:rPr>
                <w:sz w:val="20"/>
                <w:szCs w:val="20"/>
                <w:lang w:val="en-GB" w:bidi="en-GB"/>
              </w:rPr>
              <w:t>Fulfilment of the FATF Recommendation 33 ensured</w:t>
            </w:r>
          </w:p>
          <w:p w:rsidR="000D6C44" w:rsidRPr="00D72AC3" w:rsidRDefault="000D6C44" w:rsidP="003923D2">
            <w:pPr>
              <w:rPr>
                <w:rFonts w:cs="Times New Roman"/>
                <w:sz w:val="20"/>
                <w:szCs w:val="20"/>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D6C44" w:rsidRPr="00D72AC3" w:rsidRDefault="00322151" w:rsidP="0025344E">
            <w:pPr>
              <w:spacing w:line="252" w:lineRule="auto"/>
              <w:jc w:val="both"/>
              <w:rPr>
                <w:sz w:val="20"/>
                <w:szCs w:val="20"/>
                <w:lang w:val="en-GB"/>
              </w:rPr>
            </w:pPr>
            <w:r w:rsidRPr="00D72AC3">
              <w:rPr>
                <w:sz w:val="20"/>
                <w:szCs w:val="20"/>
                <w:lang w:val="en-GB" w:bidi="en-GB"/>
              </w:rPr>
              <w:t>The report of the Statistical Work Group enhanced and submitted to the FSDB.</w:t>
            </w:r>
          </w:p>
          <w:p w:rsidR="000D6C44" w:rsidRPr="00D72AC3" w:rsidRDefault="000D6C44" w:rsidP="0025344E">
            <w:pPr>
              <w:spacing w:line="252" w:lineRule="auto"/>
              <w:jc w:val="both"/>
              <w:rPr>
                <w:rFonts w:cs="Times New Roman"/>
                <w:sz w:val="20"/>
                <w:szCs w:val="2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D6C44" w:rsidRPr="00D72AC3" w:rsidRDefault="000D6C44" w:rsidP="008978FB">
            <w:pPr>
              <w:spacing w:line="252" w:lineRule="auto"/>
              <w:jc w:val="center"/>
              <w:rPr>
                <w:sz w:val="20"/>
                <w:szCs w:val="20"/>
                <w:lang w:val="en-GB"/>
              </w:rPr>
            </w:pPr>
            <w:r w:rsidRPr="00D72AC3">
              <w:rPr>
                <w:sz w:val="20"/>
                <w:szCs w:val="20"/>
                <w:lang w:val="en-GB" w:bidi="en-GB"/>
              </w:rPr>
              <w:t>CS</w:t>
            </w:r>
          </w:p>
          <w:p w:rsidR="000D6C44" w:rsidRPr="00D72AC3" w:rsidRDefault="000D6C44" w:rsidP="008978FB">
            <w:pPr>
              <w:jc w:val="center"/>
              <w:rPr>
                <w:rFonts w:cs="Times New Roman"/>
                <w:sz w:val="20"/>
                <w:szCs w:val="20"/>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0D6C44" w:rsidRPr="00D72AC3" w:rsidRDefault="000D6C44" w:rsidP="008978FB">
            <w:pPr>
              <w:jc w:val="center"/>
              <w:rPr>
                <w:sz w:val="20"/>
                <w:szCs w:val="20"/>
                <w:lang w:val="en-GB"/>
              </w:rPr>
            </w:pPr>
            <w:r w:rsidRPr="00D72AC3">
              <w:rPr>
                <w:sz w:val="20"/>
                <w:szCs w:val="20"/>
                <w:lang w:val="en-GB" w:bidi="en-GB"/>
              </w:rPr>
              <w:t>CS, SRS, SeP, CPCB, GPO, MoJ (as the supervisory authority of the CA), MoI (as the supervisory authority of the IC).</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rsidR="000D6C44" w:rsidRPr="00D72AC3" w:rsidRDefault="000D6C44" w:rsidP="008978FB">
            <w:pPr>
              <w:spacing w:line="252" w:lineRule="auto"/>
              <w:jc w:val="center"/>
              <w:rPr>
                <w:sz w:val="20"/>
                <w:szCs w:val="20"/>
                <w:lang w:val="en-GB"/>
              </w:rPr>
            </w:pPr>
            <w:r w:rsidRPr="00D72AC3">
              <w:rPr>
                <w:sz w:val="20"/>
                <w:szCs w:val="20"/>
                <w:lang w:val="en-GB" w:bidi="en-GB"/>
              </w:rPr>
              <w:t>1 February 2019</w:t>
            </w:r>
          </w:p>
          <w:p w:rsidR="000D6C44" w:rsidRPr="00D72AC3" w:rsidRDefault="000D6C44" w:rsidP="008978FB">
            <w:pPr>
              <w:jc w:val="center"/>
              <w:rPr>
                <w:rFonts w:cs="Times New Roman"/>
                <w:sz w:val="20"/>
                <w:szCs w:val="20"/>
                <w:lang w:val="en-GB"/>
              </w:rPr>
            </w:pPr>
          </w:p>
        </w:tc>
      </w:tr>
      <w:bookmarkEnd w:id="16"/>
      <w:tr w:rsidR="00004BA0" w:rsidRPr="00D72AC3" w:rsidTr="008978FB">
        <w:trPr>
          <w:trHeight w:val="922"/>
        </w:trPr>
        <w:tc>
          <w:tcPr>
            <w:tcW w:w="534" w:type="dxa"/>
            <w:shd w:val="clear" w:color="auto" w:fill="FFFFFF" w:themeFill="background1"/>
          </w:tcPr>
          <w:p w:rsidR="00004BA0" w:rsidRPr="00D72AC3" w:rsidRDefault="00E73D3E" w:rsidP="00004BA0">
            <w:pPr>
              <w:rPr>
                <w:rFonts w:cs="Times New Roman"/>
                <w:sz w:val="20"/>
                <w:szCs w:val="20"/>
                <w:lang w:val="en-GB"/>
              </w:rPr>
            </w:pPr>
            <w:r w:rsidRPr="00D72AC3">
              <w:rPr>
                <w:rFonts w:cs="Times New Roman"/>
                <w:sz w:val="20"/>
                <w:szCs w:val="20"/>
                <w:lang w:val="en-GB" w:bidi="en-GB"/>
              </w:rPr>
              <w:t>8.4.</w:t>
            </w:r>
          </w:p>
        </w:tc>
        <w:tc>
          <w:tcPr>
            <w:tcW w:w="4286" w:type="dxa"/>
            <w:shd w:val="clear" w:color="auto" w:fill="FFFFFF" w:themeFill="background1"/>
          </w:tcPr>
          <w:p w:rsidR="00004BA0" w:rsidRPr="00D72AC3" w:rsidRDefault="00004BA0" w:rsidP="00781568">
            <w:pPr>
              <w:jc w:val="both"/>
              <w:rPr>
                <w:rFonts w:cs="Times New Roman"/>
                <w:sz w:val="20"/>
                <w:szCs w:val="20"/>
                <w:lang w:val="en-GB"/>
              </w:rPr>
            </w:pPr>
            <w:r w:rsidRPr="00D72AC3">
              <w:rPr>
                <w:rFonts w:cs="Times New Roman"/>
                <w:sz w:val="20"/>
                <w:szCs w:val="20"/>
                <w:lang w:val="en-GB" w:bidi="en-GB"/>
              </w:rPr>
              <w:t xml:space="preserve">To develop and distribute a newsletter regarding the determination of value of the arrested property and entry of information into CIS with respect to the arrested property and the value thereof. </w:t>
            </w:r>
          </w:p>
        </w:tc>
        <w:tc>
          <w:tcPr>
            <w:tcW w:w="1417" w:type="dxa"/>
            <w:shd w:val="clear" w:color="auto" w:fill="FFFFFF" w:themeFill="background1"/>
          </w:tcPr>
          <w:p w:rsidR="00004BA0" w:rsidRPr="00D72AC3" w:rsidRDefault="00004BA0" w:rsidP="0025344E">
            <w:pPr>
              <w:ind w:left="-108" w:right="-108"/>
              <w:rPr>
                <w:rFonts w:cs="Times New Roman"/>
                <w:sz w:val="20"/>
                <w:szCs w:val="20"/>
                <w:lang w:val="en-GB"/>
              </w:rPr>
            </w:pPr>
            <w:r w:rsidRPr="00D72AC3">
              <w:rPr>
                <w:rFonts w:cs="Times New Roman"/>
                <w:sz w:val="20"/>
                <w:szCs w:val="20"/>
                <w:lang w:val="en-GB" w:bidi="en-GB"/>
              </w:rPr>
              <w:t>Moneyval recommendation 8.2.</w:t>
            </w:r>
          </w:p>
        </w:tc>
        <w:tc>
          <w:tcPr>
            <w:tcW w:w="2694" w:type="dxa"/>
            <w:shd w:val="clear" w:color="auto" w:fill="FFFFFF" w:themeFill="background1"/>
          </w:tcPr>
          <w:p w:rsidR="00004BA0" w:rsidRPr="00D72AC3" w:rsidRDefault="00781568" w:rsidP="0025344E">
            <w:pPr>
              <w:jc w:val="both"/>
              <w:rPr>
                <w:rFonts w:cs="Times New Roman"/>
                <w:sz w:val="20"/>
                <w:szCs w:val="20"/>
                <w:lang w:val="en-GB"/>
              </w:rPr>
            </w:pPr>
            <w:r w:rsidRPr="00D72AC3">
              <w:rPr>
                <w:rFonts w:cs="Times New Roman"/>
                <w:sz w:val="20"/>
                <w:szCs w:val="20"/>
                <w:lang w:val="en-GB" w:bidi="en-GB"/>
              </w:rPr>
              <w:t>Improved information quality in the CIS with respect to the arrested property and the value thereof</w:t>
            </w:r>
          </w:p>
        </w:tc>
        <w:tc>
          <w:tcPr>
            <w:tcW w:w="1984" w:type="dxa"/>
            <w:shd w:val="clear" w:color="auto" w:fill="FFFFFF" w:themeFill="background1"/>
          </w:tcPr>
          <w:p w:rsidR="00004BA0" w:rsidRPr="00D72AC3" w:rsidRDefault="00781568" w:rsidP="0025344E">
            <w:pPr>
              <w:jc w:val="both"/>
              <w:rPr>
                <w:rFonts w:cs="Times New Roman"/>
                <w:sz w:val="20"/>
                <w:szCs w:val="20"/>
                <w:lang w:val="en-GB"/>
              </w:rPr>
            </w:pPr>
            <w:r w:rsidRPr="00D72AC3">
              <w:rPr>
                <w:rFonts w:cs="Times New Roman"/>
                <w:sz w:val="20"/>
                <w:szCs w:val="20"/>
                <w:lang w:val="en-GB" w:bidi="en-GB"/>
              </w:rPr>
              <w:t>A newsletter prepared for the investigation authorities, prosecutors and judges</w:t>
            </w:r>
          </w:p>
        </w:tc>
        <w:tc>
          <w:tcPr>
            <w:tcW w:w="1418" w:type="dxa"/>
            <w:shd w:val="clear" w:color="auto" w:fill="FFFFFF" w:themeFill="background1"/>
          </w:tcPr>
          <w:p w:rsidR="00004BA0" w:rsidRPr="00D72AC3" w:rsidRDefault="00004BA0" w:rsidP="008978FB">
            <w:pPr>
              <w:jc w:val="center"/>
              <w:rPr>
                <w:rFonts w:cs="Times New Roman"/>
                <w:sz w:val="20"/>
                <w:szCs w:val="20"/>
                <w:lang w:val="en-GB"/>
              </w:rPr>
            </w:pPr>
            <w:r w:rsidRPr="00D72AC3">
              <w:rPr>
                <w:rFonts w:cs="Times New Roman"/>
                <w:sz w:val="20"/>
                <w:szCs w:val="20"/>
                <w:lang w:val="en-GB" w:bidi="en-GB"/>
              </w:rPr>
              <w:t>MoJ</w:t>
            </w:r>
          </w:p>
        </w:tc>
        <w:tc>
          <w:tcPr>
            <w:tcW w:w="1559" w:type="dxa"/>
            <w:shd w:val="clear" w:color="auto" w:fill="FFFFFF" w:themeFill="background1"/>
          </w:tcPr>
          <w:p w:rsidR="00004BA0" w:rsidRPr="00D72AC3" w:rsidRDefault="00004BA0" w:rsidP="008978FB">
            <w:pPr>
              <w:jc w:val="center"/>
              <w:rPr>
                <w:sz w:val="20"/>
                <w:szCs w:val="20"/>
                <w:lang w:val="en-GB"/>
              </w:rPr>
            </w:pPr>
          </w:p>
        </w:tc>
        <w:tc>
          <w:tcPr>
            <w:tcW w:w="1412" w:type="dxa"/>
            <w:shd w:val="clear" w:color="auto" w:fill="FFFFFF" w:themeFill="background1"/>
          </w:tcPr>
          <w:p w:rsidR="00004BA0" w:rsidRPr="00D72AC3" w:rsidRDefault="00004BA0" w:rsidP="008978FB">
            <w:pPr>
              <w:jc w:val="center"/>
              <w:rPr>
                <w:rFonts w:cs="Times New Roman"/>
                <w:sz w:val="20"/>
                <w:szCs w:val="20"/>
                <w:lang w:val="en-GB"/>
              </w:rPr>
            </w:pPr>
            <w:r w:rsidRPr="00D72AC3">
              <w:rPr>
                <w:rFonts w:cs="Times New Roman"/>
                <w:sz w:val="20"/>
                <w:szCs w:val="20"/>
                <w:lang w:val="en-GB" w:bidi="en-GB"/>
              </w:rPr>
              <w:t>15 November 2018</w:t>
            </w:r>
          </w:p>
        </w:tc>
      </w:tr>
      <w:tr w:rsidR="00004BA0" w:rsidRPr="00D72AC3" w:rsidTr="008978FB">
        <w:trPr>
          <w:trHeight w:val="922"/>
        </w:trPr>
        <w:tc>
          <w:tcPr>
            <w:tcW w:w="534" w:type="dxa"/>
            <w:shd w:val="clear" w:color="auto" w:fill="FFFFFF" w:themeFill="background1"/>
          </w:tcPr>
          <w:p w:rsidR="00004BA0" w:rsidRPr="00D72AC3" w:rsidRDefault="00E73D3E" w:rsidP="00004BA0">
            <w:pPr>
              <w:rPr>
                <w:rFonts w:cs="Times New Roman"/>
                <w:sz w:val="20"/>
                <w:szCs w:val="20"/>
                <w:lang w:val="en-GB"/>
              </w:rPr>
            </w:pPr>
            <w:r w:rsidRPr="00D72AC3">
              <w:rPr>
                <w:rFonts w:cs="Times New Roman"/>
                <w:sz w:val="20"/>
                <w:szCs w:val="20"/>
                <w:lang w:val="en-GB" w:bidi="en-GB"/>
              </w:rPr>
              <w:t>8.5.</w:t>
            </w:r>
          </w:p>
        </w:tc>
        <w:tc>
          <w:tcPr>
            <w:tcW w:w="4286" w:type="dxa"/>
            <w:shd w:val="clear" w:color="auto" w:fill="FFFFFF" w:themeFill="background1"/>
          </w:tcPr>
          <w:p w:rsidR="00004BA0" w:rsidRPr="00D72AC3" w:rsidRDefault="00004BA0" w:rsidP="00004BA0">
            <w:pPr>
              <w:jc w:val="both"/>
              <w:rPr>
                <w:rFonts w:cs="Times New Roman"/>
                <w:sz w:val="20"/>
                <w:szCs w:val="20"/>
                <w:lang w:val="en-GB"/>
              </w:rPr>
            </w:pPr>
            <w:r w:rsidRPr="00D72AC3">
              <w:rPr>
                <w:rFonts w:cs="Times New Roman"/>
                <w:sz w:val="20"/>
                <w:szCs w:val="20"/>
                <w:lang w:val="en-GB" w:bidi="en-GB"/>
              </w:rPr>
              <w:t>To prepare and distribute a newsletter regarding legal regulation of the confiscation of the proceeds from crime, which took effect on 1 August 2017</w:t>
            </w:r>
          </w:p>
          <w:p w:rsidR="00004BA0" w:rsidRPr="00D72AC3" w:rsidRDefault="00004BA0" w:rsidP="00004BA0">
            <w:pPr>
              <w:jc w:val="both"/>
              <w:rPr>
                <w:rFonts w:cs="Times New Roman"/>
                <w:sz w:val="20"/>
                <w:szCs w:val="20"/>
                <w:lang w:val="en-GB"/>
              </w:rPr>
            </w:pPr>
          </w:p>
        </w:tc>
        <w:tc>
          <w:tcPr>
            <w:tcW w:w="1417" w:type="dxa"/>
            <w:shd w:val="clear" w:color="auto" w:fill="FFFFFF" w:themeFill="background1"/>
          </w:tcPr>
          <w:p w:rsidR="00004BA0" w:rsidRPr="00D72AC3" w:rsidRDefault="00004BA0" w:rsidP="0025344E">
            <w:pPr>
              <w:ind w:left="-108" w:right="-108"/>
              <w:rPr>
                <w:rFonts w:cs="Times New Roman"/>
                <w:sz w:val="20"/>
                <w:szCs w:val="20"/>
                <w:lang w:val="en-GB"/>
              </w:rPr>
            </w:pPr>
            <w:r w:rsidRPr="00D72AC3">
              <w:rPr>
                <w:rFonts w:cs="Times New Roman"/>
                <w:sz w:val="20"/>
                <w:szCs w:val="20"/>
                <w:lang w:val="en-GB" w:bidi="en-GB"/>
              </w:rPr>
              <w:t>Moneyval recommendation 8.3.</w:t>
            </w:r>
          </w:p>
        </w:tc>
        <w:tc>
          <w:tcPr>
            <w:tcW w:w="2694" w:type="dxa"/>
            <w:shd w:val="clear" w:color="auto" w:fill="FFFFFF" w:themeFill="background1"/>
          </w:tcPr>
          <w:p w:rsidR="00004BA0" w:rsidRPr="00D72AC3" w:rsidRDefault="00781568" w:rsidP="0025344E">
            <w:pPr>
              <w:jc w:val="both"/>
              <w:rPr>
                <w:rFonts w:cs="Times New Roman"/>
                <w:sz w:val="20"/>
                <w:szCs w:val="20"/>
                <w:lang w:val="en-GB"/>
              </w:rPr>
            </w:pPr>
            <w:r w:rsidRPr="00D72AC3">
              <w:rPr>
                <w:rFonts w:cs="Times New Roman"/>
                <w:sz w:val="20"/>
                <w:szCs w:val="20"/>
                <w:lang w:val="en-GB" w:bidi="en-GB"/>
              </w:rPr>
              <w:t>The newsletter for the judges prepared</w:t>
            </w:r>
          </w:p>
        </w:tc>
        <w:tc>
          <w:tcPr>
            <w:tcW w:w="1984" w:type="dxa"/>
            <w:shd w:val="clear" w:color="auto" w:fill="FFFFFF" w:themeFill="background1"/>
          </w:tcPr>
          <w:p w:rsidR="00004BA0" w:rsidRPr="00D72AC3" w:rsidRDefault="00004BA0" w:rsidP="0025344E">
            <w:pPr>
              <w:jc w:val="both"/>
              <w:rPr>
                <w:rFonts w:cs="Times New Roman"/>
                <w:sz w:val="20"/>
                <w:szCs w:val="20"/>
                <w:lang w:val="en-GB"/>
              </w:rPr>
            </w:pPr>
            <w:r w:rsidRPr="00D72AC3">
              <w:rPr>
                <w:rFonts w:cs="Times New Roman"/>
                <w:sz w:val="20"/>
                <w:szCs w:val="20"/>
                <w:lang w:val="en-GB" w:bidi="en-GB"/>
              </w:rPr>
              <w:t>Increase of the confiscation of the proceeds from crime, based on the judgment of conviction, by 100%”</w:t>
            </w:r>
          </w:p>
        </w:tc>
        <w:tc>
          <w:tcPr>
            <w:tcW w:w="1418" w:type="dxa"/>
            <w:shd w:val="clear" w:color="auto" w:fill="FFFFFF" w:themeFill="background1"/>
          </w:tcPr>
          <w:p w:rsidR="00004BA0" w:rsidRPr="00D72AC3" w:rsidRDefault="00004BA0" w:rsidP="008978FB">
            <w:pPr>
              <w:jc w:val="center"/>
              <w:rPr>
                <w:rFonts w:cs="Times New Roman"/>
                <w:sz w:val="20"/>
                <w:szCs w:val="20"/>
                <w:lang w:val="en-GB"/>
              </w:rPr>
            </w:pPr>
            <w:r w:rsidRPr="00D72AC3">
              <w:rPr>
                <w:rFonts w:cs="Times New Roman"/>
                <w:sz w:val="20"/>
                <w:szCs w:val="20"/>
                <w:lang w:val="en-GB" w:bidi="en-GB"/>
              </w:rPr>
              <w:t>MoJ</w:t>
            </w:r>
          </w:p>
        </w:tc>
        <w:tc>
          <w:tcPr>
            <w:tcW w:w="1559" w:type="dxa"/>
            <w:shd w:val="clear" w:color="auto" w:fill="FFFFFF" w:themeFill="background1"/>
          </w:tcPr>
          <w:p w:rsidR="00004BA0" w:rsidRPr="00D72AC3" w:rsidRDefault="00004BA0" w:rsidP="008978FB">
            <w:pPr>
              <w:jc w:val="center"/>
              <w:rPr>
                <w:sz w:val="20"/>
                <w:szCs w:val="20"/>
                <w:lang w:val="en-GB"/>
              </w:rPr>
            </w:pPr>
          </w:p>
        </w:tc>
        <w:tc>
          <w:tcPr>
            <w:tcW w:w="1412" w:type="dxa"/>
            <w:shd w:val="clear" w:color="auto" w:fill="FFFFFF" w:themeFill="background1"/>
          </w:tcPr>
          <w:p w:rsidR="00004BA0" w:rsidRPr="00D72AC3" w:rsidRDefault="00004BA0" w:rsidP="008978FB">
            <w:pPr>
              <w:jc w:val="center"/>
              <w:rPr>
                <w:rFonts w:cs="Times New Roman"/>
                <w:sz w:val="20"/>
                <w:szCs w:val="20"/>
                <w:lang w:val="en-GB"/>
              </w:rPr>
            </w:pPr>
            <w:r w:rsidRPr="00D72AC3">
              <w:rPr>
                <w:rFonts w:cs="Times New Roman"/>
                <w:sz w:val="20"/>
                <w:szCs w:val="20"/>
                <w:lang w:val="en-GB" w:bidi="en-GB"/>
              </w:rPr>
              <w:t>15 November 2018</w:t>
            </w:r>
          </w:p>
        </w:tc>
      </w:tr>
      <w:tr w:rsidR="00004BA0" w:rsidRPr="00D72AC3" w:rsidTr="008978FB">
        <w:trPr>
          <w:trHeight w:val="922"/>
        </w:trPr>
        <w:tc>
          <w:tcPr>
            <w:tcW w:w="534" w:type="dxa"/>
            <w:shd w:val="clear" w:color="auto" w:fill="FFFFFF" w:themeFill="background1"/>
          </w:tcPr>
          <w:p w:rsidR="00004BA0" w:rsidRPr="00D72AC3" w:rsidRDefault="00E73D3E" w:rsidP="00004BA0">
            <w:pPr>
              <w:rPr>
                <w:rFonts w:cs="Times New Roman"/>
                <w:sz w:val="20"/>
                <w:szCs w:val="20"/>
                <w:lang w:val="en-GB"/>
              </w:rPr>
            </w:pPr>
            <w:r w:rsidRPr="00D72AC3">
              <w:rPr>
                <w:rFonts w:cs="Times New Roman"/>
                <w:sz w:val="20"/>
                <w:szCs w:val="20"/>
                <w:lang w:val="en-GB" w:bidi="en-GB"/>
              </w:rPr>
              <w:t>8.6.</w:t>
            </w:r>
          </w:p>
        </w:tc>
        <w:tc>
          <w:tcPr>
            <w:tcW w:w="4286" w:type="dxa"/>
            <w:shd w:val="clear" w:color="auto" w:fill="FFFFFF" w:themeFill="background1"/>
          </w:tcPr>
          <w:p w:rsidR="00004BA0" w:rsidRPr="00D72AC3" w:rsidRDefault="00004BA0" w:rsidP="00004BA0">
            <w:pPr>
              <w:jc w:val="both"/>
              <w:rPr>
                <w:rFonts w:cs="Times New Roman"/>
                <w:sz w:val="20"/>
                <w:szCs w:val="20"/>
                <w:lang w:val="en-GB"/>
              </w:rPr>
            </w:pPr>
            <w:r w:rsidRPr="00D72AC3">
              <w:rPr>
                <w:rFonts w:cs="Times New Roman"/>
                <w:sz w:val="20"/>
                <w:szCs w:val="20"/>
                <w:lang w:val="en-GB" w:bidi="en-GB"/>
              </w:rPr>
              <w:t>To introduce amendments to legal framework, in order to effectively combat ML on border, as well as to ensure dissuasive system with respect to arrest and confiscation of cash not declared or falsely declared on border.</w:t>
            </w:r>
          </w:p>
        </w:tc>
        <w:tc>
          <w:tcPr>
            <w:tcW w:w="1417" w:type="dxa"/>
            <w:shd w:val="clear" w:color="auto" w:fill="FFFFFF" w:themeFill="background1"/>
          </w:tcPr>
          <w:p w:rsidR="00004BA0" w:rsidRPr="00D72AC3" w:rsidRDefault="00004BA0" w:rsidP="0025344E">
            <w:pPr>
              <w:ind w:left="-108" w:right="-108"/>
              <w:rPr>
                <w:rFonts w:cs="Times New Roman"/>
                <w:sz w:val="20"/>
                <w:szCs w:val="20"/>
                <w:lang w:val="en-GB"/>
              </w:rPr>
            </w:pPr>
            <w:r w:rsidRPr="00D72AC3">
              <w:rPr>
                <w:rFonts w:cs="Times New Roman"/>
                <w:sz w:val="20"/>
                <w:szCs w:val="20"/>
                <w:lang w:val="en-GB" w:bidi="en-GB"/>
              </w:rPr>
              <w:t>Moneyval recommendation 8.4.</w:t>
            </w:r>
          </w:p>
          <w:p w:rsidR="001932D5" w:rsidRPr="00D72AC3" w:rsidRDefault="001932D5" w:rsidP="0025344E">
            <w:pPr>
              <w:ind w:left="-108" w:right="-108"/>
              <w:rPr>
                <w:rFonts w:cs="Times New Roman"/>
                <w:sz w:val="20"/>
                <w:szCs w:val="20"/>
                <w:lang w:val="en-GB"/>
              </w:rPr>
            </w:pPr>
          </w:p>
          <w:p w:rsidR="001932D5" w:rsidRPr="00D72AC3" w:rsidRDefault="001932D5" w:rsidP="0025344E">
            <w:pPr>
              <w:rPr>
                <w:sz w:val="20"/>
                <w:szCs w:val="20"/>
                <w:lang w:val="en-GB"/>
              </w:rPr>
            </w:pPr>
            <w:r w:rsidRPr="00D72AC3">
              <w:rPr>
                <w:sz w:val="20"/>
                <w:szCs w:val="20"/>
                <w:lang w:val="en-GB" w:bidi="en-GB"/>
              </w:rPr>
              <w:t>Plan of Measures for 2017-2019 Measure 2.7.</w:t>
            </w:r>
          </w:p>
          <w:p w:rsidR="001932D5" w:rsidRPr="00D72AC3" w:rsidRDefault="001932D5" w:rsidP="0025344E">
            <w:pPr>
              <w:ind w:left="-108" w:right="-108"/>
              <w:rPr>
                <w:rFonts w:cs="Times New Roman"/>
                <w:sz w:val="20"/>
                <w:szCs w:val="20"/>
                <w:lang w:val="en-GB"/>
              </w:rPr>
            </w:pPr>
          </w:p>
        </w:tc>
        <w:tc>
          <w:tcPr>
            <w:tcW w:w="2694" w:type="dxa"/>
            <w:shd w:val="clear" w:color="auto" w:fill="FFFFFF" w:themeFill="background1"/>
          </w:tcPr>
          <w:p w:rsidR="00781568" w:rsidRPr="00D72AC3" w:rsidRDefault="00781568" w:rsidP="0025344E">
            <w:pPr>
              <w:jc w:val="both"/>
              <w:rPr>
                <w:rFonts w:cs="Times New Roman"/>
                <w:sz w:val="20"/>
                <w:szCs w:val="20"/>
                <w:lang w:val="en-GB"/>
              </w:rPr>
            </w:pPr>
            <w:r w:rsidRPr="00D72AC3">
              <w:rPr>
                <w:rFonts w:cs="Times New Roman"/>
                <w:sz w:val="20"/>
                <w:szCs w:val="20"/>
                <w:lang w:val="en-GB" w:bidi="en-GB"/>
              </w:rPr>
              <w:t>Effective combating of the proceeds from crime on border - limited or terminated circulation of cash, including cash from crime, by taking control measures on the internal EU borders.</w:t>
            </w:r>
          </w:p>
          <w:p w:rsidR="00781568" w:rsidRPr="00D72AC3" w:rsidRDefault="00781568" w:rsidP="0025344E">
            <w:pPr>
              <w:jc w:val="both"/>
              <w:rPr>
                <w:rFonts w:cs="Times New Roman"/>
                <w:sz w:val="20"/>
                <w:szCs w:val="20"/>
                <w:lang w:val="en-GB"/>
              </w:rPr>
            </w:pPr>
            <w:r w:rsidRPr="00D72AC3">
              <w:rPr>
                <w:rFonts w:cs="Times New Roman"/>
                <w:sz w:val="20"/>
                <w:szCs w:val="20"/>
                <w:lang w:val="en-GB" w:bidi="en-GB"/>
              </w:rPr>
              <w:t>Funds (cash) transferred into the State budget (inter alia, those recognised as criminally acquired) - increase as compared to year before - 100%</w:t>
            </w:r>
          </w:p>
          <w:p w:rsidR="00004BA0" w:rsidRPr="00D72AC3" w:rsidRDefault="00004BA0" w:rsidP="0025344E">
            <w:pPr>
              <w:jc w:val="both"/>
              <w:rPr>
                <w:rFonts w:cs="Times New Roman"/>
                <w:sz w:val="20"/>
                <w:szCs w:val="20"/>
                <w:lang w:val="en-GB"/>
              </w:rPr>
            </w:pPr>
          </w:p>
        </w:tc>
        <w:tc>
          <w:tcPr>
            <w:tcW w:w="1984" w:type="dxa"/>
            <w:shd w:val="clear" w:color="auto" w:fill="FFFFFF" w:themeFill="background1"/>
          </w:tcPr>
          <w:p w:rsidR="00781568" w:rsidRPr="00D72AC3" w:rsidRDefault="00781568" w:rsidP="0025344E">
            <w:pPr>
              <w:jc w:val="both"/>
              <w:rPr>
                <w:rFonts w:cs="Times New Roman"/>
                <w:sz w:val="20"/>
                <w:szCs w:val="20"/>
                <w:lang w:val="en-GB"/>
              </w:rPr>
            </w:pPr>
            <w:r w:rsidRPr="00D72AC3">
              <w:rPr>
                <w:rFonts w:cs="Times New Roman"/>
                <w:sz w:val="20"/>
                <w:szCs w:val="20"/>
                <w:lang w:val="en-GB" w:bidi="en-GB"/>
              </w:rPr>
              <w:t>Amendments to the legal framework prepared and submitted to the Cabinet of Ministers</w:t>
            </w:r>
          </w:p>
          <w:p w:rsidR="00781568" w:rsidRPr="00D72AC3" w:rsidRDefault="00781568" w:rsidP="0025344E">
            <w:pPr>
              <w:jc w:val="both"/>
              <w:rPr>
                <w:rFonts w:cs="Times New Roman"/>
                <w:sz w:val="20"/>
                <w:szCs w:val="20"/>
                <w:lang w:val="en-GB"/>
              </w:rPr>
            </w:pPr>
          </w:p>
          <w:p w:rsidR="00004BA0" w:rsidRPr="00D72AC3" w:rsidRDefault="00004BA0" w:rsidP="0025344E">
            <w:pPr>
              <w:jc w:val="both"/>
              <w:rPr>
                <w:rFonts w:cs="Times New Roman"/>
                <w:sz w:val="20"/>
                <w:szCs w:val="20"/>
                <w:lang w:val="en-GB"/>
              </w:rPr>
            </w:pPr>
          </w:p>
        </w:tc>
        <w:tc>
          <w:tcPr>
            <w:tcW w:w="1418" w:type="dxa"/>
            <w:shd w:val="clear" w:color="auto" w:fill="FFFFFF" w:themeFill="background1"/>
          </w:tcPr>
          <w:p w:rsidR="00004BA0" w:rsidRPr="00D72AC3" w:rsidRDefault="00004BA0" w:rsidP="008978FB">
            <w:pPr>
              <w:jc w:val="center"/>
              <w:rPr>
                <w:rFonts w:cs="Times New Roman"/>
                <w:sz w:val="20"/>
                <w:szCs w:val="20"/>
                <w:lang w:val="en-GB"/>
              </w:rPr>
            </w:pPr>
            <w:r w:rsidRPr="00D72AC3">
              <w:rPr>
                <w:rFonts w:cs="Times New Roman"/>
                <w:sz w:val="20"/>
                <w:szCs w:val="20"/>
                <w:lang w:val="en-GB" w:bidi="en-GB"/>
              </w:rPr>
              <w:t>MoF</w:t>
            </w:r>
          </w:p>
        </w:tc>
        <w:tc>
          <w:tcPr>
            <w:tcW w:w="1559" w:type="dxa"/>
            <w:shd w:val="clear" w:color="auto" w:fill="FFFFFF" w:themeFill="background1"/>
          </w:tcPr>
          <w:p w:rsidR="00004BA0" w:rsidRPr="00D72AC3" w:rsidRDefault="00004BA0" w:rsidP="008978FB">
            <w:pPr>
              <w:jc w:val="center"/>
              <w:rPr>
                <w:sz w:val="20"/>
                <w:szCs w:val="20"/>
                <w:lang w:val="en-GB"/>
              </w:rPr>
            </w:pPr>
            <w:r w:rsidRPr="00D72AC3">
              <w:rPr>
                <w:sz w:val="20"/>
                <w:szCs w:val="20"/>
                <w:lang w:val="en-GB" w:bidi="en-GB"/>
              </w:rPr>
              <w:t>MoJ, GPO, CS, SRS, SBG</w:t>
            </w:r>
          </w:p>
        </w:tc>
        <w:tc>
          <w:tcPr>
            <w:tcW w:w="1412" w:type="dxa"/>
            <w:shd w:val="clear" w:color="auto" w:fill="FFFFFF" w:themeFill="background1"/>
          </w:tcPr>
          <w:p w:rsidR="00004BA0" w:rsidRPr="00D72AC3" w:rsidRDefault="00004BA0" w:rsidP="008978FB">
            <w:pPr>
              <w:jc w:val="center"/>
              <w:rPr>
                <w:rFonts w:cs="Times New Roman"/>
                <w:sz w:val="20"/>
                <w:szCs w:val="20"/>
                <w:lang w:val="en-GB"/>
              </w:rPr>
            </w:pPr>
            <w:r w:rsidRPr="00D72AC3">
              <w:rPr>
                <w:rFonts w:cs="Times New Roman"/>
                <w:sz w:val="20"/>
                <w:szCs w:val="20"/>
                <w:lang w:val="en-GB" w:bidi="en-GB"/>
              </w:rPr>
              <w:t>28 December 2018</w:t>
            </w:r>
          </w:p>
          <w:p w:rsidR="00004BA0" w:rsidRPr="00D72AC3" w:rsidRDefault="00004BA0" w:rsidP="008978FB">
            <w:pPr>
              <w:jc w:val="center"/>
              <w:rPr>
                <w:rFonts w:cs="Times New Roman"/>
                <w:sz w:val="20"/>
                <w:szCs w:val="20"/>
                <w:lang w:val="en-GB"/>
              </w:rPr>
            </w:pPr>
          </w:p>
        </w:tc>
      </w:tr>
    </w:tbl>
    <w:p w:rsidR="00C66540" w:rsidRPr="00D72AC3" w:rsidRDefault="00C66540" w:rsidP="00FF0BBA">
      <w:pPr>
        <w:jc w:val="both"/>
        <w:rPr>
          <w:sz w:val="28"/>
          <w:szCs w:val="28"/>
          <w:lang w:val="en-GB"/>
        </w:rPr>
      </w:pPr>
    </w:p>
    <w:p w:rsidR="00C66540" w:rsidRPr="00D72AC3" w:rsidRDefault="00C66540" w:rsidP="00FF0BBA">
      <w:pPr>
        <w:jc w:val="both"/>
        <w:rPr>
          <w:b/>
          <w:sz w:val="28"/>
          <w:szCs w:val="28"/>
          <w:lang w:val="en-GB"/>
        </w:rPr>
      </w:pPr>
    </w:p>
    <w:p w:rsidR="00FF0BBA" w:rsidRPr="00D72AC3" w:rsidRDefault="001C2B0B" w:rsidP="00E24F37">
      <w:pPr>
        <w:pStyle w:val="Heading2"/>
        <w:rPr>
          <w:rFonts w:ascii="Times New Roman" w:hAnsi="Times New Roman" w:cs="Times New Roman"/>
          <w:b/>
          <w:color w:val="auto"/>
          <w:sz w:val="28"/>
          <w:szCs w:val="28"/>
          <w:lang w:val="en-GB"/>
        </w:rPr>
      </w:pPr>
      <w:bookmarkStart w:id="17" w:name="_Toc526510442"/>
      <w:r w:rsidRPr="00D72AC3">
        <w:rPr>
          <w:rFonts w:ascii="Times New Roman" w:eastAsia="Times New Roman" w:hAnsi="Times New Roman" w:cs="Times New Roman"/>
          <w:b/>
          <w:color w:val="auto"/>
          <w:sz w:val="28"/>
          <w:szCs w:val="28"/>
          <w:lang w:val="en-GB" w:bidi="en-GB"/>
        </w:rPr>
        <w:t>Ninth course of action- Investigation and prosecution of financing of terrorism</w:t>
      </w:r>
      <w:bookmarkEnd w:id="17"/>
      <w:r w:rsidR="00D72AC3" w:rsidRPr="00D72AC3">
        <w:rPr>
          <w:rFonts w:ascii="Times New Roman" w:eastAsia="Times New Roman" w:hAnsi="Times New Roman" w:cs="Times New Roman"/>
          <w:b/>
          <w:color w:val="auto"/>
          <w:sz w:val="28"/>
          <w:szCs w:val="28"/>
          <w:lang w:val="en-GB" w:bidi="en-GB"/>
        </w:rPr>
        <w:t xml:space="preserve"> </w:t>
      </w:r>
    </w:p>
    <w:p w:rsidR="00FF0BBA" w:rsidRPr="00D72AC3" w:rsidRDefault="00FF0BBA" w:rsidP="00FF0BBA">
      <w:pPr>
        <w:jc w:val="both"/>
        <w:rPr>
          <w:sz w:val="28"/>
          <w:szCs w:val="28"/>
          <w:lang w:val="en-GB"/>
        </w:rPr>
      </w:pPr>
    </w:p>
    <w:p w:rsidR="001C2B0B" w:rsidRPr="00D72AC3" w:rsidRDefault="001C2B0B" w:rsidP="001C2B0B">
      <w:pPr>
        <w:jc w:val="both"/>
        <w:rPr>
          <w:szCs w:val="24"/>
          <w:lang w:val="en-GB"/>
        </w:rPr>
      </w:pPr>
      <w:r w:rsidRPr="00D72AC3">
        <w:rPr>
          <w:szCs w:val="24"/>
          <w:lang w:val="en-GB" w:bidi="en-GB"/>
        </w:rPr>
        <w:t>Authority in charge of the course of action: MoI</w:t>
      </w:r>
    </w:p>
    <w:p w:rsidR="001C2B0B" w:rsidRPr="00D72AC3" w:rsidRDefault="001C2B0B" w:rsidP="001C2B0B">
      <w:pPr>
        <w:jc w:val="both"/>
        <w:rPr>
          <w:szCs w:val="24"/>
          <w:lang w:val="en-GB"/>
        </w:rPr>
      </w:pPr>
      <w:r w:rsidRPr="00D72AC3">
        <w:rPr>
          <w:szCs w:val="24"/>
          <w:lang w:val="en-GB" w:bidi="en-GB"/>
        </w:rPr>
        <w:t>Co-responsible authorities: SeP, CS, GPO</w:t>
      </w:r>
    </w:p>
    <w:p w:rsidR="003923D2" w:rsidRPr="00D72AC3" w:rsidRDefault="003923D2" w:rsidP="00FF0BBA">
      <w:pPr>
        <w:jc w:val="both"/>
        <w:rPr>
          <w:sz w:val="28"/>
          <w:szCs w:val="28"/>
          <w:lang w:val="en-GB"/>
        </w:rPr>
      </w:pPr>
    </w:p>
    <w:tbl>
      <w:tblPr>
        <w:tblpPr w:leftFromText="180" w:rightFromText="180" w:vertAnchor="page" w:horzAnchor="margin" w:tblpXSpec="center" w:tblpY="307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417"/>
        <w:gridCol w:w="2977"/>
        <w:gridCol w:w="2561"/>
        <w:gridCol w:w="1266"/>
        <w:gridCol w:w="1418"/>
        <w:gridCol w:w="1417"/>
      </w:tblGrid>
      <w:tr w:rsidR="003923D2" w:rsidRPr="00D72AC3" w:rsidTr="008978FB">
        <w:tc>
          <w:tcPr>
            <w:tcW w:w="3681" w:type="dxa"/>
            <w:gridSpan w:val="2"/>
            <w:shd w:val="clear" w:color="auto" w:fill="auto"/>
          </w:tcPr>
          <w:p w:rsidR="003923D2" w:rsidRPr="00D72AC3" w:rsidRDefault="003923D2" w:rsidP="000841C1">
            <w:pPr>
              <w:rPr>
                <w:rFonts w:cs="Times New Roman"/>
                <w:b/>
                <w:bCs/>
                <w:sz w:val="20"/>
                <w:szCs w:val="20"/>
                <w:lang w:val="en-GB"/>
              </w:rPr>
            </w:pPr>
            <w:r w:rsidRPr="00D72AC3">
              <w:rPr>
                <w:rFonts w:cs="Times New Roman"/>
                <w:b/>
                <w:sz w:val="20"/>
                <w:szCs w:val="20"/>
                <w:lang w:val="en-GB" w:bidi="en-GB"/>
              </w:rPr>
              <w:lastRenderedPageBreak/>
              <w:t>Ninth course of action</w:t>
            </w:r>
          </w:p>
        </w:tc>
        <w:tc>
          <w:tcPr>
            <w:tcW w:w="11056" w:type="dxa"/>
            <w:gridSpan w:val="6"/>
            <w:shd w:val="clear" w:color="auto" w:fill="auto"/>
          </w:tcPr>
          <w:p w:rsidR="003923D2" w:rsidRPr="00D72AC3" w:rsidRDefault="003923D2" w:rsidP="000841C1">
            <w:pPr>
              <w:jc w:val="both"/>
              <w:rPr>
                <w:rFonts w:cs="Times New Roman"/>
                <w:b/>
                <w:bCs/>
                <w:sz w:val="20"/>
                <w:szCs w:val="20"/>
                <w:lang w:val="en-GB"/>
              </w:rPr>
            </w:pPr>
            <w:r w:rsidRPr="00D72AC3">
              <w:rPr>
                <w:rFonts w:cs="Times New Roman"/>
                <w:b/>
                <w:sz w:val="20"/>
                <w:szCs w:val="20"/>
                <w:lang w:val="en-GB" w:bidi="en-GB"/>
              </w:rPr>
              <w:t>INVESTIGATION AND PROSECUTION OF FINANCING OF TERRORISM</w:t>
            </w:r>
          </w:p>
        </w:tc>
      </w:tr>
      <w:tr w:rsidR="003923D2" w:rsidRPr="00D72AC3" w:rsidTr="008978FB">
        <w:tc>
          <w:tcPr>
            <w:tcW w:w="3681" w:type="dxa"/>
            <w:gridSpan w:val="2"/>
            <w:shd w:val="clear" w:color="auto" w:fill="auto"/>
          </w:tcPr>
          <w:p w:rsidR="003923D2" w:rsidRPr="00D72AC3" w:rsidRDefault="003923D2" w:rsidP="000841C1">
            <w:pPr>
              <w:rPr>
                <w:rFonts w:cs="Times New Roman"/>
                <w:b/>
                <w:bCs/>
                <w:sz w:val="20"/>
                <w:szCs w:val="20"/>
                <w:lang w:val="en-GB"/>
              </w:rPr>
            </w:pPr>
          </w:p>
        </w:tc>
        <w:tc>
          <w:tcPr>
            <w:tcW w:w="11056" w:type="dxa"/>
            <w:gridSpan w:val="6"/>
            <w:shd w:val="clear" w:color="auto" w:fill="auto"/>
          </w:tcPr>
          <w:p w:rsidR="003923D2" w:rsidRPr="00D72AC3" w:rsidRDefault="003923D2" w:rsidP="000841C1">
            <w:pPr>
              <w:jc w:val="both"/>
              <w:rPr>
                <w:rFonts w:cs="Times New Roman"/>
                <w:b/>
                <w:bCs/>
                <w:sz w:val="20"/>
                <w:szCs w:val="20"/>
                <w:lang w:val="en-GB"/>
              </w:rPr>
            </w:pPr>
            <w:r w:rsidRPr="00D72AC3">
              <w:rPr>
                <w:rFonts w:cs="Times New Roman"/>
                <w:b/>
                <w:sz w:val="20"/>
                <w:szCs w:val="20"/>
                <w:lang w:val="en-GB" w:bidi="en-GB"/>
              </w:rPr>
              <w:t>1. Updated national level ML risk assessment available</w:t>
            </w:r>
          </w:p>
        </w:tc>
      </w:tr>
      <w:tr w:rsidR="003923D2" w:rsidRPr="00D72AC3" w:rsidTr="008978FB">
        <w:trPr>
          <w:trHeight w:val="64"/>
        </w:trPr>
        <w:tc>
          <w:tcPr>
            <w:tcW w:w="3681" w:type="dxa"/>
            <w:gridSpan w:val="2"/>
            <w:shd w:val="clear" w:color="auto" w:fill="auto"/>
          </w:tcPr>
          <w:p w:rsidR="003923D2" w:rsidRPr="00D72AC3" w:rsidRDefault="003923D2" w:rsidP="000841C1">
            <w:pPr>
              <w:rPr>
                <w:rFonts w:cs="Times New Roman"/>
                <w:b/>
                <w:bCs/>
                <w:sz w:val="20"/>
                <w:szCs w:val="20"/>
                <w:lang w:val="en-GB"/>
              </w:rPr>
            </w:pPr>
            <w:r w:rsidRPr="00D72AC3">
              <w:rPr>
                <w:rFonts w:cs="Times New Roman"/>
                <w:b/>
                <w:sz w:val="20"/>
                <w:szCs w:val="20"/>
                <w:lang w:val="en-GB" w:bidi="en-GB"/>
              </w:rPr>
              <w:t>Sub-objectives to be achieved:</w:t>
            </w:r>
          </w:p>
        </w:tc>
        <w:tc>
          <w:tcPr>
            <w:tcW w:w="11056" w:type="dxa"/>
            <w:gridSpan w:val="6"/>
            <w:shd w:val="clear" w:color="auto" w:fill="auto"/>
          </w:tcPr>
          <w:p w:rsidR="003923D2" w:rsidRPr="00D72AC3" w:rsidRDefault="003923D2" w:rsidP="000841C1">
            <w:pPr>
              <w:jc w:val="both"/>
              <w:rPr>
                <w:rFonts w:cs="Times New Roman"/>
                <w:b/>
                <w:bCs/>
                <w:sz w:val="20"/>
                <w:szCs w:val="20"/>
                <w:lang w:val="en-GB"/>
              </w:rPr>
            </w:pPr>
            <w:r w:rsidRPr="00D72AC3">
              <w:rPr>
                <w:rFonts w:cs="Times New Roman"/>
                <w:b/>
                <w:sz w:val="20"/>
                <w:szCs w:val="20"/>
                <w:lang w:val="en-GB" w:bidi="en-GB"/>
              </w:rPr>
              <w:t>2. Updated national level financing of terrorism risk assessment available</w:t>
            </w:r>
          </w:p>
        </w:tc>
      </w:tr>
      <w:tr w:rsidR="003923D2" w:rsidRPr="00D72AC3" w:rsidTr="008978FB">
        <w:tc>
          <w:tcPr>
            <w:tcW w:w="3681" w:type="dxa"/>
            <w:gridSpan w:val="2"/>
            <w:shd w:val="clear" w:color="auto" w:fill="auto"/>
          </w:tcPr>
          <w:p w:rsidR="003923D2" w:rsidRPr="00D72AC3" w:rsidRDefault="003923D2" w:rsidP="000841C1">
            <w:pPr>
              <w:rPr>
                <w:rFonts w:cs="Times New Roman"/>
                <w:b/>
                <w:bCs/>
                <w:sz w:val="20"/>
                <w:szCs w:val="20"/>
                <w:lang w:val="en-GB"/>
              </w:rPr>
            </w:pPr>
          </w:p>
        </w:tc>
        <w:tc>
          <w:tcPr>
            <w:tcW w:w="11056" w:type="dxa"/>
            <w:gridSpan w:val="6"/>
            <w:shd w:val="clear" w:color="auto" w:fill="auto"/>
          </w:tcPr>
          <w:p w:rsidR="003923D2" w:rsidRPr="00D72AC3" w:rsidRDefault="003923D2" w:rsidP="000841C1">
            <w:pPr>
              <w:jc w:val="both"/>
              <w:rPr>
                <w:rFonts w:cs="Times New Roman"/>
                <w:b/>
                <w:bCs/>
                <w:sz w:val="20"/>
                <w:szCs w:val="20"/>
                <w:lang w:val="en-GB"/>
              </w:rPr>
            </w:pPr>
            <w:r w:rsidRPr="00D72AC3">
              <w:rPr>
                <w:rFonts w:cs="Times New Roman"/>
                <w:b/>
                <w:sz w:val="20"/>
                <w:szCs w:val="20"/>
                <w:lang w:val="en-GB" w:bidi="en-GB"/>
              </w:rPr>
              <w:t xml:space="preserve">3. The understanding </w:t>
            </w:r>
            <w:r w:rsidRPr="00D72AC3">
              <w:rPr>
                <w:b/>
                <w:sz w:val="20"/>
                <w:lang w:val="en-GB" w:bidi="en-GB"/>
              </w:rPr>
              <w:t>raised</w:t>
            </w:r>
            <w:r w:rsidRPr="00D72AC3">
              <w:rPr>
                <w:rFonts w:cs="Times New Roman"/>
                <w:b/>
                <w:sz w:val="20"/>
                <w:szCs w:val="20"/>
                <w:lang w:val="en-GB" w:bidi="en-GB"/>
              </w:rPr>
              <w:t xml:space="preserve"> among the involved institutions regarding the current financing of terrorism cases</w:t>
            </w:r>
          </w:p>
        </w:tc>
      </w:tr>
      <w:tr w:rsidR="003923D2" w:rsidRPr="00D72AC3" w:rsidTr="008978FB">
        <w:tc>
          <w:tcPr>
            <w:tcW w:w="3681" w:type="dxa"/>
            <w:gridSpan w:val="2"/>
            <w:shd w:val="clear" w:color="auto" w:fill="auto"/>
          </w:tcPr>
          <w:p w:rsidR="003923D2" w:rsidRPr="00D72AC3" w:rsidRDefault="003923D2" w:rsidP="000841C1">
            <w:pPr>
              <w:rPr>
                <w:rFonts w:cs="Times New Roman"/>
                <w:b/>
                <w:bCs/>
                <w:sz w:val="20"/>
                <w:szCs w:val="20"/>
                <w:lang w:val="en-GB"/>
              </w:rPr>
            </w:pPr>
          </w:p>
        </w:tc>
        <w:tc>
          <w:tcPr>
            <w:tcW w:w="11056" w:type="dxa"/>
            <w:gridSpan w:val="6"/>
            <w:shd w:val="clear" w:color="auto" w:fill="auto"/>
          </w:tcPr>
          <w:p w:rsidR="003923D2" w:rsidRPr="00D72AC3" w:rsidRDefault="003923D2" w:rsidP="000841C1">
            <w:pPr>
              <w:jc w:val="both"/>
              <w:rPr>
                <w:rFonts w:cs="Times New Roman"/>
                <w:b/>
                <w:bCs/>
                <w:sz w:val="20"/>
                <w:szCs w:val="20"/>
                <w:lang w:val="en-GB"/>
              </w:rPr>
            </w:pPr>
            <w:r w:rsidRPr="00D72AC3">
              <w:rPr>
                <w:rFonts w:cs="Times New Roman"/>
                <w:b/>
                <w:sz w:val="20"/>
                <w:szCs w:val="20"/>
                <w:lang w:val="en-GB" w:bidi="en-GB"/>
              </w:rPr>
              <w:t>4. The role of the Advisory Board of Experts of the Counterterrorism Centre increased in distribution of information to competent institutions about current financing of terrorism risks</w:t>
            </w:r>
          </w:p>
        </w:tc>
      </w:tr>
      <w:tr w:rsidR="003923D2" w:rsidRPr="00D72AC3" w:rsidTr="008978FB">
        <w:tc>
          <w:tcPr>
            <w:tcW w:w="704" w:type="dxa"/>
            <w:shd w:val="clear" w:color="auto" w:fill="auto"/>
          </w:tcPr>
          <w:p w:rsidR="003923D2" w:rsidRPr="00D72AC3" w:rsidRDefault="003923D2" w:rsidP="000841C1">
            <w:pPr>
              <w:jc w:val="center"/>
              <w:rPr>
                <w:rFonts w:cs="Times New Roman"/>
                <w:bCs/>
                <w:sz w:val="20"/>
                <w:szCs w:val="20"/>
                <w:lang w:val="en-GB"/>
              </w:rPr>
            </w:pPr>
            <w:r w:rsidRPr="00D72AC3">
              <w:rPr>
                <w:rFonts w:cs="Times New Roman"/>
                <w:sz w:val="20"/>
                <w:szCs w:val="20"/>
                <w:lang w:val="en-GB" w:bidi="en-GB"/>
              </w:rPr>
              <w:t>No.</w:t>
            </w:r>
          </w:p>
        </w:tc>
        <w:tc>
          <w:tcPr>
            <w:tcW w:w="2977" w:type="dxa"/>
            <w:shd w:val="clear" w:color="auto" w:fill="auto"/>
          </w:tcPr>
          <w:p w:rsidR="003923D2" w:rsidRPr="00D72AC3" w:rsidRDefault="003923D2" w:rsidP="000841C1">
            <w:pPr>
              <w:jc w:val="center"/>
              <w:rPr>
                <w:rFonts w:cs="Times New Roman"/>
                <w:bCs/>
                <w:i/>
                <w:sz w:val="20"/>
                <w:szCs w:val="20"/>
                <w:lang w:val="en-GB"/>
              </w:rPr>
            </w:pPr>
            <w:r w:rsidRPr="00D72AC3">
              <w:rPr>
                <w:rFonts w:cs="Times New Roman"/>
                <w:b/>
                <w:sz w:val="20"/>
                <w:szCs w:val="20"/>
                <w:lang w:val="en-GB" w:bidi="en-GB"/>
              </w:rPr>
              <w:t>Measure</w:t>
            </w:r>
          </w:p>
        </w:tc>
        <w:tc>
          <w:tcPr>
            <w:tcW w:w="1417" w:type="dxa"/>
            <w:shd w:val="clear" w:color="auto" w:fill="auto"/>
          </w:tcPr>
          <w:p w:rsidR="003923D2" w:rsidRPr="00D72AC3" w:rsidRDefault="003923D2" w:rsidP="000841C1">
            <w:pPr>
              <w:ind w:right="-108"/>
              <w:rPr>
                <w:rFonts w:cs="Times New Roman"/>
                <w:b/>
                <w:sz w:val="20"/>
                <w:szCs w:val="20"/>
                <w:lang w:val="en-GB"/>
              </w:rPr>
            </w:pPr>
            <w:r w:rsidRPr="00D72AC3">
              <w:rPr>
                <w:rFonts w:cs="Times New Roman"/>
                <w:b/>
                <w:sz w:val="20"/>
                <w:szCs w:val="20"/>
                <w:lang w:val="en-GB" w:bidi="en-GB"/>
              </w:rPr>
              <w:t xml:space="preserve">Source </w:t>
            </w:r>
          </w:p>
        </w:tc>
        <w:tc>
          <w:tcPr>
            <w:tcW w:w="2977" w:type="dxa"/>
            <w:shd w:val="clear" w:color="auto" w:fill="auto"/>
          </w:tcPr>
          <w:p w:rsidR="003923D2" w:rsidRPr="00D72AC3" w:rsidRDefault="003923D2" w:rsidP="000841C1">
            <w:pPr>
              <w:rPr>
                <w:rFonts w:cs="Times New Roman"/>
                <w:b/>
                <w:bCs/>
                <w:i/>
                <w:sz w:val="20"/>
                <w:szCs w:val="20"/>
                <w:lang w:val="en-GB"/>
              </w:rPr>
            </w:pPr>
            <w:r w:rsidRPr="00D72AC3">
              <w:rPr>
                <w:rFonts w:cs="Times New Roman"/>
                <w:b/>
                <w:sz w:val="20"/>
                <w:szCs w:val="20"/>
                <w:lang w:val="en-GB" w:bidi="en-GB"/>
              </w:rPr>
              <w:t>Activity outcome</w:t>
            </w:r>
          </w:p>
        </w:tc>
        <w:tc>
          <w:tcPr>
            <w:tcW w:w="2561" w:type="dxa"/>
            <w:shd w:val="clear" w:color="auto" w:fill="auto"/>
          </w:tcPr>
          <w:p w:rsidR="003923D2" w:rsidRPr="00D72AC3" w:rsidRDefault="003923D2" w:rsidP="000841C1">
            <w:pPr>
              <w:jc w:val="center"/>
              <w:rPr>
                <w:rFonts w:cs="Times New Roman"/>
                <w:bCs/>
                <w:i/>
                <w:sz w:val="20"/>
                <w:szCs w:val="20"/>
                <w:lang w:val="en-GB"/>
              </w:rPr>
            </w:pPr>
            <w:r w:rsidRPr="00D72AC3">
              <w:rPr>
                <w:rFonts w:cs="Times New Roman"/>
                <w:b/>
                <w:sz w:val="20"/>
                <w:szCs w:val="20"/>
                <w:lang w:val="en-GB" w:bidi="en-GB"/>
              </w:rPr>
              <w:t>Outcome indicator</w:t>
            </w:r>
          </w:p>
        </w:tc>
        <w:tc>
          <w:tcPr>
            <w:tcW w:w="1266" w:type="dxa"/>
            <w:shd w:val="clear" w:color="auto" w:fill="auto"/>
          </w:tcPr>
          <w:p w:rsidR="003923D2" w:rsidRPr="00D72AC3" w:rsidRDefault="003923D2" w:rsidP="000841C1">
            <w:pPr>
              <w:jc w:val="center"/>
              <w:rPr>
                <w:rFonts w:cs="Times New Roman"/>
                <w:bCs/>
                <w:i/>
                <w:sz w:val="20"/>
                <w:szCs w:val="20"/>
                <w:lang w:val="en-GB"/>
              </w:rPr>
            </w:pPr>
            <w:r w:rsidRPr="00D72AC3">
              <w:rPr>
                <w:rFonts w:cs="Times New Roman"/>
                <w:b/>
                <w:sz w:val="20"/>
                <w:szCs w:val="20"/>
                <w:lang w:val="en-GB" w:bidi="en-GB"/>
              </w:rPr>
              <w:t>Responsible authority</w:t>
            </w:r>
          </w:p>
        </w:tc>
        <w:tc>
          <w:tcPr>
            <w:tcW w:w="1418" w:type="dxa"/>
            <w:shd w:val="clear" w:color="auto" w:fill="auto"/>
          </w:tcPr>
          <w:p w:rsidR="003923D2" w:rsidRPr="00D72AC3" w:rsidRDefault="003923D2" w:rsidP="000841C1">
            <w:pPr>
              <w:jc w:val="center"/>
              <w:rPr>
                <w:rFonts w:cs="Times New Roman"/>
                <w:bCs/>
                <w:i/>
                <w:sz w:val="20"/>
                <w:szCs w:val="20"/>
                <w:lang w:val="en-GB"/>
              </w:rPr>
            </w:pPr>
            <w:r w:rsidRPr="00D72AC3">
              <w:rPr>
                <w:rFonts w:cs="Times New Roman"/>
                <w:b/>
                <w:sz w:val="20"/>
                <w:szCs w:val="20"/>
                <w:lang w:val="en-GB" w:bidi="en-GB"/>
              </w:rPr>
              <w:t>Co-responsible authorities</w:t>
            </w:r>
          </w:p>
        </w:tc>
        <w:tc>
          <w:tcPr>
            <w:tcW w:w="1417" w:type="dxa"/>
            <w:shd w:val="clear" w:color="auto" w:fill="auto"/>
          </w:tcPr>
          <w:p w:rsidR="003923D2" w:rsidRPr="00D72AC3" w:rsidRDefault="003923D2" w:rsidP="000841C1">
            <w:pPr>
              <w:jc w:val="center"/>
              <w:rPr>
                <w:rFonts w:cs="Times New Roman"/>
                <w:bCs/>
                <w:i/>
                <w:sz w:val="20"/>
                <w:szCs w:val="20"/>
                <w:lang w:val="en-GB"/>
              </w:rPr>
            </w:pPr>
            <w:r w:rsidRPr="00D72AC3">
              <w:rPr>
                <w:rFonts w:cs="Times New Roman"/>
                <w:b/>
                <w:sz w:val="20"/>
                <w:szCs w:val="20"/>
                <w:lang w:val="en-GB" w:bidi="en-GB"/>
              </w:rPr>
              <w:t>Term for implementation</w:t>
            </w:r>
          </w:p>
        </w:tc>
      </w:tr>
      <w:tr w:rsidR="004F11FC" w:rsidRPr="00D72AC3" w:rsidTr="008978FB">
        <w:trPr>
          <w:trHeight w:val="1906"/>
        </w:trPr>
        <w:tc>
          <w:tcPr>
            <w:tcW w:w="704" w:type="dxa"/>
            <w:vMerge w:val="restart"/>
            <w:shd w:val="clear" w:color="auto" w:fill="auto"/>
          </w:tcPr>
          <w:p w:rsidR="004F11FC" w:rsidRPr="00D72AC3" w:rsidRDefault="004F11FC" w:rsidP="000841C1">
            <w:pPr>
              <w:rPr>
                <w:rFonts w:cs="Times New Roman"/>
                <w:sz w:val="20"/>
                <w:szCs w:val="20"/>
                <w:lang w:val="en-GB"/>
              </w:rPr>
            </w:pPr>
            <w:r w:rsidRPr="00D72AC3">
              <w:rPr>
                <w:rFonts w:cs="Times New Roman"/>
                <w:sz w:val="20"/>
                <w:szCs w:val="20"/>
                <w:lang w:val="en-GB" w:bidi="en-GB"/>
              </w:rPr>
              <w:t>9.1.</w:t>
            </w:r>
          </w:p>
        </w:tc>
        <w:tc>
          <w:tcPr>
            <w:tcW w:w="2977" w:type="dxa"/>
            <w:vMerge w:val="restart"/>
            <w:shd w:val="clear" w:color="auto" w:fill="auto"/>
          </w:tcPr>
          <w:p w:rsidR="004F11FC" w:rsidRPr="00D72AC3" w:rsidRDefault="009E1CD8" w:rsidP="009E1CD8">
            <w:pPr>
              <w:jc w:val="both"/>
              <w:rPr>
                <w:rFonts w:eastAsia="Calibri" w:cs="Times New Roman"/>
                <w:sz w:val="20"/>
                <w:szCs w:val="20"/>
                <w:lang w:val="en-GB"/>
              </w:rPr>
            </w:pPr>
            <w:r w:rsidRPr="00D72AC3">
              <w:rPr>
                <w:rFonts w:eastAsia="Calibri" w:cs="Times New Roman"/>
                <w:sz w:val="20"/>
                <w:szCs w:val="20"/>
                <w:lang w:val="en-GB" w:bidi="en-GB"/>
              </w:rPr>
              <w:t xml:space="preserve">Risk assessment carried out, focussing on the vulnerabilities financing of terrorism, arising out of the role of Latvia as the regional financial centre, </w:t>
            </w:r>
            <w:r w:rsidRPr="00D72AC3">
              <w:rPr>
                <w:rFonts w:eastAsia="Calibri" w:cs="Times New Roman"/>
                <w:i/>
                <w:sz w:val="20"/>
                <w:szCs w:val="20"/>
                <w:lang w:val="en-GB" w:bidi="en-GB"/>
              </w:rPr>
              <w:t>inter alia</w:t>
            </w:r>
            <w:r w:rsidRPr="00D72AC3">
              <w:rPr>
                <w:rFonts w:eastAsia="Calibri" w:cs="Times New Roman"/>
                <w:sz w:val="20"/>
                <w:szCs w:val="20"/>
                <w:lang w:val="en-GB" w:bidi="en-GB"/>
              </w:rPr>
              <w:t>, with respect to specific financial products and services and taking into account the existing risks, arising out of high concentration of the customers of foreign shell companies and the financing of terrorism risks pertaining thereto.</w:t>
            </w:r>
            <w:r w:rsidR="00D72AC3" w:rsidRPr="00D72AC3">
              <w:rPr>
                <w:rFonts w:eastAsia="Calibri" w:cs="Times New Roman"/>
                <w:sz w:val="20"/>
                <w:szCs w:val="20"/>
                <w:lang w:val="en-GB" w:bidi="en-GB"/>
              </w:rPr>
              <w:t xml:space="preserve"> </w:t>
            </w:r>
            <w:r w:rsidRPr="00D72AC3">
              <w:rPr>
                <w:rFonts w:eastAsia="Calibri" w:cs="Times New Roman"/>
                <w:i/>
                <w:sz w:val="20"/>
                <w:szCs w:val="20"/>
                <w:lang w:val="en-GB" w:bidi="en-GB"/>
              </w:rPr>
              <w:t>Inter alia</w:t>
            </w:r>
            <w:r w:rsidRPr="00D72AC3">
              <w:rPr>
                <w:rFonts w:eastAsia="Calibri" w:cs="Times New Roman"/>
                <w:sz w:val="20"/>
                <w:szCs w:val="20"/>
                <w:lang w:val="en-GB" w:bidi="en-GB"/>
              </w:rPr>
              <w:t>, to carry out a specific assessment about the FT risks in the sector of non-profit organisations, on the basis of a broader FT risk assessment, for the purposes of developing and introducing the FT risk-based approach to the assessment of the sector.</w:t>
            </w:r>
          </w:p>
        </w:tc>
        <w:tc>
          <w:tcPr>
            <w:tcW w:w="1417" w:type="dxa"/>
            <w:vMerge w:val="restart"/>
            <w:shd w:val="clear" w:color="auto" w:fill="auto"/>
          </w:tcPr>
          <w:p w:rsidR="004F11FC" w:rsidRPr="00D72AC3" w:rsidRDefault="004F11FC" w:rsidP="00EE1B29">
            <w:pPr>
              <w:ind w:left="-108" w:right="-108"/>
              <w:rPr>
                <w:rFonts w:cs="Times New Roman"/>
                <w:sz w:val="20"/>
                <w:szCs w:val="20"/>
                <w:lang w:val="en-GB"/>
              </w:rPr>
            </w:pPr>
            <w:r w:rsidRPr="00D72AC3">
              <w:rPr>
                <w:rFonts w:cs="Times New Roman"/>
                <w:sz w:val="20"/>
                <w:szCs w:val="20"/>
                <w:lang w:val="en-GB" w:bidi="en-GB"/>
              </w:rPr>
              <w:t>Moneyval recommendation 9.1.</w:t>
            </w:r>
          </w:p>
        </w:tc>
        <w:tc>
          <w:tcPr>
            <w:tcW w:w="2977" w:type="dxa"/>
            <w:vMerge w:val="restart"/>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National Terrorism and Proliferation Financing Risks Report for 2017 - 2018 prepared.</w:t>
            </w:r>
          </w:p>
        </w:tc>
        <w:tc>
          <w:tcPr>
            <w:tcW w:w="2561" w:type="dxa"/>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1. Separate report developed on the financing of terrorism and financing of proliferation risks.</w:t>
            </w:r>
            <w:r w:rsidR="00D72AC3" w:rsidRPr="00D72AC3">
              <w:rPr>
                <w:rFonts w:cs="Times New Roman"/>
                <w:sz w:val="20"/>
                <w:szCs w:val="20"/>
                <w:lang w:val="en-GB" w:bidi="en-GB"/>
              </w:rPr>
              <w:t xml:space="preserve"> </w:t>
            </w:r>
            <w:r w:rsidRPr="00D72AC3">
              <w:rPr>
                <w:rFonts w:cs="Times New Roman"/>
                <w:sz w:val="20"/>
                <w:szCs w:val="20"/>
                <w:lang w:val="en-GB" w:bidi="en-GB"/>
              </w:rPr>
              <w:t>Report reviewed in the Financial Sector Development Board.</w:t>
            </w:r>
          </w:p>
        </w:tc>
        <w:tc>
          <w:tcPr>
            <w:tcW w:w="1266" w:type="dxa"/>
            <w:shd w:val="clear" w:color="auto" w:fill="auto"/>
          </w:tcPr>
          <w:p w:rsidR="004F11FC" w:rsidRPr="00D72AC3" w:rsidRDefault="004F11FC" w:rsidP="008978FB">
            <w:pPr>
              <w:jc w:val="center"/>
              <w:rPr>
                <w:sz w:val="20"/>
                <w:szCs w:val="20"/>
                <w:lang w:val="en-GB"/>
              </w:rPr>
            </w:pPr>
            <w:r w:rsidRPr="00D72AC3">
              <w:rPr>
                <w:sz w:val="20"/>
                <w:szCs w:val="20"/>
                <w:lang w:val="en-GB" w:bidi="en-GB"/>
              </w:rPr>
              <w:t>CS</w:t>
            </w:r>
          </w:p>
        </w:tc>
        <w:tc>
          <w:tcPr>
            <w:tcW w:w="1418"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SeP</w:t>
            </w:r>
          </w:p>
        </w:tc>
        <w:tc>
          <w:tcPr>
            <w:tcW w:w="1417"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1 February 2019</w:t>
            </w:r>
          </w:p>
        </w:tc>
      </w:tr>
      <w:tr w:rsidR="004F11FC" w:rsidRPr="00D72AC3" w:rsidTr="008978FB">
        <w:trPr>
          <w:trHeight w:val="1906"/>
        </w:trPr>
        <w:tc>
          <w:tcPr>
            <w:tcW w:w="704" w:type="dxa"/>
            <w:vMerge/>
            <w:shd w:val="clear" w:color="auto" w:fill="auto"/>
          </w:tcPr>
          <w:p w:rsidR="004F11FC" w:rsidRPr="00D72AC3" w:rsidRDefault="004F11FC" w:rsidP="000841C1">
            <w:pPr>
              <w:rPr>
                <w:rFonts w:cs="Times New Roman"/>
                <w:sz w:val="20"/>
                <w:szCs w:val="20"/>
                <w:lang w:val="en-GB"/>
              </w:rPr>
            </w:pPr>
          </w:p>
        </w:tc>
        <w:tc>
          <w:tcPr>
            <w:tcW w:w="2977" w:type="dxa"/>
            <w:vMerge/>
            <w:shd w:val="clear" w:color="auto" w:fill="auto"/>
          </w:tcPr>
          <w:p w:rsidR="004F11FC" w:rsidRPr="00D72AC3" w:rsidRDefault="004F11FC" w:rsidP="000841C1">
            <w:pPr>
              <w:rPr>
                <w:rFonts w:eastAsia="Calibri" w:cs="Times New Roman"/>
                <w:sz w:val="20"/>
                <w:szCs w:val="20"/>
                <w:lang w:val="en-GB"/>
              </w:rPr>
            </w:pPr>
          </w:p>
        </w:tc>
        <w:tc>
          <w:tcPr>
            <w:tcW w:w="1417" w:type="dxa"/>
            <w:vMerge/>
            <w:shd w:val="clear" w:color="auto" w:fill="auto"/>
          </w:tcPr>
          <w:p w:rsidR="004F11FC" w:rsidRPr="00D72AC3" w:rsidRDefault="004F11FC" w:rsidP="000841C1">
            <w:pPr>
              <w:ind w:left="-108" w:right="-108"/>
              <w:jc w:val="center"/>
              <w:rPr>
                <w:rFonts w:cs="Times New Roman"/>
                <w:sz w:val="20"/>
                <w:szCs w:val="20"/>
                <w:lang w:val="en-GB"/>
              </w:rPr>
            </w:pPr>
          </w:p>
        </w:tc>
        <w:tc>
          <w:tcPr>
            <w:tcW w:w="2977" w:type="dxa"/>
            <w:vMerge/>
            <w:shd w:val="clear" w:color="auto" w:fill="auto"/>
          </w:tcPr>
          <w:p w:rsidR="004F11FC" w:rsidRPr="00D72AC3" w:rsidRDefault="004F11FC" w:rsidP="000841C1">
            <w:pPr>
              <w:rPr>
                <w:rFonts w:cs="Times New Roman"/>
                <w:sz w:val="20"/>
                <w:szCs w:val="20"/>
                <w:lang w:val="en-GB"/>
              </w:rPr>
            </w:pPr>
          </w:p>
        </w:tc>
        <w:tc>
          <w:tcPr>
            <w:tcW w:w="2561" w:type="dxa"/>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2.</w:t>
            </w:r>
            <w:r w:rsidR="00D72AC3" w:rsidRPr="00D72AC3">
              <w:rPr>
                <w:rFonts w:cs="Times New Roman"/>
                <w:sz w:val="20"/>
                <w:szCs w:val="20"/>
                <w:lang w:val="en-GB" w:bidi="en-GB"/>
              </w:rPr>
              <w:t xml:space="preserve"> </w:t>
            </w:r>
            <w:r w:rsidRPr="00D72AC3">
              <w:rPr>
                <w:rFonts w:cs="Times New Roman"/>
                <w:sz w:val="20"/>
                <w:szCs w:val="20"/>
                <w:lang w:val="en-GB" w:bidi="en-GB"/>
              </w:rPr>
              <w:t>The issue on the development of the strategy for combating financing of terrorism reviewed by the Advisory Board of Experts of the Counterterrorism Centre</w:t>
            </w:r>
          </w:p>
        </w:tc>
        <w:tc>
          <w:tcPr>
            <w:tcW w:w="1266" w:type="dxa"/>
            <w:shd w:val="clear" w:color="auto" w:fill="auto"/>
          </w:tcPr>
          <w:p w:rsidR="004F11FC" w:rsidRPr="00D72AC3" w:rsidRDefault="004F11FC" w:rsidP="008978FB">
            <w:pPr>
              <w:jc w:val="center"/>
              <w:rPr>
                <w:sz w:val="20"/>
                <w:szCs w:val="20"/>
                <w:lang w:val="en-GB"/>
              </w:rPr>
            </w:pPr>
            <w:r w:rsidRPr="00D72AC3">
              <w:rPr>
                <w:sz w:val="20"/>
                <w:szCs w:val="20"/>
                <w:lang w:val="en-GB" w:bidi="en-GB"/>
              </w:rPr>
              <w:t>SeP</w:t>
            </w:r>
          </w:p>
        </w:tc>
        <w:tc>
          <w:tcPr>
            <w:tcW w:w="1418"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Institutions involved in the Advisory Board</w:t>
            </w:r>
          </w:p>
        </w:tc>
        <w:tc>
          <w:tcPr>
            <w:tcW w:w="1417"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30 J</w:t>
            </w:r>
            <w:r w:rsidR="00682D68">
              <w:rPr>
                <w:rFonts w:cs="Times New Roman"/>
                <w:sz w:val="20"/>
                <w:szCs w:val="20"/>
                <w:lang w:val="en-GB" w:bidi="en-GB"/>
              </w:rPr>
              <w:t>une</w:t>
            </w:r>
            <w:r w:rsidRPr="00D72AC3">
              <w:rPr>
                <w:rFonts w:cs="Times New Roman"/>
                <w:sz w:val="20"/>
                <w:szCs w:val="20"/>
                <w:lang w:val="en-GB" w:bidi="en-GB"/>
              </w:rPr>
              <w:t> 2019</w:t>
            </w:r>
          </w:p>
        </w:tc>
      </w:tr>
      <w:tr w:rsidR="004F11FC" w:rsidRPr="00D72AC3" w:rsidTr="008978FB">
        <w:trPr>
          <w:trHeight w:val="1906"/>
        </w:trPr>
        <w:tc>
          <w:tcPr>
            <w:tcW w:w="704" w:type="dxa"/>
            <w:vMerge w:val="restart"/>
            <w:shd w:val="clear" w:color="auto" w:fill="auto"/>
          </w:tcPr>
          <w:p w:rsidR="004F11FC" w:rsidRPr="00D72AC3" w:rsidRDefault="004F11FC" w:rsidP="000841C1">
            <w:pPr>
              <w:rPr>
                <w:rFonts w:cs="Times New Roman"/>
                <w:sz w:val="20"/>
                <w:szCs w:val="20"/>
                <w:lang w:val="en-GB"/>
              </w:rPr>
            </w:pPr>
            <w:r w:rsidRPr="00D72AC3">
              <w:rPr>
                <w:rFonts w:cs="Times New Roman"/>
                <w:sz w:val="20"/>
                <w:szCs w:val="20"/>
                <w:lang w:val="en-GB" w:bidi="en-GB"/>
              </w:rPr>
              <w:lastRenderedPageBreak/>
              <w:t>9.2.</w:t>
            </w:r>
          </w:p>
        </w:tc>
        <w:tc>
          <w:tcPr>
            <w:tcW w:w="2977" w:type="dxa"/>
            <w:vMerge w:val="restart"/>
            <w:shd w:val="clear" w:color="auto" w:fill="auto"/>
          </w:tcPr>
          <w:p w:rsidR="004F11FC" w:rsidRPr="00D72AC3" w:rsidRDefault="004F11FC" w:rsidP="00EE1B29">
            <w:pPr>
              <w:jc w:val="both"/>
              <w:rPr>
                <w:rFonts w:eastAsia="Calibri" w:cs="Times New Roman"/>
                <w:sz w:val="20"/>
                <w:szCs w:val="20"/>
                <w:lang w:val="en-GB"/>
              </w:rPr>
            </w:pPr>
            <w:r w:rsidRPr="00D72AC3">
              <w:rPr>
                <w:rFonts w:cs="Times New Roman"/>
                <w:sz w:val="20"/>
                <w:szCs w:val="20"/>
                <w:lang w:val="en-GB" w:bidi="en-GB"/>
              </w:rPr>
              <w:t>To establish a risk-based approach to the NGO sector supervision for prevention of financing of terrorism.</w:t>
            </w:r>
          </w:p>
        </w:tc>
        <w:tc>
          <w:tcPr>
            <w:tcW w:w="1417" w:type="dxa"/>
            <w:vMerge w:val="restart"/>
            <w:shd w:val="clear" w:color="auto" w:fill="auto"/>
          </w:tcPr>
          <w:p w:rsidR="004F11FC" w:rsidRPr="00D72AC3" w:rsidRDefault="004F11FC" w:rsidP="00505985">
            <w:pPr>
              <w:ind w:left="-108" w:right="-108"/>
              <w:rPr>
                <w:rFonts w:cs="Times New Roman"/>
                <w:sz w:val="20"/>
                <w:szCs w:val="20"/>
                <w:lang w:val="en-GB"/>
              </w:rPr>
            </w:pPr>
            <w:r w:rsidRPr="00D72AC3">
              <w:rPr>
                <w:rFonts w:cs="Times New Roman"/>
                <w:sz w:val="20"/>
                <w:szCs w:val="20"/>
                <w:lang w:val="en-GB" w:bidi="en-GB"/>
              </w:rPr>
              <w:t>Moneyval recommendation 9.1.</w:t>
            </w:r>
          </w:p>
        </w:tc>
        <w:tc>
          <w:tcPr>
            <w:tcW w:w="2977" w:type="dxa"/>
            <w:vMerge w:val="restart"/>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A risk-based approach established to the NGO sector supervision for prevention of financing of terrorism.</w:t>
            </w:r>
          </w:p>
        </w:tc>
        <w:tc>
          <w:tcPr>
            <w:tcW w:w="2561" w:type="dxa"/>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1. The NGO sector financing of terrorism risk assessment developed, also assessing the risks of involvement of the NGO into evasion of financial sanctions</w:t>
            </w:r>
          </w:p>
          <w:p w:rsidR="004F11FC" w:rsidRPr="00D72AC3" w:rsidRDefault="004F11FC" w:rsidP="00EE1B29">
            <w:pPr>
              <w:jc w:val="both"/>
              <w:rPr>
                <w:rFonts w:cs="Times New Roman"/>
                <w:sz w:val="20"/>
                <w:szCs w:val="20"/>
                <w:lang w:val="en-GB"/>
              </w:rPr>
            </w:pPr>
          </w:p>
          <w:p w:rsidR="004F11FC" w:rsidRPr="00D72AC3" w:rsidRDefault="004F11FC" w:rsidP="00EE1B29">
            <w:pPr>
              <w:jc w:val="both"/>
              <w:rPr>
                <w:rFonts w:cs="Times New Roman"/>
                <w:sz w:val="20"/>
                <w:szCs w:val="20"/>
                <w:lang w:val="en-GB"/>
              </w:rPr>
            </w:pPr>
          </w:p>
        </w:tc>
        <w:tc>
          <w:tcPr>
            <w:tcW w:w="1266" w:type="dxa"/>
            <w:shd w:val="clear" w:color="auto" w:fill="auto"/>
          </w:tcPr>
          <w:p w:rsidR="004F11FC" w:rsidRPr="00D72AC3" w:rsidRDefault="004F11FC" w:rsidP="008978FB">
            <w:pPr>
              <w:jc w:val="center"/>
              <w:rPr>
                <w:sz w:val="20"/>
                <w:szCs w:val="20"/>
                <w:lang w:val="en-GB"/>
              </w:rPr>
            </w:pPr>
            <w:r w:rsidRPr="00D72AC3">
              <w:rPr>
                <w:sz w:val="20"/>
                <w:szCs w:val="20"/>
                <w:lang w:val="en-GB" w:bidi="en-GB"/>
              </w:rPr>
              <w:t>SeP</w:t>
            </w:r>
          </w:p>
        </w:tc>
        <w:tc>
          <w:tcPr>
            <w:tcW w:w="1418"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CS</w:t>
            </w:r>
          </w:p>
        </w:tc>
        <w:tc>
          <w:tcPr>
            <w:tcW w:w="1417"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1 October 2018</w:t>
            </w:r>
          </w:p>
          <w:p w:rsidR="004F11FC" w:rsidRPr="00D72AC3" w:rsidRDefault="004F11FC" w:rsidP="008978FB">
            <w:pPr>
              <w:jc w:val="center"/>
              <w:rPr>
                <w:rFonts w:cs="Times New Roman"/>
                <w:sz w:val="20"/>
                <w:szCs w:val="20"/>
                <w:lang w:val="en-GB"/>
              </w:rPr>
            </w:pPr>
          </w:p>
          <w:p w:rsidR="004F11FC" w:rsidRPr="00D72AC3" w:rsidRDefault="004F11FC" w:rsidP="008978FB">
            <w:pPr>
              <w:jc w:val="center"/>
              <w:rPr>
                <w:rFonts w:cs="Times New Roman"/>
                <w:sz w:val="20"/>
                <w:szCs w:val="20"/>
                <w:lang w:val="en-GB"/>
              </w:rPr>
            </w:pPr>
          </w:p>
          <w:p w:rsidR="004F11FC" w:rsidRPr="00D72AC3" w:rsidRDefault="004F11FC" w:rsidP="008978FB">
            <w:pPr>
              <w:jc w:val="center"/>
              <w:rPr>
                <w:rFonts w:cs="Times New Roman"/>
                <w:sz w:val="20"/>
                <w:szCs w:val="20"/>
                <w:lang w:val="en-GB"/>
              </w:rPr>
            </w:pPr>
          </w:p>
          <w:p w:rsidR="004F11FC" w:rsidRPr="00D72AC3" w:rsidRDefault="004F11FC" w:rsidP="008978FB">
            <w:pPr>
              <w:jc w:val="center"/>
              <w:rPr>
                <w:rFonts w:cs="Times New Roman"/>
                <w:sz w:val="20"/>
                <w:szCs w:val="20"/>
                <w:lang w:val="en-GB"/>
              </w:rPr>
            </w:pPr>
          </w:p>
        </w:tc>
      </w:tr>
      <w:tr w:rsidR="004F11FC" w:rsidRPr="00D72AC3" w:rsidTr="008978FB">
        <w:trPr>
          <w:trHeight w:val="1906"/>
        </w:trPr>
        <w:tc>
          <w:tcPr>
            <w:tcW w:w="704" w:type="dxa"/>
            <w:vMerge/>
            <w:shd w:val="clear" w:color="auto" w:fill="auto"/>
          </w:tcPr>
          <w:p w:rsidR="004F11FC" w:rsidRPr="00D72AC3" w:rsidRDefault="004F11FC" w:rsidP="000841C1">
            <w:pPr>
              <w:rPr>
                <w:rFonts w:cs="Times New Roman"/>
                <w:sz w:val="20"/>
                <w:szCs w:val="20"/>
                <w:lang w:val="en-GB"/>
              </w:rPr>
            </w:pPr>
          </w:p>
        </w:tc>
        <w:tc>
          <w:tcPr>
            <w:tcW w:w="2977" w:type="dxa"/>
            <w:vMerge/>
            <w:shd w:val="clear" w:color="auto" w:fill="auto"/>
          </w:tcPr>
          <w:p w:rsidR="004F11FC" w:rsidRPr="00D72AC3" w:rsidRDefault="004F11FC" w:rsidP="000841C1">
            <w:pPr>
              <w:rPr>
                <w:rFonts w:eastAsia="Calibri" w:cs="Times New Roman"/>
                <w:sz w:val="20"/>
                <w:szCs w:val="20"/>
                <w:lang w:val="en-GB"/>
              </w:rPr>
            </w:pPr>
          </w:p>
        </w:tc>
        <w:tc>
          <w:tcPr>
            <w:tcW w:w="1417" w:type="dxa"/>
            <w:vMerge/>
            <w:shd w:val="clear" w:color="auto" w:fill="auto"/>
          </w:tcPr>
          <w:p w:rsidR="004F11FC" w:rsidRPr="00D72AC3" w:rsidRDefault="004F11FC" w:rsidP="00505985">
            <w:pPr>
              <w:ind w:left="-108" w:right="-108"/>
              <w:rPr>
                <w:rFonts w:cs="Times New Roman"/>
                <w:sz w:val="20"/>
                <w:szCs w:val="20"/>
                <w:lang w:val="en-GB"/>
              </w:rPr>
            </w:pPr>
          </w:p>
        </w:tc>
        <w:tc>
          <w:tcPr>
            <w:tcW w:w="2977" w:type="dxa"/>
            <w:vMerge/>
            <w:shd w:val="clear" w:color="auto" w:fill="auto"/>
          </w:tcPr>
          <w:p w:rsidR="004F11FC" w:rsidRPr="00D72AC3" w:rsidRDefault="004F11FC" w:rsidP="000841C1">
            <w:pPr>
              <w:rPr>
                <w:rFonts w:cs="Times New Roman"/>
                <w:sz w:val="20"/>
                <w:szCs w:val="20"/>
                <w:lang w:val="en-GB"/>
              </w:rPr>
            </w:pPr>
          </w:p>
        </w:tc>
        <w:tc>
          <w:tcPr>
            <w:tcW w:w="2561" w:type="dxa"/>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2. Provision of information implemented to the Control Service about the natural persons included in the increased risk group</w:t>
            </w:r>
          </w:p>
        </w:tc>
        <w:tc>
          <w:tcPr>
            <w:tcW w:w="1266" w:type="dxa"/>
            <w:shd w:val="clear" w:color="auto" w:fill="auto"/>
          </w:tcPr>
          <w:p w:rsidR="004F11FC" w:rsidRPr="00D72AC3" w:rsidRDefault="004F11FC" w:rsidP="008978FB">
            <w:pPr>
              <w:jc w:val="center"/>
              <w:rPr>
                <w:sz w:val="20"/>
                <w:szCs w:val="20"/>
                <w:lang w:val="en-GB"/>
              </w:rPr>
            </w:pPr>
            <w:r w:rsidRPr="00D72AC3">
              <w:rPr>
                <w:sz w:val="20"/>
                <w:szCs w:val="20"/>
                <w:lang w:val="en-GB" w:bidi="en-GB"/>
              </w:rPr>
              <w:t>SeP</w:t>
            </w:r>
          </w:p>
        </w:tc>
        <w:tc>
          <w:tcPr>
            <w:tcW w:w="1418" w:type="dxa"/>
            <w:shd w:val="clear" w:color="auto" w:fill="auto"/>
          </w:tcPr>
          <w:p w:rsidR="004F11FC" w:rsidRPr="00D72AC3" w:rsidRDefault="004F11FC" w:rsidP="008978FB">
            <w:pPr>
              <w:jc w:val="center"/>
              <w:rPr>
                <w:rFonts w:cs="Times New Roman"/>
                <w:sz w:val="20"/>
                <w:szCs w:val="20"/>
                <w:lang w:val="en-GB"/>
              </w:rPr>
            </w:pPr>
          </w:p>
        </w:tc>
        <w:tc>
          <w:tcPr>
            <w:tcW w:w="1417"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Constantly</w:t>
            </w:r>
          </w:p>
        </w:tc>
      </w:tr>
      <w:tr w:rsidR="004F11FC" w:rsidRPr="00D72AC3" w:rsidTr="008978FB">
        <w:trPr>
          <w:trHeight w:val="1906"/>
        </w:trPr>
        <w:tc>
          <w:tcPr>
            <w:tcW w:w="704" w:type="dxa"/>
            <w:vMerge w:val="restart"/>
            <w:shd w:val="clear" w:color="auto" w:fill="auto"/>
          </w:tcPr>
          <w:p w:rsidR="004F11FC" w:rsidRPr="00D72AC3" w:rsidRDefault="004F11FC" w:rsidP="000841C1">
            <w:pPr>
              <w:rPr>
                <w:rFonts w:cs="Times New Roman"/>
                <w:sz w:val="20"/>
                <w:szCs w:val="20"/>
                <w:lang w:val="en-GB"/>
              </w:rPr>
            </w:pPr>
            <w:r w:rsidRPr="00D72AC3">
              <w:rPr>
                <w:rFonts w:cs="Times New Roman"/>
                <w:sz w:val="20"/>
                <w:szCs w:val="20"/>
                <w:lang w:val="en-GB" w:bidi="en-GB"/>
              </w:rPr>
              <w:t>9.3.</w:t>
            </w:r>
          </w:p>
        </w:tc>
        <w:tc>
          <w:tcPr>
            <w:tcW w:w="2977" w:type="dxa"/>
            <w:vMerge w:val="restart"/>
            <w:shd w:val="clear" w:color="auto" w:fill="auto"/>
          </w:tcPr>
          <w:p w:rsidR="004F11FC" w:rsidRPr="00D72AC3" w:rsidRDefault="004F11FC" w:rsidP="00EE1B29">
            <w:pPr>
              <w:jc w:val="both"/>
              <w:rPr>
                <w:rFonts w:eastAsia="Calibri" w:cs="Times New Roman"/>
                <w:sz w:val="20"/>
                <w:szCs w:val="20"/>
                <w:lang w:val="en-GB"/>
              </w:rPr>
            </w:pPr>
            <w:r w:rsidRPr="00D72AC3">
              <w:rPr>
                <w:rFonts w:eastAsia="Calibri" w:cs="Times New Roman"/>
                <w:sz w:val="20"/>
                <w:szCs w:val="20"/>
                <w:lang w:val="en-GB" w:bidi="en-GB"/>
              </w:rPr>
              <w:t>To arise understanding among the involved institutions regarding the cases of financing of terrorism still under investigation or the verifications thereof</w:t>
            </w:r>
          </w:p>
        </w:tc>
        <w:tc>
          <w:tcPr>
            <w:tcW w:w="1417" w:type="dxa"/>
            <w:vMerge w:val="restart"/>
            <w:shd w:val="clear" w:color="auto" w:fill="auto"/>
          </w:tcPr>
          <w:p w:rsidR="004F11FC" w:rsidRPr="00D72AC3" w:rsidRDefault="004F11FC" w:rsidP="00505985">
            <w:pPr>
              <w:ind w:left="-108" w:right="-108"/>
              <w:rPr>
                <w:rFonts w:cs="Times New Roman"/>
                <w:sz w:val="20"/>
                <w:szCs w:val="20"/>
                <w:lang w:val="en-GB"/>
              </w:rPr>
            </w:pPr>
            <w:r w:rsidRPr="00D72AC3">
              <w:rPr>
                <w:rFonts w:cs="Times New Roman"/>
                <w:sz w:val="20"/>
                <w:szCs w:val="20"/>
                <w:lang w:val="en-GB" w:bidi="en-GB"/>
              </w:rPr>
              <w:t>Moneyval recommendation 9.2., 10.3., 10.4.</w:t>
            </w:r>
          </w:p>
        </w:tc>
        <w:tc>
          <w:tcPr>
            <w:tcW w:w="2977" w:type="dxa"/>
            <w:shd w:val="clear" w:color="auto" w:fill="auto"/>
          </w:tcPr>
          <w:p w:rsidR="004F11FC" w:rsidRPr="00D72AC3" w:rsidRDefault="009E1CD8" w:rsidP="00EE1B29">
            <w:pPr>
              <w:jc w:val="both"/>
              <w:rPr>
                <w:rFonts w:cs="Times New Roman"/>
                <w:sz w:val="20"/>
                <w:szCs w:val="20"/>
                <w:lang w:val="en-GB"/>
              </w:rPr>
            </w:pPr>
            <w:r w:rsidRPr="00D72AC3">
              <w:rPr>
                <w:rFonts w:cs="Times New Roman"/>
                <w:sz w:val="20"/>
                <w:szCs w:val="20"/>
                <w:lang w:val="en-GB" w:bidi="en-GB"/>
              </w:rPr>
              <w:t>1. Practical operation of the cooperation coordination groups commenced The Control Service co-ordinates the cooperation between the subjects of operative activities, investigation institutions, prosecutors, the State Revenue Service, as well as the subjects of the law.</w:t>
            </w:r>
          </w:p>
        </w:tc>
        <w:tc>
          <w:tcPr>
            <w:tcW w:w="2561" w:type="dxa"/>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1. The agenda of the cooperation coordination work group regularly includes the issues concerning financing of terrorism</w:t>
            </w:r>
          </w:p>
        </w:tc>
        <w:tc>
          <w:tcPr>
            <w:tcW w:w="1266" w:type="dxa"/>
            <w:shd w:val="clear" w:color="auto" w:fill="auto"/>
          </w:tcPr>
          <w:p w:rsidR="004F11FC" w:rsidRPr="00D72AC3" w:rsidRDefault="004F11FC" w:rsidP="008978FB">
            <w:pPr>
              <w:jc w:val="center"/>
              <w:rPr>
                <w:sz w:val="20"/>
                <w:szCs w:val="20"/>
                <w:lang w:val="en-GB"/>
              </w:rPr>
            </w:pPr>
            <w:r w:rsidRPr="00D72AC3">
              <w:rPr>
                <w:sz w:val="20"/>
                <w:szCs w:val="20"/>
                <w:lang w:val="en-GB" w:bidi="en-GB"/>
              </w:rPr>
              <w:t>CS</w:t>
            </w:r>
          </w:p>
        </w:tc>
        <w:tc>
          <w:tcPr>
            <w:tcW w:w="1418"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SP, SeP, SRS, CPCB, SBG, ISB, FCMC, prosecutor’s office and subjects of the law</w:t>
            </w:r>
          </w:p>
        </w:tc>
        <w:tc>
          <w:tcPr>
            <w:tcW w:w="1417"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Starting from 1 December 2018</w:t>
            </w:r>
          </w:p>
        </w:tc>
      </w:tr>
      <w:tr w:rsidR="004F11FC" w:rsidRPr="00D72AC3" w:rsidTr="008978FB">
        <w:trPr>
          <w:trHeight w:val="1906"/>
        </w:trPr>
        <w:tc>
          <w:tcPr>
            <w:tcW w:w="704" w:type="dxa"/>
            <w:vMerge/>
            <w:shd w:val="clear" w:color="auto" w:fill="auto"/>
          </w:tcPr>
          <w:p w:rsidR="004F11FC" w:rsidRPr="00D72AC3" w:rsidRDefault="004F11FC" w:rsidP="000841C1">
            <w:pPr>
              <w:rPr>
                <w:rFonts w:cs="Times New Roman"/>
                <w:sz w:val="20"/>
                <w:szCs w:val="20"/>
                <w:lang w:val="en-GB"/>
              </w:rPr>
            </w:pPr>
          </w:p>
        </w:tc>
        <w:tc>
          <w:tcPr>
            <w:tcW w:w="2977" w:type="dxa"/>
            <w:vMerge/>
            <w:shd w:val="clear" w:color="auto" w:fill="auto"/>
          </w:tcPr>
          <w:p w:rsidR="004F11FC" w:rsidRPr="00D72AC3" w:rsidRDefault="004F11FC" w:rsidP="000841C1">
            <w:pPr>
              <w:rPr>
                <w:rFonts w:eastAsia="Calibri" w:cs="Times New Roman"/>
                <w:sz w:val="20"/>
                <w:szCs w:val="20"/>
                <w:lang w:val="en-GB"/>
              </w:rPr>
            </w:pPr>
          </w:p>
        </w:tc>
        <w:tc>
          <w:tcPr>
            <w:tcW w:w="1417" w:type="dxa"/>
            <w:vMerge/>
            <w:shd w:val="clear" w:color="auto" w:fill="auto"/>
          </w:tcPr>
          <w:p w:rsidR="004F11FC" w:rsidRPr="00D72AC3" w:rsidRDefault="004F11FC" w:rsidP="000841C1">
            <w:pPr>
              <w:ind w:left="-108" w:right="-108"/>
              <w:jc w:val="center"/>
              <w:rPr>
                <w:rFonts w:cs="Times New Roman"/>
                <w:sz w:val="20"/>
                <w:szCs w:val="20"/>
                <w:lang w:val="en-GB"/>
              </w:rPr>
            </w:pPr>
          </w:p>
        </w:tc>
        <w:tc>
          <w:tcPr>
            <w:tcW w:w="2977" w:type="dxa"/>
            <w:shd w:val="clear" w:color="auto" w:fill="auto"/>
          </w:tcPr>
          <w:p w:rsidR="004F11FC" w:rsidRPr="00D72AC3" w:rsidRDefault="009E1CD8" w:rsidP="00EE1B29">
            <w:pPr>
              <w:jc w:val="both"/>
              <w:rPr>
                <w:rFonts w:cs="Times New Roman"/>
                <w:sz w:val="20"/>
                <w:szCs w:val="20"/>
                <w:lang w:val="en-GB"/>
              </w:rPr>
            </w:pPr>
            <w:r w:rsidRPr="00D72AC3">
              <w:rPr>
                <w:rFonts w:cs="Times New Roman"/>
                <w:sz w:val="20"/>
                <w:szCs w:val="20"/>
                <w:lang w:val="en-GB" w:bidi="en-GB"/>
              </w:rPr>
              <w:t>2. The abilities of the law enforcement authorities increased to identify and investigate the criminal offences of financing of terrorism. Single understanding and approach to investigation facilitated</w:t>
            </w:r>
          </w:p>
        </w:tc>
        <w:tc>
          <w:tcPr>
            <w:tcW w:w="2561" w:type="dxa"/>
            <w:shd w:val="clear" w:color="auto" w:fill="auto"/>
          </w:tcPr>
          <w:p w:rsidR="004F11FC" w:rsidRPr="00D72AC3" w:rsidRDefault="004F11FC" w:rsidP="00EE1B29">
            <w:pPr>
              <w:jc w:val="both"/>
              <w:rPr>
                <w:rFonts w:cs="Times New Roman"/>
                <w:sz w:val="20"/>
                <w:szCs w:val="20"/>
                <w:lang w:val="en-GB"/>
              </w:rPr>
            </w:pPr>
            <w:r w:rsidRPr="00D72AC3">
              <w:rPr>
                <w:rFonts w:cs="Times New Roman"/>
                <w:sz w:val="20"/>
                <w:szCs w:val="20"/>
                <w:lang w:val="en-GB" w:bidi="en-GB"/>
              </w:rPr>
              <w:t>2. Training of 20 persons carried out specifically for the investigation of the criminal offences of financing of terrorism</w:t>
            </w:r>
          </w:p>
        </w:tc>
        <w:tc>
          <w:tcPr>
            <w:tcW w:w="1266" w:type="dxa"/>
            <w:shd w:val="clear" w:color="auto" w:fill="auto"/>
          </w:tcPr>
          <w:p w:rsidR="004F11FC" w:rsidRPr="00D72AC3" w:rsidRDefault="004F11FC" w:rsidP="008978FB">
            <w:pPr>
              <w:jc w:val="center"/>
              <w:rPr>
                <w:sz w:val="20"/>
                <w:szCs w:val="20"/>
                <w:lang w:val="en-GB"/>
              </w:rPr>
            </w:pPr>
            <w:r w:rsidRPr="00D72AC3">
              <w:rPr>
                <w:sz w:val="20"/>
                <w:szCs w:val="20"/>
                <w:lang w:val="en-GB" w:bidi="en-GB"/>
              </w:rPr>
              <w:t>SeP</w:t>
            </w:r>
          </w:p>
        </w:tc>
        <w:tc>
          <w:tcPr>
            <w:tcW w:w="1418" w:type="dxa"/>
            <w:shd w:val="clear" w:color="auto" w:fill="auto"/>
          </w:tcPr>
          <w:p w:rsidR="004F11FC" w:rsidRPr="00D72AC3" w:rsidRDefault="00E508C0" w:rsidP="008978FB">
            <w:pPr>
              <w:jc w:val="center"/>
              <w:rPr>
                <w:rFonts w:cs="Times New Roman"/>
                <w:sz w:val="20"/>
                <w:szCs w:val="20"/>
                <w:lang w:val="en-GB"/>
              </w:rPr>
            </w:pPr>
            <w:r w:rsidRPr="00D72AC3">
              <w:rPr>
                <w:rFonts w:cs="Times New Roman"/>
                <w:sz w:val="20"/>
                <w:szCs w:val="20"/>
                <w:lang w:val="en-GB" w:bidi="en-GB"/>
              </w:rPr>
              <w:t>Prosecutor's Office</w:t>
            </w:r>
          </w:p>
        </w:tc>
        <w:tc>
          <w:tcPr>
            <w:tcW w:w="1417" w:type="dxa"/>
            <w:shd w:val="clear" w:color="auto" w:fill="auto"/>
          </w:tcPr>
          <w:p w:rsidR="004F11FC" w:rsidRPr="00D72AC3" w:rsidRDefault="004F11FC" w:rsidP="008978FB">
            <w:pPr>
              <w:jc w:val="center"/>
              <w:rPr>
                <w:rFonts w:cs="Times New Roman"/>
                <w:sz w:val="20"/>
                <w:szCs w:val="20"/>
                <w:lang w:val="en-GB"/>
              </w:rPr>
            </w:pPr>
            <w:r w:rsidRPr="00D72AC3">
              <w:rPr>
                <w:rFonts w:cs="Times New Roman"/>
                <w:sz w:val="20"/>
                <w:szCs w:val="20"/>
                <w:lang w:val="en-GB" w:bidi="en-GB"/>
              </w:rPr>
              <w:t>Starting from 1 December 2018</w:t>
            </w:r>
          </w:p>
        </w:tc>
      </w:tr>
      <w:tr w:rsidR="003923D2" w:rsidRPr="00D72AC3" w:rsidTr="008978FB">
        <w:trPr>
          <w:trHeight w:val="1906"/>
        </w:trPr>
        <w:tc>
          <w:tcPr>
            <w:tcW w:w="704" w:type="dxa"/>
            <w:shd w:val="clear" w:color="auto" w:fill="auto"/>
          </w:tcPr>
          <w:p w:rsidR="003923D2" w:rsidRPr="00D72AC3" w:rsidRDefault="004F11FC" w:rsidP="000841C1">
            <w:pPr>
              <w:rPr>
                <w:rFonts w:cs="Times New Roman"/>
                <w:sz w:val="20"/>
                <w:szCs w:val="20"/>
                <w:lang w:val="en-GB"/>
              </w:rPr>
            </w:pPr>
            <w:r w:rsidRPr="00D72AC3">
              <w:rPr>
                <w:rFonts w:cs="Times New Roman"/>
                <w:sz w:val="20"/>
                <w:szCs w:val="20"/>
                <w:lang w:val="en-GB" w:bidi="en-GB"/>
              </w:rPr>
              <w:lastRenderedPageBreak/>
              <w:t>9.4.</w:t>
            </w:r>
          </w:p>
        </w:tc>
        <w:tc>
          <w:tcPr>
            <w:tcW w:w="2977" w:type="dxa"/>
            <w:shd w:val="clear" w:color="auto" w:fill="auto"/>
          </w:tcPr>
          <w:p w:rsidR="003923D2" w:rsidRPr="00D72AC3" w:rsidRDefault="003923D2" w:rsidP="00EE1B29">
            <w:pPr>
              <w:jc w:val="both"/>
              <w:rPr>
                <w:rFonts w:eastAsia="Calibri" w:cs="Times New Roman"/>
                <w:sz w:val="20"/>
                <w:szCs w:val="20"/>
                <w:lang w:val="en-GB"/>
              </w:rPr>
            </w:pPr>
            <w:r w:rsidRPr="00D72AC3">
              <w:rPr>
                <w:rFonts w:eastAsia="Calibri" w:cs="Times New Roman"/>
                <w:sz w:val="20"/>
                <w:szCs w:val="20"/>
                <w:lang w:val="en-GB" w:bidi="en-GB"/>
              </w:rPr>
              <w:t>Expansion of the Advisory Board of Experts of the Counterterrorism Centre with other key players with respect to the issues on financing of terrorism (for example, MoF), for more systematic recognition of the FT risks.</w:t>
            </w:r>
          </w:p>
        </w:tc>
        <w:tc>
          <w:tcPr>
            <w:tcW w:w="1417" w:type="dxa"/>
            <w:shd w:val="clear" w:color="auto" w:fill="auto"/>
          </w:tcPr>
          <w:p w:rsidR="003923D2" w:rsidRPr="00D72AC3" w:rsidRDefault="003923D2" w:rsidP="00EE1B29">
            <w:pPr>
              <w:ind w:left="-108" w:right="-108"/>
              <w:jc w:val="both"/>
              <w:rPr>
                <w:rFonts w:cs="Times New Roman"/>
                <w:sz w:val="20"/>
                <w:szCs w:val="20"/>
                <w:lang w:val="en-GB"/>
              </w:rPr>
            </w:pPr>
            <w:r w:rsidRPr="00D72AC3">
              <w:rPr>
                <w:rFonts w:cs="Times New Roman"/>
                <w:sz w:val="20"/>
                <w:szCs w:val="20"/>
                <w:lang w:val="en-GB" w:bidi="en-GB"/>
              </w:rPr>
              <w:t>Moneyval recommendation 9.2.</w:t>
            </w:r>
          </w:p>
        </w:tc>
        <w:tc>
          <w:tcPr>
            <w:tcW w:w="2977" w:type="dxa"/>
            <w:shd w:val="clear" w:color="auto" w:fill="auto"/>
          </w:tcPr>
          <w:p w:rsidR="003923D2" w:rsidRPr="00D72AC3" w:rsidRDefault="003923D2" w:rsidP="00EE1B29">
            <w:pPr>
              <w:jc w:val="both"/>
              <w:rPr>
                <w:rFonts w:eastAsia="Calibri" w:cs="Times New Roman"/>
                <w:sz w:val="20"/>
                <w:szCs w:val="20"/>
                <w:lang w:val="en-GB"/>
              </w:rPr>
            </w:pPr>
            <w:r w:rsidRPr="00D72AC3">
              <w:rPr>
                <w:rFonts w:eastAsia="Calibri" w:cs="Times New Roman"/>
                <w:sz w:val="20"/>
                <w:szCs w:val="20"/>
                <w:lang w:val="en-GB" w:bidi="en-GB"/>
              </w:rPr>
              <w:t xml:space="preserve">The Advisory Board of Experts of the Counterterrorism Centre expanded, by including therein the representatives of the Ministry of Finance and experts in the issues on financing of terrorism, who could promote more systematic recognition of the FT risks. </w:t>
            </w:r>
          </w:p>
        </w:tc>
        <w:tc>
          <w:tcPr>
            <w:tcW w:w="2561" w:type="dxa"/>
            <w:shd w:val="clear" w:color="auto" w:fill="auto"/>
          </w:tcPr>
          <w:p w:rsidR="003923D2" w:rsidRPr="00D72AC3" w:rsidRDefault="003923D2" w:rsidP="00EE1B29">
            <w:pPr>
              <w:jc w:val="both"/>
              <w:rPr>
                <w:rFonts w:cs="Times New Roman"/>
                <w:sz w:val="20"/>
                <w:szCs w:val="20"/>
                <w:lang w:val="en-GB"/>
              </w:rPr>
            </w:pPr>
            <w:r w:rsidRPr="00D72AC3">
              <w:rPr>
                <w:rFonts w:cs="Times New Roman"/>
                <w:sz w:val="20"/>
                <w:szCs w:val="20"/>
                <w:lang w:val="en-GB" w:bidi="en-GB"/>
              </w:rPr>
              <w:t xml:space="preserve"> Amendments developed to the 22 November 2005 Cabinet of Ministers Regulation No. 880 </w:t>
            </w:r>
          </w:p>
          <w:p w:rsidR="003923D2" w:rsidRPr="00D72AC3" w:rsidRDefault="003923D2" w:rsidP="00EE1B29">
            <w:pPr>
              <w:jc w:val="both"/>
              <w:rPr>
                <w:rFonts w:cs="Times New Roman"/>
                <w:sz w:val="20"/>
                <w:szCs w:val="20"/>
                <w:lang w:val="en-GB"/>
              </w:rPr>
            </w:pPr>
            <w:r w:rsidRPr="00D72AC3">
              <w:rPr>
                <w:rFonts w:cs="Times New Roman"/>
                <w:i/>
                <w:sz w:val="20"/>
                <w:szCs w:val="20"/>
                <w:lang w:val="en-GB" w:bidi="en-GB"/>
              </w:rPr>
              <w:t>By-Laws of the Advisory Board of Experts of the Counterterrorism Centre</w:t>
            </w:r>
          </w:p>
        </w:tc>
        <w:tc>
          <w:tcPr>
            <w:tcW w:w="1266" w:type="dxa"/>
            <w:shd w:val="clear" w:color="auto" w:fill="auto"/>
          </w:tcPr>
          <w:p w:rsidR="003923D2" w:rsidRPr="00D72AC3" w:rsidRDefault="003923D2" w:rsidP="008978FB">
            <w:pPr>
              <w:jc w:val="center"/>
              <w:rPr>
                <w:rFonts w:cs="Times New Roman"/>
                <w:sz w:val="20"/>
                <w:szCs w:val="20"/>
                <w:lang w:val="en-GB"/>
              </w:rPr>
            </w:pPr>
            <w:r w:rsidRPr="00D72AC3">
              <w:rPr>
                <w:rFonts w:cs="Times New Roman"/>
                <w:sz w:val="20"/>
                <w:szCs w:val="20"/>
                <w:lang w:val="en-GB" w:bidi="en-GB"/>
              </w:rPr>
              <w:t>MoI</w:t>
            </w:r>
          </w:p>
        </w:tc>
        <w:tc>
          <w:tcPr>
            <w:tcW w:w="1418" w:type="dxa"/>
            <w:shd w:val="clear" w:color="auto" w:fill="auto"/>
          </w:tcPr>
          <w:p w:rsidR="003923D2" w:rsidRPr="00D72AC3" w:rsidRDefault="003923D2" w:rsidP="008978FB">
            <w:pPr>
              <w:jc w:val="center"/>
              <w:rPr>
                <w:rFonts w:cs="Times New Roman"/>
                <w:sz w:val="20"/>
                <w:szCs w:val="20"/>
                <w:lang w:val="en-GB"/>
              </w:rPr>
            </w:pPr>
            <w:r w:rsidRPr="00D72AC3">
              <w:rPr>
                <w:rFonts w:cs="Times New Roman"/>
                <w:sz w:val="20"/>
                <w:szCs w:val="20"/>
                <w:lang w:val="en-GB" w:bidi="en-GB"/>
              </w:rPr>
              <w:t>SeP, MoF</w:t>
            </w:r>
          </w:p>
        </w:tc>
        <w:tc>
          <w:tcPr>
            <w:tcW w:w="1417" w:type="dxa"/>
            <w:shd w:val="clear" w:color="auto" w:fill="auto"/>
          </w:tcPr>
          <w:p w:rsidR="003923D2" w:rsidRPr="00D72AC3" w:rsidRDefault="003923D2" w:rsidP="008978FB">
            <w:pPr>
              <w:jc w:val="center"/>
              <w:rPr>
                <w:rFonts w:cs="Times New Roman"/>
                <w:sz w:val="20"/>
                <w:szCs w:val="20"/>
                <w:lang w:val="en-GB"/>
              </w:rPr>
            </w:pPr>
            <w:r w:rsidRPr="00D72AC3">
              <w:rPr>
                <w:rFonts w:cs="Times New Roman"/>
                <w:sz w:val="20"/>
                <w:szCs w:val="20"/>
                <w:lang w:val="en-GB" w:bidi="en-GB"/>
              </w:rPr>
              <w:t>3 December 2018</w:t>
            </w:r>
          </w:p>
        </w:tc>
      </w:tr>
    </w:tbl>
    <w:p w:rsidR="003923D2" w:rsidRPr="00D72AC3" w:rsidRDefault="003923D2" w:rsidP="00FF0BBA">
      <w:pPr>
        <w:jc w:val="both"/>
        <w:rPr>
          <w:sz w:val="28"/>
          <w:szCs w:val="28"/>
          <w:lang w:val="en-GB"/>
        </w:rPr>
      </w:pPr>
    </w:p>
    <w:p w:rsidR="00FF0BBA" w:rsidRPr="00D72AC3" w:rsidRDefault="00FF0BBA" w:rsidP="00E24F37">
      <w:pPr>
        <w:pStyle w:val="Heading2"/>
        <w:rPr>
          <w:rFonts w:ascii="Times New Roman" w:hAnsi="Times New Roman" w:cs="Times New Roman"/>
          <w:b/>
          <w:color w:val="auto"/>
          <w:sz w:val="28"/>
          <w:szCs w:val="28"/>
          <w:lang w:val="en-GB"/>
        </w:rPr>
      </w:pPr>
      <w:bookmarkStart w:id="18" w:name="_Toc526510443"/>
      <w:r w:rsidRPr="00D72AC3">
        <w:rPr>
          <w:rFonts w:ascii="Times New Roman" w:eastAsia="Times New Roman" w:hAnsi="Times New Roman" w:cs="Times New Roman"/>
          <w:b/>
          <w:color w:val="auto"/>
          <w:sz w:val="28"/>
          <w:szCs w:val="28"/>
          <w:lang w:val="en-GB" w:bidi="en-GB"/>
        </w:rPr>
        <w:t>Tenth course of action - Preventive measures and financial sanctions of financing of terrorism</w:t>
      </w:r>
      <w:bookmarkEnd w:id="18"/>
    </w:p>
    <w:p w:rsidR="00FF0BBA" w:rsidRPr="00D72AC3" w:rsidRDefault="00FF0BBA"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MoJ, in cooperation with the MoFA</w:t>
      </w:r>
    </w:p>
    <w:p w:rsidR="00682D68" w:rsidRDefault="004D11C0" w:rsidP="00FF0BBA">
      <w:pPr>
        <w:jc w:val="both"/>
        <w:rPr>
          <w:szCs w:val="24"/>
          <w:lang w:val="en-GB" w:bidi="en-GB"/>
        </w:rPr>
      </w:pPr>
      <w:r w:rsidRPr="00D72AC3">
        <w:rPr>
          <w:szCs w:val="24"/>
          <w:lang w:val="en-GB" w:bidi="en-GB"/>
        </w:rPr>
        <w:t>Co-responsible authorities: CS, SeP</w:t>
      </w:r>
    </w:p>
    <w:p w:rsidR="00682D68" w:rsidRPr="00D72AC3" w:rsidRDefault="00682D68" w:rsidP="00FF0BBA">
      <w:pPr>
        <w:jc w:val="both"/>
        <w:rPr>
          <w:szCs w:val="24"/>
          <w:lang w:val="en-GB" w:bidi="en-GB"/>
        </w:rPr>
      </w:pPr>
    </w:p>
    <w:p w:rsidR="00FF0BBA" w:rsidRPr="00D72AC3" w:rsidRDefault="00FF0BBA" w:rsidP="00FF0BBA">
      <w:pPr>
        <w:jc w:val="both"/>
        <w:rPr>
          <w:sz w:val="28"/>
          <w:szCs w:val="28"/>
          <w:lang w:val="en-GB"/>
        </w:rPr>
      </w:pPr>
    </w:p>
    <w:tbl>
      <w:tblPr>
        <w:tblW w:w="154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559"/>
        <w:gridCol w:w="2835"/>
        <w:gridCol w:w="2268"/>
        <w:gridCol w:w="1134"/>
        <w:gridCol w:w="1560"/>
        <w:gridCol w:w="1417"/>
      </w:tblGrid>
      <w:tr w:rsidR="00E73D3E" w:rsidRPr="00D72AC3" w:rsidTr="008978FB">
        <w:tc>
          <w:tcPr>
            <w:tcW w:w="4673" w:type="dxa"/>
            <w:gridSpan w:val="2"/>
          </w:tcPr>
          <w:p w:rsidR="00E73D3E" w:rsidRPr="00D72AC3" w:rsidRDefault="00682D68" w:rsidP="006C08DD">
            <w:pPr>
              <w:rPr>
                <w:rFonts w:cs="Times New Roman"/>
                <w:b/>
                <w:bCs/>
                <w:sz w:val="20"/>
                <w:szCs w:val="20"/>
                <w:lang w:val="en-GB"/>
              </w:rPr>
            </w:pPr>
            <w:r>
              <w:rPr>
                <w:rFonts w:cs="Times New Roman"/>
                <w:b/>
                <w:sz w:val="20"/>
                <w:szCs w:val="20"/>
                <w:lang w:val="en-GB" w:bidi="en-GB"/>
              </w:rPr>
              <w:t>Tenth</w:t>
            </w:r>
            <w:r w:rsidR="00E73D3E" w:rsidRPr="00D72AC3">
              <w:rPr>
                <w:rFonts w:cs="Times New Roman"/>
                <w:b/>
                <w:sz w:val="20"/>
                <w:szCs w:val="20"/>
                <w:lang w:val="en-GB" w:bidi="en-GB"/>
              </w:rPr>
              <w:t xml:space="preserve"> course of action</w:t>
            </w:r>
          </w:p>
        </w:tc>
        <w:tc>
          <w:tcPr>
            <w:tcW w:w="10773" w:type="dxa"/>
            <w:gridSpan w:val="6"/>
          </w:tcPr>
          <w:p w:rsidR="00E73D3E" w:rsidRPr="00D72AC3" w:rsidRDefault="00E73D3E" w:rsidP="006C08DD">
            <w:pPr>
              <w:jc w:val="both"/>
              <w:rPr>
                <w:rFonts w:cs="Times New Roman"/>
                <w:b/>
                <w:bCs/>
                <w:sz w:val="20"/>
                <w:szCs w:val="20"/>
                <w:lang w:val="en-GB"/>
              </w:rPr>
            </w:pPr>
            <w:r w:rsidRPr="00D72AC3">
              <w:rPr>
                <w:rFonts w:cs="Times New Roman"/>
                <w:b/>
                <w:sz w:val="20"/>
                <w:szCs w:val="20"/>
                <w:lang w:val="en-GB" w:bidi="en-GB"/>
              </w:rPr>
              <w:t>PREVENTIVE MEASURES AND FINANCIAL SANCTIONS OF FINANCING OF TERRORISM</w:t>
            </w:r>
          </w:p>
        </w:tc>
      </w:tr>
      <w:tr w:rsidR="00E73D3E" w:rsidRPr="00D72AC3" w:rsidTr="008978FB">
        <w:tc>
          <w:tcPr>
            <w:tcW w:w="4673" w:type="dxa"/>
            <w:gridSpan w:val="2"/>
          </w:tcPr>
          <w:p w:rsidR="00E73D3E" w:rsidRPr="00D72AC3" w:rsidRDefault="00E73D3E" w:rsidP="006C08DD">
            <w:pPr>
              <w:rPr>
                <w:rFonts w:cs="Times New Roman"/>
                <w:b/>
                <w:bCs/>
                <w:sz w:val="20"/>
                <w:szCs w:val="20"/>
                <w:lang w:val="en-GB"/>
              </w:rPr>
            </w:pPr>
            <w:r w:rsidRPr="00D72AC3">
              <w:rPr>
                <w:rFonts w:cs="Times New Roman"/>
                <w:b/>
                <w:sz w:val="20"/>
                <w:szCs w:val="20"/>
                <w:lang w:val="en-GB" w:bidi="en-GB"/>
              </w:rPr>
              <w:t>Sub-objectives to be achieved:</w:t>
            </w:r>
          </w:p>
        </w:tc>
        <w:tc>
          <w:tcPr>
            <w:tcW w:w="10773" w:type="dxa"/>
            <w:gridSpan w:val="6"/>
          </w:tcPr>
          <w:p w:rsidR="00E73D3E" w:rsidRPr="00D72AC3" w:rsidRDefault="00E73D3E" w:rsidP="006C08DD">
            <w:pPr>
              <w:jc w:val="both"/>
              <w:rPr>
                <w:rFonts w:cs="Times New Roman"/>
                <w:b/>
                <w:bCs/>
                <w:sz w:val="20"/>
                <w:szCs w:val="20"/>
                <w:lang w:val="en-GB"/>
              </w:rPr>
            </w:pPr>
            <w:r w:rsidRPr="00D72AC3">
              <w:rPr>
                <w:rFonts w:cs="Times New Roman"/>
                <w:b/>
                <w:sz w:val="20"/>
                <w:szCs w:val="20"/>
                <w:lang w:val="en-GB" w:bidi="en-GB"/>
              </w:rPr>
              <w:t>1. Well-arranged legal framework</w:t>
            </w:r>
          </w:p>
        </w:tc>
      </w:tr>
      <w:tr w:rsidR="00E73D3E" w:rsidRPr="00D72AC3" w:rsidTr="008978FB">
        <w:tc>
          <w:tcPr>
            <w:tcW w:w="4673" w:type="dxa"/>
            <w:gridSpan w:val="2"/>
          </w:tcPr>
          <w:p w:rsidR="00E73D3E" w:rsidRPr="00D72AC3" w:rsidRDefault="00E73D3E" w:rsidP="006C08DD">
            <w:pPr>
              <w:rPr>
                <w:rFonts w:cs="Times New Roman"/>
                <w:b/>
                <w:bCs/>
                <w:sz w:val="20"/>
                <w:szCs w:val="20"/>
                <w:lang w:val="en-GB"/>
              </w:rPr>
            </w:pPr>
          </w:p>
        </w:tc>
        <w:tc>
          <w:tcPr>
            <w:tcW w:w="10773" w:type="dxa"/>
            <w:gridSpan w:val="6"/>
          </w:tcPr>
          <w:p w:rsidR="00E73D3E" w:rsidRPr="00D72AC3" w:rsidRDefault="00E73D3E" w:rsidP="006C08DD">
            <w:pPr>
              <w:jc w:val="both"/>
              <w:rPr>
                <w:rFonts w:cs="Times New Roman"/>
                <w:b/>
                <w:bCs/>
                <w:sz w:val="20"/>
                <w:szCs w:val="20"/>
                <w:lang w:val="en-GB"/>
              </w:rPr>
            </w:pPr>
            <w:r w:rsidRPr="00D72AC3">
              <w:rPr>
                <w:rFonts w:cs="Times New Roman"/>
                <w:b/>
                <w:sz w:val="20"/>
                <w:szCs w:val="20"/>
                <w:lang w:val="en-GB" w:bidi="en-GB"/>
              </w:rPr>
              <w:t>2. Clear guidelines for all subjects</w:t>
            </w:r>
          </w:p>
        </w:tc>
      </w:tr>
      <w:tr w:rsidR="00E73D3E" w:rsidRPr="00D72AC3" w:rsidTr="008978FB">
        <w:tc>
          <w:tcPr>
            <w:tcW w:w="4673" w:type="dxa"/>
            <w:gridSpan w:val="2"/>
          </w:tcPr>
          <w:p w:rsidR="00E73D3E" w:rsidRPr="00D72AC3" w:rsidRDefault="00E73D3E" w:rsidP="006C08DD">
            <w:pPr>
              <w:rPr>
                <w:rFonts w:cs="Times New Roman"/>
                <w:b/>
                <w:bCs/>
                <w:sz w:val="20"/>
                <w:szCs w:val="20"/>
                <w:lang w:val="en-GB"/>
              </w:rPr>
            </w:pPr>
          </w:p>
        </w:tc>
        <w:tc>
          <w:tcPr>
            <w:tcW w:w="10773" w:type="dxa"/>
            <w:gridSpan w:val="6"/>
          </w:tcPr>
          <w:p w:rsidR="00E73D3E" w:rsidRPr="00D72AC3" w:rsidRDefault="00E73D3E" w:rsidP="006C08DD">
            <w:pPr>
              <w:jc w:val="both"/>
              <w:rPr>
                <w:rFonts w:cs="Times New Roman"/>
                <w:b/>
                <w:bCs/>
                <w:sz w:val="20"/>
                <w:szCs w:val="20"/>
                <w:lang w:val="en-GB"/>
              </w:rPr>
            </w:pPr>
            <w:r w:rsidRPr="00D72AC3">
              <w:rPr>
                <w:rFonts w:cs="Times New Roman"/>
                <w:b/>
                <w:sz w:val="20"/>
                <w:szCs w:val="20"/>
                <w:lang w:val="en-GB" w:bidi="en-GB"/>
              </w:rPr>
              <w:t>3. High level risk awareness</w:t>
            </w:r>
          </w:p>
        </w:tc>
      </w:tr>
      <w:tr w:rsidR="00E73D3E" w:rsidRPr="00D72AC3" w:rsidTr="008978FB">
        <w:tc>
          <w:tcPr>
            <w:tcW w:w="4673" w:type="dxa"/>
            <w:gridSpan w:val="2"/>
          </w:tcPr>
          <w:p w:rsidR="00E73D3E" w:rsidRPr="00D72AC3" w:rsidRDefault="00E73D3E" w:rsidP="006C08DD">
            <w:pPr>
              <w:rPr>
                <w:rFonts w:cs="Times New Roman"/>
                <w:b/>
                <w:bCs/>
                <w:sz w:val="20"/>
                <w:szCs w:val="20"/>
                <w:lang w:val="en-GB"/>
              </w:rPr>
            </w:pPr>
          </w:p>
        </w:tc>
        <w:tc>
          <w:tcPr>
            <w:tcW w:w="10773" w:type="dxa"/>
            <w:gridSpan w:val="6"/>
          </w:tcPr>
          <w:p w:rsidR="00E73D3E" w:rsidRPr="00D72AC3" w:rsidRDefault="00E73D3E" w:rsidP="004C58A7">
            <w:pPr>
              <w:jc w:val="both"/>
              <w:rPr>
                <w:rFonts w:cs="Times New Roman"/>
                <w:b/>
                <w:bCs/>
                <w:sz w:val="20"/>
                <w:szCs w:val="20"/>
                <w:lang w:val="en-GB"/>
              </w:rPr>
            </w:pPr>
            <w:r w:rsidRPr="00D72AC3">
              <w:rPr>
                <w:rFonts w:cs="Times New Roman"/>
                <w:b/>
                <w:sz w:val="20"/>
                <w:szCs w:val="20"/>
                <w:lang w:val="en-GB" w:bidi="en-GB"/>
              </w:rPr>
              <w:t>4. Internal control systems (ICS) for the subjects of the law</w:t>
            </w:r>
          </w:p>
        </w:tc>
      </w:tr>
      <w:tr w:rsidR="00E73D3E" w:rsidRPr="00D72AC3" w:rsidTr="008978FB">
        <w:tc>
          <w:tcPr>
            <w:tcW w:w="4673" w:type="dxa"/>
            <w:gridSpan w:val="2"/>
          </w:tcPr>
          <w:p w:rsidR="00E73D3E" w:rsidRPr="00D72AC3" w:rsidRDefault="00E73D3E" w:rsidP="006C08DD">
            <w:pPr>
              <w:rPr>
                <w:rFonts w:cs="Times New Roman"/>
                <w:b/>
                <w:bCs/>
                <w:sz w:val="20"/>
                <w:szCs w:val="20"/>
                <w:lang w:val="en-GB"/>
              </w:rPr>
            </w:pPr>
          </w:p>
        </w:tc>
        <w:tc>
          <w:tcPr>
            <w:tcW w:w="10773" w:type="dxa"/>
            <w:gridSpan w:val="6"/>
          </w:tcPr>
          <w:p w:rsidR="00E73D3E" w:rsidRPr="00D72AC3" w:rsidRDefault="00E73D3E" w:rsidP="004C58A7">
            <w:pPr>
              <w:jc w:val="both"/>
              <w:rPr>
                <w:rFonts w:cs="Times New Roman"/>
                <w:b/>
                <w:bCs/>
                <w:sz w:val="20"/>
                <w:szCs w:val="20"/>
                <w:lang w:val="en-GB"/>
              </w:rPr>
            </w:pPr>
            <w:r w:rsidRPr="00D72AC3">
              <w:rPr>
                <w:rFonts w:cs="Times New Roman"/>
                <w:b/>
                <w:sz w:val="20"/>
                <w:szCs w:val="20"/>
                <w:lang w:val="en-GB" w:bidi="en-GB"/>
              </w:rPr>
              <w:t>5. Development of a risk-based understanding among the subjects of the law</w:t>
            </w:r>
          </w:p>
        </w:tc>
      </w:tr>
      <w:tr w:rsidR="008978FB" w:rsidRPr="00D72AC3" w:rsidTr="008978FB">
        <w:tc>
          <w:tcPr>
            <w:tcW w:w="704" w:type="dxa"/>
          </w:tcPr>
          <w:p w:rsidR="00781568" w:rsidRPr="00D72AC3" w:rsidRDefault="00781568" w:rsidP="006C08DD">
            <w:pPr>
              <w:jc w:val="center"/>
              <w:rPr>
                <w:rFonts w:cs="Times New Roman"/>
                <w:bCs/>
                <w:sz w:val="20"/>
                <w:szCs w:val="20"/>
                <w:lang w:val="en-GB"/>
              </w:rPr>
            </w:pPr>
            <w:r w:rsidRPr="00D72AC3">
              <w:rPr>
                <w:rFonts w:cs="Times New Roman"/>
                <w:sz w:val="20"/>
                <w:szCs w:val="20"/>
                <w:lang w:val="en-GB" w:bidi="en-GB"/>
              </w:rPr>
              <w:t>No.</w:t>
            </w:r>
          </w:p>
        </w:tc>
        <w:tc>
          <w:tcPr>
            <w:tcW w:w="3969" w:type="dxa"/>
            <w:shd w:val="clear" w:color="auto" w:fill="auto"/>
          </w:tcPr>
          <w:p w:rsidR="00781568" w:rsidRPr="00D72AC3" w:rsidRDefault="00781568" w:rsidP="006C08DD">
            <w:pPr>
              <w:jc w:val="center"/>
              <w:rPr>
                <w:rFonts w:cs="Times New Roman"/>
                <w:bCs/>
                <w:i/>
                <w:sz w:val="20"/>
                <w:szCs w:val="20"/>
                <w:lang w:val="en-GB"/>
              </w:rPr>
            </w:pPr>
            <w:r w:rsidRPr="00D72AC3">
              <w:rPr>
                <w:rFonts w:cs="Times New Roman"/>
                <w:b/>
                <w:sz w:val="20"/>
                <w:szCs w:val="20"/>
                <w:lang w:val="en-GB" w:bidi="en-GB"/>
              </w:rPr>
              <w:t>Measure</w:t>
            </w:r>
          </w:p>
        </w:tc>
        <w:tc>
          <w:tcPr>
            <w:tcW w:w="1559" w:type="dxa"/>
          </w:tcPr>
          <w:p w:rsidR="00781568" w:rsidRPr="00D72AC3" w:rsidRDefault="00781568" w:rsidP="006C08DD">
            <w:pPr>
              <w:ind w:right="-108"/>
              <w:rPr>
                <w:rFonts w:cs="Times New Roman"/>
                <w:b/>
                <w:sz w:val="20"/>
                <w:szCs w:val="20"/>
                <w:lang w:val="en-GB"/>
              </w:rPr>
            </w:pPr>
            <w:r w:rsidRPr="00D72AC3">
              <w:rPr>
                <w:rFonts w:cs="Times New Roman"/>
                <w:b/>
                <w:sz w:val="20"/>
                <w:szCs w:val="20"/>
                <w:lang w:val="en-GB" w:bidi="en-GB"/>
              </w:rPr>
              <w:t xml:space="preserve">Source </w:t>
            </w:r>
          </w:p>
        </w:tc>
        <w:tc>
          <w:tcPr>
            <w:tcW w:w="2835" w:type="dxa"/>
            <w:shd w:val="clear" w:color="auto" w:fill="auto"/>
          </w:tcPr>
          <w:p w:rsidR="00781568" w:rsidRPr="00D72AC3" w:rsidRDefault="00781568" w:rsidP="006C08DD">
            <w:pPr>
              <w:rPr>
                <w:rFonts w:cs="Times New Roman"/>
                <w:b/>
                <w:bCs/>
                <w:i/>
                <w:sz w:val="20"/>
                <w:szCs w:val="20"/>
                <w:lang w:val="en-GB"/>
              </w:rPr>
            </w:pPr>
            <w:r w:rsidRPr="00D72AC3">
              <w:rPr>
                <w:rFonts w:cs="Times New Roman"/>
                <w:b/>
                <w:sz w:val="20"/>
                <w:szCs w:val="20"/>
                <w:lang w:val="en-GB" w:bidi="en-GB"/>
              </w:rPr>
              <w:t>Activity outcome</w:t>
            </w:r>
          </w:p>
        </w:tc>
        <w:tc>
          <w:tcPr>
            <w:tcW w:w="2268" w:type="dxa"/>
          </w:tcPr>
          <w:p w:rsidR="00781568" w:rsidRPr="00D72AC3" w:rsidRDefault="00781568" w:rsidP="006C08DD">
            <w:pPr>
              <w:jc w:val="center"/>
              <w:rPr>
                <w:rFonts w:cs="Times New Roman"/>
                <w:bCs/>
                <w:i/>
                <w:sz w:val="20"/>
                <w:szCs w:val="20"/>
                <w:lang w:val="en-GB"/>
              </w:rPr>
            </w:pPr>
            <w:r w:rsidRPr="00D72AC3">
              <w:rPr>
                <w:rFonts w:cs="Times New Roman"/>
                <w:b/>
                <w:sz w:val="20"/>
                <w:szCs w:val="20"/>
                <w:lang w:val="en-GB" w:bidi="en-GB"/>
              </w:rPr>
              <w:t>Outcome indicator</w:t>
            </w:r>
          </w:p>
        </w:tc>
        <w:tc>
          <w:tcPr>
            <w:tcW w:w="1134" w:type="dxa"/>
            <w:shd w:val="clear" w:color="auto" w:fill="auto"/>
          </w:tcPr>
          <w:p w:rsidR="00781568" w:rsidRPr="00D72AC3" w:rsidRDefault="00781568" w:rsidP="006C08DD">
            <w:pPr>
              <w:jc w:val="center"/>
              <w:rPr>
                <w:rFonts w:cs="Times New Roman"/>
                <w:bCs/>
                <w:i/>
                <w:sz w:val="20"/>
                <w:szCs w:val="20"/>
                <w:lang w:val="en-GB"/>
              </w:rPr>
            </w:pPr>
            <w:r w:rsidRPr="00D72AC3">
              <w:rPr>
                <w:rFonts w:cs="Times New Roman"/>
                <w:b/>
                <w:sz w:val="20"/>
                <w:szCs w:val="20"/>
                <w:lang w:val="en-GB" w:bidi="en-GB"/>
              </w:rPr>
              <w:t>Responsible authority</w:t>
            </w:r>
          </w:p>
        </w:tc>
        <w:tc>
          <w:tcPr>
            <w:tcW w:w="1560" w:type="dxa"/>
            <w:shd w:val="clear" w:color="auto" w:fill="auto"/>
          </w:tcPr>
          <w:p w:rsidR="00781568" w:rsidRPr="00D72AC3" w:rsidRDefault="00781568" w:rsidP="006C08DD">
            <w:pPr>
              <w:jc w:val="center"/>
              <w:rPr>
                <w:rFonts w:cs="Times New Roman"/>
                <w:bCs/>
                <w:i/>
                <w:sz w:val="20"/>
                <w:szCs w:val="20"/>
                <w:lang w:val="en-GB"/>
              </w:rPr>
            </w:pPr>
            <w:r w:rsidRPr="00D72AC3">
              <w:rPr>
                <w:rFonts w:cs="Times New Roman"/>
                <w:b/>
                <w:sz w:val="20"/>
                <w:szCs w:val="20"/>
                <w:lang w:val="en-GB" w:bidi="en-GB"/>
              </w:rPr>
              <w:t>Co-responsible authorities</w:t>
            </w:r>
          </w:p>
        </w:tc>
        <w:tc>
          <w:tcPr>
            <w:tcW w:w="1417" w:type="dxa"/>
            <w:shd w:val="clear" w:color="auto" w:fill="auto"/>
          </w:tcPr>
          <w:p w:rsidR="00781568" w:rsidRPr="00D72AC3" w:rsidRDefault="00781568" w:rsidP="006C08DD">
            <w:pPr>
              <w:jc w:val="center"/>
              <w:rPr>
                <w:rFonts w:cs="Times New Roman"/>
                <w:bCs/>
                <w:i/>
                <w:sz w:val="20"/>
                <w:szCs w:val="20"/>
                <w:lang w:val="en-GB"/>
              </w:rPr>
            </w:pPr>
            <w:r w:rsidRPr="00D72AC3">
              <w:rPr>
                <w:rFonts w:cs="Times New Roman"/>
                <w:b/>
                <w:sz w:val="20"/>
                <w:szCs w:val="20"/>
                <w:lang w:val="en-GB" w:bidi="en-GB"/>
              </w:rPr>
              <w:t>Term for implementation</w:t>
            </w:r>
          </w:p>
        </w:tc>
      </w:tr>
      <w:tr w:rsidR="008978FB" w:rsidRPr="00D72AC3" w:rsidTr="008978FB">
        <w:trPr>
          <w:trHeight w:val="1906"/>
        </w:trPr>
        <w:tc>
          <w:tcPr>
            <w:tcW w:w="704" w:type="dxa"/>
          </w:tcPr>
          <w:p w:rsidR="00781568" w:rsidRPr="00D72AC3" w:rsidRDefault="00781568" w:rsidP="006C08DD">
            <w:pPr>
              <w:rPr>
                <w:rFonts w:cs="Times New Roman"/>
                <w:sz w:val="20"/>
                <w:szCs w:val="20"/>
                <w:lang w:val="en-GB"/>
              </w:rPr>
            </w:pPr>
            <w:r w:rsidRPr="00D72AC3">
              <w:rPr>
                <w:rFonts w:cs="Times New Roman"/>
                <w:sz w:val="20"/>
                <w:szCs w:val="20"/>
                <w:lang w:val="en-GB" w:bidi="en-GB"/>
              </w:rPr>
              <w:t>10.1.</w:t>
            </w:r>
          </w:p>
        </w:tc>
        <w:tc>
          <w:tcPr>
            <w:tcW w:w="3969" w:type="dxa"/>
            <w:shd w:val="clear" w:color="auto" w:fill="auto"/>
          </w:tcPr>
          <w:p w:rsidR="00781568" w:rsidRPr="00D72AC3" w:rsidRDefault="00781568" w:rsidP="00BD055F">
            <w:pPr>
              <w:jc w:val="both"/>
              <w:rPr>
                <w:rFonts w:cs="Times New Roman"/>
                <w:sz w:val="20"/>
                <w:szCs w:val="20"/>
                <w:lang w:val="en-GB"/>
              </w:rPr>
            </w:pPr>
            <w:r w:rsidRPr="00D72AC3">
              <w:rPr>
                <w:rFonts w:cs="Times New Roman"/>
                <w:sz w:val="20"/>
                <w:szCs w:val="20"/>
                <w:lang w:val="en-GB" w:bidi="en-GB"/>
              </w:rPr>
              <w:t xml:space="preserve">It is necessary to urgently carry out an in-depth assessment of the legal basis for application of financial sanctions in the country, for the purposes of ensuring consistency of the relevant legal framework. </w:t>
            </w:r>
          </w:p>
        </w:tc>
        <w:tc>
          <w:tcPr>
            <w:tcW w:w="1559" w:type="dxa"/>
            <w:shd w:val="clear" w:color="auto" w:fill="auto"/>
          </w:tcPr>
          <w:p w:rsidR="00781568" w:rsidRPr="00D72AC3" w:rsidRDefault="00F1016B" w:rsidP="006C08DD">
            <w:pPr>
              <w:jc w:val="both"/>
              <w:rPr>
                <w:sz w:val="20"/>
                <w:szCs w:val="20"/>
                <w:lang w:val="en-GB"/>
              </w:rPr>
            </w:pPr>
            <w:r w:rsidRPr="00D72AC3">
              <w:rPr>
                <w:sz w:val="20"/>
                <w:szCs w:val="20"/>
                <w:lang w:val="en-GB" w:bidi="en-GB"/>
              </w:rPr>
              <w:t>Moneyval recommendation 10.1., FATF Recommendation 7.</w:t>
            </w:r>
          </w:p>
          <w:p w:rsidR="00781568" w:rsidRPr="00D72AC3" w:rsidRDefault="00781568" w:rsidP="006C08DD">
            <w:pPr>
              <w:jc w:val="both"/>
              <w:rPr>
                <w:sz w:val="20"/>
                <w:szCs w:val="20"/>
                <w:lang w:val="en-GB"/>
              </w:rPr>
            </w:pPr>
          </w:p>
        </w:tc>
        <w:tc>
          <w:tcPr>
            <w:tcW w:w="2835" w:type="dxa"/>
            <w:shd w:val="clear" w:color="auto" w:fill="auto"/>
          </w:tcPr>
          <w:p w:rsidR="00781568" w:rsidRPr="00D72AC3" w:rsidRDefault="00781568" w:rsidP="00EE1B29">
            <w:pPr>
              <w:jc w:val="both"/>
              <w:rPr>
                <w:rFonts w:cs="Times New Roman"/>
                <w:sz w:val="20"/>
                <w:szCs w:val="20"/>
                <w:lang w:val="en-GB"/>
              </w:rPr>
            </w:pPr>
            <w:r w:rsidRPr="00D72AC3">
              <w:rPr>
                <w:rFonts w:cs="Times New Roman"/>
                <w:sz w:val="20"/>
                <w:szCs w:val="20"/>
                <w:lang w:val="en-GB" w:bidi="en-GB"/>
              </w:rPr>
              <w:t xml:space="preserve">Clear legal basis for the fulfilment of the duties of the corresponding competent authorities; </w:t>
            </w:r>
          </w:p>
          <w:p w:rsidR="00781568" w:rsidRPr="00D72AC3" w:rsidRDefault="00781568" w:rsidP="00EE1B29">
            <w:pPr>
              <w:jc w:val="both"/>
              <w:rPr>
                <w:rFonts w:cs="Times New Roman"/>
                <w:sz w:val="20"/>
                <w:szCs w:val="20"/>
                <w:lang w:val="en-GB"/>
              </w:rPr>
            </w:pPr>
            <w:r w:rsidRPr="00D72AC3">
              <w:rPr>
                <w:rFonts w:cs="Times New Roman"/>
                <w:sz w:val="20"/>
                <w:szCs w:val="20"/>
                <w:lang w:val="en-GB" w:bidi="en-GB"/>
              </w:rPr>
              <w:t xml:space="preserve">The CS is able to issue an open-ended freezing orders, the circle of applicability of the freezing orders expanded; </w:t>
            </w:r>
          </w:p>
          <w:p w:rsidR="00781568" w:rsidRPr="00D72AC3" w:rsidRDefault="00781568" w:rsidP="00EE1B29">
            <w:pPr>
              <w:jc w:val="both"/>
              <w:rPr>
                <w:sz w:val="20"/>
                <w:szCs w:val="20"/>
                <w:lang w:val="en-GB"/>
              </w:rPr>
            </w:pPr>
            <w:r w:rsidRPr="00D72AC3">
              <w:rPr>
                <w:rFonts w:cs="Times New Roman"/>
                <w:sz w:val="20"/>
                <w:szCs w:val="20"/>
                <w:lang w:val="en-GB" w:bidi="en-GB"/>
              </w:rPr>
              <w:t>Full compliance with the FATF standards ensured.</w:t>
            </w:r>
          </w:p>
        </w:tc>
        <w:tc>
          <w:tcPr>
            <w:tcW w:w="2268" w:type="dxa"/>
            <w:shd w:val="clear" w:color="auto" w:fill="auto"/>
          </w:tcPr>
          <w:p w:rsidR="00781568" w:rsidRPr="00D72AC3" w:rsidRDefault="00781568">
            <w:pPr>
              <w:jc w:val="both"/>
              <w:rPr>
                <w:sz w:val="20"/>
                <w:szCs w:val="20"/>
                <w:lang w:val="en-GB"/>
              </w:rPr>
            </w:pPr>
            <w:r w:rsidRPr="00D72AC3">
              <w:rPr>
                <w:sz w:val="20"/>
                <w:szCs w:val="20"/>
                <w:lang w:val="en-GB" w:bidi="en-GB"/>
              </w:rPr>
              <w:t xml:space="preserve">Amendments to the </w:t>
            </w:r>
            <w:r w:rsidRPr="00D72AC3">
              <w:rPr>
                <w:i/>
                <w:sz w:val="20"/>
                <w:szCs w:val="20"/>
                <w:lang w:val="en-GB" w:bidi="en-GB"/>
              </w:rPr>
              <w:t>Sanctions Law</w:t>
            </w:r>
            <w:r w:rsidRPr="00D72AC3">
              <w:rPr>
                <w:sz w:val="20"/>
                <w:szCs w:val="20"/>
                <w:lang w:val="en-GB" w:bidi="en-GB"/>
              </w:rPr>
              <w:t xml:space="preserve">, </w:t>
            </w:r>
            <w:r w:rsidRPr="00D72AC3">
              <w:rPr>
                <w:i/>
                <w:sz w:val="20"/>
                <w:szCs w:val="20"/>
                <w:lang w:val="en-GB" w:bidi="en-GB"/>
              </w:rPr>
              <w:t xml:space="preserve">Criminal Law, Law on the PMLTF, </w:t>
            </w:r>
            <w:r w:rsidRPr="00D72AC3">
              <w:rPr>
                <w:sz w:val="20"/>
                <w:szCs w:val="20"/>
                <w:lang w:val="en-GB" w:bidi="en-GB"/>
              </w:rPr>
              <w:t>15 July 2016 Cabinet of Ministers Regulation No. 468</w:t>
            </w:r>
          </w:p>
        </w:tc>
        <w:tc>
          <w:tcPr>
            <w:tcW w:w="1134" w:type="dxa"/>
            <w:shd w:val="clear" w:color="auto" w:fill="auto"/>
          </w:tcPr>
          <w:p w:rsidR="00781568" w:rsidRPr="00D72AC3" w:rsidRDefault="00781568" w:rsidP="008978FB">
            <w:pPr>
              <w:jc w:val="center"/>
              <w:rPr>
                <w:rFonts w:cs="Times New Roman"/>
                <w:sz w:val="20"/>
                <w:szCs w:val="20"/>
                <w:lang w:val="en-GB"/>
              </w:rPr>
            </w:pPr>
            <w:r w:rsidRPr="00D72AC3">
              <w:rPr>
                <w:sz w:val="20"/>
                <w:szCs w:val="20"/>
                <w:lang w:val="en-GB" w:bidi="en-GB"/>
              </w:rPr>
              <w:t>MoFA</w:t>
            </w:r>
          </w:p>
        </w:tc>
        <w:tc>
          <w:tcPr>
            <w:tcW w:w="1560" w:type="dxa"/>
            <w:shd w:val="clear" w:color="auto" w:fill="auto"/>
          </w:tcPr>
          <w:p w:rsidR="00781568" w:rsidRPr="00D72AC3" w:rsidRDefault="00781568" w:rsidP="008978FB">
            <w:pPr>
              <w:jc w:val="center"/>
              <w:rPr>
                <w:rFonts w:cs="Times New Roman"/>
                <w:sz w:val="20"/>
                <w:szCs w:val="20"/>
                <w:lang w:val="en-GB"/>
              </w:rPr>
            </w:pPr>
            <w:r w:rsidRPr="00D72AC3">
              <w:rPr>
                <w:rFonts w:cs="Times New Roman"/>
                <w:sz w:val="20"/>
                <w:szCs w:val="20"/>
                <w:lang w:val="en-GB" w:bidi="en-GB"/>
              </w:rPr>
              <w:t>SeP, FCMC, CS, MoJ</w:t>
            </w:r>
          </w:p>
        </w:tc>
        <w:tc>
          <w:tcPr>
            <w:tcW w:w="1417" w:type="dxa"/>
            <w:shd w:val="clear" w:color="auto" w:fill="auto"/>
          </w:tcPr>
          <w:p w:rsidR="00781568" w:rsidRPr="00D72AC3" w:rsidRDefault="003052E4" w:rsidP="008978FB">
            <w:pPr>
              <w:jc w:val="center"/>
              <w:rPr>
                <w:rFonts w:cs="Times New Roman"/>
                <w:sz w:val="20"/>
                <w:szCs w:val="20"/>
                <w:lang w:val="en-GB"/>
              </w:rPr>
            </w:pPr>
            <w:r w:rsidRPr="00D72AC3">
              <w:rPr>
                <w:rFonts w:cs="Times New Roman"/>
                <w:sz w:val="20"/>
                <w:szCs w:val="20"/>
                <w:lang w:val="en-GB" w:bidi="en-GB"/>
              </w:rPr>
              <w:t>1 June 2019</w:t>
            </w:r>
          </w:p>
        </w:tc>
      </w:tr>
      <w:tr w:rsidR="008978FB" w:rsidRPr="00D72AC3" w:rsidTr="008978FB">
        <w:trPr>
          <w:trHeight w:val="1906"/>
        </w:trPr>
        <w:tc>
          <w:tcPr>
            <w:tcW w:w="704" w:type="dxa"/>
          </w:tcPr>
          <w:p w:rsidR="00781568" w:rsidRPr="00D72AC3" w:rsidRDefault="00781568" w:rsidP="006C08DD">
            <w:pPr>
              <w:rPr>
                <w:rFonts w:cs="Times New Roman"/>
                <w:sz w:val="20"/>
                <w:szCs w:val="20"/>
                <w:lang w:val="en-GB"/>
              </w:rPr>
            </w:pPr>
            <w:r w:rsidRPr="00D72AC3">
              <w:rPr>
                <w:rFonts w:cs="Times New Roman"/>
                <w:sz w:val="20"/>
                <w:szCs w:val="20"/>
                <w:lang w:val="en-GB" w:bidi="en-GB"/>
              </w:rPr>
              <w:lastRenderedPageBreak/>
              <w:t>10.2</w:t>
            </w:r>
          </w:p>
        </w:tc>
        <w:tc>
          <w:tcPr>
            <w:tcW w:w="3969" w:type="dxa"/>
            <w:shd w:val="clear" w:color="auto" w:fill="auto"/>
          </w:tcPr>
          <w:p w:rsidR="00781568" w:rsidRPr="00D72AC3" w:rsidRDefault="00781568" w:rsidP="008A6629">
            <w:pPr>
              <w:jc w:val="both"/>
              <w:rPr>
                <w:sz w:val="20"/>
                <w:szCs w:val="20"/>
                <w:lang w:val="en-GB"/>
              </w:rPr>
            </w:pPr>
            <w:r w:rsidRPr="00D72AC3">
              <w:rPr>
                <w:sz w:val="20"/>
                <w:szCs w:val="20"/>
                <w:lang w:val="en-GB" w:bidi="en-GB"/>
              </w:rPr>
              <w:t>To set the requirements for the subjects of the law with respect to formation and control of the internal control system for the management of the financing of terrorism and sanctions risk</w:t>
            </w:r>
          </w:p>
        </w:tc>
        <w:tc>
          <w:tcPr>
            <w:tcW w:w="1559" w:type="dxa"/>
            <w:shd w:val="clear" w:color="auto" w:fill="auto"/>
          </w:tcPr>
          <w:p w:rsidR="00F1016B" w:rsidRPr="00D72AC3" w:rsidRDefault="00F1016B" w:rsidP="00F1016B">
            <w:pPr>
              <w:jc w:val="both"/>
              <w:rPr>
                <w:sz w:val="20"/>
                <w:szCs w:val="20"/>
                <w:lang w:val="en-GB"/>
              </w:rPr>
            </w:pPr>
            <w:r w:rsidRPr="00D72AC3">
              <w:rPr>
                <w:sz w:val="20"/>
                <w:szCs w:val="20"/>
                <w:lang w:val="en-GB" w:bidi="en-GB"/>
              </w:rPr>
              <w:t>Moneyval recommendation 10.1.</w:t>
            </w:r>
          </w:p>
          <w:p w:rsidR="00781568" w:rsidRPr="00D72AC3" w:rsidRDefault="00781568" w:rsidP="006C08DD">
            <w:pPr>
              <w:jc w:val="both"/>
              <w:rPr>
                <w:sz w:val="20"/>
                <w:szCs w:val="20"/>
                <w:lang w:val="en-GB"/>
              </w:rPr>
            </w:pPr>
          </w:p>
        </w:tc>
        <w:tc>
          <w:tcPr>
            <w:tcW w:w="2835" w:type="dxa"/>
            <w:shd w:val="clear" w:color="auto" w:fill="auto"/>
          </w:tcPr>
          <w:p w:rsidR="00781568" w:rsidRPr="00D72AC3" w:rsidRDefault="00781568" w:rsidP="006C08DD">
            <w:pPr>
              <w:jc w:val="both"/>
              <w:rPr>
                <w:sz w:val="20"/>
                <w:szCs w:val="20"/>
                <w:lang w:val="en-GB"/>
              </w:rPr>
            </w:pPr>
            <w:r w:rsidRPr="00D72AC3">
              <w:rPr>
                <w:sz w:val="20"/>
                <w:szCs w:val="20"/>
                <w:lang w:val="en-GB" w:bidi="en-GB"/>
              </w:rPr>
              <w:t>Enhancement of the internal control system facilitated, in order to ensure the prevention of financing of terrorism and fulfilment of the requirements of the sanctions.</w:t>
            </w:r>
          </w:p>
        </w:tc>
        <w:tc>
          <w:tcPr>
            <w:tcW w:w="2268" w:type="dxa"/>
            <w:shd w:val="clear" w:color="auto" w:fill="auto"/>
          </w:tcPr>
          <w:p w:rsidR="00781568" w:rsidRPr="00D72AC3" w:rsidRDefault="00781568" w:rsidP="008A6629">
            <w:pPr>
              <w:jc w:val="both"/>
              <w:rPr>
                <w:sz w:val="20"/>
                <w:szCs w:val="20"/>
                <w:lang w:val="en-GB"/>
              </w:rPr>
            </w:pPr>
            <w:r w:rsidRPr="00D72AC3">
              <w:rPr>
                <w:sz w:val="20"/>
                <w:szCs w:val="20"/>
                <w:lang w:val="en-GB" w:bidi="en-GB"/>
              </w:rPr>
              <w:t>The statutory regulations and guidelines developed for the subjects of the law</w:t>
            </w:r>
          </w:p>
        </w:tc>
        <w:tc>
          <w:tcPr>
            <w:tcW w:w="1134" w:type="dxa"/>
            <w:shd w:val="clear" w:color="auto" w:fill="auto"/>
          </w:tcPr>
          <w:p w:rsidR="00781568" w:rsidRPr="00D72AC3" w:rsidRDefault="00781568" w:rsidP="008978FB">
            <w:pPr>
              <w:jc w:val="center"/>
              <w:rPr>
                <w:sz w:val="20"/>
                <w:szCs w:val="20"/>
                <w:lang w:val="en-GB"/>
              </w:rPr>
            </w:pPr>
            <w:r w:rsidRPr="00D72AC3">
              <w:rPr>
                <w:sz w:val="20"/>
                <w:szCs w:val="20"/>
                <w:lang w:val="en-GB" w:bidi="en-GB"/>
              </w:rPr>
              <w:t>FCMC, SRS, CRPC</w:t>
            </w:r>
          </w:p>
        </w:tc>
        <w:tc>
          <w:tcPr>
            <w:tcW w:w="1560" w:type="dxa"/>
            <w:shd w:val="clear" w:color="auto" w:fill="auto"/>
          </w:tcPr>
          <w:p w:rsidR="00781568" w:rsidRPr="00D72AC3" w:rsidRDefault="00781568" w:rsidP="008978FB">
            <w:pPr>
              <w:jc w:val="center"/>
              <w:rPr>
                <w:sz w:val="20"/>
                <w:szCs w:val="20"/>
                <w:lang w:val="en-GB"/>
              </w:rPr>
            </w:pPr>
          </w:p>
        </w:tc>
        <w:tc>
          <w:tcPr>
            <w:tcW w:w="1417" w:type="dxa"/>
            <w:shd w:val="clear" w:color="auto" w:fill="auto"/>
          </w:tcPr>
          <w:p w:rsidR="00781568" w:rsidRPr="00D72AC3" w:rsidRDefault="00781568" w:rsidP="008978FB">
            <w:pPr>
              <w:jc w:val="center"/>
              <w:rPr>
                <w:sz w:val="20"/>
                <w:szCs w:val="20"/>
                <w:lang w:val="en-GB"/>
              </w:rPr>
            </w:pPr>
            <w:r w:rsidRPr="00D72AC3">
              <w:rPr>
                <w:sz w:val="20"/>
                <w:szCs w:val="20"/>
                <w:lang w:val="en-GB" w:bidi="en-GB"/>
              </w:rPr>
              <w:t>1 May 2019</w:t>
            </w:r>
          </w:p>
        </w:tc>
      </w:tr>
      <w:tr w:rsidR="008978FB" w:rsidRPr="00D72AC3" w:rsidTr="008978FB">
        <w:trPr>
          <w:trHeight w:val="841"/>
        </w:trPr>
        <w:tc>
          <w:tcPr>
            <w:tcW w:w="704" w:type="dxa"/>
          </w:tcPr>
          <w:p w:rsidR="003178AC" w:rsidRPr="00D72AC3" w:rsidRDefault="003178AC" w:rsidP="006C08DD">
            <w:pPr>
              <w:rPr>
                <w:rFonts w:cs="Times New Roman"/>
                <w:sz w:val="20"/>
                <w:szCs w:val="20"/>
                <w:lang w:val="en-GB"/>
              </w:rPr>
            </w:pPr>
            <w:r w:rsidRPr="00D72AC3">
              <w:rPr>
                <w:rFonts w:cs="Times New Roman"/>
                <w:sz w:val="20"/>
                <w:szCs w:val="20"/>
                <w:lang w:val="en-GB" w:bidi="en-GB"/>
              </w:rPr>
              <w:t>10.3.</w:t>
            </w:r>
          </w:p>
        </w:tc>
        <w:tc>
          <w:tcPr>
            <w:tcW w:w="3969" w:type="dxa"/>
            <w:shd w:val="clear" w:color="auto" w:fill="auto"/>
          </w:tcPr>
          <w:p w:rsidR="003178AC" w:rsidRPr="00D72AC3" w:rsidRDefault="003178AC" w:rsidP="006C08DD">
            <w:pPr>
              <w:jc w:val="both"/>
              <w:rPr>
                <w:sz w:val="20"/>
                <w:szCs w:val="20"/>
                <w:lang w:val="en-GB"/>
              </w:rPr>
            </w:pPr>
            <w:r w:rsidRPr="00D72AC3">
              <w:rPr>
                <w:sz w:val="20"/>
                <w:szCs w:val="20"/>
                <w:lang w:val="en-GB" w:bidi="en-GB"/>
              </w:rPr>
              <w:t>To enhance internal legal framework for the purposes of enhancing the supervisory process with respect to ensuring the fulfilment of sanctions and requirements for combating financing of terrorism (incl., evasion thereof)</w:t>
            </w:r>
          </w:p>
        </w:tc>
        <w:tc>
          <w:tcPr>
            <w:tcW w:w="1559" w:type="dxa"/>
            <w:shd w:val="clear" w:color="auto" w:fill="auto"/>
          </w:tcPr>
          <w:p w:rsidR="003178AC" w:rsidRPr="00D72AC3" w:rsidRDefault="003178AC" w:rsidP="006C08DD">
            <w:pPr>
              <w:jc w:val="both"/>
              <w:rPr>
                <w:sz w:val="20"/>
                <w:szCs w:val="20"/>
                <w:lang w:val="en-GB"/>
              </w:rPr>
            </w:pPr>
            <w:r w:rsidRPr="00D72AC3">
              <w:rPr>
                <w:sz w:val="20"/>
                <w:szCs w:val="20"/>
                <w:lang w:val="en-GB" w:bidi="en-GB"/>
              </w:rPr>
              <w:t>Moneyval recommendation 10.2.</w:t>
            </w:r>
          </w:p>
          <w:p w:rsidR="003178AC" w:rsidRPr="00D72AC3" w:rsidRDefault="003178AC" w:rsidP="006C08DD">
            <w:pPr>
              <w:jc w:val="both"/>
              <w:rPr>
                <w:sz w:val="20"/>
                <w:szCs w:val="20"/>
                <w:lang w:val="en-GB"/>
              </w:rPr>
            </w:pPr>
          </w:p>
        </w:tc>
        <w:tc>
          <w:tcPr>
            <w:tcW w:w="2835" w:type="dxa"/>
            <w:shd w:val="clear" w:color="auto" w:fill="auto"/>
          </w:tcPr>
          <w:p w:rsidR="003178AC" w:rsidRPr="00D72AC3" w:rsidRDefault="003178AC" w:rsidP="006C08DD">
            <w:pPr>
              <w:jc w:val="both"/>
              <w:rPr>
                <w:sz w:val="20"/>
                <w:szCs w:val="20"/>
                <w:lang w:val="en-GB"/>
              </w:rPr>
            </w:pPr>
            <w:r w:rsidRPr="00D72AC3">
              <w:rPr>
                <w:sz w:val="20"/>
                <w:szCs w:val="20"/>
                <w:lang w:val="en-GB" w:bidi="en-GB"/>
              </w:rPr>
              <w:t xml:space="preserve">Increased supervision of ensuring the fulfilment of sanctions and requirements of combating financing of terrorism </w:t>
            </w:r>
          </w:p>
        </w:tc>
        <w:tc>
          <w:tcPr>
            <w:tcW w:w="2268" w:type="dxa"/>
            <w:shd w:val="clear" w:color="auto" w:fill="auto"/>
          </w:tcPr>
          <w:p w:rsidR="003178AC" w:rsidRPr="00D72AC3" w:rsidRDefault="003178AC" w:rsidP="006C08DD">
            <w:pPr>
              <w:rPr>
                <w:sz w:val="20"/>
                <w:szCs w:val="20"/>
                <w:lang w:val="en-GB"/>
              </w:rPr>
            </w:pPr>
            <w:r w:rsidRPr="00D72AC3">
              <w:rPr>
                <w:sz w:val="20"/>
                <w:szCs w:val="20"/>
                <w:lang w:val="en-GB" w:bidi="en-GB"/>
              </w:rPr>
              <w:t>Amendments introduced to the internal legal framework</w:t>
            </w:r>
          </w:p>
        </w:tc>
        <w:tc>
          <w:tcPr>
            <w:tcW w:w="1134" w:type="dxa"/>
            <w:shd w:val="clear" w:color="auto" w:fill="auto"/>
          </w:tcPr>
          <w:p w:rsidR="003178AC" w:rsidRPr="00D72AC3" w:rsidRDefault="003178AC" w:rsidP="008978FB">
            <w:pPr>
              <w:jc w:val="center"/>
              <w:rPr>
                <w:sz w:val="20"/>
                <w:szCs w:val="20"/>
                <w:lang w:val="en-GB"/>
              </w:rPr>
            </w:pPr>
            <w:r w:rsidRPr="00D72AC3">
              <w:rPr>
                <w:sz w:val="20"/>
                <w:szCs w:val="20"/>
                <w:lang w:val="en-GB" w:bidi="en-GB"/>
              </w:rPr>
              <w:t>FCMC</w:t>
            </w:r>
          </w:p>
        </w:tc>
        <w:tc>
          <w:tcPr>
            <w:tcW w:w="1560" w:type="dxa"/>
            <w:shd w:val="clear" w:color="auto" w:fill="auto"/>
          </w:tcPr>
          <w:p w:rsidR="003178AC" w:rsidRPr="00D72AC3" w:rsidRDefault="003178AC" w:rsidP="008978FB">
            <w:pPr>
              <w:jc w:val="center"/>
              <w:rPr>
                <w:sz w:val="20"/>
                <w:szCs w:val="20"/>
                <w:lang w:val="en-GB"/>
              </w:rPr>
            </w:pPr>
          </w:p>
        </w:tc>
        <w:tc>
          <w:tcPr>
            <w:tcW w:w="1417" w:type="dxa"/>
            <w:shd w:val="clear" w:color="auto" w:fill="auto"/>
          </w:tcPr>
          <w:p w:rsidR="003178AC" w:rsidRPr="00D72AC3" w:rsidRDefault="00E24D83" w:rsidP="008978FB">
            <w:pPr>
              <w:jc w:val="center"/>
              <w:rPr>
                <w:sz w:val="20"/>
                <w:szCs w:val="20"/>
                <w:lang w:val="en-GB"/>
              </w:rPr>
            </w:pPr>
            <w:r w:rsidRPr="00D72AC3">
              <w:rPr>
                <w:sz w:val="20"/>
                <w:szCs w:val="20"/>
                <w:lang w:val="en-GB" w:bidi="en-GB"/>
              </w:rPr>
              <w:t>31 March 2019</w:t>
            </w:r>
          </w:p>
        </w:tc>
      </w:tr>
      <w:tr w:rsidR="008978FB" w:rsidRPr="00D72AC3" w:rsidTr="008978FB">
        <w:trPr>
          <w:trHeight w:val="841"/>
        </w:trPr>
        <w:tc>
          <w:tcPr>
            <w:tcW w:w="704" w:type="dxa"/>
            <w:vMerge w:val="restart"/>
          </w:tcPr>
          <w:p w:rsidR="005E28C6" w:rsidRPr="00D72AC3" w:rsidRDefault="008978FB" w:rsidP="006C08DD">
            <w:pPr>
              <w:rPr>
                <w:rFonts w:cs="Times New Roman"/>
                <w:sz w:val="20"/>
                <w:szCs w:val="20"/>
                <w:lang w:val="en-GB"/>
              </w:rPr>
            </w:pPr>
            <w:r w:rsidRPr="00D72AC3">
              <w:rPr>
                <w:rFonts w:cs="Times New Roman"/>
                <w:sz w:val="20"/>
                <w:szCs w:val="20"/>
                <w:lang w:val="en-GB" w:bidi="en-GB"/>
              </w:rPr>
              <w:t>10.4.</w:t>
            </w:r>
          </w:p>
        </w:tc>
        <w:tc>
          <w:tcPr>
            <w:tcW w:w="3969" w:type="dxa"/>
            <w:vMerge w:val="restart"/>
            <w:shd w:val="clear" w:color="auto" w:fill="auto"/>
          </w:tcPr>
          <w:p w:rsidR="005E28C6" w:rsidRPr="00D72AC3" w:rsidRDefault="00A4221B" w:rsidP="006C08DD">
            <w:pPr>
              <w:jc w:val="both"/>
              <w:rPr>
                <w:rFonts w:cs="Times New Roman"/>
                <w:sz w:val="20"/>
                <w:szCs w:val="20"/>
                <w:lang w:val="en-GB"/>
              </w:rPr>
            </w:pPr>
            <w:r w:rsidRPr="00D72AC3">
              <w:rPr>
                <w:rFonts w:cs="Times New Roman"/>
                <w:sz w:val="20"/>
                <w:szCs w:val="20"/>
                <w:lang w:val="en-GB" w:bidi="en-GB"/>
              </w:rPr>
              <w:t>To ensure that, when performing the verifications, the supervisors pay increased attention (assess as a priority) to the compliance of application of the financial sanctions with the international requirements with respect to combating financing of terrorism.</w:t>
            </w:r>
            <w:r w:rsidR="00D72AC3" w:rsidRPr="00D72AC3">
              <w:rPr>
                <w:rFonts w:cs="Times New Roman"/>
                <w:sz w:val="20"/>
                <w:szCs w:val="20"/>
                <w:lang w:val="en-GB" w:bidi="en-GB"/>
              </w:rPr>
              <w:t xml:space="preserve"> </w:t>
            </w:r>
          </w:p>
        </w:tc>
        <w:tc>
          <w:tcPr>
            <w:tcW w:w="1559" w:type="dxa"/>
            <w:vMerge w:val="restart"/>
            <w:shd w:val="clear" w:color="auto" w:fill="auto"/>
          </w:tcPr>
          <w:p w:rsidR="005E28C6" w:rsidRPr="00D72AC3" w:rsidRDefault="005E28C6" w:rsidP="00337EDC">
            <w:pPr>
              <w:jc w:val="both"/>
              <w:rPr>
                <w:sz w:val="20"/>
                <w:szCs w:val="20"/>
                <w:lang w:val="en-GB"/>
              </w:rPr>
            </w:pPr>
            <w:r w:rsidRPr="00D72AC3">
              <w:rPr>
                <w:sz w:val="20"/>
                <w:szCs w:val="20"/>
                <w:lang w:val="en-GB" w:bidi="en-GB"/>
              </w:rPr>
              <w:t>Moneyval recommendation 10.2.</w:t>
            </w:r>
          </w:p>
          <w:p w:rsidR="005E28C6" w:rsidRPr="00D72AC3" w:rsidRDefault="005E28C6" w:rsidP="006C08DD">
            <w:pPr>
              <w:jc w:val="both"/>
              <w:rPr>
                <w:sz w:val="20"/>
                <w:szCs w:val="20"/>
                <w:lang w:val="en-GB"/>
              </w:rPr>
            </w:pPr>
          </w:p>
        </w:tc>
        <w:tc>
          <w:tcPr>
            <w:tcW w:w="2835" w:type="dxa"/>
            <w:vMerge w:val="restart"/>
            <w:shd w:val="clear" w:color="auto" w:fill="auto"/>
          </w:tcPr>
          <w:p w:rsidR="005E28C6" w:rsidRPr="00D72AC3" w:rsidRDefault="005E28C6" w:rsidP="006C08DD">
            <w:pPr>
              <w:jc w:val="both"/>
              <w:rPr>
                <w:rFonts w:cs="Times New Roman"/>
                <w:sz w:val="20"/>
                <w:szCs w:val="20"/>
                <w:lang w:val="en-GB"/>
              </w:rPr>
            </w:pPr>
            <w:r w:rsidRPr="00D72AC3">
              <w:rPr>
                <w:rFonts w:cs="Times New Roman"/>
                <w:sz w:val="20"/>
                <w:szCs w:val="20"/>
                <w:lang w:val="en-GB" w:bidi="en-GB"/>
              </w:rPr>
              <w:t>Increased compliance of the application of financial sanctions</w:t>
            </w:r>
          </w:p>
          <w:p w:rsidR="005E28C6" w:rsidRPr="00D72AC3" w:rsidRDefault="005E28C6" w:rsidP="006C08DD">
            <w:pPr>
              <w:jc w:val="both"/>
              <w:rPr>
                <w:rFonts w:cs="Times New Roman"/>
                <w:sz w:val="20"/>
                <w:szCs w:val="20"/>
                <w:lang w:val="en-GB"/>
              </w:rPr>
            </w:pPr>
          </w:p>
          <w:p w:rsidR="005E28C6" w:rsidRPr="00D72AC3" w:rsidRDefault="005E28C6" w:rsidP="006C08DD">
            <w:pPr>
              <w:jc w:val="both"/>
              <w:rPr>
                <w:sz w:val="20"/>
                <w:szCs w:val="20"/>
                <w:lang w:val="en-GB"/>
              </w:rPr>
            </w:pPr>
          </w:p>
        </w:tc>
        <w:tc>
          <w:tcPr>
            <w:tcW w:w="2268" w:type="dxa"/>
            <w:shd w:val="clear" w:color="auto" w:fill="auto"/>
          </w:tcPr>
          <w:p w:rsidR="005E28C6" w:rsidRPr="00D72AC3" w:rsidRDefault="005E28C6" w:rsidP="005E28C6">
            <w:pPr>
              <w:jc w:val="both"/>
              <w:rPr>
                <w:sz w:val="20"/>
                <w:szCs w:val="20"/>
                <w:lang w:val="en-GB"/>
              </w:rPr>
            </w:pPr>
            <w:r w:rsidRPr="00D72AC3">
              <w:rPr>
                <w:sz w:val="20"/>
                <w:szCs w:val="20"/>
                <w:lang w:val="en-GB" w:bidi="en-GB"/>
              </w:rPr>
              <w:t>1. On the basis of the risk assessment, guidance notes/guidelines developed, which the subjects of the law can use for facilitating the understanding of the risk and formation of the ICS.</w:t>
            </w:r>
          </w:p>
        </w:tc>
        <w:tc>
          <w:tcPr>
            <w:tcW w:w="1134" w:type="dxa"/>
            <w:shd w:val="clear" w:color="auto" w:fill="auto"/>
          </w:tcPr>
          <w:p w:rsidR="005E28C6" w:rsidRPr="00D72AC3" w:rsidRDefault="005E28C6" w:rsidP="008978FB">
            <w:pPr>
              <w:jc w:val="center"/>
              <w:rPr>
                <w:rFonts w:cs="Times New Roman"/>
                <w:sz w:val="20"/>
                <w:szCs w:val="20"/>
                <w:lang w:val="en-GB"/>
              </w:rPr>
            </w:pPr>
            <w:r w:rsidRPr="00D72AC3">
              <w:rPr>
                <w:rFonts w:cs="Times New Roman"/>
                <w:sz w:val="20"/>
                <w:szCs w:val="20"/>
                <w:lang w:val="en-GB" w:bidi="en-GB"/>
              </w:rPr>
              <w:t>SeP</w:t>
            </w:r>
          </w:p>
          <w:p w:rsidR="005E28C6" w:rsidRPr="00D72AC3" w:rsidRDefault="005E28C6" w:rsidP="008978FB">
            <w:pPr>
              <w:jc w:val="center"/>
              <w:rPr>
                <w:rFonts w:cs="Times New Roman"/>
                <w:sz w:val="20"/>
                <w:szCs w:val="20"/>
                <w:lang w:val="en-GB"/>
              </w:rPr>
            </w:pPr>
          </w:p>
          <w:p w:rsidR="005E28C6" w:rsidRPr="00D72AC3" w:rsidRDefault="005E28C6" w:rsidP="008978FB">
            <w:pPr>
              <w:jc w:val="center"/>
              <w:rPr>
                <w:rFonts w:cs="Times New Roman"/>
                <w:sz w:val="20"/>
                <w:szCs w:val="20"/>
                <w:lang w:val="en-GB"/>
              </w:rPr>
            </w:pPr>
          </w:p>
          <w:p w:rsidR="005E28C6" w:rsidRPr="00D72AC3" w:rsidRDefault="005E28C6" w:rsidP="008978FB">
            <w:pPr>
              <w:jc w:val="center"/>
              <w:rPr>
                <w:rFonts w:cs="Times New Roman"/>
                <w:sz w:val="20"/>
                <w:szCs w:val="20"/>
                <w:lang w:val="en-GB"/>
              </w:rPr>
            </w:pPr>
          </w:p>
        </w:tc>
        <w:tc>
          <w:tcPr>
            <w:tcW w:w="1560" w:type="dxa"/>
            <w:shd w:val="clear" w:color="auto" w:fill="auto"/>
          </w:tcPr>
          <w:p w:rsidR="005E28C6" w:rsidRPr="00D72AC3" w:rsidRDefault="00892753" w:rsidP="008978FB">
            <w:pPr>
              <w:jc w:val="center"/>
              <w:rPr>
                <w:rFonts w:cs="Times New Roman"/>
                <w:sz w:val="20"/>
                <w:szCs w:val="20"/>
                <w:lang w:val="en-GB"/>
              </w:rPr>
            </w:pPr>
            <w:r w:rsidRPr="00D72AC3">
              <w:rPr>
                <w:rFonts w:cs="Times New Roman"/>
                <w:sz w:val="20"/>
                <w:szCs w:val="20"/>
                <w:lang w:val="en-GB" w:bidi="en-GB"/>
              </w:rPr>
              <w:t>CS</w:t>
            </w:r>
          </w:p>
        </w:tc>
        <w:tc>
          <w:tcPr>
            <w:tcW w:w="1417" w:type="dxa"/>
            <w:shd w:val="clear" w:color="auto" w:fill="auto"/>
          </w:tcPr>
          <w:p w:rsidR="005E28C6" w:rsidRPr="00D72AC3" w:rsidRDefault="005E28C6" w:rsidP="008978FB">
            <w:pPr>
              <w:jc w:val="center"/>
              <w:rPr>
                <w:rFonts w:cs="Times New Roman"/>
                <w:sz w:val="20"/>
                <w:szCs w:val="20"/>
                <w:lang w:val="en-GB"/>
              </w:rPr>
            </w:pPr>
            <w:r w:rsidRPr="00D72AC3">
              <w:rPr>
                <w:rFonts w:cs="Times New Roman"/>
                <w:sz w:val="20"/>
                <w:szCs w:val="20"/>
                <w:lang w:val="en-GB" w:bidi="en-GB"/>
              </w:rPr>
              <w:t>1 March 2019</w:t>
            </w:r>
          </w:p>
        </w:tc>
      </w:tr>
      <w:tr w:rsidR="008978FB" w:rsidRPr="00D72AC3" w:rsidTr="008978FB">
        <w:tc>
          <w:tcPr>
            <w:tcW w:w="704" w:type="dxa"/>
            <w:vMerge/>
          </w:tcPr>
          <w:p w:rsidR="005E28C6" w:rsidRPr="00D72AC3" w:rsidRDefault="005E28C6" w:rsidP="006C08DD">
            <w:pPr>
              <w:jc w:val="center"/>
              <w:rPr>
                <w:rFonts w:cs="Times New Roman"/>
                <w:sz w:val="20"/>
                <w:szCs w:val="20"/>
                <w:lang w:val="en-GB"/>
              </w:rPr>
            </w:pPr>
          </w:p>
        </w:tc>
        <w:tc>
          <w:tcPr>
            <w:tcW w:w="3969" w:type="dxa"/>
            <w:vMerge/>
            <w:shd w:val="clear" w:color="auto" w:fill="auto"/>
          </w:tcPr>
          <w:p w:rsidR="005E28C6" w:rsidRPr="00D72AC3" w:rsidRDefault="005E28C6" w:rsidP="006C08DD">
            <w:pPr>
              <w:jc w:val="both"/>
              <w:rPr>
                <w:rFonts w:cs="Times New Roman"/>
                <w:sz w:val="20"/>
                <w:szCs w:val="20"/>
                <w:lang w:val="en-GB"/>
              </w:rPr>
            </w:pPr>
          </w:p>
        </w:tc>
        <w:tc>
          <w:tcPr>
            <w:tcW w:w="1559" w:type="dxa"/>
            <w:vMerge/>
            <w:shd w:val="clear" w:color="auto" w:fill="auto"/>
          </w:tcPr>
          <w:p w:rsidR="005E28C6" w:rsidRPr="00D72AC3" w:rsidRDefault="005E28C6" w:rsidP="006C08DD">
            <w:pPr>
              <w:jc w:val="both"/>
              <w:rPr>
                <w:sz w:val="20"/>
                <w:szCs w:val="20"/>
                <w:lang w:val="en-GB"/>
              </w:rPr>
            </w:pPr>
          </w:p>
        </w:tc>
        <w:tc>
          <w:tcPr>
            <w:tcW w:w="2835" w:type="dxa"/>
            <w:vMerge/>
            <w:shd w:val="clear" w:color="auto" w:fill="auto"/>
          </w:tcPr>
          <w:p w:rsidR="005E28C6" w:rsidRPr="00D72AC3" w:rsidRDefault="005E28C6" w:rsidP="006C08DD">
            <w:pPr>
              <w:jc w:val="both"/>
              <w:rPr>
                <w:sz w:val="20"/>
                <w:szCs w:val="20"/>
                <w:lang w:val="en-GB"/>
              </w:rPr>
            </w:pPr>
          </w:p>
        </w:tc>
        <w:tc>
          <w:tcPr>
            <w:tcW w:w="2268" w:type="dxa"/>
            <w:shd w:val="clear" w:color="auto" w:fill="auto"/>
          </w:tcPr>
          <w:p w:rsidR="005E28C6" w:rsidRPr="00D72AC3" w:rsidRDefault="005E28C6" w:rsidP="00892753">
            <w:pPr>
              <w:jc w:val="both"/>
              <w:rPr>
                <w:sz w:val="20"/>
                <w:szCs w:val="20"/>
                <w:lang w:val="en-GB"/>
              </w:rPr>
            </w:pPr>
            <w:r w:rsidRPr="00D72AC3">
              <w:rPr>
                <w:sz w:val="20"/>
                <w:szCs w:val="20"/>
                <w:lang w:val="en-GB" w:bidi="en-GB"/>
              </w:rPr>
              <w:t>2. SeP training for the supervisory and control authorities</w:t>
            </w:r>
          </w:p>
        </w:tc>
        <w:tc>
          <w:tcPr>
            <w:tcW w:w="1134" w:type="dxa"/>
            <w:shd w:val="clear" w:color="auto" w:fill="auto"/>
          </w:tcPr>
          <w:p w:rsidR="005E28C6" w:rsidRPr="00D72AC3" w:rsidRDefault="00892753" w:rsidP="008978FB">
            <w:pPr>
              <w:jc w:val="center"/>
              <w:rPr>
                <w:rFonts w:cs="Times New Roman"/>
                <w:sz w:val="20"/>
                <w:szCs w:val="20"/>
                <w:lang w:val="en-GB"/>
              </w:rPr>
            </w:pPr>
            <w:r w:rsidRPr="00D72AC3">
              <w:rPr>
                <w:rFonts w:cs="Times New Roman"/>
                <w:sz w:val="20"/>
                <w:szCs w:val="20"/>
                <w:lang w:val="en-GB" w:bidi="en-GB"/>
              </w:rPr>
              <w:t>SeP</w:t>
            </w:r>
          </w:p>
        </w:tc>
        <w:tc>
          <w:tcPr>
            <w:tcW w:w="1560" w:type="dxa"/>
            <w:shd w:val="clear" w:color="auto" w:fill="auto"/>
          </w:tcPr>
          <w:p w:rsidR="005E28C6" w:rsidRPr="00D72AC3" w:rsidRDefault="005E28C6" w:rsidP="008978FB">
            <w:pPr>
              <w:jc w:val="center"/>
              <w:rPr>
                <w:rFonts w:cs="Times New Roman"/>
                <w:sz w:val="20"/>
                <w:szCs w:val="20"/>
                <w:lang w:val="en-GB"/>
              </w:rPr>
            </w:pPr>
          </w:p>
        </w:tc>
        <w:tc>
          <w:tcPr>
            <w:tcW w:w="1417" w:type="dxa"/>
            <w:shd w:val="clear" w:color="auto" w:fill="auto"/>
          </w:tcPr>
          <w:p w:rsidR="005E28C6" w:rsidRPr="00D72AC3" w:rsidRDefault="00892753" w:rsidP="008978FB">
            <w:pPr>
              <w:jc w:val="center"/>
              <w:rPr>
                <w:rFonts w:cs="Times New Roman"/>
                <w:sz w:val="20"/>
                <w:szCs w:val="20"/>
                <w:lang w:val="en-GB"/>
              </w:rPr>
            </w:pPr>
            <w:r w:rsidRPr="00D72AC3">
              <w:rPr>
                <w:rFonts w:cs="Times New Roman"/>
                <w:sz w:val="20"/>
                <w:szCs w:val="20"/>
                <w:lang w:val="en-GB" w:bidi="en-GB"/>
              </w:rPr>
              <w:t>1 April 2019</w:t>
            </w:r>
          </w:p>
        </w:tc>
      </w:tr>
      <w:tr w:rsidR="008978FB" w:rsidRPr="00D72AC3" w:rsidTr="008978FB">
        <w:tc>
          <w:tcPr>
            <w:tcW w:w="704" w:type="dxa"/>
            <w:vMerge/>
          </w:tcPr>
          <w:p w:rsidR="005E28C6" w:rsidRPr="00D72AC3" w:rsidRDefault="005E28C6" w:rsidP="006C08DD">
            <w:pPr>
              <w:jc w:val="center"/>
              <w:rPr>
                <w:rFonts w:cs="Times New Roman"/>
                <w:sz w:val="20"/>
                <w:szCs w:val="20"/>
                <w:lang w:val="en-GB"/>
              </w:rPr>
            </w:pPr>
          </w:p>
        </w:tc>
        <w:tc>
          <w:tcPr>
            <w:tcW w:w="3969" w:type="dxa"/>
            <w:vMerge/>
            <w:shd w:val="clear" w:color="auto" w:fill="auto"/>
          </w:tcPr>
          <w:p w:rsidR="005E28C6" w:rsidRPr="00D72AC3" w:rsidRDefault="005E28C6" w:rsidP="006C08DD">
            <w:pPr>
              <w:jc w:val="both"/>
              <w:rPr>
                <w:rFonts w:cs="Times New Roman"/>
                <w:sz w:val="20"/>
                <w:szCs w:val="20"/>
                <w:lang w:val="en-GB"/>
              </w:rPr>
            </w:pPr>
          </w:p>
        </w:tc>
        <w:tc>
          <w:tcPr>
            <w:tcW w:w="1559" w:type="dxa"/>
            <w:vMerge/>
            <w:shd w:val="clear" w:color="auto" w:fill="auto"/>
          </w:tcPr>
          <w:p w:rsidR="005E28C6" w:rsidRPr="00D72AC3" w:rsidRDefault="005E28C6" w:rsidP="006C08DD">
            <w:pPr>
              <w:jc w:val="both"/>
              <w:rPr>
                <w:sz w:val="20"/>
                <w:szCs w:val="20"/>
                <w:lang w:val="en-GB"/>
              </w:rPr>
            </w:pPr>
          </w:p>
        </w:tc>
        <w:tc>
          <w:tcPr>
            <w:tcW w:w="2835" w:type="dxa"/>
            <w:vMerge/>
            <w:shd w:val="clear" w:color="auto" w:fill="auto"/>
          </w:tcPr>
          <w:p w:rsidR="005E28C6" w:rsidRPr="00D72AC3" w:rsidRDefault="005E28C6" w:rsidP="006C08DD">
            <w:pPr>
              <w:jc w:val="both"/>
              <w:rPr>
                <w:sz w:val="20"/>
                <w:szCs w:val="20"/>
                <w:lang w:val="en-GB"/>
              </w:rPr>
            </w:pPr>
          </w:p>
        </w:tc>
        <w:tc>
          <w:tcPr>
            <w:tcW w:w="2268" w:type="dxa"/>
            <w:shd w:val="clear" w:color="auto" w:fill="auto"/>
          </w:tcPr>
          <w:p w:rsidR="005E28C6" w:rsidRPr="00D72AC3" w:rsidRDefault="005E28C6" w:rsidP="005E28C6">
            <w:pPr>
              <w:jc w:val="both"/>
              <w:rPr>
                <w:sz w:val="20"/>
                <w:szCs w:val="20"/>
                <w:lang w:val="en-GB"/>
              </w:rPr>
            </w:pPr>
            <w:r w:rsidRPr="00D72AC3">
              <w:rPr>
                <w:sz w:val="20"/>
                <w:szCs w:val="20"/>
                <w:lang w:val="en-GB" w:bidi="en-GB"/>
              </w:rPr>
              <w:t>3. The supervisory and control authorities, when performing the verifications, pay increased attention to the compliance of application of the financial sanctions</w:t>
            </w:r>
          </w:p>
        </w:tc>
        <w:tc>
          <w:tcPr>
            <w:tcW w:w="1134" w:type="dxa"/>
            <w:shd w:val="clear" w:color="auto" w:fill="auto"/>
          </w:tcPr>
          <w:p w:rsidR="005E28C6" w:rsidRPr="00D72AC3" w:rsidRDefault="005E28C6" w:rsidP="008978FB">
            <w:pPr>
              <w:jc w:val="center"/>
              <w:rPr>
                <w:rFonts w:cs="Times New Roman"/>
                <w:sz w:val="20"/>
                <w:szCs w:val="20"/>
                <w:lang w:val="en-GB"/>
              </w:rPr>
            </w:pPr>
            <w:r w:rsidRPr="00D72AC3">
              <w:rPr>
                <w:rFonts w:cs="Times New Roman"/>
                <w:sz w:val="20"/>
                <w:szCs w:val="20"/>
                <w:lang w:val="en-GB" w:bidi="en-GB"/>
              </w:rPr>
              <w:t>FCMC, SRS, CRPC</w:t>
            </w:r>
          </w:p>
          <w:p w:rsidR="005E28C6" w:rsidRPr="00D72AC3" w:rsidRDefault="005E28C6" w:rsidP="008978FB">
            <w:pPr>
              <w:jc w:val="center"/>
              <w:rPr>
                <w:sz w:val="20"/>
                <w:szCs w:val="20"/>
                <w:lang w:val="en-GB"/>
              </w:rPr>
            </w:pPr>
          </w:p>
        </w:tc>
        <w:tc>
          <w:tcPr>
            <w:tcW w:w="1560" w:type="dxa"/>
            <w:shd w:val="clear" w:color="auto" w:fill="auto"/>
          </w:tcPr>
          <w:p w:rsidR="005E28C6" w:rsidRPr="00D72AC3" w:rsidRDefault="005E28C6" w:rsidP="008978FB">
            <w:pPr>
              <w:jc w:val="center"/>
              <w:rPr>
                <w:rFonts w:cs="Times New Roman"/>
                <w:sz w:val="20"/>
                <w:szCs w:val="20"/>
                <w:lang w:val="en-GB"/>
              </w:rPr>
            </w:pPr>
          </w:p>
        </w:tc>
        <w:tc>
          <w:tcPr>
            <w:tcW w:w="1417" w:type="dxa"/>
            <w:shd w:val="clear" w:color="auto" w:fill="auto"/>
          </w:tcPr>
          <w:p w:rsidR="005E28C6" w:rsidRPr="00D72AC3" w:rsidRDefault="005E28C6" w:rsidP="008978FB">
            <w:pPr>
              <w:jc w:val="center"/>
              <w:rPr>
                <w:rFonts w:cs="Times New Roman"/>
                <w:sz w:val="20"/>
                <w:szCs w:val="20"/>
                <w:lang w:val="en-GB"/>
              </w:rPr>
            </w:pPr>
            <w:r w:rsidRPr="00D72AC3">
              <w:rPr>
                <w:rFonts w:cs="Times New Roman"/>
                <w:sz w:val="20"/>
                <w:szCs w:val="20"/>
                <w:lang w:val="en-GB" w:bidi="en-GB"/>
              </w:rPr>
              <w:t>1 September 2019</w:t>
            </w:r>
          </w:p>
        </w:tc>
      </w:tr>
      <w:tr w:rsidR="008978FB" w:rsidRPr="00D72AC3" w:rsidTr="008978FB">
        <w:tc>
          <w:tcPr>
            <w:tcW w:w="704" w:type="dxa"/>
          </w:tcPr>
          <w:p w:rsidR="00781568" w:rsidRPr="00D72AC3" w:rsidRDefault="008978FB" w:rsidP="006C08DD">
            <w:pPr>
              <w:jc w:val="center"/>
              <w:rPr>
                <w:rFonts w:cs="Times New Roman"/>
                <w:bCs/>
                <w:sz w:val="20"/>
                <w:szCs w:val="20"/>
                <w:lang w:val="en-GB"/>
              </w:rPr>
            </w:pPr>
            <w:r w:rsidRPr="00D72AC3">
              <w:rPr>
                <w:rFonts w:cs="Times New Roman"/>
                <w:sz w:val="20"/>
                <w:szCs w:val="20"/>
                <w:lang w:val="en-GB" w:bidi="en-GB"/>
              </w:rPr>
              <w:t>10.5.</w:t>
            </w:r>
          </w:p>
        </w:tc>
        <w:tc>
          <w:tcPr>
            <w:tcW w:w="3969" w:type="dxa"/>
            <w:shd w:val="clear" w:color="auto" w:fill="auto"/>
          </w:tcPr>
          <w:p w:rsidR="00781568" w:rsidRPr="00D72AC3" w:rsidRDefault="00781568" w:rsidP="006C08DD">
            <w:pPr>
              <w:jc w:val="both"/>
              <w:rPr>
                <w:rFonts w:cs="Times New Roman"/>
                <w:sz w:val="20"/>
                <w:szCs w:val="20"/>
                <w:lang w:val="en-GB"/>
              </w:rPr>
            </w:pPr>
            <w:r w:rsidRPr="00D72AC3">
              <w:rPr>
                <w:rFonts w:cs="Times New Roman"/>
                <w:sz w:val="20"/>
                <w:szCs w:val="20"/>
                <w:lang w:val="en-GB" w:bidi="en-GB"/>
              </w:rPr>
              <w:t xml:space="preserve">Provision of information and training to all subjects of the law must be strengthened, </w:t>
            </w:r>
            <w:r w:rsidRPr="00D72AC3">
              <w:rPr>
                <w:rFonts w:cs="Times New Roman"/>
                <w:i/>
                <w:sz w:val="20"/>
                <w:szCs w:val="20"/>
                <w:lang w:val="en-GB" w:bidi="en-GB"/>
              </w:rPr>
              <w:t>inter alia</w:t>
            </w:r>
            <w:r w:rsidRPr="00D72AC3">
              <w:rPr>
                <w:rFonts w:cs="Times New Roman"/>
                <w:sz w:val="20"/>
                <w:szCs w:val="20"/>
                <w:lang w:val="en-GB" w:bidi="en-GB"/>
              </w:rPr>
              <w:t xml:space="preserve">, for the purposes of promoting transaction supervision with respect to the risks of evasion of financial sanctions. Organisation of seminars of different levels for the subjects </w:t>
            </w:r>
            <w:r w:rsidRPr="00D72AC3">
              <w:rPr>
                <w:rFonts w:cs="Times New Roman"/>
                <w:sz w:val="20"/>
                <w:szCs w:val="20"/>
                <w:lang w:val="en-GB" w:bidi="en-GB"/>
              </w:rPr>
              <w:lastRenderedPageBreak/>
              <w:t>(attraction of resources for organising such training).</w:t>
            </w:r>
          </w:p>
          <w:p w:rsidR="00781568" w:rsidRPr="00D72AC3" w:rsidRDefault="00781568" w:rsidP="006C08DD">
            <w:pPr>
              <w:jc w:val="both"/>
              <w:rPr>
                <w:rFonts w:cs="Times New Roman"/>
                <w:sz w:val="20"/>
                <w:szCs w:val="20"/>
                <w:lang w:val="en-GB"/>
              </w:rPr>
            </w:pPr>
          </w:p>
        </w:tc>
        <w:tc>
          <w:tcPr>
            <w:tcW w:w="1559" w:type="dxa"/>
            <w:shd w:val="clear" w:color="auto" w:fill="auto"/>
          </w:tcPr>
          <w:p w:rsidR="00781568" w:rsidRPr="00D72AC3" w:rsidRDefault="00337EDC" w:rsidP="006C08DD">
            <w:pPr>
              <w:jc w:val="both"/>
              <w:rPr>
                <w:sz w:val="20"/>
                <w:szCs w:val="20"/>
                <w:lang w:val="en-GB"/>
              </w:rPr>
            </w:pPr>
            <w:r w:rsidRPr="00D72AC3">
              <w:rPr>
                <w:sz w:val="20"/>
                <w:szCs w:val="20"/>
                <w:lang w:val="en-GB" w:bidi="en-GB"/>
              </w:rPr>
              <w:lastRenderedPageBreak/>
              <w:t>Moneyval recommendation 10.4.</w:t>
            </w:r>
          </w:p>
        </w:tc>
        <w:tc>
          <w:tcPr>
            <w:tcW w:w="2835" w:type="dxa"/>
            <w:shd w:val="clear" w:color="auto" w:fill="auto"/>
          </w:tcPr>
          <w:p w:rsidR="00781568" w:rsidRPr="00D72AC3" w:rsidRDefault="00781568" w:rsidP="006C08DD">
            <w:pPr>
              <w:jc w:val="both"/>
              <w:rPr>
                <w:sz w:val="20"/>
                <w:szCs w:val="20"/>
                <w:lang w:val="en-GB"/>
              </w:rPr>
            </w:pPr>
            <w:r w:rsidRPr="00D72AC3">
              <w:rPr>
                <w:sz w:val="20"/>
                <w:szCs w:val="20"/>
                <w:lang w:val="en-GB" w:bidi="en-GB"/>
              </w:rPr>
              <w:t xml:space="preserve">Set of seminars for the subjects on the amendments to the </w:t>
            </w:r>
            <w:r w:rsidRPr="00D72AC3">
              <w:rPr>
                <w:i/>
                <w:sz w:val="20"/>
                <w:szCs w:val="20"/>
                <w:lang w:val="en-GB" w:bidi="en-GB"/>
              </w:rPr>
              <w:t>Sanctions Law</w:t>
            </w:r>
            <w:r w:rsidRPr="00D72AC3">
              <w:rPr>
                <w:sz w:val="20"/>
                <w:szCs w:val="20"/>
                <w:lang w:val="en-GB" w:bidi="en-GB"/>
              </w:rPr>
              <w:t xml:space="preserve">, by way of introducing the Moneyval recommendations (organised by the MoFA, in cooperation with </w:t>
            </w:r>
            <w:r w:rsidRPr="00D72AC3">
              <w:rPr>
                <w:sz w:val="20"/>
                <w:szCs w:val="20"/>
                <w:lang w:val="en-GB" w:bidi="en-GB"/>
              </w:rPr>
              <w:lastRenderedPageBreak/>
              <w:t xml:space="preserve">the FCMC, SRS, CRPC, MoF). Separate training sessions in the Latvian Chamber of Commerce and Industry (LCCI). </w:t>
            </w:r>
          </w:p>
        </w:tc>
        <w:tc>
          <w:tcPr>
            <w:tcW w:w="2268" w:type="dxa"/>
            <w:shd w:val="clear" w:color="auto" w:fill="auto"/>
          </w:tcPr>
          <w:p w:rsidR="00781568" w:rsidRPr="00D72AC3" w:rsidRDefault="00781568" w:rsidP="006C08DD">
            <w:pPr>
              <w:jc w:val="both"/>
              <w:rPr>
                <w:sz w:val="20"/>
                <w:szCs w:val="20"/>
                <w:lang w:val="en-GB"/>
              </w:rPr>
            </w:pPr>
            <w:r w:rsidRPr="00D72AC3">
              <w:rPr>
                <w:sz w:val="20"/>
                <w:szCs w:val="20"/>
                <w:lang w:val="en-GB" w:bidi="en-GB"/>
              </w:rPr>
              <w:lastRenderedPageBreak/>
              <w:t xml:space="preserve">Set of seminars organised by the MoFA with 4 (four) lectures, where the supervisors and subjects of the law would be informed about the </w:t>
            </w:r>
            <w:r w:rsidRPr="00D72AC3">
              <w:rPr>
                <w:sz w:val="20"/>
                <w:szCs w:val="20"/>
                <w:lang w:val="en-GB" w:bidi="en-GB"/>
              </w:rPr>
              <w:lastRenderedPageBreak/>
              <w:t>topicalities in the issues on sanctions and amendments to the legal framework in accordance with the FATF recommendations for the purposes of enhancing the legal framework of Latvia.</w:t>
            </w:r>
            <w:r w:rsidR="00D72AC3" w:rsidRPr="00D72AC3">
              <w:rPr>
                <w:sz w:val="20"/>
                <w:szCs w:val="20"/>
                <w:lang w:val="en-GB" w:bidi="en-GB"/>
              </w:rPr>
              <w:t xml:space="preserve"> </w:t>
            </w:r>
          </w:p>
        </w:tc>
        <w:tc>
          <w:tcPr>
            <w:tcW w:w="1134" w:type="dxa"/>
            <w:shd w:val="clear" w:color="auto" w:fill="auto"/>
          </w:tcPr>
          <w:p w:rsidR="00781568" w:rsidRPr="00D72AC3" w:rsidRDefault="00641D46" w:rsidP="008978FB">
            <w:pPr>
              <w:jc w:val="center"/>
              <w:rPr>
                <w:rFonts w:cs="Times New Roman"/>
                <w:sz w:val="20"/>
                <w:szCs w:val="20"/>
                <w:lang w:val="en-GB"/>
              </w:rPr>
            </w:pPr>
            <w:r w:rsidRPr="00D72AC3">
              <w:rPr>
                <w:sz w:val="20"/>
                <w:szCs w:val="20"/>
                <w:lang w:val="en-GB" w:bidi="en-GB"/>
              </w:rPr>
              <w:lastRenderedPageBreak/>
              <w:t>MoFA</w:t>
            </w:r>
          </w:p>
        </w:tc>
        <w:tc>
          <w:tcPr>
            <w:tcW w:w="1560" w:type="dxa"/>
            <w:shd w:val="clear" w:color="auto" w:fill="auto"/>
          </w:tcPr>
          <w:p w:rsidR="00781568" w:rsidRPr="00D72AC3" w:rsidRDefault="00781568" w:rsidP="008978FB">
            <w:pPr>
              <w:jc w:val="center"/>
              <w:rPr>
                <w:rFonts w:cs="Times New Roman"/>
                <w:sz w:val="20"/>
                <w:szCs w:val="20"/>
                <w:lang w:val="en-GB"/>
              </w:rPr>
            </w:pPr>
            <w:r w:rsidRPr="00D72AC3">
              <w:rPr>
                <w:rFonts w:cs="Times New Roman"/>
                <w:sz w:val="20"/>
                <w:szCs w:val="20"/>
                <w:lang w:val="en-GB" w:bidi="en-GB"/>
              </w:rPr>
              <w:t>FCMC, SRS, CRPC, BoL, LGSI, LCSA, LCSN, LACA, NCCH, PMB, CS, SeP</w:t>
            </w:r>
          </w:p>
        </w:tc>
        <w:tc>
          <w:tcPr>
            <w:tcW w:w="1417" w:type="dxa"/>
            <w:shd w:val="clear" w:color="auto" w:fill="auto"/>
          </w:tcPr>
          <w:p w:rsidR="00781568" w:rsidRPr="00D72AC3" w:rsidRDefault="00781568" w:rsidP="008978FB">
            <w:pPr>
              <w:jc w:val="center"/>
              <w:rPr>
                <w:rFonts w:cs="Times New Roman"/>
                <w:sz w:val="20"/>
                <w:szCs w:val="20"/>
                <w:lang w:val="en-GB"/>
              </w:rPr>
            </w:pPr>
            <w:r w:rsidRPr="00D72AC3">
              <w:rPr>
                <w:rFonts w:cs="Times New Roman"/>
                <w:sz w:val="20"/>
                <w:szCs w:val="20"/>
                <w:lang w:val="en-GB" w:bidi="en-GB"/>
              </w:rPr>
              <w:t>September 2018</w:t>
            </w:r>
          </w:p>
        </w:tc>
      </w:tr>
      <w:tr w:rsidR="008978FB" w:rsidRPr="00D72AC3" w:rsidTr="008978FB">
        <w:tc>
          <w:tcPr>
            <w:tcW w:w="704" w:type="dxa"/>
            <w:shd w:val="clear" w:color="auto" w:fill="auto"/>
          </w:tcPr>
          <w:p w:rsidR="00781568" w:rsidRPr="00D72AC3" w:rsidRDefault="008978FB" w:rsidP="006C08DD">
            <w:pPr>
              <w:jc w:val="center"/>
              <w:rPr>
                <w:rFonts w:cs="Times New Roman"/>
                <w:bCs/>
                <w:sz w:val="20"/>
                <w:szCs w:val="20"/>
                <w:lang w:val="en-GB"/>
              </w:rPr>
            </w:pPr>
            <w:r w:rsidRPr="00D72AC3">
              <w:rPr>
                <w:rFonts w:cs="Times New Roman"/>
                <w:sz w:val="20"/>
                <w:szCs w:val="20"/>
                <w:lang w:val="en-GB" w:bidi="en-GB"/>
              </w:rPr>
              <w:t>10.6.</w:t>
            </w:r>
          </w:p>
        </w:tc>
        <w:tc>
          <w:tcPr>
            <w:tcW w:w="3969" w:type="dxa"/>
            <w:shd w:val="clear" w:color="auto" w:fill="auto"/>
          </w:tcPr>
          <w:p w:rsidR="00781568" w:rsidRPr="00D72AC3" w:rsidRDefault="00781568" w:rsidP="006C08DD">
            <w:pPr>
              <w:jc w:val="both"/>
              <w:rPr>
                <w:rFonts w:cs="Times New Roman"/>
                <w:sz w:val="20"/>
                <w:szCs w:val="20"/>
                <w:lang w:val="en-GB"/>
              </w:rPr>
            </w:pPr>
            <w:r w:rsidRPr="00D72AC3">
              <w:rPr>
                <w:rFonts w:cs="Times New Roman"/>
                <w:sz w:val="20"/>
                <w:szCs w:val="20"/>
                <w:lang w:val="en-GB" w:bidi="en-GB"/>
              </w:rPr>
              <w:t>Improvement and supplementing of the informative content on the website of the MoFA, including, guidelines for application of sanctions, the best practice, FAQs (in Latvian) regarding the procedure, under which the subjects of the sanctions may obtain information about their rights, procedure, under which it is possible to ask to exclude themselves from the sanctions list.</w:t>
            </w:r>
          </w:p>
        </w:tc>
        <w:tc>
          <w:tcPr>
            <w:tcW w:w="1559" w:type="dxa"/>
            <w:shd w:val="clear" w:color="auto" w:fill="auto"/>
          </w:tcPr>
          <w:p w:rsidR="00781568" w:rsidRPr="00D72AC3" w:rsidRDefault="00337EDC" w:rsidP="00682580">
            <w:pPr>
              <w:jc w:val="both"/>
              <w:rPr>
                <w:b/>
                <w:sz w:val="18"/>
                <w:szCs w:val="18"/>
                <w:lang w:val="en-GB"/>
              </w:rPr>
            </w:pPr>
            <w:r w:rsidRPr="00D72AC3">
              <w:rPr>
                <w:sz w:val="20"/>
                <w:szCs w:val="20"/>
                <w:lang w:val="en-GB" w:bidi="en-GB"/>
              </w:rPr>
              <w:t>Moneyval recommendation 10.4.</w:t>
            </w:r>
          </w:p>
        </w:tc>
        <w:tc>
          <w:tcPr>
            <w:tcW w:w="2835" w:type="dxa"/>
            <w:shd w:val="clear" w:color="auto" w:fill="auto"/>
          </w:tcPr>
          <w:p w:rsidR="00781568" w:rsidRPr="00D72AC3" w:rsidRDefault="00781568" w:rsidP="00505985">
            <w:pPr>
              <w:jc w:val="both"/>
              <w:rPr>
                <w:rFonts w:cs="Times New Roman"/>
                <w:sz w:val="20"/>
                <w:szCs w:val="20"/>
                <w:lang w:val="en-GB"/>
              </w:rPr>
            </w:pPr>
            <w:r w:rsidRPr="00D72AC3">
              <w:rPr>
                <w:rFonts w:cs="Times New Roman"/>
                <w:sz w:val="20"/>
                <w:szCs w:val="20"/>
                <w:lang w:val="en-GB" w:bidi="en-GB"/>
              </w:rPr>
              <w:t>Subjects of the law and public at large informed, understanding regarding the sanctions and, more specifically, financing of terrorism risks.</w:t>
            </w:r>
          </w:p>
        </w:tc>
        <w:tc>
          <w:tcPr>
            <w:tcW w:w="2268" w:type="dxa"/>
            <w:shd w:val="clear" w:color="auto" w:fill="auto"/>
          </w:tcPr>
          <w:p w:rsidR="00781568" w:rsidRPr="00D72AC3" w:rsidRDefault="00781568" w:rsidP="00EE1B29">
            <w:pPr>
              <w:jc w:val="both"/>
              <w:rPr>
                <w:rFonts w:cs="Times New Roman"/>
                <w:sz w:val="20"/>
                <w:szCs w:val="20"/>
                <w:lang w:val="en-GB"/>
              </w:rPr>
            </w:pPr>
            <w:r w:rsidRPr="00D72AC3">
              <w:rPr>
                <w:rFonts w:cs="Times New Roman"/>
                <w:sz w:val="20"/>
                <w:szCs w:val="20"/>
                <w:lang w:val="en-GB" w:bidi="en-GB"/>
              </w:rPr>
              <w:t xml:space="preserve">Available and easily readable information about the sanctions for all subjects of the law. High level or risk awareness. </w:t>
            </w:r>
          </w:p>
        </w:tc>
        <w:tc>
          <w:tcPr>
            <w:tcW w:w="1134" w:type="dxa"/>
            <w:shd w:val="clear" w:color="auto" w:fill="auto"/>
          </w:tcPr>
          <w:p w:rsidR="00781568" w:rsidRPr="00D72AC3" w:rsidRDefault="00781568" w:rsidP="008978FB">
            <w:pPr>
              <w:jc w:val="center"/>
              <w:rPr>
                <w:rFonts w:cs="Times New Roman"/>
                <w:sz w:val="20"/>
                <w:szCs w:val="20"/>
                <w:lang w:val="en-GB"/>
              </w:rPr>
            </w:pPr>
            <w:r w:rsidRPr="00D72AC3">
              <w:rPr>
                <w:rFonts w:cs="Times New Roman"/>
                <w:sz w:val="20"/>
                <w:szCs w:val="20"/>
                <w:lang w:val="en-GB" w:bidi="en-GB"/>
              </w:rPr>
              <w:t>MoFA</w:t>
            </w:r>
          </w:p>
        </w:tc>
        <w:tc>
          <w:tcPr>
            <w:tcW w:w="1560" w:type="dxa"/>
            <w:shd w:val="clear" w:color="auto" w:fill="auto"/>
          </w:tcPr>
          <w:p w:rsidR="00781568" w:rsidRPr="00D72AC3" w:rsidRDefault="00781568" w:rsidP="008978FB">
            <w:pPr>
              <w:jc w:val="center"/>
              <w:rPr>
                <w:rFonts w:cs="Times New Roman"/>
                <w:sz w:val="20"/>
                <w:szCs w:val="20"/>
                <w:lang w:val="en-GB"/>
              </w:rPr>
            </w:pPr>
          </w:p>
        </w:tc>
        <w:tc>
          <w:tcPr>
            <w:tcW w:w="1417" w:type="dxa"/>
            <w:shd w:val="clear" w:color="auto" w:fill="auto"/>
          </w:tcPr>
          <w:p w:rsidR="00781568" w:rsidRPr="00D72AC3" w:rsidRDefault="004A1848" w:rsidP="008978FB">
            <w:pPr>
              <w:jc w:val="center"/>
              <w:rPr>
                <w:rFonts w:cs="Times New Roman"/>
                <w:sz w:val="20"/>
                <w:szCs w:val="20"/>
                <w:lang w:val="en-GB"/>
              </w:rPr>
            </w:pPr>
            <w:r w:rsidRPr="00D72AC3">
              <w:rPr>
                <w:rFonts w:cs="Times New Roman"/>
                <w:sz w:val="20"/>
                <w:szCs w:val="20"/>
                <w:lang w:val="en-GB" w:bidi="en-GB"/>
              </w:rPr>
              <w:t>1 March 2019</w:t>
            </w:r>
          </w:p>
        </w:tc>
      </w:tr>
    </w:tbl>
    <w:p w:rsidR="00781568" w:rsidRPr="00D72AC3" w:rsidRDefault="00781568" w:rsidP="00FF0BBA">
      <w:pPr>
        <w:jc w:val="both"/>
        <w:rPr>
          <w:sz w:val="28"/>
          <w:szCs w:val="28"/>
          <w:lang w:val="en-GB"/>
        </w:rPr>
      </w:pPr>
    </w:p>
    <w:p w:rsidR="00FF0BBA" w:rsidRPr="00D72AC3" w:rsidRDefault="00821D34" w:rsidP="00E24F37">
      <w:pPr>
        <w:pStyle w:val="Heading2"/>
        <w:rPr>
          <w:rFonts w:ascii="Times New Roman" w:hAnsi="Times New Roman" w:cs="Times New Roman"/>
          <w:b/>
          <w:color w:val="auto"/>
          <w:sz w:val="28"/>
          <w:szCs w:val="28"/>
          <w:lang w:val="en-GB"/>
        </w:rPr>
      </w:pPr>
      <w:bookmarkStart w:id="19" w:name="_Toc526510444"/>
      <w:r w:rsidRPr="00D72AC3">
        <w:rPr>
          <w:rFonts w:ascii="Times New Roman" w:eastAsia="Times New Roman" w:hAnsi="Times New Roman" w:cs="Times New Roman"/>
          <w:b/>
          <w:color w:val="auto"/>
          <w:sz w:val="28"/>
          <w:szCs w:val="28"/>
          <w:lang w:val="en-GB" w:bidi="en-GB"/>
        </w:rPr>
        <w:t>Eleventh course of action - Weapons of mass destruction - financial sanctions</w:t>
      </w:r>
      <w:bookmarkEnd w:id="19"/>
      <w:r w:rsidR="00D72AC3" w:rsidRPr="00D72AC3">
        <w:rPr>
          <w:rFonts w:ascii="Times New Roman" w:eastAsia="Times New Roman" w:hAnsi="Times New Roman" w:cs="Times New Roman"/>
          <w:b/>
          <w:color w:val="auto"/>
          <w:sz w:val="28"/>
          <w:szCs w:val="28"/>
          <w:lang w:val="en-GB" w:bidi="en-GB"/>
        </w:rPr>
        <w:t xml:space="preserve"> </w:t>
      </w:r>
    </w:p>
    <w:p w:rsidR="00FF0BBA" w:rsidRPr="00D72AC3" w:rsidRDefault="00FF0BBA" w:rsidP="00FF0BBA">
      <w:pPr>
        <w:jc w:val="both"/>
        <w:rPr>
          <w:sz w:val="28"/>
          <w:szCs w:val="28"/>
          <w:lang w:val="en-GB"/>
        </w:rPr>
      </w:pPr>
    </w:p>
    <w:p w:rsidR="00FF0BBA" w:rsidRPr="00D72AC3" w:rsidRDefault="00FF0BBA" w:rsidP="00FF0BBA">
      <w:pPr>
        <w:jc w:val="both"/>
        <w:rPr>
          <w:szCs w:val="24"/>
          <w:lang w:val="en-GB"/>
        </w:rPr>
      </w:pPr>
      <w:r w:rsidRPr="00D72AC3">
        <w:rPr>
          <w:szCs w:val="24"/>
          <w:lang w:val="en-GB" w:bidi="en-GB"/>
        </w:rPr>
        <w:t>Authority in charge of the course of action: MoFA</w:t>
      </w:r>
    </w:p>
    <w:p w:rsidR="00FF0BBA" w:rsidRPr="00D72AC3" w:rsidRDefault="00FF0BBA" w:rsidP="00FF0BBA">
      <w:pPr>
        <w:jc w:val="both"/>
        <w:rPr>
          <w:szCs w:val="24"/>
          <w:lang w:val="en-GB"/>
        </w:rPr>
      </w:pPr>
      <w:r w:rsidRPr="00D72AC3">
        <w:rPr>
          <w:szCs w:val="24"/>
          <w:lang w:val="en-GB" w:bidi="en-GB"/>
        </w:rPr>
        <w:t xml:space="preserve">Co-responsible authorities: CS, SeP, FCMC </w:t>
      </w:r>
    </w:p>
    <w:p w:rsidR="00FF0BBA" w:rsidRDefault="00FF0BBA" w:rsidP="00FF0BBA">
      <w:pPr>
        <w:jc w:val="both"/>
        <w:rPr>
          <w:sz w:val="28"/>
          <w:szCs w:val="28"/>
          <w:lang w:val="en-GB"/>
        </w:rPr>
      </w:pPr>
    </w:p>
    <w:p w:rsidR="00682D68" w:rsidRPr="00D72AC3" w:rsidRDefault="00682D68" w:rsidP="00FF0BBA">
      <w:pPr>
        <w:jc w:val="both"/>
        <w:rPr>
          <w:sz w:val="28"/>
          <w:szCs w:val="28"/>
          <w:lang w:val="en-GB"/>
        </w:rPr>
      </w:pPr>
    </w:p>
    <w:p w:rsidR="00D74A88" w:rsidRPr="00D72AC3" w:rsidRDefault="00D74A88" w:rsidP="00FF0BBA">
      <w:pPr>
        <w:jc w:val="both"/>
        <w:rPr>
          <w:b/>
          <w:sz w:val="28"/>
          <w:szCs w:val="28"/>
          <w:lang w:val="en-GB"/>
        </w:rPr>
      </w:pPr>
    </w:p>
    <w:p w:rsidR="00D74A88" w:rsidRPr="00D72AC3" w:rsidRDefault="00D74A88" w:rsidP="00D74A88">
      <w:pPr>
        <w:jc w:val="both"/>
        <w:rPr>
          <w:rFonts w:cs="Times New Roman"/>
          <w:szCs w:val="24"/>
          <w:lang w:val="en-GB"/>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2835"/>
        <w:gridCol w:w="2268"/>
        <w:gridCol w:w="1134"/>
        <w:gridCol w:w="1560"/>
        <w:gridCol w:w="1417"/>
      </w:tblGrid>
      <w:tr w:rsidR="00D74A88" w:rsidRPr="00D72AC3" w:rsidTr="00EE1B29">
        <w:tc>
          <w:tcPr>
            <w:tcW w:w="4678" w:type="dxa"/>
            <w:gridSpan w:val="2"/>
          </w:tcPr>
          <w:p w:rsidR="00D74A88" w:rsidRPr="00D72AC3" w:rsidRDefault="007F7748" w:rsidP="006C08DD">
            <w:pPr>
              <w:rPr>
                <w:rFonts w:cs="Times New Roman"/>
                <w:b/>
                <w:bCs/>
                <w:sz w:val="20"/>
                <w:szCs w:val="20"/>
                <w:lang w:val="en-GB"/>
              </w:rPr>
            </w:pPr>
            <w:r w:rsidRPr="007F7748">
              <w:rPr>
                <w:rFonts w:cs="Times New Roman"/>
                <w:b/>
                <w:sz w:val="20"/>
                <w:szCs w:val="20"/>
                <w:lang w:val="en-GB" w:bidi="en-GB"/>
              </w:rPr>
              <w:t>Eleventh</w:t>
            </w:r>
            <w:r w:rsidR="00D74A88" w:rsidRPr="00D72AC3">
              <w:rPr>
                <w:rFonts w:cs="Times New Roman"/>
                <w:b/>
                <w:sz w:val="20"/>
                <w:szCs w:val="20"/>
                <w:lang w:val="en-GB" w:bidi="en-GB"/>
              </w:rPr>
              <w:t xml:space="preserve"> course of action</w:t>
            </w:r>
          </w:p>
        </w:tc>
        <w:tc>
          <w:tcPr>
            <w:tcW w:w="1559" w:type="dxa"/>
          </w:tcPr>
          <w:p w:rsidR="00D74A88" w:rsidRPr="00D72AC3" w:rsidRDefault="00D74A88" w:rsidP="006C08DD">
            <w:pPr>
              <w:ind w:right="-108"/>
              <w:jc w:val="both"/>
              <w:rPr>
                <w:rFonts w:cs="Times New Roman"/>
                <w:b/>
                <w:bCs/>
                <w:sz w:val="20"/>
                <w:szCs w:val="20"/>
                <w:lang w:val="en-GB"/>
              </w:rPr>
            </w:pPr>
          </w:p>
        </w:tc>
        <w:tc>
          <w:tcPr>
            <w:tcW w:w="9214" w:type="dxa"/>
            <w:gridSpan w:val="5"/>
          </w:tcPr>
          <w:p w:rsidR="00D74A88" w:rsidRPr="00D72AC3" w:rsidRDefault="003178AC">
            <w:pPr>
              <w:jc w:val="both"/>
              <w:rPr>
                <w:rFonts w:cs="Times New Roman"/>
                <w:b/>
                <w:bCs/>
                <w:sz w:val="20"/>
                <w:szCs w:val="20"/>
                <w:lang w:val="en-GB"/>
              </w:rPr>
            </w:pPr>
            <w:r w:rsidRPr="00D72AC3">
              <w:rPr>
                <w:rFonts w:cs="Times New Roman"/>
                <w:b/>
                <w:sz w:val="20"/>
                <w:szCs w:val="20"/>
                <w:lang w:val="en-GB" w:bidi="en-GB"/>
              </w:rPr>
              <w:t>WEAPONS OF MASS DESTRUCTION - FINANCIAL SANCTIONS</w:t>
            </w:r>
          </w:p>
        </w:tc>
      </w:tr>
      <w:tr w:rsidR="00D74A88" w:rsidRPr="00D72AC3" w:rsidTr="00EE1B29">
        <w:tc>
          <w:tcPr>
            <w:tcW w:w="4678" w:type="dxa"/>
            <w:gridSpan w:val="2"/>
          </w:tcPr>
          <w:p w:rsidR="00D74A88" w:rsidRPr="00D72AC3" w:rsidRDefault="00D74A88" w:rsidP="006C08DD">
            <w:pPr>
              <w:rPr>
                <w:rFonts w:cs="Times New Roman"/>
                <w:b/>
                <w:bCs/>
                <w:sz w:val="20"/>
                <w:szCs w:val="20"/>
                <w:lang w:val="en-GB"/>
              </w:rPr>
            </w:pPr>
            <w:r w:rsidRPr="00D72AC3">
              <w:rPr>
                <w:rFonts w:cs="Times New Roman"/>
                <w:b/>
                <w:sz w:val="20"/>
                <w:szCs w:val="20"/>
                <w:lang w:val="en-GB" w:bidi="en-GB"/>
              </w:rPr>
              <w:t>Sub-objectives to be achieved:</w:t>
            </w:r>
          </w:p>
        </w:tc>
        <w:tc>
          <w:tcPr>
            <w:tcW w:w="1559" w:type="dxa"/>
          </w:tcPr>
          <w:p w:rsidR="00D74A88" w:rsidRPr="00D72AC3" w:rsidRDefault="00D74A88" w:rsidP="006C08DD">
            <w:pPr>
              <w:ind w:right="-108"/>
              <w:jc w:val="both"/>
              <w:rPr>
                <w:rFonts w:cs="Times New Roman"/>
                <w:b/>
                <w:bCs/>
                <w:sz w:val="20"/>
                <w:szCs w:val="20"/>
                <w:lang w:val="en-GB"/>
              </w:rPr>
            </w:pPr>
          </w:p>
        </w:tc>
        <w:tc>
          <w:tcPr>
            <w:tcW w:w="9214" w:type="dxa"/>
            <w:gridSpan w:val="5"/>
          </w:tcPr>
          <w:p w:rsidR="00D74A88" w:rsidRPr="00D72AC3" w:rsidRDefault="00D74A88" w:rsidP="006C08DD">
            <w:pPr>
              <w:jc w:val="both"/>
              <w:rPr>
                <w:rFonts w:cs="Times New Roman"/>
                <w:b/>
                <w:bCs/>
                <w:sz w:val="20"/>
                <w:szCs w:val="20"/>
                <w:lang w:val="en-GB"/>
              </w:rPr>
            </w:pPr>
            <w:r w:rsidRPr="00D72AC3">
              <w:rPr>
                <w:rFonts w:cs="Times New Roman"/>
                <w:b/>
                <w:sz w:val="20"/>
                <w:szCs w:val="20"/>
                <w:lang w:val="en-GB" w:bidi="en-GB"/>
              </w:rPr>
              <w:t>1. Improved legal framework for combating financing of proliferation</w:t>
            </w:r>
          </w:p>
        </w:tc>
      </w:tr>
      <w:tr w:rsidR="00D74A88" w:rsidRPr="00D72AC3" w:rsidTr="00EE1B29">
        <w:tc>
          <w:tcPr>
            <w:tcW w:w="4678" w:type="dxa"/>
            <w:gridSpan w:val="2"/>
          </w:tcPr>
          <w:p w:rsidR="00D74A88" w:rsidRPr="00D72AC3" w:rsidRDefault="00D74A88" w:rsidP="006C08DD">
            <w:pPr>
              <w:rPr>
                <w:rFonts w:cs="Times New Roman"/>
                <w:b/>
                <w:bCs/>
                <w:sz w:val="20"/>
                <w:szCs w:val="20"/>
                <w:lang w:val="en-GB"/>
              </w:rPr>
            </w:pPr>
          </w:p>
        </w:tc>
        <w:tc>
          <w:tcPr>
            <w:tcW w:w="1559" w:type="dxa"/>
          </w:tcPr>
          <w:p w:rsidR="00D74A88" w:rsidRPr="00D72AC3" w:rsidRDefault="00D74A88" w:rsidP="006C08DD">
            <w:pPr>
              <w:ind w:right="-108"/>
              <w:jc w:val="both"/>
              <w:rPr>
                <w:rFonts w:cs="Times New Roman"/>
                <w:b/>
                <w:bCs/>
                <w:sz w:val="20"/>
                <w:szCs w:val="20"/>
                <w:lang w:val="en-GB"/>
              </w:rPr>
            </w:pPr>
          </w:p>
        </w:tc>
        <w:tc>
          <w:tcPr>
            <w:tcW w:w="9214" w:type="dxa"/>
            <w:gridSpan w:val="5"/>
          </w:tcPr>
          <w:p w:rsidR="00D74A88" w:rsidRPr="00D72AC3" w:rsidRDefault="00D74A88" w:rsidP="006C08DD">
            <w:pPr>
              <w:jc w:val="both"/>
              <w:rPr>
                <w:rFonts w:cs="Times New Roman"/>
                <w:b/>
                <w:bCs/>
                <w:sz w:val="20"/>
                <w:szCs w:val="20"/>
                <w:lang w:val="en-GB"/>
              </w:rPr>
            </w:pPr>
            <w:r w:rsidRPr="00D72AC3">
              <w:rPr>
                <w:rFonts w:cs="Times New Roman"/>
                <w:b/>
                <w:sz w:val="20"/>
                <w:szCs w:val="20"/>
                <w:lang w:val="en-GB" w:bidi="en-GB"/>
              </w:rPr>
              <w:t>2. Adequate resources ensured for supervision of introduction of financial sanctions</w:t>
            </w:r>
          </w:p>
        </w:tc>
      </w:tr>
      <w:tr w:rsidR="00D74A88" w:rsidRPr="00D72AC3" w:rsidTr="00EE1B29">
        <w:tc>
          <w:tcPr>
            <w:tcW w:w="4678" w:type="dxa"/>
            <w:gridSpan w:val="2"/>
          </w:tcPr>
          <w:p w:rsidR="00D74A88" w:rsidRPr="00D72AC3" w:rsidRDefault="00D74A88" w:rsidP="006C08DD">
            <w:pPr>
              <w:rPr>
                <w:rFonts w:cs="Times New Roman"/>
                <w:b/>
                <w:bCs/>
                <w:sz w:val="20"/>
                <w:szCs w:val="20"/>
                <w:lang w:val="en-GB"/>
              </w:rPr>
            </w:pPr>
          </w:p>
        </w:tc>
        <w:tc>
          <w:tcPr>
            <w:tcW w:w="1559" w:type="dxa"/>
          </w:tcPr>
          <w:p w:rsidR="00D74A88" w:rsidRPr="00D72AC3" w:rsidRDefault="00D74A88" w:rsidP="006C08DD">
            <w:pPr>
              <w:ind w:right="-108"/>
              <w:jc w:val="both"/>
              <w:rPr>
                <w:rFonts w:cs="Times New Roman"/>
                <w:b/>
                <w:bCs/>
                <w:sz w:val="20"/>
                <w:szCs w:val="20"/>
                <w:lang w:val="en-GB"/>
              </w:rPr>
            </w:pPr>
          </w:p>
        </w:tc>
        <w:tc>
          <w:tcPr>
            <w:tcW w:w="9214" w:type="dxa"/>
            <w:gridSpan w:val="5"/>
          </w:tcPr>
          <w:p w:rsidR="00D74A88" w:rsidRPr="00D72AC3" w:rsidRDefault="00D74A88" w:rsidP="001A4704">
            <w:pPr>
              <w:jc w:val="both"/>
              <w:rPr>
                <w:rFonts w:cs="Times New Roman"/>
                <w:b/>
                <w:bCs/>
                <w:sz w:val="20"/>
                <w:szCs w:val="20"/>
                <w:lang w:val="en-GB"/>
              </w:rPr>
            </w:pPr>
            <w:r w:rsidRPr="00D72AC3">
              <w:rPr>
                <w:rFonts w:cs="Times New Roman"/>
                <w:b/>
                <w:sz w:val="20"/>
                <w:szCs w:val="20"/>
                <w:lang w:val="en-GB" w:bidi="en-GB"/>
              </w:rPr>
              <w:t>3. A duty imposed on the subjects to ensure the formation of internal control systems</w:t>
            </w:r>
          </w:p>
        </w:tc>
      </w:tr>
      <w:tr w:rsidR="00D74A88" w:rsidRPr="00D72AC3" w:rsidTr="00EE1B29">
        <w:tc>
          <w:tcPr>
            <w:tcW w:w="4678" w:type="dxa"/>
            <w:gridSpan w:val="2"/>
          </w:tcPr>
          <w:p w:rsidR="00D74A88" w:rsidRPr="00D72AC3" w:rsidRDefault="00D74A88" w:rsidP="006C08DD">
            <w:pPr>
              <w:rPr>
                <w:rFonts w:cs="Times New Roman"/>
                <w:b/>
                <w:bCs/>
                <w:sz w:val="20"/>
                <w:szCs w:val="20"/>
                <w:lang w:val="en-GB"/>
              </w:rPr>
            </w:pPr>
          </w:p>
        </w:tc>
        <w:tc>
          <w:tcPr>
            <w:tcW w:w="1559" w:type="dxa"/>
          </w:tcPr>
          <w:p w:rsidR="00D74A88" w:rsidRPr="00D72AC3" w:rsidRDefault="00D74A88" w:rsidP="006C08DD">
            <w:pPr>
              <w:ind w:right="-108"/>
              <w:jc w:val="both"/>
              <w:rPr>
                <w:rFonts w:cs="Times New Roman"/>
                <w:b/>
                <w:bCs/>
                <w:sz w:val="20"/>
                <w:szCs w:val="20"/>
                <w:lang w:val="en-GB"/>
              </w:rPr>
            </w:pPr>
          </w:p>
        </w:tc>
        <w:tc>
          <w:tcPr>
            <w:tcW w:w="9214" w:type="dxa"/>
            <w:gridSpan w:val="5"/>
          </w:tcPr>
          <w:p w:rsidR="00D74A88" w:rsidRPr="00D72AC3" w:rsidRDefault="00D74A88" w:rsidP="006C08DD">
            <w:pPr>
              <w:jc w:val="both"/>
              <w:rPr>
                <w:rFonts w:cs="Times New Roman"/>
                <w:b/>
                <w:bCs/>
                <w:sz w:val="20"/>
                <w:szCs w:val="20"/>
                <w:lang w:val="en-GB"/>
              </w:rPr>
            </w:pPr>
            <w:r w:rsidRPr="00D72AC3">
              <w:rPr>
                <w:rFonts w:cs="Times New Roman"/>
                <w:b/>
                <w:sz w:val="20"/>
                <w:szCs w:val="20"/>
                <w:lang w:val="en-GB" w:bidi="en-GB"/>
              </w:rPr>
              <w:t>4. The composition of the Committee for Control of Goods of Strategic Significance extended</w:t>
            </w:r>
          </w:p>
        </w:tc>
      </w:tr>
      <w:tr w:rsidR="00D74A88" w:rsidRPr="00D72AC3" w:rsidTr="00EE1B29">
        <w:tc>
          <w:tcPr>
            <w:tcW w:w="4678" w:type="dxa"/>
            <w:gridSpan w:val="2"/>
          </w:tcPr>
          <w:p w:rsidR="00D74A88" w:rsidRPr="00D72AC3" w:rsidRDefault="00D74A88" w:rsidP="006C08DD">
            <w:pPr>
              <w:rPr>
                <w:rFonts w:cs="Times New Roman"/>
                <w:b/>
                <w:bCs/>
                <w:sz w:val="20"/>
                <w:szCs w:val="20"/>
                <w:lang w:val="en-GB"/>
              </w:rPr>
            </w:pPr>
          </w:p>
        </w:tc>
        <w:tc>
          <w:tcPr>
            <w:tcW w:w="1559" w:type="dxa"/>
          </w:tcPr>
          <w:p w:rsidR="00D74A88" w:rsidRPr="00D72AC3" w:rsidRDefault="00D74A88" w:rsidP="006C08DD">
            <w:pPr>
              <w:ind w:right="-108"/>
              <w:jc w:val="both"/>
              <w:rPr>
                <w:rFonts w:cs="Times New Roman"/>
                <w:b/>
                <w:bCs/>
                <w:sz w:val="20"/>
                <w:szCs w:val="20"/>
                <w:lang w:val="en-GB"/>
              </w:rPr>
            </w:pPr>
          </w:p>
        </w:tc>
        <w:tc>
          <w:tcPr>
            <w:tcW w:w="9214" w:type="dxa"/>
            <w:gridSpan w:val="5"/>
          </w:tcPr>
          <w:p w:rsidR="00D74A88" w:rsidRPr="00D72AC3" w:rsidRDefault="00D74A88" w:rsidP="006C08DD">
            <w:pPr>
              <w:jc w:val="both"/>
              <w:rPr>
                <w:rFonts w:cs="Times New Roman"/>
                <w:b/>
                <w:bCs/>
                <w:sz w:val="20"/>
                <w:szCs w:val="20"/>
                <w:lang w:val="en-GB"/>
              </w:rPr>
            </w:pPr>
            <w:r w:rsidRPr="00D72AC3">
              <w:rPr>
                <w:rFonts w:cs="Times New Roman"/>
                <w:b/>
                <w:sz w:val="20"/>
                <w:szCs w:val="20"/>
                <w:lang w:val="en-GB" w:bidi="en-GB"/>
              </w:rPr>
              <w:t>5. Developed international cooperation in combating financing of proliferation</w:t>
            </w:r>
          </w:p>
        </w:tc>
      </w:tr>
      <w:tr w:rsidR="00D74A88" w:rsidRPr="00D72AC3" w:rsidTr="00EE1B29">
        <w:tc>
          <w:tcPr>
            <w:tcW w:w="709" w:type="dxa"/>
          </w:tcPr>
          <w:p w:rsidR="00D74A88" w:rsidRPr="00D72AC3" w:rsidRDefault="00D74A88" w:rsidP="006C08DD">
            <w:pPr>
              <w:jc w:val="center"/>
              <w:rPr>
                <w:rFonts w:cs="Times New Roman"/>
                <w:bCs/>
                <w:sz w:val="20"/>
                <w:szCs w:val="20"/>
                <w:lang w:val="en-GB"/>
              </w:rPr>
            </w:pPr>
            <w:r w:rsidRPr="00D72AC3">
              <w:rPr>
                <w:rFonts w:cs="Times New Roman"/>
                <w:sz w:val="20"/>
                <w:szCs w:val="20"/>
                <w:lang w:val="en-GB" w:bidi="en-GB"/>
              </w:rPr>
              <w:lastRenderedPageBreak/>
              <w:t>No.</w:t>
            </w:r>
          </w:p>
        </w:tc>
        <w:tc>
          <w:tcPr>
            <w:tcW w:w="3969" w:type="dxa"/>
            <w:shd w:val="clear" w:color="auto" w:fill="auto"/>
          </w:tcPr>
          <w:p w:rsidR="00D74A88" w:rsidRPr="00D72AC3" w:rsidRDefault="00D74A88" w:rsidP="006C08DD">
            <w:pPr>
              <w:jc w:val="center"/>
              <w:rPr>
                <w:rFonts w:cs="Times New Roman"/>
                <w:bCs/>
                <w:i/>
                <w:sz w:val="20"/>
                <w:szCs w:val="20"/>
                <w:lang w:val="en-GB"/>
              </w:rPr>
            </w:pPr>
            <w:r w:rsidRPr="00D72AC3">
              <w:rPr>
                <w:rFonts w:cs="Times New Roman"/>
                <w:b/>
                <w:sz w:val="20"/>
                <w:szCs w:val="20"/>
                <w:lang w:val="en-GB" w:bidi="en-GB"/>
              </w:rPr>
              <w:t>Measure</w:t>
            </w:r>
          </w:p>
        </w:tc>
        <w:tc>
          <w:tcPr>
            <w:tcW w:w="1559" w:type="dxa"/>
          </w:tcPr>
          <w:p w:rsidR="00D74A88" w:rsidRPr="00D72AC3" w:rsidRDefault="00D74A88" w:rsidP="006C08DD">
            <w:pPr>
              <w:ind w:right="-108"/>
              <w:rPr>
                <w:rFonts w:cs="Times New Roman"/>
                <w:b/>
                <w:sz w:val="20"/>
                <w:szCs w:val="20"/>
                <w:lang w:val="en-GB"/>
              </w:rPr>
            </w:pPr>
            <w:r w:rsidRPr="00D72AC3">
              <w:rPr>
                <w:rFonts w:cs="Times New Roman"/>
                <w:b/>
                <w:sz w:val="20"/>
                <w:szCs w:val="20"/>
                <w:lang w:val="en-GB" w:bidi="en-GB"/>
              </w:rPr>
              <w:t xml:space="preserve">Source </w:t>
            </w:r>
          </w:p>
        </w:tc>
        <w:tc>
          <w:tcPr>
            <w:tcW w:w="2835" w:type="dxa"/>
            <w:shd w:val="clear" w:color="auto" w:fill="auto"/>
          </w:tcPr>
          <w:p w:rsidR="00D74A88" w:rsidRPr="00D72AC3" w:rsidRDefault="00D74A88" w:rsidP="006C08DD">
            <w:pPr>
              <w:rPr>
                <w:rFonts w:cs="Times New Roman"/>
                <w:b/>
                <w:bCs/>
                <w:i/>
                <w:sz w:val="20"/>
                <w:szCs w:val="20"/>
                <w:lang w:val="en-GB"/>
              </w:rPr>
            </w:pPr>
            <w:r w:rsidRPr="00D72AC3">
              <w:rPr>
                <w:rFonts w:cs="Times New Roman"/>
                <w:b/>
                <w:sz w:val="20"/>
                <w:szCs w:val="20"/>
                <w:lang w:val="en-GB" w:bidi="en-GB"/>
              </w:rPr>
              <w:t>Activity outcome</w:t>
            </w:r>
          </w:p>
        </w:tc>
        <w:tc>
          <w:tcPr>
            <w:tcW w:w="2268" w:type="dxa"/>
          </w:tcPr>
          <w:p w:rsidR="00D74A88" w:rsidRPr="00D72AC3" w:rsidRDefault="00D74A88" w:rsidP="006C08DD">
            <w:pPr>
              <w:jc w:val="center"/>
              <w:rPr>
                <w:rFonts w:cs="Times New Roman"/>
                <w:bCs/>
                <w:i/>
                <w:sz w:val="20"/>
                <w:szCs w:val="20"/>
                <w:lang w:val="en-GB"/>
              </w:rPr>
            </w:pPr>
            <w:r w:rsidRPr="00D72AC3">
              <w:rPr>
                <w:rFonts w:cs="Times New Roman"/>
                <w:b/>
                <w:sz w:val="20"/>
                <w:szCs w:val="20"/>
                <w:lang w:val="en-GB" w:bidi="en-GB"/>
              </w:rPr>
              <w:t>Outcome indicator</w:t>
            </w:r>
          </w:p>
        </w:tc>
        <w:tc>
          <w:tcPr>
            <w:tcW w:w="1134" w:type="dxa"/>
            <w:shd w:val="clear" w:color="auto" w:fill="auto"/>
          </w:tcPr>
          <w:p w:rsidR="00D74A88" w:rsidRPr="00D72AC3" w:rsidRDefault="00D74A88" w:rsidP="006C08DD">
            <w:pPr>
              <w:jc w:val="center"/>
              <w:rPr>
                <w:rFonts w:cs="Times New Roman"/>
                <w:bCs/>
                <w:i/>
                <w:sz w:val="20"/>
                <w:szCs w:val="20"/>
                <w:lang w:val="en-GB"/>
              </w:rPr>
            </w:pPr>
            <w:r w:rsidRPr="00D72AC3">
              <w:rPr>
                <w:rFonts w:cs="Times New Roman"/>
                <w:b/>
                <w:sz w:val="20"/>
                <w:szCs w:val="20"/>
                <w:lang w:val="en-GB" w:bidi="en-GB"/>
              </w:rPr>
              <w:t>Responsible authority</w:t>
            </w:r>
          </w:p>
        </w:tc>
        <w:tc>
          <w:tcPr>
            <w:tcW w:w="1560" w:type="dxa"/>
            <w:shd w:val="clear" w:color="auto" w:fill="auto"/>
          </w:tcPr>
          <w:p w:rsidR="00D74A88" w:rsidRPr="00D72AC3" w:rsidRDefault="00D74A88" w:rsidP="006C08DD">
            <w:pPr>
              <w:jc w:val="center"/>
              <w:rPr>
                <w:rFonts w:cs="Times New Roman"/>
                <w:bCs/>
                <w:i/>
                <w:sz w:val="20"/>
                <w:szCs w:val="20"/>
                <w:lang w:val="en-GB"/>
              </w:rPr>
            </w:pPr>
            <w:r w:rsidRPr="00D72AC3">
              <w:rPr>
                <w:rFonts w:cs="Times New Roman"/>
                <w:b/>
                <w:sz w:val="20"/>
                <w:szCs w:val="20"/>
                <w:lang w:val="en-GB" w:bidi="en-GB"/>
              </w:rPr>
              <w:t>Co-responsible authorities</w:t>
            </w:r>
          </w:p>
        </w:tc>
        <w:tc>
          <w:tcPr>
            <w:tcW w:w="1417" w:type="dxa"/>
            <w:shd w:val="clear" w:color="auto" w:fill="auto"/>
          </w:tcPr>
          <w:p w:rsidR="00D74A88" w:rsidRPr="00D72AC3" w:rsidRDefault="00D74A88" w:rsidP="006C08DD">
            <w:pPr>
              <w:jc w:val="center"/>
              <w:rPr>
                <w:rFonts w:cs="Times New Roman"/>
                <w:bCs/>
                <w:i/>
                <w:sz w:val="20"/>
                <w:szCs w:val="20"/>
                <w:lang w:val="en-GB"/>
              </w:rPr>
            </w:pPr>
            <w:r w:rsidRPr="00D72AC3">
              <w:rPr>
                <w:rFonts w:cs="Times New Roman"/>
                <w:b/>
                <w:sz w:val="20"/>
                <w:szCs w:val="20"/>
                <w:lang w:val="en-GB" w:bidi="en-GB"/>
              </w:rPr>
              <w:t>Term for implementation</w:t>
            </w:r>
          </w:p>
        </w:tc>
      </w:tr>
      <w:tr w:rsidR="00D74A88" w:rsidRPr="00D72AC3" w:rsidTr="00EE1B29">
        <w:trPr>
          <w:trHeight w:val="553"/>
        </w:trPr>
        <w:tc>
          <w:tcPr>
            <w:tcW w:w="709" w:type="dxa"/>
            <w:shd w:val="clear" w:color="auto" w:fill="auto"/>
          </w:tcPr>
          <w:p w:rsidR="00D74A88" w:rsidRPr="00D72AC3" w:rsidRDefault="003178AC" w:rsidP="006C08DD">
            <w:pPr>
              <w:rPr>
                <w:rFonts w:cs="Times New Roman"/>
                <w:sz w:val="20"/>
                <w:szCs w:val="20"/>
                <w:lang w:val="en-GB"/>
              </w:rPr>
            </w:pPr>
            <w:r w:rsidRPr="00D72AC3">
              <w:rPr>
                <w:rFonts w:cs="Times New Roman"/>
                <w:sz w:val="20"/>
                <w:szCs w:val="20"/>
                <w:lang w:val="en-GB" w:bidi="en-GB"/>
              </w:rPr>
              <w:t>11.1.</w:t>
            </w:r>
          </w:p>
        </w:tc>
        <w:tc>
          <w:tcPr>
            <w:tcW w:w="3969" w:type="dxa"/>
            <w:shd w:val="clear" w:color="auto" w:fill="auto"/>
          </w:tcPr>
          <w:p w:rsidR="00D74A88" w:rsidRPr="00D72AC3" w:rsidRDefault="00E508C0">
            <w:pPr>
              <w:jc w:val="both"/>
              <w:rPr>
                <w:rFonts w:cs="Times New Roman"/>
                <w:sz w:val="20"/>
                <w:szCs w:val="20"/>
                <w:lang w:val="en-GB"/>
              </w:rPr>
            </w:pPr>
            <w:r w:rsidRPr="00D72AC3">
              <w:rPr>
                <w:rFonts w:cs="Times New Roman"/>
                <w:sz w:val="20"/>
                <w:szCs w:val="20"/>
                <w:lang w:val="en-GB" w:bidi="en-GB"/>
              </w:rPr>
              <w:t xml:space="preserve">To review the legal basis in the field of financial sanctions, by preventing the flaws in technical compliance, </w:t>
            </w:r>
            <w:r w:rsidRPr="00D72AC3">
              <w:rPr>
                <w:rFonts w:cs="Times New Roman"/>
                <w:i/>
                <w:sz w:val="20"/>
                <w:szCs w:val="20"/>
                <w:lang w:val="en-GB" w:bidi="en-GB"/>
              </w:rPr>
              <w:t>inter alia</w:t>
            </w:r>
            <w:r w:rsidRPr="00D72AC3">
              <w:rPr>
                <w:rFonts w:cs="Times New Roman"/>
                <w:sz w:val="20"/>
                <w:szCs w:val="20"/>
                <w:lang w:val="en-GB" w:bidi="en-GB"/>
              </w:rPr>
              <w:t xml:space="preserve">, separating the competence of the CS and FCMC in cases of attempted financing of proliferation. </w:t>
            </w:r>
          </w:p>
        </w:tc>
        <w:tc>
          <w:tcPr>
            <w:tcW w:w="1559" w:type="dxa"/>
            <w:shd w:val="clear" w:color="auto" w:fill="auto"/>
          </w:tcPr>
          <w:p w:rsidR="00D74A88" w:rsidRPr="00D72AC3" w:rsidRDefault="00682580" w:rsidP="00EE1B29">
            <w:pPr>
              <w:ind w:left="-108" w:right="-108"/>
              <w:rPr>
                <w:rFonts w:cs="Times New Roman"/>
                <w:sz w:val="20"/>
                <w:szCs w:val="20"/>
                <w:lang w:val="en-GB"/>
              </w:rPr>
            </w:pPr>
            <w:r w:rsidRPr="00D72AC3">
              <w:rPr>
                <w:sz w:val="20"/>
                <w:szCs w:val="20"/>
                <w:lang w:val="en-GB" w:bidi="en-GB"/>
              </w:rPr>
              <w:t xml:space="preserve">Moneyval recommendation 11.1., FATF Recommendation 7. </w:t>
            </w:r>
          </w:p>
        </w:tc>
        <w:tc>
          <w:tcPr>
            <w:tcW w:w="2835" w:type="dxa"/>
            <w:shd w:val="clear" w:color="auto" w:fill="auto"/>
          </w:tcPr>
          <w:p w:rsidR="00D74A88" w:rsidRPr="00D72AC3" w:rsidRDefault="00D74A88" w:rsidP="00EE1B29">
            <w:pPr>
              <w:jc w:val="both"/>
              <w:rPr>
                <w:rFonts w:cs="Times New Roman"/>
                <w:sz w:val="20"/>
                <w:szCs w:val="20"/>
                <w:lang w:val="en-GB"/>
              </w:rPr>
            </w:pPr>
            <w:r w:rsidRPr="00D72AC3">
              <w:rPr>
                <w:rFonts w:cs="Times New Roman"/>
                <w:sz w:val="20"/>
                <w:szCs w:val="20"/>
                <w:lang w:val="en-GB" w:bidi="en-GB"/>
              </w:rPr>
              <w:t xml:space="preserve">Amendments introduced to the </w:t>
            </w:r>
            <w:r w:rsidRPr="00D72AC3">
              <w:rPr>
                <w:rFonts w:cs="Times New Roman"/>
                <w:i/>
                <w:sz w:val="20"/>
                <w:szCs w:val="20"/>
                <w:lang w:val="en-GB" w:bidi="en-GB"/>
              </w:rPr>
              <w:t>Law On International Sanctions and National Sanctions of the Republic of Latvia</w:t>
            </w:r>
            <w:r w:rsidRPr="00D72AC3">
              <w:rPr>
                <w:rFonts w:cs="Times New Roman"/>
                <w:sz w:val="20"/>
                <w:szCs w:val="20"/>
                <w:lang w:val="en-GB" w:bidi="en-GB"/>
              </w:rPr>
              <w:t xml:space="preserve"> and, in line with the statutory regulation, the CS may carry out the freezing in proliferation cases.</w:t>
            </w:r>
          </w:p>
        </w:tc>
        <w:tc>
          <w:tcPr>
            <w:tcW w:w="2268" w:type="dxa"/>
            <w:shd w:val="clear" w:color="auto" w:fill="auto"/>
          </w:tcPr>
          <w:p w:rsidR="00D74A88" w:rsidRPr="00D72AC3" w:rsidRDefault="00D74A88" w:rsidP="00EE1B29">
            <w:pPr>
              <w:jc w:val="both"/>
              <w:rPr>
                <w:rFonts w:cs="Times New Roman"/>
                <w:sz w:val="20"/>
                <w:szCs w:val="20"/>
                <w:lang w:val="en-GB"/>
              </w:rPr>
            </w:pPr>
            <w:r w:rsidRPr="00D72AC3">
              <w:rPr>
                <w:rFonts w:cs="Times New Roman"/>
                <w:sz w:val="20"/>
                <w:szCs w:val="20"/>
                <w:lang w:val="en-GB" w:bidi="en-GB"/>
              </w:rPr>
              <w:t xml:space="preserve">Amendments to the </w:t>
            </w:r>
            <w:r w:rsidRPr="00D72AC3">
              <w:rPr>
                <w:rFonts w:cs="Times New Roman"/>
                <w:i/>
                <w:sz w:val="20"/>
                <w:szCs w:val="20"/>
                <w:lang w:val="en-GB" w:bidi="en-GB"/>
              </w:rPr>
              <w:t>Sanctions Law</w:t>
            </w:r>
            <w:r w:rsidRPr="00D72AC3">
              <w:rPr>
                <w:rFonts w:cs="Times New Roman"/>
                <w:sz w:val="20"/>
                <w:szCs w:val="20"/>
                <w:lang w:val="en-GB" w:bidi="en-GB"/>
              </w:rPr>
              <w:t xml:space="preserve"> and the </w:t>
            </w:r>
            <w:r w:rsidRPr="00D72AC3">
              <w:rPr>
                <w:rFonts w:cs="Times New Roman"/>
                <w:i/>
                <w:sz w:val="20"/>
                <w:szCs w:val="20"/>
                <w:lang w:val="en-GB" w:bidi="en-GB"/>
              </w:rPr>
              <w:t>Law on the PMLTF</w:t>
            </w:r>
            <w:r w:rsidRPr="00D72AC3">
              <w:rPr>
                <w:rFonts w:cs="Times New Roman"/>
                <w:sz w:val="20"/>
                <w:szCs w:val="20"/>
                <w:lang w:val="en-GB" w:bidi="en-GB"/>
              </w:rPr>
              <w:t>, amendments introduced to the relevant Cabinet of Ministers regulations.</w:t>
            </w:r>
          </w:p>
        </w:tc>
        <w:tc>
          <w:tcPr>
            <w:tcW w:w="1134" w:type="dxa"/>
            <w:shd w:val="clear" w:color="auto" w:fill="auto"/>
          </w:tcPr>
          <w:p w:rsidR="00D74A88" w:rsidRPr="00D72AC3" w:rsidRDefault="00D74A88" w:rsidP="008978FB">
            <w:pPr>
              <w:jc w:val="center"/>
              <w:rPr>
                <w:rFonts w:cs="Times New Roman"/>
                <w:sz w:val="20"/>
                <w:szCs w:val="20"/>
                <w:lang w:val="en-GB"/>
              </w:rPr>
            </w:pPr>
            <w:r w:rsidRPr="00D72AC3">
              <w:rPr>
                <w:sz w:val="20"/>
                <w:szCs w:val="20"/>
                <w:lang w:val="en-GB" w:bidi="en-GB"/>
              </w:rPr>
              <w:t>MoFA, MoF</w:t>
            </w:r>
          </w:p>
        </w:tc>
        <w:tc>
          <w:tcPr>
            <w:tcW w:w="1560" w:type="dxa"/>
            <w:shd w:val="clear" w:color="auto" w:fill="auto"/>
          </w:tcPr>
          <w:p w:rsidR="00D74A88" w:rsidRPr="00D72AC3" w:rsidRDefault="00D74A88" w:rsidP="008978FB">
            <w:pPr>
              <w:jc w:val="center"/>
              <w:rPr>
                <w:rFonts w:cs="Times New Roman"/>
                <w:sz w:val="20"/>
                <w:szCs w:val="20"/>
                <w:lang w:val="en-GB"/>
              </w:rPr>
            </w:pPr>
            <w:r w:rsidRPr="00D72AC3">
              <w:rPr>
                <w:rFonts w:cs="Times New Roman"/>
                <w:sz w:val="20"/>
                <w:szCs w:val="20"/>
                <w:lang w:val="en-GB" w:bidi="en-GB"/>
              </w:rPr>
              <w:t>FCMC, CS, SRS, CRPC</w:t>
            </w:r>
          </w:p>
        </w:tc>
        <w:tc>
          <w:tcPr>
            <w:tcW w:w="1417" w:type="dxa"/>
            <w:shd w:val="clear" w:color="auto" w:fill="auto"/>
          </w:tcPr>
          <w:p w:rsidR="00D74A88" w:rsidRPr="00D72AC3" w:rsidRDefault="000E5F2F" w:rsidP="008978FB">
            <w:pPr>
              <w:jc w:val="center"/>
              <w:rPr>
                <w:rFonts w:cs="Times New Roman"/>
                <w:sz w:val="20"/>
                <w:szCs w:val="20"/>
                <w:lang w:val="en-GB"/>
              </w:rPr>
            </w:pPr>
            <w:r w:rsidRPr="00D72AC3">
              <w:rPr>
                <w:rFonts w:cs="Times New Roman"/>
                <w:sz w:val="20"/>
                <w:szCs w:val="20"/>
                <w:lang w:val="en-GB" w:bidi="en-GB"/>
              </w:rPr>
              <w:t>1 July 2019</w:t>
            </w:r>
          </w:p>
        </w:tc>
      </w:tr>
      <w:tr w:rsidR="00D74A88" w:rsidRPr="00D72AC3" w:rsidTr="00EE1B29">
        <w:trPr>
          <w:trHeight w:val="554"/>
        </w:trPr>
        <w:tc>
          <w:tcPr>
            <w:tcW w:w="709" w:type="dxa"/>
            <w:shd w:val="clear" w:color="auto" w:fill="auto"/>
          </w:tcPr>
          <w:p w:rsidR="00D74A88" w:rsidRPr="00D72AC3" w:rsidRDefault="00FC38AD" w:rsidP="006C08DD">
            <w:pPr>
              <w:rPr>
                <w:rFonts w:cs="Times New Roman"/>
                <w:sz w:val="20"/>
                <w:szCs w:val="20"/>
                <w:lang w:val="en-GB"/>
              </w:rPr>
            </w:pPr>
            <w:r w:rsidRPr="00D72AC3">
              <w:rPr>
                <w:rFonts w:cs="Times New Roman"/>
                <w:sz w:val="20"/>
                <w:szCs w:val="20"/>
                <w:lang w:val="en-GB" w:bidi="en-GB"/>
              </w:rPr>
              <w:t>11.2.</w:t>
            </w:r>
          </w:p>
        </w:tc>
        <w:tc>
          <w:tcPr>
            <w:tcW w:w="3969" w:type="dxa"/>
            <w:shd w:val="clear" w:color="auto" w:fill="auto"/>
          </w:tcPr>
          <w:p w:rsidR="00D74A88" w:rsidRPr="00D72AC3" w:rsidRDefault="00D74A88" w:rsidP="000E5F2F">
            <w:pPr>
              <w:jc w:val="both"/>
              <w:rPr>
                <w:sz w:val="20"/>
                <w:szCs w:val="20"/>
                <w:lang w:val="en-GB"/>
              </w:rPr>
            </w:pPr>
            <w:r w:rsidRPr="00D72AC3">
              <w:rPr>
                <w:sz w:val="20"/>
                <w:szCs w:val="20"/>
                <w:lang w:val="en-GB" w:bidi="en-GB"/>
              </w:rPr>
              <w:t>To set the requirements for the subjects of the law with respect to formation and control of the internal control system for the management of the sanctions risk</w:t>
            </w:r>
          </w:p>
        </w:tc>
        <w:tc>
          <w:tcPr>
            <w:tcW w:w="1559" w:type="dxa"/>
            <w:shd w:val="clear" w:color="auto" w:fill="auto"/>
          </w:tcPr>
          <w:p w:rsidR="00D74A88" w:rsidRPr="00D72AC3" w:rsidRDefault="00FC38AD" w:rsidP="006C08DD">
            <w:pPr>
              <w:jc w:val="both"/>
              <w:rPr>
                <w:sz w:val="20"/>
                <w:szCs w:val="20"/>
                <w:lang w:val="en-GB"/>
              </w:rPr>
            </w:pPr>
            <w:r w:rsidRPr="00D72AC3">
              <w:rPr>
                <w:sz w:val="20"/>
                <w:szCs w:val="20"/>
                <w:lang w:val="en-GB" w:bidi="en-GB"/>
              </w:rPr>
              <w:t>Moneyval recommendation 11.1.</w:t>
            </w:r>
          </w:p>
        </w:tc>
        <w:tc>
          <w:tcPr>
            <w:tcW w:w="2835" w:type="dxa"/>
            <w:shd w:val="clear" w:color="auto" w:fill="auto"/>
          </w:tcPr>
          <w:p w:rsidR="00D74A88" w:rsidRPr="00D72AC3" w:rsidRDefault="00D74A88" w:rsidP="00066513">
            <w:pPr>
              <w:jc w:val="both"/>
              <w:rPr>
                <w:sz w:val="20"/>
                <w:szCs w:val="20"/>
                <w:lang w:val="en-GB"/>
              </w:rPr>
            </w:pPr>
            <w:r w:rsidRPr="00D72AC3">
              <w:rPr>
                <w:sz w:val="20"/>
                <w:szCs w:val="20"/>
                <w:lang w:val="en-GB" w:bidi="en-GB"/>
              </w:rPr>
              <w:t>Enhancement of the internal control system facilitated, in order to ensure the prevention of financing of terrorism and fulfilment of the requirements of the sanctions.</w:t>
            </w:r>
          </w:p>
        </w:tc>
        <w:tc>
          <w:tcPr>
            <w:tcW w:w="2268" w:type="dxa"/>
            <w:shd w:val="clear" w:color="auto" w:fill="auto"/>
          </w:tcPr>
          <w:p w:rsidR="00D74A88" w:rsidRPr="00D72AC3" w:rsidRDefault="00A3110B" w:rsidP="00EE1B29">
            <w:pPr>
              <w:jc w:val="both"/>
              <w:rPr>
                <w:sz w:val="20"/>
                <w:szCs w:val="20"/>
                <w:lang w:val="en-GB"/>
              </w:rPr>
            </w:pPr>
            <w:r w:rsidRPr="00D72AC3">
              <w:rPr>
                <w:sz w:val="20"/>
                <w:szCs w:val="20"/>
                <w:lang w:val="en-GB" w:bidi="en-GB"/>
              </w:rPr>
              <w:t xml:space="preserve">In accordance with the amendments to the </w:t>
            </w:r>
            <w:r w:rsidRPr="00D72AC3">
              <w:rPr>
                <w:i/>
                <w:sz w:val="20"/>
                <w:szCs w:val="20"/>
                <w:lang w:val="en-GB" w:bidi="en-GB"/>
              </w:rPr>
              <w:t>Sanctions Law</w:t>
            </w:r>
            <w:r w:rsidRPr="00D72AC3">
              <w:rPr>
                <w:sz w:val="20"/>
                <w:szCs w:val="20"/>
                <w:lang w:val="en-GB" w:bidi="en-GB"/>
              </w:rPr>
              <w:t xml:space="preserve"> (12 July 2018) the statutory regulations and guidelines developed for the subjects of the law </w:t>
            </w:r>
          </w:p>
        </w:tc>
        <w:tc>
          <w:tcPr>
            <w:tcW w:w="1134" w:type="dxa"/>
            <w:shd w:val="clear" w:color="auto" w:fill="auto"/>
          </w:tcPr>
          <w:p w:rsidR="00065366" w:rsidRPr="00D72AC3" w:rsidRDefault="00D74A88" w:rsidP="008978FB">
            <w:pPr>
              <w:jc w:val="center"/>
              <w:rPr>
                <w:sz w:val="20"/>
                <w:szCs w:val="20"/>
                <w:lang w:val="en-GB"/>
              </w:rPr>
            </w:pPr>
            <w:r w:rsidRPr="00D72AC3">
              <w:rPr>
                <w:sz w:val="20"/>
                <w:szCs w:val="20"/>
                <w:lang w:val="en-GB" w:bidi="en-GB"/>
              </w:rPr>
              <w:t>FCMC,</w:t>
            </w:r>
          </w:p>
          <w:p w:rsidR="00D74A88" w:rsidRPr="00D72AC3" w:rsidRDefault="00A3110B" w:rsidP="008978FB">
            <w:pPr>
              <w:jc w:val="center"/>
              <w:rPr>
                <w:sz w:val="20"/>
                <w:szCs w:val="20"/>
                <w:lang w:val="en-GB"/>
              </w:rPr>
            </w:pPr>
            <w:r w:rsidRPr="00D72AC3">
              <w:rPr>
                <w:sz w:val="20"/>
                <w:szCs w:val="20"/>
                <w:lang w:val="en-GB" w:bidi="en-GB"/>
              </w:rPr>
              <w:t>SRS, CRPC</w:t>
            </w:r>
          </w:p>
        </w:tc>
        <w:tc>
          <w:tcPr>
            <w:tcW w:w="1560" w:type="dxa"/>
            <w:shd w:val="clear" w:color="auto" w:fill="auto"/>
          </w:tcPr>
          <w:p w:rsidR="00D74A88" w:rsidRPr="00D72AC3" w:rsidRDefault="00D74A88" w:rsidP="008978FB">
            <w:pPr>
              <w:jc w:val="center"/>
              <w:rPr>
                <w:sz w:val="20"/>
                <w:szCs w:val="20"/>
                <w:lang w:val="en-GB"/>
              </w:rPr>
            </w:pPr>
          </w:p>
        </w:tc>
        <w:tc>
          <w:tcPr>
            <w:tcW w:w="1417" w:type="dxa"/>
            <w:shd w:val="clear" w:color="auto" w:fill="auto"/>
          </w:tcPr>
          <w:p w:rsidR="00D74A88" w:rsidRPr="00D72AC3" w:rsidRDefault="00D74A88" w:rsidP="008978FB">
            <w:pPr>
              <w:jc w:val="center"/>
              <w:rPr>
                <w:sz w:val="20"/>
                <w:szCs w:val="20"/>
                <w:lang w:val="en-GB"/>
              </w:rPr>
            </w:pPr>
            <w:r w:rsidRPr="00D72AC3">
              <w:rPr>
                <w:sz w:val="20"/>
                <w:szCs w:val="20"/>
                <w:lang w:val="en-GB" w:bidi="en-GB"/>
              </w:rPr>
              <w:t>1 May 2019</w:t>
            </w:r>
          </w:p>
        </w:tc>
      </w:tr>
      <w:tr w:rsidR="00D74A88" w:rsidRPr="00D72AC3" w:rsidTr="00EE1B29">
        <w:trPr>
          <w:trHeight w:val="1906"/>
        </w:trPr>
        <w:tc>
          <w:tcPr>
            <w:tcW w:w="709" w:type="dxa"/>
            <w:shd w:val="clear" w:color="auto" w:fill="auto"/>
          </w:tcPr>
          <w:p w:rsidR="00D74A88" w:rsidRPr="00D72AC3" w:rsidRDefault="00FC38AD" w:rsidP="008978FB">
            <w:pPr>
              <w:rPr>
                <w:rFonts w:cs="Times New Roman"/>
                <w:sz w:val="20"/>
                <w:szCs w:val="20"/>
                <w:lang w:val="en-GB"/>
              </w:rPr>
            </w:pPr>
            <w:r w:rsidRPr="00D72AC3">
              <w:rPr>
                <w:rFonts w:cs="Times New Roman"/>
                <w:sz w:val="20"/>
                <w:szCs w:val="20"/>
                <w:lang w:val="en-GB" w:bidi="en-GB"/>
              </w:rPr>
              <w:t>11.3.</w:t>
            </w:r>
          </w:p>
        </w:tc>
        <w:tc>
          <w:tcPr>
            <w:tcW w:w="3969" w:type="dxa"/>
            <w:shd w:val="clear" w:color="auto" w:fill="auto"/>
          </w:tcPr>
          <w:p w:rsidR="00D74A88" w:rsidRPr="00D72AC3" w:rsidRDefault="00D74A88" w:rsidP="006C08DD">
            <w:pPr>
              <w:jc w:val="both"/>
              <w:rPr>
                <w:rFonts w:cs="Times New Roman"/>
                <w:sz w:val="20"/>
                <w:szCs w:val="20"/>
                <w:lang w:val="en-GB"/>
              </w:rPr>
            </w:pPr>
            <w:r w:rsidRPr="00D72AC3">
              <w:rPr>
                <w:rFonts w:cs="Times New Roman"/>
                <w:sz w:val="20"/>
                <w:szCs w:val="20"/>
                <w:lang w:val="en-GB" w:bidi="en-GB"/>
              </w:rPr>
              <w:t xml:space="preserve">To enhance the legal base for freezing, ensuring the possibility for the CS to freeze for unspecified period of time </w:t>
            </w:r>
          </w:p>
        </w:tc>
        <w:tc>
          <w:tcPr>
            <w:tcW w:w="1559" w:type="dxa"/>
            <w:shd w:val="clear" w:color="auto" w:fill="auto"/>
          </w:tcPr>
          <w:p w:rsidR="00D74A88" w:rsidRPr="00D72AC3" w:rsidRDefault="00FC38AD" w:rsidP="00EE1B29">
            <w:pPr>
              <w:ind w:left="-108" w:right="-108"/>
              <w:rPr>
                <w:rFonts w:cs="Times New Roman"/>
                <w:sz w:val="20"/>
                <w:szCs w:val="20"/>
                <w:lang w:val="en-GB"/>
              </w:rPr>
            </w:pPr>
            <w:r w:rsidRPr="00D72AC3">
              <w:rPr>
                <w:sz w:val="20"/>
                <w:szCs w:val="20"/>
                <w:lang w:val="en-GB" w:bidi="en-GB"/>
              </w:rPr>
              <w:t>Moneyval recommendation 11.1.</w:t>
            </w:r>
          </w:p>
        </w:tc>
        <w:tc>
          <w:tcPr>
            <w:tcW w:w="2835" w:type="dxa"/>
            <w:shd w:val="clear" w:color="auto" w:fill="auto"/>
          </w:tcPr>
          <w:p w:rsidR="00D74A88" w:rsidRPr="00D72AC3" w:rsidRDefault="00066513" w:rsidP="00EE1B29">
            <w:pPr>
              <w:jc w:val="both"/>
              <w:rPr>
                <w:rFonts w:cs="Times New Roman"/>
                <w:sz w:val="20"/>
                <w:szCs w:val="20"/>
                <w:lang w:val="en-GB"/>
              </w:rPr>
            </w:pPr>
            <w:r w:rsidRPr="00D72AC3">
              <w:rPr>
                <w:rFonts w:cs="Times New Roman"/>
                <w:sz w:val="20"/>
                <w:szCs w:val="20"/>
                <w:lang w:val="en-GB" w:bidi="en-GB"/>
              </w:rPr>
              <w:t xml:space="preserve">The CS is entitled to adopt the decisions necessary for the fulfilment of sanctions, </w:t>
            </w:r>
            <w:r w:rsidRPr="00D72AC3">
              <w:rPr>
                <w:rFonts w:cs="Times New Roman"/>
                <w:i/>
                <w:sz w:val="20"/>
                <w:szCs w:val="20"/>
                <w:lang w:val="en-GB" w:bidi="en-GB"/>
              </w:rPr>
              <w:t>inter alia</w:t>
            </w:r>
            <w:r w:rsidRPr="00D72AC3">
              <w:rPr>
                <w:rFonts w:cs="Times New Roman"/>
                <w:sz w:val="20"/>
                <w:szCs w:val="20"/>
                <w:lang w:val="en-GB" w:bidi="en-GB"/>
              </w:rPr>
              <w:t>, decisions binding in the financial and capital market participants, regarding permanent freezing of funds in cases of financing of terrorism and financing of proliferation.</w:t>
            </w:r>
          </w:p>
        </w:tc>
        <w:tc>
          <w:tcPr>
            <w:tcW w:w="2268" w:type="dxa"/>
            <w:shd w:val="clear" w:color="auto" w:fill="auto"/>
          </w:tcPr>
          <w:p w:rsidR="00D74A88" w:rsidRPr="00D72AC3" w:rsidRDefault="00CF2236" w:rsidP="00EE1B29">
            <w:pPr>
              <w:jc w:val="both"/>
              <w:rPr>
                <w:rFonts w:cs="Times New Roman"/>
                <w:sz w:val="20"/>
                <w:szCs w:val="20"/>
                <w:lang w:val="en-GB"/>
              </w:rPr>
            </w:pPr>
            <w:r w:rsidRPr="00D72AC3">
              <w:rPr>
                <w:rFonts w:cs="Times New Roman"/>
                <w:sz w:val="20"/>
                <w:szCs w:val="20"/>
                <w:lang w:val="en-GB" w:bidi="en-GB"/>
              </w:rPr>
              <w:t>Corresponding amendments to the legal framework prepared.</w:t>
            </w:r>
          </w:p>
        </w:tc>
        <w:tc>
          <w:tcPr>
            <w:tcW w:w="1134" w:type="dxa"/>
            <w:shd w:val="clear" w:color="auto" w:fill="auto"/>
          </w:tcPr>
          <w:p w:rsidR="00D74A88" w:rsidRPr="00D72AC3" w:rsidRDefault="00D74A88" w:rsidP="008978FB">
            <w:pPr>
              <w:jc w:val="center"/>
              <w:rPr>
                <w:sz w:val="20"/>
                <w:szCs w:val="20"/>
                <w:lang w:val="en-GB"/>
              </w:rPr>
            </w:pPr>
            <w:r w:rsidRPr="00D72AC3">
              <w:rPr>
                <w:sz w:val="20"/>
                <w:szCs w:val="20"/>
                <w:lang w:val="en-GB" w:bidi="en-GB"/>
              </w:rPr>
              <w:t>MoF, MoFA</w:t>
            </w:r>
          </w:p>
        </w:tc>
        <w:tc>
          <w:tcPr>
            <w:tcW w:w="1560" w:type="dxa"/>
            <w:shd w:val="clear" w:color="auto" w:fill="auto"/>
          </w:tcPr>
          <w:p w:rsidR="00D74A88" w:rsidRPr="00D72AC3" w:rsidRDefault="00D74A88" w:rsidP="008978FB">
            <w:pPr>
              <w:jc w:val="center"/>
              <w:rPr>
                <w:rFonts w:cs="Times New Roman"/>
                <w:sz w:val="20"/>
                <w:szCs w:val="20"/>
                <w:lang w:val="en-GB"/>
              </w:rPr>
            </w:pPr>
            <w:r w:rsidRPr="00D72AC3">
              <w:rPr>
                <w:rFonts w:cs="Times New Roman"/>
                <w:sz w:val="20"/>
                <w:szCs w:val="20"/>
                <w:lang w:val="en-GB" w:bidi="en-GB"/>
              </w:rPr>
              <w:t>CS, FCMC, SRS, CRPC, BoL, LGSI, LCSA, LCSN, LACA, NCCH</w:t>
            </w:r>
          </w:p>
        </w:tc>
        <w:tc>
          <w:tcPr>
            <w:tcW w:w="1417" w:type="dxa"/>
            <w:shd w:val="clear" w:color="auto" w:fill="auto"/>
          </w:tcPr>
          <w:p w:rsidR="00D74A88" w:rsidRPr="00D72AC3" w:rsidRDefault="00997FDE" w:rsidP="008978FB">
            <w:pPr>
              <w:jc w:val="center"/>
              <w:rPr>
                <w:rFonts w:cs="Times New Roman"/>
                <w:sz w:val="20"/>
                <w:szCs w:val="20"/>
                <w:lang w:val="en-GB"/>
              </w:rPr>
            </w:pPr>
            <w:r w:rsidRPr="00D72AC3">
              <w:rPr>
                <w:rFonts w:cs="Times New Roman"/>
                <w:sz w:val="20"/>
                <w:szCs w:val="20"/>
                <w:lang w:val="en-GB" w:bidi="en-GB"/>
              </w:rPr>
              <w:t>1 June 2019</w:t>
            </w:r>
          </w:p>
        </w:tc>
      </w:tr>
      <w:tr w:rsidR="00D74A88" w:rsidRPr="00D72AC3" w:rsidTr="00EE1B29">
        <w:trPr>
          <w:trHeight w:val="841"/>
        </w:trPr>
        <w:tc>
          <w:tcPr>
            <w:tcW w:w="709" w:type="dxa"/>
            <w:shd w:val="clear" w:color="auto" w:fill="auto"/>
          </w:tcPr>
          <w:p w:rsidR="00D74A88" w:rsidRPr="00D72AC3" w:rsidRDefault="008978FB" w:rsidP="006C08DD">
            <w:pPr>
              <w:rPr>
                <w:rFonts w:cs="Times New Roman"/>
                <w:sz w:val="20"/>
                <w:szCs w:val="20"/>
                <w:lang w:val="en-GB"/>
              </w:rPr>
            </w:pPr>
            <w:r w:rsidRPr="00D72AC3">
              <w:rPr>
                <w:rFonts w:cs="Times New Roman"/>
                <w:sz w:val="20"/>
                <w:szCs w:val="20"/>
                <w:lang w:val="en-GB" w:bidi="en-GB"/>
              </w:rPr>
              <w:t>11.4.</w:t>
            </w:r>
          </w:p>
        </w:tc>
        <w:tc>
          <w:tcPr>
            <w:tcW w:w="3969" w:type="dxa"/>
            <w:shd w:val="clear" w:color="auto" w:fill="auto"/>
          </w:tcPr>
          <w:p w:rsidR="00D74A88" w:rsidRPr="00D72AC3" w:rsidRDefault="00D74A88" w:rsidP="006C08DD">
            <w:pPr>
              <w:jc w:val="both"/>
              <w:rPr>
                <w:rFonts w:cs="Times New Roman"/>
                <w:sz w:val="20"/>
                <w:szCs w:val="20"/>
                <w:lang w:val="en-GB"/>
              </w:rPr>
            </w:pPr>
            <w:r w:rsidRPr="00D72AC3">
              <w:rPr>
                <w:rFonts w:cs="Times New Roman"/>
                <w:sz w:val="20"/>
                <w:szCs w:val="20"/>
                <w:lang w:val="en-GB" w:bidi="en-GB"/>
              </w:rPr>
              <w:t xml:space="preserve">To increase the provision of information and regulations to </w:t>
            </w:r>
            <w:r w:rsidRPr="00D72AC3">
              <w:rPr>
                <w:rFonts w:cs="Times New Roman"/>
                <w:b/>
                <w:sz w:val="20"/>
                <w:szCs w:val="20"/>
                <w:lang w:val="en-GB" w:bidi="en-GB"/>
              </w:rPr>
              <w:t>all</w:t>
            </w:r>
            <w:r w:rsidRPr="00D72AC3">
              <w:rPr>
                <w:rFonts w:cs="Times New Roman"/>
                <w:sz w:val="20"/>
                <w:szCs w:val="20"/>
                <w:lang w:val="en-GB" w:bidi="en-GB"/>
              </w:rPr>
              <w:t xml:space="preserve"> subjects of the law, for the purposes of ensuring the development and introduction of internal control systems capable of identifying the potential proliferation activity, taking into account the development trends with respect to evasion of proliferation sanctions and the vulnerability of Latvia with respect to the financing of proliferation. </w:t>
            </w:r>
          </w:p>
          <w:p w:rsidR="00D74A88" w:rsidRPr="00D72AC3" w:rsidRDefault="00D74A88" w:rsidP="006C08DD">
            <w:pPr>
              <w:rPr>
                <w:rFonts w:cs="Times New Roman"/>
                <w:sz w:val="20"/>
                <w:szCs w:val="20"/>
                <w:lang w:val="en-GB"/>
              </w:rPr>
            </w:pPr>
          </w:p>
        </w:tc>
        <w:tc>
          <w:tcPr>
            <w:tcW w:w="1559" w:type="dxa"/>
            <w:shd w:val="clear" w:color="auto" w:fill="auto"/>
          </w:tcPr>
          <w:p w:rsidR="00D74A88" w:rsidRPr="00D72AC3" w:rsidRDefault="00FC38AD" w:rsidP="00EE1B29">
            <w:pPr>
              <w:ind w:left="-108" w:right="-108"/>
              <w:rPr>
                <w:rFonts w:cs="Times New Roman"/>
                <w:sz w:val="20"/>
                <w:szCs w:val="20"/>
                <w:lang w:val="en-GB"/>
              </w:rPr>
            </w:pPr>
            <w:r w:rsidRPr="00D72AC3">
              <w:rPr>
                <w:sz w:val="20"/>
                <w:szCs w:val="20"/>
                <w:lang w:val="en-GB" w:bidi="en-GB"/>
              </w:rPr>
              <w:t>Moneyval recommendation 11.3.</w:t>
            </w:r>
          </w:p>
        </w:tc>
        <w:tc>
          <w:tcPr>
            <w:tcW w:w="2835" w:type="dxa"/>
            <w:shd w:val="clear" w:color="auto" w:fill="auto"/>
          </w:tcPr>
          <w:p w:rsidR="00D74A88" w:rsidRPr="00D72AC3" w:rsidRDefault="00D74A88" w:rsidP="00EE1B29">
            <w:pPr>
              <w:jc w:val="both"/>
              <w:rPr>
                <w:rFonts w:cs="Times New Roman"/>
                <w:sz w:val="20"/>
                <w:szCs w:val="20"/>
                <w:lang w:val="en-GB"/>
              </w:rPr>
            </w:pPr>
            <w:r w:rsidRPr="00D72AC3">
              <w:rPr>
                <w:rFonts w:cs="Times New Roman"/>
                <w:sz w:val="20"/>
                <w:szCs w:val="20"/>
                <w:lang w:val="en-GB" w:bidi="en-GB"/>
              </w:rPr>
              <w:t>Institutional cooperation in organising informative events.</w:t>
            </w:r>
          </w:p>
        </w:tc>
        <w:tc>
          <w:tcPr>
            <w:tcW w:w="2268" w:type="dxa"/>
            <w:shd w:val="clear" w:color="auto" w:fill="auto"/>
          </w:tcPr>
          <w:p w:rsidR="00D74A88" w:rsidRPr="00D72AC3" w:rsidRDefault="00D74A88" w:rsidP="00EE1B29">
            <w:pPr>
              <w:jc w:val="both"/>
              <w:rPr>
                <w:rFonts w:cs="Times New Roman"/>
                <w:sz w:val="20"/>
                <w:szCs w:val="20"/>
                <w:lang w:val="en-GB"/>
              </w:rPr>
            </w:pPr>
            <w:r w:rsidRPr="00D72AC3">
              <w:rPr>
                <w:rFonts w:cs="Times New Roman"/>
                <w:sz w:val="20"/>
                <w:szCs w:val="20"/>
                <w:lang w:val="en-GB" w:bidi="en-GB"/>
              </w:rPr>
              <w:t>Informative events on the necessity of risk assessments, internal control systems. Administrative fines for the absence of the internal control (preventive measures).</w:t>
            </w:r>
          </w:p>
        </w:tc>
        <w:tc>
          <w:tcPr>
            <w:tcW w:w="1134" w:type="dxa"/>
            <w:shd w:val="clear" w:color="auto" w:fill="auto"/>
          </w:tcPr>
          <w:p w:rsidR="00D74A88" w:rsidRPr="00D72AC3" w:rsidRDefault="00D74A88" w:rsidP="008978FB">
            <w:pPr>
              <w:jc w:val="center"/>
              <w:rPr>
                <w:rFonts w:cs="Times New Roman"/>
                <w:sz w:val="20"/>
                <w:szCs w:val="20"/>
                <w:lang w:val="en-GB"/>
              </w:rPr>
            </w:pPr>
            <w:r w:rsidRPr="00D72AC3">
              <w:rPr>
                <w:rFonts w:cs="Times New Roman"/>
                <w:sz w:val="20"/>
                <w:szCs w:val="20"/>
                <w:lang w:val="en-GB" w:bidi="en-GB"/>
              </w:rPr>
              <w:t>CS, SeP, MoFA</w:t>
            </w:r>
          </w:p>
        </w:tc>
        <w:tc>
          <w:tcPr>
            <w:tcW w:w="1560" w:type="dxa"/>
            <w:shd w:val="clear" w:color="auto" w:fill="auto"/>
          </w:tcPr>
          <w:p w:rsidR="00D74A88" w:rsidRPr="00D72AC3" w:rsidRDefault="008773FA" w:rsidP="008978FB">
            <w:pPr>
              <w:jc w:val="center"/>
              <w:rPr>
                <w:rFonts w:cs="Times New Roman"/>
                <w:sz w:val="20"/>
                <w:szCs w:val="20"/>
                <w:lang w:val="en-GB"/>
              </w:rPr>
            </w:pPr>
            <w:r w:rsidRPr="00D72AC3">
              <w:rPr>
                <w:rFonts w:cs="Times New Roman"/>
                <w:sz w:val="20"/>
                <w:szCs w:val="20"/>
                <w:lang w:val="en-GB" w:bidi="en-GB"/>
              </w:rPr>
              <w:t>FCMC, SRS, CRPC, BoL, LGSI, LCSA, LCSN, LACA, NCCH, PMB</w:t>
            </w:r>
          </w:p>
        </w:tc>
        <w:tc>
          <w:tcPr>
            <w:tcW w:w="1417" w:type="dxa"/>
            <w:shd w:val="clear" w:color="auto" w:fill="auto"/>
          </w:tcPr>
          <w:p w:rsidR="00D74A88" w:rsidRPr="00D72AC3" w:rsidRDefault="00D74A88" w:rsidP="008978FB">
            <w:pPr>
              <w:jc w:val="center"/>
              <w:rPr>
                <w:rFonts w:cs="Times New Roman"/>
                <w:sz w:val="20"/>
                <w:szCs w:val="20"/>
                <w:lang w:val="en-GB"/>
              </w:rPr>
            </w:pPr>
            <w:r w:rsidRPr="00D72AC3">
              <w:rPr>
                <w:rFonts w:cs="Times New Roman"/>
                <w:sz w:val="20"/>
                <w:szCs w:val="20"/>
                <w:lang w:val="en-GB" w:bidi="en-GB"/>
              </w:rPr>
              <w:t>Constantly</w:t>
            </w:r>
          </w:p>
        </w:tc>
      </w:tr>
      <w:tr w:rsidR="00D74A88" w:rsidRPr="00D72AC3" w:rsidTr="00EE1B29">
        <w:trPr>
          <w:trHeight w:val="807"/>
        </w:trPr>
        <w:tc>
          <w:tcPr>
            <w:tcW w:w="709" w:type="dxa"/>
            <w:shd w:val="clear" w:color="auto" w:fill="auto"/>
          </w:tcPr>
          <w:p w:rsidR="00D74A88" w:rsidRPr="00D72AC3" w:rsidRDefault="008978FB" w:rsidP="006C08DD">
            <w:pPr>
              <w:jc w:val="center"/>
              <w:rPr>
                <w:rFonts w:cs="Times New Roman"/>
                <w:bCs/>
                <w:sz w:val="20"/>
                <w:szCs w:val="20"/>
                <w:lang w:val="en-GB"/>
              </w:rPr>
            </w:pPr>
            <w:r w:rsidRPr="00D72AC3">
              <w:rPr>
                <w:rFonts w:cs="Times New Roman"/>
                <w:sz w:val="20"/>
                <w:szCs w:val="20"/>
                <w:lang w:val="en-GB" w:bidi="en-GB"/>
              </w:rPr>
              <w:lastRenderedPageBreak/>
              <w:t>11.5.</w:t>
            </w:r>
          </w:p>
        </w:tc>
        <w:tc>
          <w:tcPr>
            <w:tcW w:w="3969" w:type="dxa"/>
            <w:shd w:val="clear" w:color="auto" w:fill="auto"/>
          </w:tcPr>
          <w:p w:rsidR="00D74A88" w:rsidRPr="00D72AC3" w:rsidRDefault="00D74A88" w:rsidP="006C08DD">
            <w:pPr>
              <w:jc w:val="both"/>
              <w:rPr>
                <w:rFonts w:cs="Times New Roman"/>
                <w:sz w:val="20"/>
                <w:szCs w:val="20"/>
                <w:lang w:val="en-GB"/>
              </w:rPr>
            </w:pPr>
            <w:r w:rsidRPr="00D72AC3">
              <w:rPr>
                <w:rFonts w:cs="Times New Roman"/>
                <w:sz w:val="20"/>
                <w:szCs w:val="20"/>
                <w:lang w:val="en-GB" w:bidi="en-GB"/>
              </w:rPr>
              <w:t>International level conference in Riga “</w:t>
            </w:r>
            <w:r w:rsidRPr="00D72AC3">
              <w:rPr>
                <w:rFonts w:cs="Times New Roman"/>
                <w:i/>
                <w:sz w:val="20"/>
                <w:szCs w:val="20"/>
                <w:lang w:val="en-GB" w:bidi="en-GB"/>
              </w:rPr>
              <w:t>How to prove effectiveness in IO 11?</w:t>
            </w:r>
            <w:r w:rsidRPr="00D72AC3">
              <w:rPr>
                <w:rFonts w:cs="Times New Roman"/>
                <w:sz w:val="20"/>
                <w:szCs w:val="20"/>
                <w:lang w:val="en-GB" w:bidi="en-GB"/>
              </w:rPr>
              <w:t xml:space="preserve">” on combating financing of proliferation </w:t>
            </w:r>
          </w:p>
        </w:tc>
        <w:tc>
          <w:tcPr>
            <w:tcW w:w="1559" w:type="dxa"/>
            <w:shd w:val="clear" w:color="auto" w:fill="auto"/>
          </w:tcPr>
          <w:p w:rsidR="00D74A88" w:rsidRPr="00D72AC3" w:rsidRDefault="008773FA" w:rsidP="00EE1B29">
            <w:pPr>
              <w:rPr>
                <w:b/>
                <w:sz w:val="18"/>
                <w:szCs w:val="18"/>
                <w:lang w:val="en-GB"/>
              </w:rPr>
            </w:pPr>
            <w:r w:rsidRPr="00D72AC3">
              <w:rPr>
                <w:sz w:val="20"/>
                <w:szCs w:val="20"/>
                <w:lang w:val="en-GB" w:bidi="en-GB"/>
              </w:rPr>
              <w:t>Moneyval recommendation 11.3.</w:t>
            </w:r>
          </w:p>
        </w:tc>
        <w:tc>
          <w:tcPr>
            <w:tcW w:w="2835" w:type="dxa"/>
            <w:shd w:val="clear" w:color="auto" w:fill="auto"/>
          </w:tcPr>
          <w:p w:rsidR="00D74A88" w:rsidRPr="00D72AC3" w:rsidRDefault="0040642E" w:rsidP="00EE1B29">
            <w:pPr>
              <w:jc w:val="both"/>
              <w:rPr>
                <w:rFonts w:cs="Times New Roman"/>
                <w:sz w:val="20"/>
                <w:szCs w:val="20"/>
                <w:lang w:val="en-GB"/>
              </w:rPr>
            </w:pPr>
            <w:r w:rsidRPr="00D72AC3">
              <w:rPr>
                <w:rFonts w:cs="Times New Roman"/>
                <w:sz w:val="20"/>
                <w:szCs w:val="20"/>
                <w:lang w:val="en-GB" w:bidi="en-GB"/>
              </w:rPr>
              <w:t xml:space="preserve">Latvia strategically shapes its reputation as the country that has overcome the crisis in the financial sector reputation and may serve as a model in the future for showing the way to other Moneyval member states. </w:t>
            </w:r>
          </w:p>
        </w:tc>
        <w:tc>
          <w:tcPr>
            <w:tcW w:w="2268" w:type="dxa"/>
            <w:shd w:val="clear" w:color="auto" w:fill="auto"/>
          </w:tcPr>
          <w:p w:rsidR="00D74A88" w:rsidRPr="00D72AC3" w:rsidRDefault="0040642E" w:rsidP="0040642E">
            <w:pPr>
              <w:rPr>
                <w:rFonts w:cs="Times New Roman"/>
                <w:sz w:val="20"/>
                <w:szCs w:val="20"/>
                <w:lang w:val="en-GB"/>
              </w:rPr>
            </w:pPr>
            <w:r w:rsidRPr="00D72AC3">
              <w:rPr>
                <w:rFonts w:cs="Times New Roman"/>
                <w:sz w:val="20"/>
                <w:szCs w:val="20"/>
                <w:lang w:val="en-GB" w:bidi="en-GB"/>
              </w:rPr>
              <w:t>The CS, in cooperation with Moneyval Secretariat and FATF, organises an international level conference in Riga on Latvia’s experience in introducing IO11, with the participation of international experts, delegations of other Moneyval member states</w:t>
            </w:r>
          </w:p>
        </w:tc>
        <w:tc>
          <w:tcPr>
            <w:tcW w:w="1134" w:type="dxa"/>
            <w:shd w:val="clear" w:color="auto" w:fill="auto"/>
          </w:tcPr>
          <w:p w:rsidR="00D74A88" w:rsidRPr="00D72AC3" w:rsidRDefault="00D74A88">
            <w:pPr>
              <w:jc w:val="center"/>
              <w:rPr>
                <w:rFonts w:cs="Times New Roman"/>
                <w:sz w:val="20"/>
                <w:szCs w:val="20"/>
                <w:lang w:val="en-GB"/>
              </w:rPr>
            </w:pPr>
            <w:r w:rsidRPr="00D72AC3">
              <w:rPr>
                <w:rFonts w:cs="Times New Roman"/>
                <w:sz w:val="20"/>
                <w:szCs w:val="20"/>
                <w:lang w:val="en-GB" w:bidi="en-GB"/>
              </w:rPr>
              <w:t xml:space="preserve">CS </w:t>
            </w:r>
          </w:p>
        </w:tc>
        <w:tc>
          <w:tcPr>
            <w:tcW w:w="1560" w:type="dxa"/>
            <w:shd w:val="clear" w:color="auto" w:fill="auto"/>
          </w:tcPr>
          <w:p w:rsidR="00D74A88" w:rsidRPr="00D72AC3" w:rsidRDefault="00CF2236" w:rsidP="008978FB">
            <w:pPr>
              <w:jc w:val="center"/>
              <w:rPr>
                <w:rFonts w:cs="Times New Roman"/>
                <w:sz w:val="20"/>
                <w:szCs w:val="20"/>
                <w:lang w:val="en-GB"/>
              </w:rPr>
            </w:pPr>
            <w:r w:rsidRPr="00D72AC3">
              <w:rPr>
                <w:rFonts w:cs="Times New Roman"/>
                <w:sz w:val="20"/>
                <w:szCs w:val="20"/>
                <w:lang w:val="en-GB" w:bidi="en-GB"/>
              </w:rPr>
              <w:t>MoFA, MoI, MoF, MoJ, SP, FCMC</w:t>
            </w:r>
          </w:p>
        </w:tc>
        <w:tc>
          <w:tcPr>
            <w:tcW w:w="1417" w:type="dxa"/>
            <w:shd w:val="clear" w:color="auto" w:fill="auto"/>
          </w:tcPr>
          <w:p w:rsidR="00D74A88" w:rsidRPr="00D72AC3" w:rsidRDefault="00D74A88" w:rsidP="008978FB">
            <w:pPr>
              <w:jc w:val="center"/>
              <w:rPr>
                <w:rFonts w:cs="Times New Roman"/>
                <w:sz w:val="20"/>
                <w:szCs w:val="20"/>
                <w:lang w:val="en-GB"/>
              </w:rPr>
            </w:pPr>
            <w:r w:rsidRPr="00D72AC3">
              <w:rPr>
                <w:rFonts w:cs="Times New Roman"/>
                <w:sz w:val="20"/>
                <w:szCs w:val="20"/>
                <w:lang w:val="en-GB" w:bidi="en-GB"/>
              </w:rPr>
              <w:t>31 March 2019</w:t>
            </w:r>
          </w:p>
        </w:tc>
      </w:tr>
    </w:tbl>
    <w:p w:rsidR="00D74A88" w:rsidRPr="00D72AC3" w:rsidRDefault="00D74A88" w:rsidP="00D74A88">
      <w:pPr>
        <w:rPr>
          <w:rFonts w:cs="Times New Roman"/>
          <w:lang w:val="en-GB"/>
        </w:rPr>
      </w:pPr>
    </w:p>
    <w:p w:rsidR="00D74A88" w:rsidRPr="00D72AC3" w:rsidRDefault="00D74A88" w:rsidP="00D74A88">
      <w:pPr>
        <w:rPr>
          <w:rFonts w:cs="Times New Roman"/>
          <w:lang w:val="en-GB"/>
        </w:rPr>
      </w:pPr>
    </w:p>
    <w:p w:rsidR="00D74A88" w:rsidRPr="00D72AC3" w:rsidRDefault="00D74A88" w:rsidP="00FF0BBA">
      <w:pPr>
        <w:jc w:val="both"/>
        <w:rPr>
          <w:b/>
          <w:sz w:val="28"/>
          <w:szCs w:val="28"/>
          <w:lang w:val="en-GB"/>
        </w:rPr>
      </w:pPr>
    </w:p>
    <w:p w:rsidR="009B4B7E" w:rsidRPr="00D72AC3" w:rsidRDefault="00FF0BBA" w:rsidP="00AF238A">
      <w:pPr>
        <w:jc w:val="both"/>
        <w:rPr>
          <w:b/>
          <w:szCs w:val="24"/>
          <w:lang w:val="en-GB"/>
        </w:rPr>
      </w:pPr>
      <w:r w:rsidRPr="00D72AC3">
        <w:rPr>
          <w:sz w:val="28"/>
          <w:szCs w:val="28"/>
          <w:lang w:val="en-GB" w:bidi="en-GB"/>
        </w:rPr>
        <w:tab/>
      </w:r>
    </w:p>
    <w:p w:rsidR="00676356" w:rsidRPr="00D72AC3" w:rsidRDefault="00FB0D3A" w:rsidP="00FB0D3A">
      <w:pPr>
        <w:pStyle w:val="Heading1"/>
        <w:rPr>
          <w:sz w:val="40"/>
          <w:szCs w:val="40"/>
        </w:rPr>
      </w:pPr>
      <w:bookmarkStart w:id="20" w:name="_Toc526510445"/>
      <w:r w:rsidRPr="00D72AC3">
        <w:rPr>
          <w:sz w:val="40"/>
          <w:szCs w:val="40"/>
          <w:lang w:bidi="en-GB"/>
        </w:rPr>
        <w:t>V. Impact assessment on the State and local government budget</w:t>
      </w:r>
      <w:bookmarkEnd w:id="20"/>
      <w:r w:rsidR="00D72AC3" w:rsidRPr="00D72AC3">
        <w:rPr>
          <w:sz w:val="40"/>
          <w:szCs w:val="40"/>
          <w:lang w:bidi="en-GB"/>
        </w:rPr>
        <w:t xml:space="preserve"> </w:t>
      </w:r>
    </w:p>
    <w:p w:rsidR="00676356" w:rsidRPr="00D72AC3" w:rsidRDefault="00676356" w:rsidP="00676356">
      <w:pPr>
        <w:pStyle w:val="Heading1"/>
        <w:jc w:val="center"/>
        <w:rPr>
          <w:b w:val="0"/>
          <w:sz w:val="24"/>
          <w:szCs w:val="24"/>
        </w:rPr>
      </w:pPr>
      <w:bookmarkStart w:id="21" w:name="_Toc526510446"/>
      <w:r w:rsidRPr="00D72AC3">
        <w:rPr>
          <w:b w:val="0"/>
          <w:sz w:val="24"/>
          <w:szCs w:val="24"/>
          <w:lang w:bidi="en-GB"/>
        </w:rPr>
        <w:t>Summary on the State and local government budget funding necessary for implementation of the tasks included in the plan</w:t>
      </w:r>
      <w:bookmarkEnd w:id="21"/>
    </w:p>
    <w:p w:rsidR="00FD6F91" w:rsidRPr="00D72AC3" w:rsidRDefault="00676356" w:rsidP="00FB0D3A">
      <w:pPr>
        <w:pStyle w:val="Heading1"/>
        <w:rPr>
          <w:b w:val="0"/>
          <w:sz w:val="20"/>
          <w:szCs w:val="20"/>
        </w:rPr>
      </w:pPr>
      <w:r w:rsidRPr="00D72AC3">
        <w:rPr>
          <w:b w:val="0"/>
          <w:sz w:val="20"/>
          <w:szCs w:val="20"/>
          <w:lang w:bidi="en-GB"/>
        </w:rPr>
        <w:t xml:space="preserve"> </w:t>
      </w:r>
      <w:bookmarkStart w:id="22" w:name="_Toc526510447"/>
      <w:r w:rsidRPr="00D72AC3">
        <w:rPr>
          <w:b w:val="0"/>
          <w:sz w:val="20"/>
          <w:szCs w:val="20"/>
          <w:lang w:bidi="en-GB"/>
        </w:rPr>
        <w:t>The necessary additional funding for the Office of the Prosecutor (Office for Prevention of Laundering of Proceeds Derived from Criminal Activity) in 2018 does not exceed EUR 482, 015</w:t>
      </w:r>
      <w:bookmarkEnd w:id="22"/>
      <w:r w:rsidR="005624ED">
        <w:rPr>
          <w:b w:val="0"/>
          <w:sz w:val="20"/>
          <w:szCs w:val="20"/>
          <w:lang w:bidi="en-GB"/>
        </w:rPr>
        <w:t>.</w:t>
      </w:r>
    </w:p>
    <w:p w:rsidR="001B0D24" w:rsidRPr="00D72AC3" w:rsidRDefault="001B0D24" w:rsidP="00AF238A">
      <w:pPr>
        <w:jc w:val="both"/>
        <w:rPr>
          <w:b/>
          <w:szCs w:val="24"/>
          <w:lang w:val="en-GB"/>
        </w:rPr>
      </w:pPr>
    </w:p>
    <w:tbl>
      <w:tblPr>
        <w:tblW w:w="152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843"/>
        <w:gridCol w:w="1412"/>
        <w:gridCol w:w="1134"/>
        <w:gridCol w:w="856"/>
        <w:gridCol w:w="992"/>
        <w:gridCol w:w="1129"/>
        <w:gridCol w:w="1134"/>
        <w:gridCol w:w="1134"/>
        <w:gridCol w:w="851"/>
        <w:gridCol w:w="1275"/>
        <w:gridCol w:w="1048"/>
      </w:tblGrid>
      <w:tr w:rsidR="00192E78" w:rsidRPr="00D72AC3" w:rsidTr="00F76636">
        <w:trPr>
          <w:trHeight w:val="705"/>
        </w:trPr>
        <w:tc>
          <w:tcPr>
            <w:tcW w:w="2415" w:type="dxa"/>
            <w:shd w:val="clear" w:color="auto" w:fill="auto"/>
            <w:noWrap/>
            <w:vAlign w:val="bottom"/>
            <w:hideMark/>
          </w:tcPr>
          <w:p w:rsidR="00192E78" w:rsidRPr="00D72AC3" w:rsidRDefault="00192E78" w:rsidP="000D4C76">
            <w:pPr>
              <w:rPr>
                <w:rFonts w:eastAsia="Times New Roman"/>
                <w:color w:val="000000"/>
                <w:szCs w:val="24"/>
                <w:lang w:val="en-GB" w:eastAsia="lv-LV"/>
              </w:rPr>
            </w:pPr>
            <w:r w:rsidRPr="00D72AC3">
              <w:rPr>
                <w:rFonts w:eastAsia="Times New Roman"/>
                <w:color w:val="000000"/>
                <w:szCs w:val="24"/>
                <w:lang w:val="en-GB" w:bidi="en-GB"/>
              </w:rPr>
              <w:t> </w:t>
            </w:r>
          </w:p>
        </w:tc>
        <w:tc>
          <w:tcPr>
            <w:tcW w:w="1843" w:type="dxa"/>
            <w:shd w:val="clear" w:color="auto" w:fill="auto"/>
            <w:noWrap/>
            <w:vAlign w:val="bottom"/>
            <w:hideMark/>
          </w:tcPr>
          <w:p w:rsidR="00192E78" w:rsidRPr="00D72AC3" w:rsidRDefault="00192E78" w:rsidP="000D4C76">
            <w:pPr>
              <w:rPr>
                <w:rFonts w:eastAsia="Times New Roman"/>
                <w:color w:val="000000"/>
                <w:szCs w:val="24"/>
                <w:lang w:val="en-GB" w:eastAsia="lv-LV"/>
              </w:rPr>
            </w:pPr>
            <w:r w:rsidRPr="00D72AC3">
              <w:rPr>
                <w:rFonts w:eastAsia="Times New Roman"/>
                <w:color w:val="000000"/>
                <w:szCs w:val="24"/>
                <w:lang w:val="en-GB" w:bidi="en-GB"/>
              </w:rPr>
              <w:t> </w:t>
            </w:r>
          </w:p>
        </w:tc>
        <w:tc>
          <w:tcPr>
            <w:tcW w:w="1412" w:type="dxa"/>
            <w:shd w:val="clear" w:color="auto" w:fill="auto"/>
            <w:noWrap/>
            <w:vAlign w:val="bottom"/>
            <w:hideMark/>
          </w:tcPr>
          <w:p w:rsidR="00192E78" w:rsidRPr="00D72AC3" w:rsidRDefault="00192E78" w:rsidP="000D4C76">
            <w:pPr>
              <w:rPr>
                <w:rFonts w:eastAsia="Times New Roman"/>
                <w:color w:val="000000"/>
                <w:szCs w:val="24"/>
                <w:lang w:val="en-GB" w:eastAsia="lv-LV"/>
              </w:rPr>
            </w:pPr>
            <w:r w:rsidRPr="00D72AC3">
              <w:rPr>
                <w:rFonts w:eastAsia="Times New Roman"/>
                <w:color w:val="000000"/>
                <w:szCs w:val="24"/>
                <w:lang w:val="en-GB" w:bidi="en-GB"/>
              </w:rPr>
              <w:t> </w:t>
            </w:r>
          </w:p>
        </w:tc>
        <w:tc>
          <w:tcPr>
            <w:tcW w:w="2982" w:type="dxa"/>
            <w:gridSpan w:val="3"/>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 xml:space="preserve">Funding planned in the </w:t>
            </w:r>
            <w:r w:rsidRPr="00D72AC3">
              <w:rPr>
                <w:rFonts w:eastAsia="Times New Roman"/>
                <w:b/>
                <w:i/>
                <w:sz w:val="18"/>
                <w:szCs w:val="18"/>
                <w:lang w:val="en-GB" w:bidi="en-GB"/>
              </w:rPr>
              <w:t>Medium Term Budget Framework Law</w:t>
            </w:r>
          </w:p>
        </w:tc>
        <w:tc>
          <w:tcPr>
            <w:tcW w:w="5523" w:type="dxa"/>
            <w:gridSpan w:val="5"/>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 xml:space="preserve">Necessary additional funding </w:t>
            </w:r>
          </w:p>
        </w:tc>
        <w:tc>
          <w:tcPr>
            <w:tcW w:w="1048" w:type="dxa"/>
            <w:shd w:val="clear" w:color="auto" w:fill="auto"/>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Year of implementation of the measure</w:t>
            </w:r>
            <w:r w:rsidRPr="00D72AC3">
              <w:rPr>
                <w:rFonts w:eastAsia="Times New Roman"/>
                <w:b/>
                <w:sz w:val="18"/>
                <w:szCs w:val="18"/>
                <w:lang w:val="en-GB" w:bidi="en-GB"/>
              </w:rPr>
              <w:br/>
              <w:t xml:space="preserve"> (if the implementation of the measure </w:t>
            </w:r>
            <w:r w:rsidRPr="00D72AC3">
              <w:rPr>
                <w:rFonts w:eastAsia="Times New Roman"/>
                <w:b/>
                <w:sz w:val="18"/>
                <w:szCs w:val="18"/>
                <w:lang w:val="en-GB" w:bidi="en-GB"/>
              </w:rPr>
              <w:lastRenderedPageBreak/>
              <w:t>has a fixed term)</w:t>
            </w:r>
          </w:p>
        </w:tc>
      </w:tr>
      <w:tr w:rsidR="00192E78" w:rsidRPr="00D72AC3" w:rsidTr="00F76636">
        <w:trPr>
          <w:trHeight w:val="1515"/>
        </w:trPr>
        <w:tc>
          <w:tcPr>
            <w:tcW w:w="2415"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lastRenderedPageBreak/>
              <w:t>Task</w:t>
            </w:r>
          </w:p>
        </w:tc>
        <w:tc>
          <w:tcPr>
            <w:tcW w:w="1843"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Measure</w:t>
            </w:r>
          </w:p>
        </w:tc>
        <w:tc>
          <w:tcPr>
            <w:tcW w:w="1412"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 xml:space="preserve">Code and name </w:t>
            </w:r>
            <w:r w:rsidRPr="00D72AC3">
              <w:rPr>
                <w:rFonts w:eastAsia="Times New Roman"/>
                <w:b/>
                <w:sz w:val="18"/>
                <w:szCs w:val="18"/>
                <w:lang w:val="en-GB" w:bidi="en-GB"/>
              </w:rPr>
              <w:br/>
              <w:t xml:space="preserve">of the budget programme (sub-programme) </w:t>
            </w:r>
          </w:p>
        </w:tc>
        <w:tc>
          <w:tcPr>
            <w:tcW w:w="1134"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2018</w:t>
            </w:r>
          </w:p>
        </w:tc>
        <w:tc>
          <w:tcPr>
            <w:tcW w:w="856"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2019</w:t>
            </w:r>
          </w:p>
        </w:tc>
        <w:tc>
          <w:tcPr>
            <w:tcW w:w="992"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2020</w:t>
            </w:r>
          </w:p>
        </w:tc>
        <w:tc>
          <w:tcPr>
            <w:tcW w:w="1129"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2019</w:t>
            </w:r>
          </w:p>
        </w:tc>
        <w:tc>
          <w:tcPr>
            <w:tcW w:w="1134"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2020</w:t>
            </w:r>
          </w:p>
        </w:tc>
        <w:tc>
          <w:tcPr>
            <w:tcW w:w="1134"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2021</w:t>
            </w:r>
          </w:p>
        </w:tc>
        <w:tc>
          <w:tcPr>
            <w:tcW w:w="851" w:type="dxa"/>
            <w:shd w:val="clear" w:color="auto" w:fill="auto"/>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 xml:space="preserve">henceforth till the completion of the measure </w:t>
            </w:r>
            <w:r w:rsidRPr="00D72AC3">
              <w:rPr>
                <w:rFonts w:eastAsia="Times New Roman"/>
                <w:b/>
                <w:sz w:val="18"/>
                <w:szCs w:val="18"/>
                <w:lang w:val="en-GB" w:bidi="en-GB"/>
              </w:rPr>
              <w:br/>
              <w:t>(if the implementation has a fixed term)</w:t>
            </w:r>
          </w:p>
        </w:tc>
        <w:tc>
          <w:tcPr>
            <w:tcW w:w="1275" w:type="dxa"/>
            <w:shd w:val="clear" w:color="auto" w:fill="auto"/>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 xml:space="preserve">henceforth on an annual basis </w:t>
            </w:r>
            <w:r w:rsidRPr="00D72AC3">
              <w:rPr>
                <w:rFonts w:eastAsia="Times New Roman"/>
                <w:b/>
                <w:sz w:val="18"/>
                <w:szCs w:val="18"/>
                <w:lang w:val="en-GB" w:bidi="en-GB"/>
              </w:rPr>
              <w:br/>
              <w:t>(if the implementation of the measure is open-ended)</w:t>
            </w:r>
          </w:p>
        </w:tc>
        <w:tc>
          <w:tcPr>
            <w:tcW w:w="1048" w:type="dxa"/>
            <w:vAlign w:val="center"/>
            <w:hideMark/>
          </w:tcPr>
          <w:p w:rsidR="00192E78" w:rsidRPr="00D72AC3" w:rsidRDefault="00192E78" w:rsidP="000D4C76">
            <w:pPr>
              <w:rPr>
                <w:rFonts w:eastAsia="Times New Roman"/>
                <w:b/>
                <w:bCs/>
                <w:sz w:val="18"/>
                <w:szCs w:val="18"/>
                <w:lang w:val="en-GB" w:eastAsia="lv-LV"/>
              </w:rPr>
            </w:pPr>
          </w:p>
        </w:tc>
      </w:tr>
      <w:tr w:rsidR="00192E78" w:rsidRPr="00D72AC3" w:rsidTr="00F76636">
        <w:trPr>
          <w:trHeight w:val="312"/>
        </w:trPr>
        <w:tc>
          <w:tcPr>
            <w:tcW w:w="2415"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1</w:t>
            </w:r>
          </w:p>
        </w:tc>
        <w:tc>
          <w:tcPr>
            <w:tcW w:w="1843"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w:t>
            </w:r>
          </w:p>
        </w:tc>
        <w:tc>
          <w:tcPr>
            <w:tcW w:w="1412"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3</w:t>
            </w:r>
          </w:p>
        </w:tc>
        <w:tc>
          <w:tcPr>
            <w:tcW w:w="1134"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4</w:t>
            </w:r>
          </w:p>
        </w:tc>
        <w:tc>
          <w:tcPr>
            <w:tcW w:w="856"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5</w:t>
            </w:r>
          </w:p>
        </w:tc>
        <w:tc>
          <w:tcPr>
            <w:tcW w:w="992"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6</w:t>
            </w:r>
          </w:p>
        </w:tc>
        <w:tc>
          <w:tcPr>
            <w:tcW w:w="1129"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7</w:t>
            </w:r>
          </w:p>
        </w:tc>
        <w:tc>
          <w:tcPr>
            <w:tcW w:w="1134"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8</w:t>
            </w:r>
          </w:p>
        </w:tc>
        <w:tc>
          <w:tcPr>
            <w:tcW w:w="1134" w:type="dxa"/>
            <w:shd w:val="clear" w:color="auto" w:fill="auto"/>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9</w:t>
            </w:r>
          </w:p>
        </w:tc>
        <w:tc>
          <w:tcPr>
            <w:tcW w:w="851" w:type="dxa"/>
            <w:shd w:val="clear" w:color="auto" w:fill="auto"/>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10</w:t>
            </w:r>
          </w:p>
        </w:tc>
        <w:tc>
          <w:tcPr>
            <w:tcW w:w="1275" w:type="dxa"/>
            <w:shd w:val="clear" w:color="auto" w:fill="auto"/>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11</w:t>
            </w:r>
          </w:p>
        </w:tc>
        <w:tc>
          <w:tcPr>
            <w:tcW w:w="1048" w:type="dxa"/>
            <w:shd w:val="clear" w:color="auto" w:fill="auto"/>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12</w:t>
            </w:r>
          </w:p>
        </w:tc>
      </w:tr>
      <w:tr w:rsidR="00F76636" w:rsidRPr="00D72AC3" w:rsidTr="00F76636">
        <w:trPr>
          <w:trHeight w:val="456"/>
        </w:trPr>
        <w:tc>
          <w:tcPr>
            <w:tcW w:w="2415"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 xml:space="preserve">Total funding for implementation of the plan </w:t>
            </w:r>
          </w:p>
        </w:tc>
        <w:tc>
          <w:tcPr>
            <w:tcW w:w="1843"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sz w:val="18"/>
                <w:szCs w:val="18"/>
                <w:lang w:val="en-GB" w:bidi="en-GB"/>
              </w:rPr>
              <w:t> </w:t>
            </w:r>
          </w:p>
        </w:tc>
        <w:tc>
          <w:tcPr>
            <w:tcW w:w="1412"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sz w:val="18"/>
                <w:szCs w:val="18"/>
                <w:lang w:val="en-GB" w:bidi="en-GB"/>
              </w:rPr>
              <w:t> </w:t>
            </w:r>
          </w:p>
        </w:tc>
        <w:tc>
          <w:tcPr>
            <w:tcW w:w="1134" w:type="dxa"/>
            <w:shd w:val="clear" w:color="auto" w:fill="BDD6EE" w:themeFill="accent1" w:themeFillTint="66"/>
            <w:vAlign w:val="center"/>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2, 044,</w:t>
            </w:r>
            <w:r w:rsidR="00D72AC3" w:rsidRPr="00D72AC3">
              <w:rPr>
                <w:rFonts w:eastAsia="Times New Roman"/>
                <w:b/>
                <w:sz w:val="18"/>
                <w:szCs w:val="18"/>
                <w:lang w:val="en-GB" w:bidi="en-GB"/>
              </w:rPr>
              <w:t xml:space="preserve"> </w:t>
            </w:r>
            <w:r w:rsidRPr="00D72AC3">
              <w:rPr>
                <w:rFonts w:eastAsia="Times New Roman"/>
                <w:b/>
                <w:sz w:val="18"/>
                <w:szCs w:val="18"/>
                <w:lang w:val="en-GB" w:bidi="en-GB"/>
              </w:rPr>
              <w:t>037</w:t>
            </w:r>
          </w:p>
        </w:tc>
        <w:tc>
          <w:tcPr>
            <w:tcW w:w="856"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961, 691</w:t>
            </w:r>
          </w:p>
        </w:tc>
        <w:tc>
          <w:tcPr>
            <w:tcW w:w="992"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931, 868</w:t>
            </w:r>
          </w:p>
        </w:tc>
        <w:tc>
          <w:tcPr>
            <w:tcW w:w="1129" w:type="dxa"/>
            <w:shd w:val="clear" w:color="auto" w:fill="BDD6EE" w:themeFill="accent1" w:themeFillTint="66"/>
            <w:vAlign w:val="center"/>
          </w:tcPr>
          <w:p w:rsidR="00192E78" w:rsidRPr="00D72AC3" w:rsidRDefault="005624ED" w:rsidP="005624ED">
            <w:pPr>
              <w:jc w:val="center"/>
              <w:rPr>
                <w:rFonts w:eastAsia="Times New Roman"/>
                <w:b/>
                <w:bCs/>
                <w:sz w:val="18"/>
                <w:szCs w:val="18"/>
                <w:lang w:val="en-GB" w:eastAsia="lv-LV"/>
              </w:rPr>
            </w:pPr>
            <w:r>
              <w:rPr>
                <w:rFonts w:eastAsia="Times New Roman"/>
                <w:b/>
                <w:sz w:val="18"/>
                <w:szCs w:val="18"/>
                <w:lang w:val="en-GB" w:bidi="en-GB"/>
              </w:rPr>
              <w:t>7, 757</w:t>
            </w:r>
            <w:r w:rsidR="008349B6" w:rsidRPr="00D72AC3">
              <w:rPr>
                <w:rFonts w:eastAsia="Times New Roman"/>
                <w:b/>
                <w:sz w:val="18"/>
                <w:szCs w:val="18"/>
                <w:lang w:val="en-GB" w:bidi="en-GB"/>
              </w:rPr>
              <w:t>, </w:t>
            </w:r>
            <w:r>
              <w:rPr>
                <w:rFonts w:eastAsia="Times New Roman"/>
                <w:b/>
                <w:sz w:val="18"/>
                <w:szCs w:val="18"/>
                <w:lang w:val="en-GB" w:bidi="en-GB"/>
              </w:rPr>
              <w:t>802</w:t>
            </w:r>
          </w:p>
        </w:tc>
        <w:tc>
          <w:tcPr>
            <w:tcW w:w="1134" w:type="dxa"/>
            <w:shd w:val="clear" w:color="auto" w:fill="BDD6EE" w:themeFill="accent1" w:themeFillTint="66"/>
            <w:vAlign w:val="center"/>
          </w:tcPr>
          <w:p w:rsidR="00192E78" w:rsidRPr="00D72AC3" w:rsidRDefault="005624ED" w:rsidP="005624ED">
            <w:pPr>
              <w:jc w:val="center"/>
              <w:rPr>
                <w:rFonts w:eastAsia="Times New Roman"/>
                <w:b/>
                <w:bCs/>
                <w:sz w:val="18"/>
                <w:szCs w:val="18"/>
                <w:lang w:val="en-GB" w:eastAsia="lv-LV"/>
              </w:rPr>
            </w:pPr>
            <w:r>
              <w:rPr>
                <w:rFonts w:eastAsia="Times New Roman"/>
                <w:b/>
                <w:sz w:val="18"/>
                <w:szCs w:val="18"/>
                <w:lang w:val="en-GB" w:bidi="en-GB"/>
              </w:rPr>
              <w:t>5</w:t>
            </w:r>
            <w:r w:rsidR="009934D2" w:rsidRPr="00D72AC3">
              <w:rPr>
                <w:rFonts w:eastAsia="Times New Roman"/>
                <w:b/>
                <w:sz w:val="18"/>
                <w:szCs w:val="18"/>
                <w:lang w:val="en-GB" w:bidi="en-GB"/>
              </w:rPr>
              <w:t>, </w:t>
            </w:r>
            <w:r>
              <w:rPr>
                <w:rFonts w:eastAsia="Times New Roman"/>
                <w:b/>
                <w:sz w:val="18"/>
                <w:szCs w:val="18"/>
                <w:lang w:val="en-GB" w:bidi="en-GB"/>
              </w:rPr>
              <w:t>790</w:t>
            </w:r>
            <w:r w:rsidR="009934D2" w:rsidRPr="00D72AC3">
              <w:rPr>
                <w:rFonts w:eastAsia="Times New Roman"/>
                <w:b/>
                <w:sz w:val="18"/>
                <w:szCs w:val="18"/>
                <w:lang w:val="en-GB" w:bidi="en-GB"/>
              </w:rPr>
              <w:t>5, </w:t>
            </w:r>
            <w:r>
              <w:rPr>
                <w:rFonts w:eastAsia="Times New Roman"/>
                <w:b/>
                <w:sz w:val="18"/>
                <w:szCs w:val="18"/>
                <w:lang w:val="en-GB" w:bidi="en-GB"/>
              </w:rPr>
              <w:t>688</w:t>
            </w:r>
          </w:p>
        </w:tc>
        <w:tc>
          <w:tcPr>
            <w:tcW w:w="1134" w:type="dxa"/>
            <w:shd w:val="clear" w:color="auto" w:fill="BDD6EE" w:themeFill="accent1" w:themeFillTint="66"/>
            <w:vAlign w:val="center"/>
          </w:tcPr>
          <w:p w:rsidR="00192E78" w:rsidRPr="00D72AC3" w:rsidRDefault="00192E78" w:rsidP="005624ED">
            <w:pPr>
              <w:jc w:val="center"/>
              <w:rPr>
                <w:rFonts w:eastAsia="Times New Roman"/>
                <w:b/>
                <w:bCs/>
                <w:sz w:val="18"/>
                <w:szCs w:val="18"/>
                <w:lang w:val="en-GB" w:eastAsia="lv-LV"/>
              </w:rPr>
            </w:pPr>
            <w:r w:rsidRPr="00D72AC3">
              <w:rPr>
                <w:rFonts w:eastAsia="Times New Roman"/>
                <w:b/>
                <w:sz w:val="18"/>
                <w:szCs w:val="18"/>
                <w:lang w:val="en-GB" w:bidi="en-GB"/>
              </w:rPr>
              <w:t>4, </w:t>
            </w:r>
            <w:r w:rsidR="005624ED">
              <w:rPr>
                <w:rFonts w:eastAsia="Times New Roman"/>
                <w:b/>
                <w:sz w:val="18"/>
                <w:szCs w:val="18"/>
                <w:lang w:val="en-GB" w:bidi="en-GB"/>
              </w:rPr>
              <w:t>880</w:t>
            </w:r>
            <w:r w:rsidRPr="00D72AC3">
              <w:rPr>
                <w:rFonts w:eastAsia="Times New Roman"/>
                <w:b/>
                <w:sz w:val="18"/>
                <w:szCs w:val="18"/>
                <w:lang w:val="en-GB" w:bidi="en-GB"/>
              </w:rPr>
              <w:t>, </w:t>
            </w:r>
            <w:r w:rsidR="005624ED">
              <w:rPr>
                <w:rFonts w:eastAsia="Times New Roman"/>
                <w:b/>
                <w:sz w:val="18"/>
                <w:szCs w:val="18"/>
                <w:lang w:val="en-GB" w:bidi="en-GB"/>
              </w:rPr>
              <w:t>680</w:t>
            </w:r>
          </w:p>
        </w:tc>
        <w:tc>
          <w:tcPr>
            <w:tcW w:w="851"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color w:val="000000"/>
                <w:sz w:val="18"/>
                <w:szCs w:val="18"/>
                <w:lang w:val="en-GB" w:bidi="en-GB"/>
              </w:rPr>
              <w:t>0</w:t>
            </w:r>
          </w:p>
        </w:tc>
        <w:tc>
          <w:tcPr>
            <w:tcW w:w="1275" w:type="dxa"/>
            <w:shd w:val="clear" w:color="auto" w:fill="BDD6EE" w:themeFill="accent1" w:themeFillTint="66"/>
            <w:vAlign w:val="center"/>
            <w:hideMark/>
          </w:tcPr>
          <w:p w:rsidR="00192E78" w:rsidRPr="00D72AC3" w:rsidRDefault="00192E78" w:rsidP="005624ED">
            <w:pPr>
              <w:jc w:val="center"/>
              <w:rPr>
                <w:rFonts w:eastAsia="Times New Roman"/>
                <w:b/>
                <w:bCs/>
                <w:sz w:val="18"/>
                <w:szCs w:val="18"/>
                <w:lang w:val="en-GB" w:eastAsia="lv-LV"/>
              </w:rPr>
            </w:pPr>
            <w:r w:rsidRPr="00D72AC3">
              <w:rPr>
                <w:rFonts w:eastAsia="Times New Roman"/>
                <w:b/>
                <w:sz w:val="18"/>
                <w:szCs w:val="18"/>
                <w:lang w:val="en-GB" w:bidi="en-GB"/>
              </w:rPr>
              <w:t>4, 3</w:t>
            </w:r>
            <w:r w:rsidR="005624ED">
              <w:rPr>
                <w:rFonts w:eastAsia="Times New Roman"/>
                <w:b/>
                <w:sz w:val="18"/>
                <w:szCs w:val="18"/>
                <w:lang w:val="en-GB" w:bidi="en-GB"/>
              </w:rPr>
              <w:t>85</w:t>
            </w:r>
            <w:r w:rsidRPr="00D72AC3">
              <w:rPr>
                <w:rFonts w:eastAsia="Times New Roman"/>
                <w:b/>
                <w:sz w:val="18"/>
                <w:szCs w:val="18"/>
                <w:lang w:val="en-GB" w:bidi="en-GB"/>
              </w:rPr>
              <w:t>, 435</w:t>
            </w:r>
          </w:p>
        </w:tc>
        <w:tc>
          <w:tcPr>
            <w:tcW w:w="1048" w:type="dxa"/>
            <w:shd w:val="clear" w:color="auto" w:fill="BDD6EE" w:themeFill="accent1" w:themeFillTint="66"/>
            <w:vAlign w:val="center"/>
            <w:hideMark/>
          </w:tcPr>
          <w:p w:rsidR="00192E78" w:rsidRPr="00D72AC3" w:rsidRDefault="00192E78" w:rsidP="000D4C76">
            <w:pPr>
              <w:jc w:val="center"/>
              <w:rPr>
                <w:rFonts w:eastAsia="Times New Roman"/>
                <w:b/>
                <w:bCs/>
                <w:sz w:val="18"/>
                <w:szCs w:val="18"/>
                <w:lang w:val="en-GB" w:eastAsia="lv-LV"/>
              </w:rPr>
            </w:pPr>
            <w:r w:rsidRPr="00D72AC3">
              <w:rPr>
                <w:rFonts w:eastAsia="Times New Roman"/>
                <w:b/>
                <w:sz w:val="18"/>
                <w:szCs w:val="18"/>
                <w:lang w:val="en-GB" w:bidi="en-GB"/>
              </w:rPr>
              <w:t>0</w:t>
            </w:r>
          </w:p>
        </w:tc>
      </w:tr>
      <w:tr w:rsidR="00F76636" w:rsidRPr="00D72AC3" w:rsidTr="00F76636">
        <w:trPr>
          <w:trHeight w:val="312"/>
        </w:trPr>
        <w:tc>
          <w:tcPr>
            <w:tcW w:w="2415" w:type="dxa"/>
            <w:shd w:val="clear" w:color="auto" w:fill="BDD6EE" w:themeFill="accent1" w:themeFillTint="66"/>
            <w:vAlign w:val="center"/>
            <w:hideMark/>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including</w:t>
            </w:r>
          </w:p>
        </w:tc>
        <w:tc>
          <w:tcPr>
            <w:tcW w:w="1843" w:type="dxa"/>
            <w:shd w:val="clear" w:color="auto" w:fill="BDD6EE" w:themeFill="accent1" w:themeFillTint="66"/>
            <w:vAlign w:val="center"/>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c>
          <w:tcPr>
            <w:tcW w:w="1412" w:type="dxa"/>
            <w:shd w:val="clear" w:color="auto" w:fill="BDD6EE" w:themeFill="accent1" w:themeFillTint="66"/>
            <w:vAlign w:val="center"/>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856" w:type="dxa"/>
            <w:shd w:val="clear" w:color="auto" w:fill="BDD6EE" w:themeFill="accent1" w:themeFillTint="66"/>
            <w:vAlign w:val="center"/>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c>
          <w:tcPr>
            <w:tcW w:w="992" w:type="dxa"/>
            <w:shd w:val="clear" w:color="auto" w:fill="BDD6EE" w:themeFill="accent1" w:themeFillTint="66"/>
            <w:vAlign w:val="center"/>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c>
          <w:tcPr>
            <w:tcW w:w="1129"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851" w:type="dxa"/>
            <w:shd w:val="clear" w:color="auto" w:fill="BDD6EE" w:themeFill="accent1" w:themeFillTint="66"/>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c>
          <w:tcPr>
            <w:tcW w:w="1275" w:type="dxa"/>
            <w:shd w:val="clear" w:color="auto" w:fill="BDD6EE" w:themeFill="accent1" w:themeFillTint="66"/>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c>
          <w:tcPr>
            <w:tcW w:w="1048" w:type="dxa"/>
            <w:shd w:val="clear" w:color="auto" w:fill="BDD6EE" w:themeFill="accent1" w:themeFillTint="66"/>
            <w:hideMark/>
          </w:tcPr>
          <w:p w:rsidR="00192E78" w:rsidRPr="00D72AC3" w:rsidRDefault="00192E78" w:rsidP="000D4C76">
            <w:pPr>
              <w:jc w:val="center"/>
              <w:rPr>
                <w:rFonts w:eastAsia="Times New Roman"/>
                <w:i/>
                <w:iCs/>
                <w:sz w:val="18"/>
                <w:szCs w:val="18"/>
                <w:lang w:val="en-GB" w:eastAsia="lv-LV"/>
              </w:rPr>
            </w:pPr>
            <w:r w:rsidRPr="00D72AC3">
              <w:rPr>
                <w:rFonts w:eastAsia="Times New Roman"/>
                <w:sz w:val="18"/>
                <w:szCs w:val="18"/>
                <w:lang w:val="en-GB" w:bidi="en-GB"/>
              </w:rPr>
              <w:t> </w:t>
            </w:r>
          </w:p>
        </w:tc>
      </w:tr>
      <w:tr w:rsidR="00192E78" w:rsidRPr="00D72AC3" w:rsidTr="00F76636">
        <w:trPr>
          <w:trHeight w:val="312"/>
        </w:trPr>
        <w:tc>
          <w:tcPr>
            <w:tcW w:w="2415"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Ministry of Justice</w:t>
            </w:r>
          </w:p>
        </w:tc>
        <w:tc>
          <w:tcPr>
            <w:tcW w:w="1843"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41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bottom"/>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1, 053, 455</w:t>
            </w:r>
          </w:p>
        </w:tc>
        <w:tc>
          <w:tcPr>
            <w:tcW w:w="856" w:type="dxa"/>
            <w:shd w:val="clear" w:color="auto" w:fill="BDD6EE" w:themeFill="accent1" w:themeFillTint="66"/>
            <w:vAlign w:val="bottom"/>
          </w:tcPr>
          <w:p w:rsidR="00192E78" w:rsidRPr="00D72AC3" w:rsidRDefault="00192E78" w:rsidP="000D4C76">
            <w:pPr>
              <w:jc w:val="center"/>
              <w:rPr>
                <w:rFonts w:eastAsia="Times New Roman"/>
                <w:i/>
                <w:iCs/>
                <w:sz w:val="18"/>
                <w:szCs w:val="18"/>
                <w:lang w:val="en-GB" w:eastAsia="lv-LV"/>
              </w:rPr>
            </w:pPr>
          </w:p>
        </w:tc>
        <w:tc>
          <w:tcPr>
            <w:tcW w:w="992" w:type="dxa"/>
            <w:shd w:val="clear" w:color="auto" w:fill="BDD6EE" w:themeFill="accent1" w:themeFillTint="66"/>
            <w:vAlign w:val="bottom"/>
          </w:tcPr>
          <w:p w:rsidR="00192E78" w:rsidRPr="00D72AC3" w:rsidRDefault="00192E78" w:rsidP="000D4C76">
            <w:pPr>
              <w:jc w:val="center"/>
              <w:rPr>
                <w:rFonts w:eastAsia="Times New Roman"/>
                <w:i/>
                <w:iCs/>
                <w:sz w:val="18"/>
                <w:szCs w:val="18"/>
                <w:lang w:val="en-GB" w:eastAsia="lv-LV"/>
              </w:rPr>
            </w:pPr>
          </w:p>
        </w:tc>
        <w:tc>
          <w:tcPr>
            <w:tcW w:w="1129" w:type="dxa"/>
            <w:shd w:val="clear" w:color="auto" w:fill="BDD6EE" w:themeFill="accent1" w:themeFillTint="66"/>
            <w:vAlign w:val="bottom"/>
          </w:tcPr>
          <w:p w:rsidR="00192E78" w:rsidRPr="00D72AC3" w:rsidRDefault="00192E78" w:rsidP="005624ED">
            <w:pPr>
              <w:jc w:val="center"/>
              <w:rPr>
                <w:rFonts w:eastAsia="Times New Roman"/>
                <w:i/>
                <w:iCs/>
                <w:sz w:val="18"/>
                <w:szCs w:val="18"/>
                <w:lang w:val="en-GB" w:eastAsia="lv-LV"/>
              </w:rPr>
            </w:pPr>
            <w:r w:rsidRPr="00D72AC3">
              <w:rPr>
                <w:rFonts w:eastAsia="Times New Roman"/>
                <w:i/>
                <w:sz w:val="18"/>
                <w:szCs w:val="18"/>
                <w:lang w:val="en-GB" w:bidi="en-GB"/>
              </w:rPr>
              <w:t>1, </w:t>
            </w:r>
            <w:r w:rsidR="005624ED">
              <w:rPr>
                <w:rFonts w:eastAsia="Times New Roman"/>
                <w:i/>
                <w:sz w:val="18"/>
                <w:szCs w:val="18"/>
                <w:lang w:val="en-GB" w:bidi="en-GB"/>
              </w:rPr>
              <w:t>266</w:t>
            </w:r>
            <w:r w:rsidRPr="00D72AC3">
              <w:rPr>
                <w:rFonts w:eastAsia="Times New Roman"/>
                <w:i/>
                <w:sz w:val="18"/>
                <w:szCs w:val="18"/>
                <w:lang w:val="en-GB" w:bidi="en-GB"/>
              </w:rPr>
              <w:t>, </w:t>
            </w:r>
            <w:r w:rsidR="005624ED">
              <w:rPr>
                <w:rFonts w:eastAsia="Times New Roman"/>
                <w:i/>
                <w:sz w:val="18"/>
                <w:szCs w:val="18"/>
                <w:lang w:val="en-GB" w:bidi="en-GB"/>
              </w:rPr>
              <w:t>823</w:t>
            </w:r>
          </w:p>
        </w:tc>
        <w:tc>
          <w:tcPr>
            <w:tcW w:w="1134" w:type="dxa"/>
            <w:shd w:val="clear" w:color="auto" w:fill="BDD6EE" w:themeFill="accent1" w:themeFillTint="66"/>
            <w:vAlign w:val="bottom"/>
          </w:tcPr>
          <w:p w:rsidR="00192E78" w:rsidRPr="00D72AC3" w:rsidRDefault="005624ED" w:rsidP="000D4C76">
            <w:pPr>
              <w:jc w:val="center"/>
              <w:rPr>
                <w:rFonts w:eastAsia="Times New Roman"/>
                <w:i/>
                <w:iCs/>
                <w:sz w:val="18"/>
                <w:szCs w:val="18"/>
                <w:lang w:val="en-GB" w:eastAsia="lv-LV"/>
              </w:rPr>
            </w:pPr>
            <w:r>
              <w:rPr>
                <w:i/>
                <w:sz w:val="18"/>
                <w:szCs w:val="18"/>
                <w:lang w:val="en-GB" w:bidi="en-GB"/>
              </w:rPr>
              <w:t>886, 253</w:t>
            </w:r>
          </w:p>
        </w:tc>
        <w:tc>
          <w:tcPr>
            <w:tcW w:w="1134" w:type="dxa"/>
            <w:shd w:val="clear" w:color="auto" w:fill="BDD6EE" w:themeFill="accent1" w:themeFillTint="66"/>
            <w:vAlign w:val="bottom"/>
          </w:tcPr>
          <w:p w:rsidR="00192E78" w:rsidRPr="00D72AC3" w:rsidRDefault="005624ED" w:rsidP="000D4C76">
            <w:pPr>
              <w:jc w:val="center"/>
              <w:rPr>
                <w:rFonts w:eastAsia="Times New Roman"/>
                <w:i/>
                <w:iCs/>
                <w:sz w:val="18"/>
                <w:szCs w:val="18"/>
                <w:lang w:val="en-GB" w:eastAsia="lv-LV"/>
              </w:rPr>
            </w:pPr>
            <w:r>
              <w:rPr>
                <w:i/>
                <w:sz w:val="18"/>
                <w:szCs w:val="18"/>
                <w:lang w:val="en-GB" w:bidi="en-GB"/>
              </w:rPr>
              <w:t>686, 253</w:t>
            </w:r>
          </w:p>
        </w:tc>
        <w:tc>
          <w:tcPr>
            <w:tcW w:w="851" w:type="dxa"/>
            <w:shd w:val="clear" w:color="auto" w:fill="BDD6EE" w:themeFill="accent1" w:themeFillTint="66"/>
            <w:vAlign w:val="bottom"/>
          </w:tcPr>
          <w:p w:rsidR="00192E78" w:rsidRPr="00D72AC3" w:rsidRDefault="00192E78" w:rsidP="000D4C76">
            <w:pPr>
              <w:jc w:val="center"/>
              <w:rPr>
                <w:rFonts w:eastAsia="Times New Roman"/>
                <w:i/>
                <w:iCs/>
                <w:sz w:val="18"/>
                <w:szCs w:val="18"/>
                <w:lang w:val="en-GB" w:eastAsia="lv-LV"/>
              </w:rPr>
            </w:pPr>
          </w:p>
        </w:tc>
        <w:tc>
          <w:tcPr>
            <w:tcW w:w="1275" w:type="dxa"/>
            <w:shd w:val="clear" w:color="auto" w:fill="BDD6EE" w:themeFill="accent1" w:themeFillTint="66"/>
            <w:vAlign w:val="bottom"/>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191, 000</w:t>
            </w:r>
          </w:p>
        </w:tc>
        <w:tc>
          <w:tcPr>
            <w:tcW w:w="1048" w:type="dxa"/>
            <w:shd w:val="clear" w:color="auto" w:fill="BDD6EE" w:themeFill="accent1" w:themeFillTint="66"/>
            <w:vAlign w:val="bottom"/>
          </w:tcPr>
          <w:p w:rsidR="00192E78" w:rsidRPr="00D72AC3" w:rsidRDefault="00192E78" w:rsidP="000D4C76">
            <w:pPr>
              <w:jc w:val="center"/>
              <w:rPr>
                <w:rFonts w:eastAsia="Times New Roman"/>
                <w:i/>
                <w:iCs/>
                <w:sz w:val="18"/>
                <w:szCs w:val="18"/>
                <w:lang w:val="en-GB" w:eastAsia="lv-LV"/>
              </w:rPr>
            </w:pPr>
          </w:p>
        </w:tc>
      </w:tr>
      <w:tr w:rsidR="00192E78" w:rsidRPr="00D72AC3" w:rsidTr="00F76636">
        <w:trPr>
          <w:trHeight w:val="312"/>
        </w:trPr>
        <w:tc>
          <w:tcPr>
            <w:tcW w:w="2415"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Ministry of Finance</w:t>
            </w:r>
          </w:p>
        </w:tc>
        <w:tc>
          <w:tcPr>
            <w:tcW w:w="1843"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41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557, 762</w:t>
            </w:r>
          </w:p>
        </w:tc>
        <w:tc>
          <w:tcPr>
            <w:tcW w:w="856"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555, 993</w:t>
            </w:r>
          </w:p>
        </w:tc>
        <w:tc>
          <w:tcPr>
            <w:tcW w:w="99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555, 990</w:t>
            </w:r>
          </w:p>
        </w:tc>
        <w:tc>
          <w:tcPr>
            <w:tcW w:w="1129"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2, 827, 551</w:t>
            </w:r>
          </w:p>
        </w:tc>
        <w:tc>
          <w:tcPr>
            <w:tcW w:w="1134"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2, 224, 807</w:t>
            </w:r>
          </w:p>
        </w:tc>
        <w:tc>
          <w:tcPr>
            <w:tcW w:w="1134"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2, 224, 807</w:t>
            </w:r>
          </w:p>
        </w:tc>
        <w:tc>
          <w:tcPr>
            <w:tcW w:w="851"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0</w:t>
            </w:r>
          </w:p>
        </w:tc>
        <w:tc>
          <w:tcPr>
            <w:tcW w:w="1275"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2, 224, 807</w:t>
            </w:r>
          </w:p>
        </w:tc>
        <w:tc>
          <w:tcPr>
            <w:tcW w:w="1048"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0</w:t>
            </w:r>
          </w:p>
        </w:tc>
      </w:tr>
      <w:tr w:rsidR="00192E78" w:rsidRPr="00D72AC3" w:rsidTr="00F76636">
        <w:trPr>
          <w:trHeight w:val="312"/>
        </w:trPr>
        <w:tc>
          <w:tcPr>
            <w:tcW w:w="2415"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Ministry of Economics</w:t>
            </w:r>
          </w:p>
        </w:tc>
        <w:tc>
          <w:tcPr>
            <w:tcW w:w="1843"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41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277, 142</w:t>
            </w:r>
          </w:p>
        </w:tc>
        <w:tc>
          <w:tcPr>
            <w:tcW w:w="856"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268, 342</w:t>
            </w:r>
          </w:p>
        </w:tc>
        <w:tc>
          <w:tcPr>
            <w:tcW w:w="992"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i/>
                <w:sz w:val="18"/>
                <w:szCs w:val="18"/>
                <w:lang w:val="en-GB" w:bidi="en-GB"/>
              </w:rPr>
              <w:t>268, 342</w:t>
            </w:r>
          </w:p>
        </w:tc>
        <w:tc>
          <w:tcPr>
            <w:tcW w:w="1129"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851"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c>
          <w:tcPr>
            <w:tcW w:w="1275"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c>
          <w:tcPr>
            <w:tcW w:w="1048"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r>
      <w:tr w:rsidR="00192E78" w:rsidRPr="00D72AC3" w:rsidTr="00F76636">
        <w:trPr>
          <w:trHeight w:val="312"/>
        </w:trPr>
        <w:tc>
          <w:tcPr>
            <w:tcW w:w="2415"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Prosecutor's Office</w:t>
            </w:r>
          </w:p>
        </w:tc>
        <w:tc>
          <w:tcPr>
            <w:tcW w:w="1843"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41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155, 678</w:t>
            </w:r>
          </w:p>
        </w:tc>
        <w:tc>
          <w:tcPr>
            <w:tcW w:w="856"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137, 356</w:t>
            </w:r>
          </w:p>
        </w:tc>
        <w:tc>
          <w:tcPr>
            <w:tcW w:w="992"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107, 536</w:t>
            </w:r>
          </w:p>
        </w:tc>
        <w:tc>
          <w:tcPr>
            <w:tcW w:w="1129" w:type="dxa"/>
            <w:shd w:val="clear" w:color="auto" w:fill="BDD6EE" w:themeFill="accent1" w:themeFillTint="66"/>
          </w:tcPr>
          <w:p w:rsidR="00192E78" w:rsidRPr="00D72AC3" w:rsidRDefault="005624ED" w:rsidP="000D4C76">
            <w:pPr>
              <w:jc w:val="center"/>
              <w:rPr>
                <w:rFonts w:eastAsia="Times New Roman"/>
                <w:i/>
                <w:iCs/>
                <w:sz w:val="18"/>
                <w:szCs w:val="18"/>
                <w:lang w:val="en-GB" w:eastAsia="lv-LV"/>
              </w:rPr>
            </w:pPr>
            <w:r>
              <w:rPr>
                <w:i/>
                <w:sz w:val="18"/>
                <w:szCs w:val="18"/>
                <w:lang w:val="en-GB" w:bidi="en-GB"/>
              </w:rPr>
              <w:t>3, 423</w:t>
            </w:r>
            <w:r w:rsidR="008349B6" w:rsidRPr="00D72AC3">
              <w:rPr>
                <w:i/>
                <w:sz w:val="18"/>
                <w:szCs w:val="18"/>
                <w:lang w:val="en-GB" w:bidi="en-GB"/>
              </w:rPr>
              <w:t>, 179</w:t>
            </w:r>
          </w:p>
        </w:tc>
        <w:tc>
          <w:tcPr>
            <w:tcW w:w="1134" w:type="dxa"/>
            <w:shd w:val="clear" w:color="auto" w:fill="BDD6EE" w:themeFill="accent1" w:themeFillTint="66"/>
          </w:tcPr>
          <w:p w:rsidR="00192E78" w:rsidRPr="00D72AC3" w:rsidRDefault="005624ED" w:rsidP="000D4C76">
            <w:pPr>
              <w:jc w:val="center"/>
              <w:rPr>
                <w:rFonts w:eastAsia="Times New Roman"/>
                <w:i/>
                <w:iCs/>
                <w:sz w:val="18"/>
                <w:szCs w:val="18"/>
                <w:lang w:val="en-GB" w:eastAsia="lv-LV"/>
              </w:rPr>
            </w:pPr>
            <w:r>
              <w:rPr>
                <w:i/>
                <w:sz w:val="18"/>
                <w:szCs w:val="18"/>
                <w:lang w:val="en-GB" w:bidi="en-GB"/>
              </w:rPr>
              <w:t>2, 467</w:t>
            </w:r>
            <w:r w:rsidR="00F913B1" w:rsidRPr="00D72AC3">
              <w:rPr>
                <w:i/>
                <w:sz w:val="18"/>
                <w:szCs w:val="18"/>
                <w:lang w:val="en-GB" w:bidi="en-GB"/>
              </w:rPr>
              <w:t>, 179</w:t>
            </w:r>
          </w:p>
        </w:tc>
        <w:tc>
          <w:tcPr>
            <w:tcW w:w="1134" w:type="dxa"/>
            <w:shd w:val="clear" w:color="auto" w:fill="BDD6EE" w:themeFill="accent1" w:themeFillTint="66"/>
          </w:tcPr>
          <w:p w:rsidR="00192E78" w:rsidRPr="00D72AC3" w:rsidRDefault="005624ED" w:rsidP="000D4C76">
            <w:pPr>
              <w:jc w:val="center"/>
              <w:rPr>
                <w:rFonts w:eastAsia="Times New Roman"/>
                <w:i/>
                <w:iCs/>
                <w:sz w:val="18"/>
                <w:szCs w:val="18"/>
                <w:lang w:val="en-GB" w:eastAsia="lv-LV"/>
              </w:rPr>
            </w:pPr>
            <w:r>
              <w:rPr>
                <w:i/>
                <w:sz w:val="18"/>
                <w:szCs w:val="18"/>
                <w:lang w:val="en-GB" w:bidi="en-GB"/>
              </w:rPr>
              <w:t>1, 75</w:t>
            </w:r>
            <w:r w:rsidR="00192E78" w:rsidRPr="00D72AC3">
              <w:rPr>
                <w:i/>
                <w:sz w:val="18"/>
                <w:szCs w:val="18"/>
                <w:lang w:val="en-GB" w:bidi="en-GB"/>
              </w:rPr>
              <w:t>7, 179</w:t>
            </w:r>
          </w:p>
        </w:tc>
        <w:tc>
          <w:tcPr>
            <w:tcW w:w="851"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c>
          <w:tcPr>
            <w:tcW w:w="1275" w:type="dxa"/>
            <w:shd w:val="clear" w:color="auto" w:fill="BDD6EE" w:themeFill="accent1" w:themeFillTint="66"/>
          </w:tcPr>
          <w:p w:rsidR="00192E78" w:rsidRPr="00D72AC3" w:rsidRDefault="005624ED" w:rsidP="000D4C76">
            <w:pPr>
              <w:jc w:val="center"/>
              <w:rPr>
                <w:rFonts w:eastAsia="Times New Roman"/>
                <w:i/>
                <w:iCs/>
                <w:sz w:val="18"/>
                <w:szCs w:val="18"/>
                <w:lang w:val="en-GB" w:eastAsia="lv-LV"/>
              </w:rPr>
            </w:pPr>
            <w:r>
              <w:rPr>
                <w:i/>
                <w:sz w:val="18"/>
                <w:szCs w:val="18"/>
                <w:lang w:val="en-GB" w:bidi="en-GB"/>
              </w:rPr>
              <w:t>1, 75</w:t>
            </w:r>
            <w:r w:rsidR="00192E78" w:rsidRPr="00D72AC3">
              <w:rPr>
                <w:i/>
                <w:sz w:val="18"/>
                <w:szCs w:val="18"/>
                <w:lang w:val="en-GB" w:bidi="en-GB"/>
              </w:rPr>
              <w:t>7, 179</w:t>
            </w:r>
          </w:p>
        </w:tc>
        <w:tc>
          <w:tcPr>
            <w:tcW w:w="1048"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r>
      <w:tr w:rsidR="00192E78" w:rsidRPr="00D72AC3" w:rsidTr="00F76636">
        <w:trPr>
          <w:trHeight w:val="312"/>
        </w:trPr>
        <w:tc>
          <w:tcPr>
            <w:tcW w:w="2415"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r w:rsidRPr="00D72AC3">
              <w:rPr>
                <w:rFonts w:eastAsia="Times New Roman"/>
                <w:i/>
                <w:sz w:val="18"/>
                <w:szCs w:val="18"/>
                <w:lang w:val="en-GB" w:bidi="en-GB"/>
              </w:rPr>
              <w:t>Ministry of Culture</w:t>
            </w:r>
          </w:p>
        </w:tc>
        <w:tc>
          <w:tcPr>
            <w:tcW w:w="1843"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41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34"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856"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992" w:type="dxa"/>
            <w:shd w:val="clear" w:color="auto" w:fill="BDD6EE" w:themeFill="accent1" w:themeFillTint="66"/>
            <w:vAlign w:val="center"/>
          </w:tcPr>
          <w:p w:rsidR="00192E78" w:rsidRPr="00D72AC3" w:rsidRDefault="00192E78" w:rsidP="000D4C76">
            <w:pPr>
              <w:jc w:val="center"/>
              <w:rPr>
                <w:rFonts w:eastAsia="Times New Roman"/>
                <w:i/>
                <w:iCs/>
                <w:sz w:val="18"/>
                <w:szCs w:val="18"/>
                <w:lang w:val="en-GB" w:eastAsia="lv-LV"/>
              </w:rPr>
            </w:pPr>
          </w:p>
        </w:tc>
        <w:tc>
          <w:tcPr>
            <w:tcW w:w="1129" w:type="dxa"/>
            <w:shd w:val="clear" w:color="auto" w:fill="BDD6EE" w:themeFill="accent1" w:themeFillTint="66"/>
          </w:tcPr>
          <w:p w:rsidR="00192E78" w:rsidRPr="00D72AC3" w:rsidRDefault="00192E78" w:rsidP="007504E1">
            <w:pPr>
              <w:jc w:val="center"/>
              <w:rPr>
                <w:rFonts w:eastAsia="Times New Roman"/>
                <w:i/>
                <w:iCs/>
                <w:sz w:val="18"/>
                <w:szCs w:val="18"/>
                <w:lang w:val="en-GB" w:eastAsia="lv-LV"/>
              </w:rPr>
            </w:pPr>
            <w:r w:rsidRPr="00D72AC3">
              <w:rPr>
                <w:i/>
                <w:sz w:val="18"/>
                <w:szCs w:val="18"/>
                <w:lang w:val="en-GB" w:bidi="en-GB"/>
              </w:rPr>
              <w:t>68, 640</w:t>
            </w:r>
          </w:p>
        </w:tc>
        <w:tc>
          <w:tcPr>
            <w:tcW w:w="1134" w:type="dxa"/>
            <w:shd w:val="clear" w:color="auto" w:fill="BDD6EE" w:themeFill="accent1" w:themeFillTint="66"/>
          </w:tcPr>
          <w:p w:rsidR="00192E78" w:rsidRPr="00D72AC3" w:rsidRDefault="00192E78" w:rsidP="007504E1">
            <w:pPr>
              <w:jc w:val="center"/>
              <w:rPr>
                <w:rFonts w:eastAsia="Times New Roman"/>
                <w:i/>
                <w:iCs/>
                <w:sz w:val="18"/>
                <w:szCs w:val="18"/>
                <w:lang w:val="en-GB" w:eastAsia="lv-LV"/>
              </w:rPr>
            </w:pPr>
            <w:r w:rsidRPr="00D72AC3">
              <w:rPr>
                <w:i/>
                <w:sz w:val="18"/>
                <w:szCs w:val="18"/>
                <w:lang w:val="en-GB" w:bidi="en-GB"/>
              </w:rPr>
              <w:t>49, 140</w:t>
            </w:r>
          </w:p>
        </w:tc>
        <w:tc>
          <w:tcPr>
            <w:tcW w:w="1134" w:type="dxa"/>
            <w:shd w:val="clear" w:color="auto" w:fill="BDD6EE" w:themeFill="accent1" w:themeFillTint="66"/>
          </w:tcPr>
          <w:p w:rsidR="00192E78" w:rsidRPr="00D72AC3" w:rsidRDefault="00192E78" w:rsidP="007504E1">
            <w:pPr>
              <w:jc w:val="center"/>
              <w:rPr>
                <w:rFonts w:eastAsia="Times New Roman"/>
                <w:i/>
                <w:iCs/>
                <w:sz w:val="18"/>
                <w:szCs w:val="18"/>
                <w:lang w:val="en-GB" w:eastAsia="lv-LV"/>
              </w:rPr>
            </w:pPr>
            <w:r w:rsidRPr="00D72AC3">
              <w:rPr>
                <w:i/>
                <w:sz w:val="18"/>
                <w:szCs w:val="18"/>
                <w:lang w:val="en-GB" w:bidi="en-GB"/>
              </w:rPr>
              <w:t>49, 140</w:t>
            </w:r>
          </w:p>
        </w:tc>
        <w:tc>
          <w:tcPr>
            <w:tcW w:w="851"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c>
          <w:tcPr>
            <w:tcW w:w="1275" w:type="dxa"/>
            <w:shd w:val="clear" w:color="auto" w:fill="BDD6EE" w:themeFill="accent1" w:themeFillTint="66"/>
          </w:tcPr>
          <w:p w:rsidR="00192E78" w:rsidRPr="00D72AC3" w:rsidRDefault="00192E78" w:rsidP="007504E1">
            <w:pPr>
              <w:jc w:val="center"/>
              <w:rPr>
                <w:rFonts w:eastAsia="Times New Roman"/>
                <w:i/>
                <w:iCs/>
                <w:sz w:val="18"/>
                <w:szCs w:val="18"/>
                <w:lang w:val="en-GB" w:eastAsia="lv-LV"/>
              </w:rPr>
            </w:pPr>
            <w:r w:rsidRPr="00D72AC3">
              <w:rPr>
                <w:i/>
                <w:sz w:val="18"/>
                <w:szCs w:val="18"/>
                <w:lang w:val="en-GB" w:bidi="en-GB"/>
              </w:rPr>
              <w:t>49, 140</w:t>
            </w:r>
          </w:p>
        </w:tc>
        <w:tc>
          <w:tcPr>
            <w:tcW w:w="1048" w:type="dxa"/>
            <w:shd w:val="clear" w:color="auto" w:fill="BDD6EE" w:themeFill="accent1" w:themeFillTint="66"/>
          </w:tcPr>
          <w:p w:rsidR="00192E78" w:rsidRPr="00D72AC3" w:rsidRDefault="00192E78" w:rsidP="000D4C76">
            <w:pPr>
              <w:jc w:val="center"/>
              <w:rPr>
                <w:rFonts w:eastAsia="Times New Roman"/>
                <w:i/>
                <w:iCs/>
                <w:sz w:val="18"/>
                <w:szCs w:val="18"/>
                <w:lang w:val="en-GB" w:eastAsia="lv-LV"/>
              </w:rPr>
            </w:pPr>
          </w:p>
        </w:tc>
      </w:tr>
      <w:tr w:rsidR="00700A0B" w:rsidRPr="00D72AC3" w:rsidTr="00F76636">
        <w:trPr>
          <w:trHeight w:val="312"/>
        </w:trPr>
        <w:tc>
          <w:tcPr>
            <w:tcW w:w="2415" w:type="dxa"/>
            <w:shd w:val="clear" w:color="auto" w:fill="BDD6EE" w:themeFill="accent1" w:themeFillTint="66"/>
            <w:vAlign w:val="center"/>
          </w:tcPr>
          <w:p w:rsidR="00700A0B" w:rsidRPr="00D72AC3" w:rsidRDefault="00700A0B" w:rsidP="00700A0B">
            <w:pPr>
              <w:jc w:val="center"/>
              <w:rPr>
                <w:rFonts w:eastAsia="Times New Roman"/>
                <w:i/>
                <w:iCs/>
                <w:sz w:val="18"/>
                <w:szCs w:val="18"/>
                <w:lang w:val="en-GB" w:eastAsia="lv-LV"/>
              </w:rPr>
            </w:pPr>
            <w:r w:rsidRPr="00D72AC3">
              <w:rPr>
                <w:rFonts w:eastAsia="Times New Roman"/>
                <w:i/>
                <w:sz w:val="18"/>
                <w:szCs w:val="18"/>
                <w:lang w:val="en-GB" w:bidi="en-GB"/>
              </w:rPr>
              <w:t>Ministry of the Interior</w:t>
            </w:r>
          </w:p>
        </w:tc>
        <w:tc>
          <w:tcPr>
            <w:tcW w:w="1843" w:type="dxa"/>
            <w:shd w:val="clear" w:color="auto" w:fill="BDD6EE" w:themeFill="accent1" w:themeFillTint="66"/>
            <w:vAlign w:val="center"/>
          </w:tcPr>
          <w:p w:rsidR="00700A0B" w:rsidRPr="00D72AC3" w:rsidRDefault="00700A0B" w:rsidP="00700A0B">
            <w:pPr>
              <w:jc w:val="center"/>
              <w:rPr>
                <w:rFonts w:eastAsia="Times New Roman"/>
                <w:i/>
                <w:iCs/>
                <w:sz w:val="18"/>
                <w:szCs w:val="18"/>
                <w:lang w:val="en-GB" w:eastAsia="lv-LV"/>
              </w:rPr>
            </w:pPr>
          </w:p>
        </w:tc>
        <w:tc>
          <w:tcPr>
            <w:tcW w:w="1412" w:type="dxa"/>
            <w:shd w:val="clear" w:color="auto" w:fill="BDD6EE" w:themeFill="accent1" w:themeFillTint="66"/>
            <w:vAlign w:val="center"/>
          </w:tcPr>
          <w:p w:rsidR="00700A0B" w:rsidRPr="00D72AC3" w:rsidRDefault="00700A0B" w:rsidP="00700A0B">
            <w:pPr>
              <w:jc w:val="center"/>
              <w:rPr>
                <w:rFonts w:eastAsia="Times New Roman"/>
                <w:i/>
                <w:iCs/>
                <w:sz w:val="18"/>
                <w:szCs w:val="18"/>
                <w:lang w:val="en-GB" w:eastAsia="lv-LV"/>
              </w:rPr>
            </w:pPr>
          </w:p>
        </w:tc>
        <w:tc>
          <w:tcPr>
            <w:tcW w:w="1134" w:type="dxa"/>
            <w:shd w:val="clear" w:color="auto" w:fill="BDD6EE" w:themeFill="accent1" w:themeFillTint="66"/>
            <w:vAlign w:val="center"/>
          </w:tcPr>
          <w:p w:rsidR="00700A0B" w:rsidRPr="00D72AC3" w:rsidRDefault="00700A0B" w:rsidP="00700A0B">
            <w:pPr>
              <w:jc w:val="center"/>
              <w:rPr>
                <w:rFonts w:eastAsia="Times New Roman"/>
                <w:i/>
                <w:iCs/>
                <w:sz w:val="18"/>
                <w:szCs w:val="18"/>
                <w:lang w:val="en-GB" w:eastAsia="lv-LV"/>
              </w:rPr>
            </w:pPr>
          </w:p>
        </w:tc>
        <w:tc>
          <w:tcPr>
            <w:tcW w:w="856" w:type="dxa"/>
            <w:shd w:val="clear" w:color="auto" w:fill="BDD6EE" w:themeFill="accent1" w:themeFillTint="66"/>
            <w:vAlign w:val="center"/>
          </w:tcPr>
          <w:p w:rsidR="00700A0B" w:rsidRPr="00D72AC3" w:rsidRDefault="00700A0B" w:rsidP="00700A0B">
            <w:pPr>
              <w:jc w:val="center"/>
              <w:rPr>
                <w:rFonts w:eastAsia="Times New Roman"/>
                <w:i/>
                <w:iCs/>
                <w:sz w:val="18"/>
                <w:szCs w:val="18"/>
                <w:lang w:val="en-GB" w:eastAsia="lv-LV"/>
              </w:rPr>
            </w:pPr>
          </w:p>
        </w:tc>
        <w:tc>
          <w:tcPr>
            <w:tcW w:w="992" w:type="dxa"/>
            <w:shd w:val="clear" w:color="auto" w:fill="BDD6EE" w:themeFill="accent1" w:themeFillTint="66"/>
            <w:vAlign w:val="center"/>
          </w:tcPr>
          <w:p w:rsidR="00700A0B" w:rsidRPr="00D72AC3" w:rsidRDefault="00700A0B" w:rsidP="00700A0B">
            <w:pPr>
              <w:jc w:val="center"/>
              <w:rPr>
                <w:rFonts w:eastAsia="Times New Roman"/>
                <w:i/>
                <w:iCs/>
                <w:sz w:val="18"/>
                <w:szCs w:val="18"/>
                <w:lang w:val="en-GB" w:eastAsia="lv-LV"/>
              </w:rPr>
            </w:pPr>
          </w:p>
        </w:tc>
        <w:tc>
          <w:tcPr>
            <w:tcW w:w="1129" w:type="dxa"/>
            <w:shd w:val="clear" w:color="auto" w:fill="BDD6EE" w:themeFill="accent1" w:themeFillTint="66"/>
          </w:tcPr>
          <w:p w:rsidR="00700A0B" w:rsidRPr="00D72AC3" w:rsidRDefault="00700A0B" w:rsidP="00700A0B">
            <w:pPr>
              <w:jc w:val="center"/>
              <w:rPr>
                <w:rFonts w:eastAsia="Times New Roman"/>
                <w:i/>
                <w:iCs/>
                <w:sz w:val="18"/>
                <w:szCs w:val="18"/>
                <w:lang w:val="en-GB" w:eastAsia="lv-LV"/>
              </w:rPr>
            </w:pPr>
            <w:r w:rsidRPr="00D72AC3">
              <w:rPr>
                <w:rFonts w:eastAsia="Times New Roman"/>
                <w:i/>
                <w:sz w:val="18"/>
                <w:szCs w:val="18"/>
                <w:lang w:val="en-GB" w:bidi="en-GB"/>
              </w:rPr>
              <w:t>171, 609</w:t>
            </w:r>
          </w:p>
        </w:tc>
        <w:tc>
          <w:tcPr>
            <w:tcW w:w="1134" w:type="dxa"/>
            <w:shd w:val="clear" w:color="auto" w:fill="BDD6EE" w:themeFill="accent1" w:themeFillTint="66"/>
          </w:tcPr>
          <w:p w:rsidR="00700A0B" w:rsidRPr="00D72AC3" w:rsidRDefault="00700A0B" w:rsidP="00700A0B">
            <w:pPr>
              <w:jc w:val="center"/>
              <w:rPr>
                <w:rFonts w:eastAsia="Times New Roman"/>
                <w:i/>
                <w:iCs/>
                <w:sz w:val="18"/>
                <w:szCs w:val="18"/>
                <w:lang w:val="en-GB" w:eastAsia="lv-LV"/>
              </w:rPr>
            </w:pPr>
            <w:r w:rsidRPr="00D72AC3">
              <w:rPr>
                <w:rFonts w:eastAsia="Times New Roman"/>
                <w:i/>
                <w:sz w:val="18"/>
                <w:szCs w:val="18"/>
                <w:lang w:val="en-GB" w:bidi="en-GB"/>
              </w:rPr>
              <w:t>163, 309</w:t>
            </w:r>
          </w:p>
        </w:tc>
        <w:tc>
          <w:tcPr>
            <w:tcW w:w="1134" w:type="dxa"/>
            <w:shd w:val="clear" w:color="auto" w:fill="BDD6EE" w:themeFill="accent1" w:themeFillTint="66"/>
          </w:tcPr>
          <w:p w:rsidR="00700A0B" w:rsidRPr="00D72AC3" w:rsidRDefault="00700A0B" w:rsidP="00700A0B">
            <w:pPr>
              <w:jc w:val="center"/>
              <w:rPr>
                <w:rFonts w:eastAsia="Times New Roman"/>
                <w:i/>
                <w:iCs/>
                <w:sz w:val="18"/>
                <w:szCs w:val="18"/>
                <w:lang w:val="en-GB" w:eastAsia="lv-LV"/>
              </w:rPr>
            </w:pPr>
            <w:r w:rsidRPr="00D72AC3">
              <w:rPr>
                <w:rFonts w:eastAsia="Times New Roman"/>
                <w:i/>
                <w:sz w:val="18"/>
                <w:szCs w:val="18"/>
                <w:lang w:val="en-GB" w:bidi="en-GB"/>
              </w:rPr>
              <w:t>163, 309</w:t>
            </w:r>
          </w:p>
        </w:tc>
        <w:tc>
          <w:tcPr>
            <w:tcW w:w="851" w:type="dxa"/>
            <w:shd w:val="clear" w:color="auto" w:fill="BDD6EE" w:themeFill="accent1" w:themeFillTint="66"/>
          </w:tcPr>
          <w:p w:rsidR="00700A0B" w:rsidRPr="00D72AC3" w:rsidRDefault="00700A0B" w:rsidP="00700A0B">
            <w:pPr>
              <w:jc w:val="center"/>
              <w:rPr>
                <w:rFonts w:eastAsia="Times New Roman"/>
                <w:i/>
                <w:iCs/>
                <w:sz w:val="18"/>
                <w:szCs w:val="18"/>
                <w:lang w:val="en-GB" w:eastAsia="lv-LV"/>
              </w:rPr>
            </w:pPr>
          </w:p>
        </w:tc>
        <w:tc>
          <w:tcPr>
            <w:tcW w:w="1275" w:type="dxa"/>
            <w:shd w:val="clear" w:color="auto" w:fill="BDD6EE" w:themeFill="accent1" w:themeFillTint="66"/>
          </w:tcPr>
          <w:p w:rsidR="00700A0B" w:rsidRPr="00D72AC3" w:rsidRDefault="00700A0B" w:rsidP="00700A0B">
            <w:pPr>
              <w:jc w:val="center"/>
              <w:rPr>
                <w:rFonts w:eastAsia="Times New Roman"/>
                <w:i/>
                <w:iCs/>
                <w:sz w:val="18"/>
                <w:szCs w:val="18"/>
                <w:lang w:val="en-GB" w:eastAsia="lv-LV"/>
              </w:rPr>
            </w:pPr>
            <w:r w:rsidRPr="00D72AC3">
              <w:rPr>
                <w:rFonts w:eastAsia="Times New Roman"/>
                <w:i/>
                <w:sz w:val="18"/>
                <w:szCs w:val="18"/>
                <w:lang w:val="en-GB" w:bidi="en-GB"/>
              </w:rPr>
              <w:t>163, 309</w:t>
            </w:r>
          </w:p>
        </w:tc>
        <w:tc>
          <w:tcPr>
            <w:tcW w:w="1048" w:type="dxa"/>
            <w:shd w:val="clear" w:color="auto" w:fill="BDD6EE" w:themeFill="accent1" w:themeFillTint="66"/>
          </w:tcPr>
          <w:p w:rsidR="00700A0B" w:rsidRPr="00D72AC3" w:rsidRDefault="00700A0B" w:rsidP="00700A0B">
            <w:pPr>
              <w:jc w:val="center"/>
              <w:rPr>
                <w:rFonts w:eastAsia="Times New Roman"/>
                <w:i/>
                <w:iCs/>
                <w:sz w:val="18"/>
                <w:szCs w:val="18"/>
                <w:lang w:val="en-GB" w:eastAsia="lv-LV"/>
              </w:rPr>
            </w:pPr>
          </w:p>
        </w:tc>
      </w:tr>
      <w:tr w:rsidR="00F76636" w:rsidRPr="00D72AC3" w:rsidTr="00F76636">
        <w:trPr>
          <w:trHeight w:val="312"/>
        </w:trPr>
        <w:tc>
          <w:tcPr>
            <w:tcW w:w="2415" w:type="dxa"/>
            <w:shd w:val="clear" w:color="auto" w:fill="D9D9D9" w:themeFill="background1" w:themeFillShade="D9"/>
            <w:noWrap/>
            <w:vAlign w:val="bottom"/>
            <w:hideMark/>
          </w:tcPr>
          <w:p w:rsidR="00700A0B" w:rsidRPr="00D72AC3" w:rsidRDefault="00700A0B" w:rsidP="00700A0B">
            <w:pPr>
              <w:rPr>
                <w:rFonts w:eastAsia="Times New Roman"/>
                <w:color w:val="000000"/>
                <w:sz w:val="18"/>
                <w:szCs w:val="18"/>
                <w:lang w:val="en-GB" w:eastAsia="lv-LV"/>
              </w:rPr>
            </w:pPr>
          </w:p>
        </w:tc>
        <w:tc>
          <w:tcPr>
            <w:tcW w:w="1843" w:type="dxa"/>
            <w:shd w:val="clear" w:color="auto" w:fill="D9D9D9" w:themeFill="background1" w:themeFillShade="D9"/>
            <w:hideMark/>
          </w:tcPr>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Ministry of Justice</w:t>
            </w:r>
          </w:p>
        </w:tc>
        <w:tc>
          <w:tcPr>
            <w:tcW w:w="1412" w:type="dxa"/>
            <w:shd w:val="clear" w:color="auto" w:fill="D9D9D9" w:themeFill="background1" w:themeFillShade="D9"/>
            <w:hideMark/>
          </w:tcPr>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 xml:space="preserve">06.01.00 </w:t>
            </w:r>
          </w:p>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Registration of legal entities</w:t>
            </w:r>
          </w:p>
        </w:tc>
        <w:tc>
          <w:tcPr>
            <w:tcW w:w="1134" w:type="dxa"/>
            <w:shd w:val="clear" w:color="auto" w:fill="D9D9D9" w:themeFill="background1" w:themeFillShade="D9"/>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1, 053, 455</w:t>
            </w:r>
          </w:p>
        </w:tc>
        <w:tc>
          <w:tcPr>
            <w:tcW w:w="856" w:type="dxa"/>
            <w:shd w:val="clear" w:color="auto" w:fill="D9D9D9" w:themeFill="background1" w:themeFillShade="D9"/>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992" w:type="dxa"/>
            <w:shd w:val="clear" w:color="auto" w:fill="D9D9D9" w:themeFill="background1" w:themeFillShade="D9"/>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1129" w:type="dxa"/>
            <w:shd w:val="clear" w:color="auto" w:fill="D9D9D9" w:themeFill="background1" w:themeFillShade="D9"/>
            <w:noWrap/>
            <w:vAlign w:val="bottom"/>
            <w:hideMark/>
          </w:tcPr>
          <w:p w:rsidR="00700A0B" w:rsidRPr="00D72AC3" w:rsidRDefault="008F0947" w:rsidP="008F0947">
            <w:pPr>
              <w:jc w:val="right"/>
              <w:rPr>
                <w:rFonts w:eastAsia="Times New Roman"/>
                <w:color w:val="000000"/>
                <w:sz w:val="18"/>
                <w:szCs w:val="18"/>
                <w:lang w:val="en-GB" w:eastAsia="lv-LV"/>
              </w:rPr>
            </w:pPr>
            <w:r>
              <w:rPr>
                <w:rFonts w:eastAsia="Times New Roman"/>
                <w:color w:val="000000"/>
                <w:sz w:val="18"/>
                <w:szCs w:val="18"/>
                <w:lang w:val="en-GB" w:bidi="en-GB"/>
              </w:rPr>
              <w:t>1,266</w:t>
            </w:r>
            <w:r w:rsidR="00700A0B" w:rsidRPr="00D72AC3">
              <w:rPr>
                <w:rFonts w:eastAsia="Times New Roman"/>
                <w:color w:val="000000"/>
                <w:sz w:val="18"/>
                <w:szCs w:val="18"/>
                <w:lang w:val="en-GB" w:bidi="en-GB"/>
              </w:rPr>
              <w:t>, </w:t>
            </w:r>
            <w:r>
              <w:rPr>
                <w:rFonts w:eastAsia="Times New Roman"/>
                <w:color w:val="000000"/>
                <w:sz w:val="18"/>
                <w:szCs w:val="18"/>
                <w:lang w:val="en-GB" w:bidi="en-GB"/>
              </w:rPr>
              <w:t>823</w:t>
            </w:r>
          </w:p>
        </w:tc>
        <w:tc>
          <w:tcPr>
            <w:tcW w:w="1134" w:type="dxa"/>
            <w:shd w:val="clear" w:color="auto" w:fill="D9D9D9" w:themeFill="background1" w:themeFillShade="D9"/>
            <w:noWrap/>
            <w:vAlign w:val="bottom"/>
            <w:hideMark/>
          </w:tcPr>
          <w:p w:rsidR="00700A0B" w:rsidRPr="00D72AC3" w:rsidRDefault="008F0947" w:rsidP="008F0947">
            <w:pPr>
              <w:jc w:val="right"/>
              <w:rPr>
                <w:rFonts w:eastAsia="Times New Roman"/>
                <w:color w:val="000000"/>
                <w:sz w:val="18"/>
                <w:szCs w:val="18"/>
                <w:lang w:val="en-GB" w:eastAsia="lv-LV"/>
              </w:rPr>
            </w:pPr>
            <w:r>
              <w:rPr>
                <w:rFonts w:eastAsia="Times New Roman"/>
                <w:color w:val="000000"/>
                <w:sz w:val="18"/>
                <w:szCs w:val="18"/>
                <w:lang w:val="en-GB" w:bidi="en-GB"/>
              </w:rPr>
              <w:t>886</w:t>
            </w:r>
            <w:r w:rsidR="00700A0B" w:rsidRPr="00D72AC3">
              <w:rPr>
                <w:rFonts w:eastAsia="Times New Roman"/>
                <w:color w:val="000000"/>
                <w:sz w:val="18"/>
                <w:szCs w:val="18"/>
                <w:lang w:val="en-GB" w:bidi="en-GB"/>
              </w:rPr>
              <w:t>, </w:t>
            </w:r>
            <w:r>
              <w:rPr>
                <w:rFonts w:eastAsia="Times New Roman"/>
                <w:color w:val="000000"/>
                <w:sz w:val="18"/>
                <w:szCs w:val="18"/>
                <w:lang w:val="en-GB" w:bidi="en-GB"/>
              </w:rPr>
              <w:t>253</w:t>
            </w:r>
          </w:p>
        </w:tc>
        <w:tc>
          <w:tcPr>
            <w:tcW w:w="1134" w:type="dxa"/>
            <w:shd w:val="clear" w:color="auto" w:fill="D9D9D9" w:themeFill="background1" w:themeFillShade="D9"/>
            <w:noWrap/>
            <w:vAlign w:val="bottom"/>
            <w:hideMark/>
          </w:tcPr>
          <w:p w:rsidR="00700A0B" w:rsidRPr="00D72AC3" w:rsidRDefault="008F0947" w:rsidP="008F0947">
            <w:pPr>
              <w:jc w:val="right"/>
              <w:rPr>
                <w:rFonts w:eastAsia="Times New Roman"/>
                <w:color w:val="000000"/>
                <w:sz w:val="18"/>
                <w:szCs w:val="18"/>
                <w:lang w:val="en-GB" w:eastAsia="lv-LV"/>
              </w:rPr>
            </w:pPr>
            <w:r>
              <w:rPr>
                <w:rFonts w:eastAsia="Times New Roman"/>
                <w:color w:val="000000"/>
                <w:sz w:val="18"/>
                <w:szCs w:val="18"/>
                <w:lang w:val="en-GB" w:bidi="en-GB"/>
              </w:rPr>
              <w:t>686</w:t>
            </w:r>
            <w:r w:rsidR="00700A0B" w:rsidRPr="00D72AC3">
              <w:rPr>
                <w:rFonts w:eastAsia="Times New Roman"/>
                <w:color w:val="000000"/>
                <w:sz w:val="18"/>
                <w:szCs w:val="18"/>
                <w:lang w:val="en-GB" w:bidi="en-GB"/>
              </w:rPr>
              <w:t>, </w:t>
            </w:r>
            <w:r>
              <w:rPr>
                <w:rFonts w:eastAsia="Times New Roman"/>
                <w:color w:val="000000"/>
                <w:sz w:val="18"/>
                <w:szCs w:val="18"/>
                <w:lang w:val="en-GB" w:bidi="en-GB"/>
              </w:rPr>
              <w:t>253</w:t>
            </w:r>
          </w:p>
        </w:tc>
        <w:tc>
          <w:tcPr>
            <w:tcW w:w="851" w:type="dxa"/>
            <w:shd w:val="clear" w:color="auto" w:fill="D9D9D9" w:themeFill="background1" w:themeFillShade="D9"/>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1275" w:type="dxa"/>
            <w:shd w:val="clear" w:color="auto" w:fill="D9D9D9" w:themeFill="background1" w:themeFillShade="D9"/>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191, 000</w:t>
            </w:r>
          </w:p>
        </w:tc>
        <w:tc>
          <w:tcPr>
            <w:tcW w:w="1048" w:type="dxa"/>
            <w:shd w:val="clear" w:color="auto" w:fill="D9D9D9" w:themeFill="background1" w:themeFillShade="D9"/>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w:t>
            </w:r>
          </w:p>
        </w:tc>
      </w:tr>
      <w:tr w:rsidR="00700A0B" w:rsidRPr="00D72AC3" w:rsidTr="00F76636">
        <w:trPr>
          <w:trHeight w:val="312"/>
        </w:trPr>
        <w:tc>
          <w:tcPr>
            <w:tcW w:w="2415" w:type="dxa"/>
            <w:shd w:val="clear" w:color="auto" w:fill="auto"/>
            <w:noWrap/>
            <w:vAlign w:val="bottom"/>
          </w:tcPr>
          <w:p w:rsidR="00700A0B" w:rsidRPr="00D72AC3" w:rsidRDefault="00700A0B" w:rsidP="00700A0B">
            <w:pPr>
              <w:jc w:val="both"/>
              <w:rPr>
                <w:rFonts w:eastAsia="Times New Roman"/>
                <w:color w:val="000000"/>
                <w:sz w:val="18"/>
                <w:szCs w:val="18"/>
                <w:lang w:val="en-GB" w:eastAsia="lv-LV"/>
              </w:rPr>
            </w:pPr>
          </w:p>
        </w:tc>
        <w:tc>
          <w:tcPr>
            <w:tcW w:w="1843" w:type="dxa"/>
            <w:shd w:val="clear" w:color="auto" w:fill="auto"/>
            <w:hideMark/>
          </w:tcPr>
          <w:p w:rsidR="00700A0B" w:rsidRPr="00D72AC3" w:rsidRDefault="00700A0B" w:rsidP="00700A0B">
            <w:pPr>
              <w:jc w:val="both"/>
              <w:rPr>
                <w:rFonts w:cs="Times New Roman"/>
                <w:b/>
                <w:sz w:val="18"/>
                <w:szCs w:val="18"/>
                <w:lang w:val="en-GB"/>
              </w:rPr>
            </w:pPr>
            <w:r w:rsidRPr="00D72AC3">
              <w:rPr>
                <w:rFonts w:cs="Times New Roman"/>
                <w:b/>
                <w:sz w:val="18"/>
                <w:szCs w:val="18"/>
                <w:lang w:val="en-GB" w:bidi="en-GB"/>
              </w:rPr>
              <w:t>Measure 5.2.</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 xml:space="preserve">In accordance with the assessment carried out in Clause 5.1, by ensuring the modernisation of the registers of the RE, a </w:t>
            </w:r>
            <w:r w:rsidRPr="00D72AC3">
              <w:rPr>
                <w:rFonts w:eastAsia="Times New Roman"/>
                <w:sz w:val="18"/>
                <w:szCs w:val="18"/>
                <w:lang w:val="en-GB" w:bidi="en-GB"/>
              </w:rPr>
              <w:lastRenderedPageBreak/>
              <w:t>risk-based approach has been developed in the RE with respect to the verification of information about the ultimate beneficial owners.</w:t>
            </w:r>
          </w:p>
        </w:tc>
        <w:tc>
          <w:tcPr>
            <w:tcW w:w="1412" w:type="dxa"/>
            <w:shd w:val="clear" w:color="auto" w:fill="auto"/>
            <w:hideMark/>
          </w:tcPr>
          <w:p w:rsidR="00700A0B" w:rsidRPr="00D72AC3" w:rsidRDefault="00700A0B" w:rsidP="00700A0B">
            <w:pPr>
              <w:jc w:val="both"/>
              <w:rPr>
                <w:rFonts w:eastAsia="Times New Roman"/>
                <w:szCs w:val="24"/>
                <w:lang w:val="en-GB" w:eastAsia="lv-LV"/>
              </w:rPr>
            </w:pPr>
          </w:p>
        </w:tc>
        <w:tc>
          <w:tcPr>
            <w:tcW w:w="1134"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1, 053, 455</w:t>
            </w:r>
          </w:p>
        </w:tc>
        <w:tc>
          <w:tcPr>
            <w:tcW w:w="856"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992"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1129"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988, 211</w:t>
            </w:r>
          </w:p>
        </w:tc>
        <w:tc>
          <w:tcPr>
            <w:tcW w:w="1134"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391, 000</w:t>
            </w:r>
          </w:p>
        </w:tc>
        <w:tc>
          <w:tcPr>
            <w:tcW w:w="1134"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191, 000</w:t>
            </w:r>
          </w:p>
        </w:tc>
        <w:tc>
          <w:tcPr>
            <w:tcW w:w="851"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1275"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191, 000</w:t>
            </w:r>
          </w:p>
        </w:tc>
        <w:tc>
          <w:tcPr>
            <w:tcW w:w="1048" w:type="dxa"/>
            <w:shd w:val="clear" w:color="auto" w:fill="auto"/>
            <w:noWrap/>
            <w:vAlign w:val="bottom"/>
            <w:hideMark/>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w:t>
            </w:r>
          </w:p>
        </w:tc>
      </w:tr>
      <w:tr w:rsidR="00700A0B" w:rsidRPr="00D72AC3" w:rsidTr="00F76636">
        <w:trPr>
          <w:trHeight w:val="312"/>
        </w:trPr>
        <w:tc>
          <w:tcPr>
            <w:tcW w:w="2415" w:type="dxa"/>
            <w:shd w:val="clear" w:color="auto" w:fill="auto"/>
            <w:noWrap/>
            <w:vAlign w:val="bottom"/>
            <w:hideMark/>
          </w:tcPr>
          <w:p w:rsidR="00700A0B" w:rsidRPr="00D72AC3" w:rsidRDefault="00700A0B" w:rsidP="00700A0B">
            <w:pPr>
              <w:rPr>
                <w:rFonts w:eastAsia="Times New Roman"/>
                <w:color w:val="000000"/>
                <w:sz w:val="18"/>
                <w:szCs w:val="18"/>
                <w:lang w:val="en-GB" w:eastAsia="lv-LV"/>
              </w:rPr>
            </w:pPr>
          </w:p>
        </w:tc>
        <w:tc>
          <w:tcPr>
            <w:tcW w:w="1843" w:type="dxa"/>
            <w:shd w:val="clear" w:color="auto" w:fill="auto"/>
            <w:hideMark/>
          </w:tcPr>
          <w:p w:rsidR="00700A0B" w:rsidRPr="008C78AC" w:rsidRDefault="00FD1906" w:rsidP="00700A0B">
            <w:pPr>
              <w:jc w:val="both"/>
              <w:rPr>
                <w:rFonts w:eastAsia="Times New Roman"/>
                <w:sz w:val="18"/>
                <w:szCs w:val="18"/>
                <w:lang w:val="en-GB" w:bidi="en-GB"/>
              </w:rPr>
            </w:pPr>
            <w:r w:rsidRPr="008C78AC">
              <w:rPr>
                <w:rFonts w:eastAsia="Times New Roman"/>
                <w:sz w:val="18"/>
                <w:szCs w:val="18"/>
                <w:lang w:val="en-GB" w:bidi="en-GB"/>
              </w:rPr>
              <w:t>Measure 5.2. (3)</w:t>
            </w:r>
          </w:p>
          <w:p w:rsidR="00FD1906" w:rsidRPr="008C78AC" w:rsidRDefault="008C78AC" w:rsidP="008C78AC">
            <w:pPr>
              <w:jc w:val="both"/>
              <w:rPr>
                <w:rFonts w:eastAsia="Times New Roman"/>
                <w:sz w:val="18"/>
                <w:szCs w:val="18"/>
                <w:lang w:val="en-GB" w:bidi="en-GB"/>
              </w:rPr>
            </w:pPr>
            <w:r>
              <w:rPr>
                <w:rFonts w:eastAsia="Times New Roman"/>
                <w:sz w:val="18"/>
                <w:szCs w:val="18"/>
                <w:lang w:val="en-GB" w:bidi="en-GB"/>
              </w:rPr>
              <w:t>RE</w:t>
            </w:r>
            <w:r w:rsidRPr="008C78AC">
              <w:rPr>
                <w:rFonts w:eastAsia="Times New Roman"/>
                <w:sz w:val="18"/>
                <w:szCs w:val="18"/>
                <w:lang w:val="en-GB" w:bidi="en-GB"/>
              </w:rPr>
              <w:t xml:space="preserve"> has developed a risk-based approach to verifying the information submitted by the registrant on the </w:t>
            </w:r>
            <w:r w:rsidRPr="00D72AC3">
              <w:rPr>
                <w:rFonts w:eastAsia="Times New Roman"/>
                <w:sz w:val="18"/>
                <w:szCs w:val="18"/>
                <w:lang w:val="en-GB" w:bidi="en-GB"/>
              </w:rPr>
              <w:t>ultimate beneficial owners</w:t>
            </w:r>
            <w:r w:rsidRPr="008C78AC">
              <w:rPr>
                <w:rFonts w:eastAsia="Times New Roman"/>
                <w:sz w:val="18"/>
                <w:szCs w:val="18"/>
                <w:lang w:val="en-GB" w:bidi="en-GB"/>
              </w:rPr>
              <w:t xml:space="preserve">, which includes an automated risk assessment, the defined risks of occurrence: 1. reported </w:t>
            </w:r>
            <w:r w:rsidR="00AE06F5">
              <w:rPr>
                <w:rFonts w:eastAsia="Times New Roman"/>
                <w:sz w:val="18"/>
                <w:szCs w:val="18"/>
                <w:lang w:val="en-GB" w:bidi="en-GB"/>
              </w:rPr>
              <w:t>unusual</w:t>
            </w:r>
            <w:r w:rsidRPr="008C78AC">
              <w:rPr>
                <w:rFonts w:eastAsia="Times New Roman"/>
                <w:sz w:val="18"/>
                <w:szCs w:val="18"/>
                <w:lang w:val="en-GB" w:bidi="en-GB"/>
              </w:rPr>
              <w:t xml:space="preserve"> or suspicious transaction; 2. Extended registration deadline; 3. </w:t>
            </w:r>
            <w:r>
              <w:rPr>
                <w:rFonts w:eastAsia="Times New Roman"/>
                <w:sz w:val="18"/>
                <w:szCs w:val="18"/>
                <w:lang w:val="en-GB" w:bidi="en-GB"/>
              </w:rPr>
              <w:t>Postponed</w:t>
            </w:r>
            <w:r w:rsidRPr="008C78AC">
              <w:rPr>
                <w:rFonts w:eastAsia="Times New Roman"/>
                <w:sz w:val="18"/>
                <w:szCs w:val="18"/>
                <w:lang w:val="en-GB" w:bidi="en-GB"/>
              </w:rPr>
              <w:t xml:space="preserve"> or refused registration.</w:t>
            </w:r>
          </w:p>
        </w:tc>
        <w:tc>
          <w:tcPr>
            <w:tcW w:w="1412" w:type="dxa"/>
            <w:shd w:val="clear" w:color="auto" w:fill="auto"/>
            <w:hideMark/>
          </w:tcPr>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 </w:t>
            </w:r>
          </w:p>
        </w:tc>
        <w:tc>
          <w:tcPr>
            <w:tcW w:w="1134" w:type="dxa"/>
            <w:shd w:val="clear" w:color="auto" w:fill="auto"/>
            <w:noWrap/>
            <w:vAlign w:val="bottom"/>
          </w:tcPr>
          <w:p w:rsidR="00700A0B" w:rsidRPr="00D72AC3" w:rsidRDefault="00700A0B" w:rsidP="00700A0B">
            <w:pPr>
              <w:jc w:val="right"/>
              <w:rPr>
                <w:rFonts w:eastAsia="Times New Roman"/>
                <w:color w:val="000000"/>
                <w:sz w:val="18"/>
                <w:szCs w:val="18"/>
                <w:lang w:val="en-GB" w:eastAsia="lv-LV"/>
              </w:rPr>
            </w:pPr>
          </w:p>
        </w:tc>
        <w:tc>
          <w:tcPr>
            <w:tcW w:w="856" w:type="dxa"/>
            <w:shd w:val="clear" w:color="auto" w:fill="auto"/>
            <w:noWrap/>
            <w:vAlign w:val="bottom"/>
          </w:tcPr>
          <w:p w:rsidR="00700A0B" w:rsidRPr="00D72AC3" w:rsidRDefault="00700A0B" w:rsidP="00700A0B">
            <w:pPr>
              <w:jc w:val="right"/>
              <w:rPr>
                <w:rFonts w:eastAsia="Times New Roman"/>
                <w:color w:val="000000"/>
                <w:sz w:val="18"/>
                <w:szCs w:val="18"/>
                <w:lang w:val="en-GB" w:eastAsia="lv-LV"/>
              </w:rPr>
            </w:pPr>
          </w:p>
        </w:tc>
        <w:tc>
          <w:tcPr>
            <w:tcW w:w="992" w:type="dxa"/>
            <w:shd w:val="clear" w:color="auto" w:fill="auto"/>
            <w:noWrap/>
            <w:vAlign w:val="bottom"/>
          </w:tcPr>
          <w:p w:rsidR="00700A0B" w:rsidRPr="00D72AC3" w:rsidRDefault="00700A0B" w:rsidP="00700A0B">
            <w:pPr>
              <w:jc w:val="right"/>
              <w:rPr>
                <w:rFonts w:eastAsia="Times New Roman"/>
                <w:color w:val="000000"/>
                <w:sz w:val="18"/>
                <w:szCs w:val="18"/>
                <w:lang w:val="en-GB" w:eastAsia="lv-LV"/>
              </w:rPr>
            </w:pPr>
          </w:p>
        </w:tc>
        <w:tc>
          <w:tcPr>
            <w:tcW w:w="1129" w:type="dxa"/>
            <w:shd w:val="clear" w:color="auto" w:fill="auto"/>
            <w:noWrap/>
            <w:vAlign w:val="bottom"/>
          </w:tcPr>
          <w:p w:rsidR="00700A0B" w:rsidRPr="00D72AC3" w:rsidRDefault="008C78AC" w:rsidP="00700A0B">
            <w:pPr>
              <w:jc w:val="right"/>
              <w:rPr>
                <w:rFonts w:eastAsia="Times New Roman"/>
                <w:color w:val="000000"/>
                <w:sz w:val="18"/>
                <w:szCs w:val="18"/>
                <w:lang w:val="en-GB" w:eastAsia="lv-LV"/>
              </w:rPr>
            </w:pPr>
            <w:r>
              <w:rPr>
                <w:rFonts w:eastAsia="Times New Roman"/>
                <w:color w:val="000000"/>
                <w:sz w:val="18"/>
                <w:szCs w:val="18"/>
                <w:lang w:val="en-GB" w:eastAsia="lv-LV"/>
              </w:rPr>
              <w:t>247,627</w:t>
            </w:r>
          </w:p>
        </w:tc>
        <w:tc>
          <w:tcPr>
            <w:tcW w:w="1134" w:type="dxa"/>
            <w:shd w:val="clear" w:color="auto" w:fill="auto"/>
            <w:noWrap/>
            <w:vAlign w:val="bottom"/>
          </w:tcPr>
          <w:p w:rsidR="00700A0B" w:rsidRPr="00D72AC3" w:rsidRDefault="008C78AC" w:rsidP="00700A0B">
            <w:pPr>
              <w:jc w:val="right"/>
              <w:rPr>
                <w:rFonts w:eastAsia="Times New Roman"/>
                <w:color w:val="000000"/>
                <w:sz w:val="18"/>
                <w:szCs w:val="18"/>
                <w:lang w:val="en-GB" w:eastAsia="lv-LV"/>
              </w:rPr>
            </w:pPr>
            <w:r>
              <w:rPr>
                <w:rFonts w:eastAsia="Times New Roman"/>
                <w:color w:val="000000"/>
                <w:sz w:val="18"/>
                <w:szCs w:val="18"/>
                <w:lang w:val="en-GB" w:eastAsia="lv-LV"/>
              </w:rPr>
              <w:t>495,253</w:t>
            </w:r>
          </w:p>
        </w:tc>
        <w:tc>
          <w:tcPr>
            <w:tcW w:w="1134" w:type="dxa"/>
            <w:shd w:val="clear" w:color="auto" w:fill="auto"/>
            <w:noWrap/>
            <w:vAlign w:val="bottom"/>
          </w:tcPr>
          <w:p w:rsidR="00700A0B" w:rsidRPr="00D72AC3" w:rsidRDefault="008C78AC" w:rsidP="00700A0B">
            <w:pPr>
              <w:jc w:val="right"/>
              <w:rPr>
                <w:rFonts w:eastAsia="Times New Roman"/>
                <w:color w:val="000000"/>
                <w:sz w:val="18"/>
                <w:szCs w:val="18"/>
                <w:lang w:val="en-GB" w:eastAsia="lv-LV"/>
              </w:rPr>
            </w:pPr>
            <w:r>
              <w:rPr>
                <w:rFonts w:eastAsia="Times New Roman"/>
                <w:color w:val="000000"/>
                <w:sz w:val="18"/>
                <w:szCs w:val="18"/>
                <w:lang w:val="en-GB" w:eastAsia="lv-LV"/>
              </w:rPr>
              <w:t>495,253</w:t>
            </w:r>
          </w:p>
        </w:tc>
        <w:tc>
          <w:tcPr>
            <w:tcW w:w="851" w:type="dxa"/>
            <w:shd w:val="clear" w:color="auto" w:fill="auto"/>
            <w:noWrap/>
            <w:vAlign w:val="bottom"/>
          </w:tcPr>
          <w:p w:rsidR="00700A0B" w:rsidRPr="00D72AC3" w:rsidRDefault="00700A0B" w:rsidP="00700A0B">
            <w:pPr>
              <w:jc w:val="right"/>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right"/>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right"/>
              <w:rPr>
                <w:rFonts w:eastAsia="Times New Roman"/>
                <w:color w:val="000000"/>
                <w:sz w:val="18"/>
                <w:szCs w:val="18"/>
                <w:lang w:val="en-GB" w:eastAsia="lv-LV"/>
              </w:rPr>
            </w:pPr>
          </w:p>
        </w:tc>
      </w:tr>
      <w:tr w:rsidR="00FD1906" w:rsidRPr="00D72AC3" w:rsidTr="00F76636">
        <w:trPr>
          <w:trHeight w:val="312"/>
        </w:trPr>
        <w:tc>
          <w:tcPr>
            <w:tcW w:w="2415" w:type="dxa"/>
            <w:shd w:val="clear" w:color="auto" w:fill="auto"/>
            <w:noWrap/>
            <w:vAlign w:val="bottom"/>
          </w:tcPr>
          <w:p w:rsidR="00FD1906" w:rsidRPr="00D72AC3" w:rsidRDefault="00FD1906" w:rsidP="00700A0B">
            <w:pPr>
              <w:rPr>
                <w:rFonts w:eastAsia="Times New Roman"/>
                <w:color w:val="000000"/>
                <w:sz w:val="18"/>
                <w:szCs w:val="18"/>
                <w:lang w:val="en-GB" w:eastAsia="lv-LV"/>
              </w:rPr>
            </w:pPr>
          </w:p>
        </w:tc>
        <w:tc>
          <w:tcPr>
            <w:tcW w:w="1843" w:type="dxa"/>
            <w:shd w:val="clear" w:color="auto" w:fill="auto"/>
          </w:tcPr>
          <w:p w:rsidR="00FD1906" w:rsidRPr="00D72AC3" w:rsidRDefault="00FD1906" w:rsidP="00700A0B">
            <w:pPr>
              <w:jc w:val="both"/>
              <w:rPr>
                <w:rFonts w:eastAsia="Times New Roman"/>
                <w:sz w:val="18"/>
                <w:szCs w:val="18"/>
                <w:lang w:val="en-GB" w:bidi="en-GB"/>
              </w:rPr>
            </w:pPr>
            <w:r>
              <w:rPr>
                <w:rFonts w:eastAsia="Times New Roman"/>
                <w:sz w:val="18"/>
                <w:szCs w:val="18"/>
                <w:lang w:val="en-GB" w:bidi="en-GB"/>
              </w:rPr>
              <w:t>Ministry of  Justice</w:t>
            </w:r>
          </w:p>
        </w:tc>
        <w:tc>
          <w:tcPr>
            <w:tcW w:w="1412" w:type="dxa"/>
            <w:shd w:val="clear" w:color="auto" w:fill="auto"/>
          </w:tcPr>
          <w:p w:rsidR="00FD1906" w:rsidRPr="00D72AC3" w:rsidRDefault="00FD1906" w:rsidP="00700A0B">
            <w:pPr>
              <w:jc w:val="both"/>
              <w:rPr>
                <w:rFonts w:eastAsia="Times New Roman"/>
                <w:sz w:val="18"/>
                <w:szCs w:val="18"/>
                <w:lang w:val="en-GB" w:bidi="en-GB"/>
              </w:rPr>
            </w:pPr>
          </w:p>
        </w:tc>
        <w:tc>
          <w:tcPr>
            <w:tcW w:w="1134"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856"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992"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1129"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1134"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1134"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851"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1275"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c>
          <w:tcPr>
            <w:tcW w:w="1048" w:type="dxa"/>
            <w:shd w:val="clear" w:color="auto" w:fill="auto"/>
            <w:noWrap/>
            <w:vAlign w:val="bottom"/>
          </w:tcPr>
          <w:p w:rsidR="00FD1906" w:rsidRPr="00D72AC3" w:rsidRDefault="00FD1906" w:rsidP="00700A0B">
            <w:pPr>
              <w:jc w:val="right"/>
              <w:rPr>
                <w:rFonts w:eastAsia="Times New Roman"/>
                <w:color w:val="000000"/>
                <w:sz w:val="18"/>
                <w:szCs w:val="18"/>
                <w:lang w:val="en-GB" w:eastAsia="lv-LV"/>
              </w:rPr>
            </w:pPr>
          </w:p>
        </w:tc>
      </w:tr>
      <w:tr w:rsidR="00700A0B" w:rsidRPr="00D72AC3" w:rsidTr="00F76636">
        <w:trPr>
          <w:trHeight w:val="2603"/>
        </w:trPr>
        <w:tc>
          <w:tcPr>
            <w:tcW w:w="2415" w:type="dxa"/>
            <w:shd w:val="clear" w:color="auto" w:fill="auto"/>
            <w:noWrap/>
            <w:vAlign w:val="bottom"/>
            <w:hideMark/>
          </w:tcPr>
          <w:p w:rsidR="00700A0B" w:rsidRPr="00D72AC3" w:rsidRDefault="00700A0B" w:rsidP="00700A0B">
            <w:pPr>
              <w:rPr>
                <w:rFonts w:eastAsia="Times New Roman"/>
                <w:color w:val="000000"/>
                <w:lang w:val="en-GB" w:eastAsia="lv-LV"/>
              </w:rPr>
            </w:pPr>
          </w:p>
        </w:tc>
        <w:tc>
          <w:tcPr>
            <w:tcW w:w="1843" w:type="dxa"/>
            <w:shd w:val="clear" w:color="auto" w:fill="auto"/>
          </w:tcPr>
          <w:p w:rsidR="00700A0B" w:rsidRPr="00D72AC3" w:rsidRDefault="00700A0B" w:rsidP="00700A0B">
            <w:pPr>
              <w:jc w:val="both"/>
              <w:rPr>
                <w:rFonts w:cs="Times New Roman"/>
                <w:b/>
                <w:sz w:val="18"/>
                <w:szCs w:val="18"/>
                <w:lang w:val="en-GB"/>
              </w:rPr>
            </w:pPr>
            <w:r w:rsidRPr="00D72AC3">
              <w:rPr>
                <w:rFonts w:cs="Times New Roman"/>
                <w:b/>
                <w:sz w:val="18"/>
                <w:szCs w:val="18"/>
                <w:lang w:val="en-GB" w:bidi="en-GB"/>
              </w:rPr>
              <w:t xml:space="preserve">Measure 5.8.(3). </w:t>
            </w:r>
          </w:p>
          <w:p w:rsidR="00700A0B" w:rsidRPr="00B13CA5" w:rsidRDefault="00700A0B" w:rsidP="00B13CA5">
            <w:pPr>
              <w:jc w:val="both"/>
              <w:rPr>
                <w:rFonts w:eastAsia="Times New Roman"/>
                <w:sz w:val="18"/>
                <w:szCs w:val="18"/>
                <w:lang w:val="en-GB" w:eastAsia="lv-LV"/>
              </w:rPr>
            </w:pPr>
            <w:r w:rsidRPr="00D72AC3">
              <w:rPr>
                <w:rFonts w:cs="Times New Roman"/>
                <w:sz w:val="18"/>
                <w:szCs w:val="18"/>
                <w:lang w:val="en-GB" w:bidi="en-GB"/>
              </w:rPr>
              <w:t>Especially high risk commercial companies which have not disclosed their ultimate beneficial owners have been excluded from the Commercial Register maintained by the RE.</w:t>
            </w:r>
          </w:p>
        </w:tc>
        <w:tc>
          <w:tcPr>
            <w:tcW w:w="1412" w:type="dxa"/>
            <w:shd w:val="clear" w:color="auto" w:fill="auto"/>
          </w:tcPr>
          <w:p w:rsidR="00700A0B" w:rsidRPr="00D72AC3" w:rsidRDefault="00700A0B" w:rsidP="00700A0B">
            <w:pPr>
              <w:jc w:val="both"/>
              <w:rPr>
                <w:rFonts w:eastAsia="Times New Roman"/>
                <w:sz w:val="20"/>
                <w:szCs w:val="20"/>
                <w:lang w:val="en-GB" w:eastAsia="lv-LV"/>
              </w:rPr>
            </w:pPr>
          </w:p>
        </w:tc>
        <w:tc>
          <w:tcPr>
            <w:tcW w:w="1134"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856"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992"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1129"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30, 985</w:t>
            </w:r>
          </w:p>
        </w:tc>
        <w:tc>
          <w:tcPr>
            <w:tcW w:w="1134"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1134"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851"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1275"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0</w:t>
            </w:r>
          </w:p>
        </w:tc>
        <w:tc>
          <w:tcPr>
            <w:tcW w:w="1048" w:type="dxa"/>
            <w:shd w:val="clear" w:color="auto" w:fill="auto"/>
            <w:noWrap/>
            <w:vAlign w:val="bottom"/>
          </w:tcPr>
          <w:p w:rsidR="00700A0B" w:rsidRPr="00D72AC3" w:rsidRDefault="00700A0B" w:rsidP="00700A0B">
            <w:pPr>
              <w:jc w:val="right"/>
              <w:rPr>
                <w:rFonts w:eastAsia="Times New Roman"/>
                <w:color w:val="000000"/>
                <w:sz w:val="20"/>
                <w:lang w:val="en-GB" w:eastAsia="lv-LV"/>
              </w:rPr>
            </w:pPr>
            <w:r w:rsidRPr="00D72AC3">
              <w:rPr>
                <w:rFonts w:eastAsia="Times New Roman"/>
                <w:color w:val="000000"/>
                <w:sz w:val="20"/>
                <w:lang w:val="en-GB" w:bidi="en-GB"/>
              </w:rPr>
              <w:t>2019</w:t>
            </w:r>
          </w:p>
        </w:tc>
      </w:tr>
      <w:tr w:rsidR="00700A0B" w:rsidRPr="00D72AC3" w:rsidTr="00F76636">
        <w:trPr>
          <w:trHeight w:val="953"/>
        </w:trPr>
        <w:tc>
          <w:tcPr>
            <w:tcW w:w="2415"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843" w:type="dxa"/>
            <w:shd w:val="clear" w:color="auto" w:fill="auto"/>
          </w:tcPr>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Ministry of Justice</w:t>
            </w:r>
          </w:p>
        </w:tc>
        <w:tc>
          <w:tcPr>
            <w:tcW w:w="1412" w:type="dxa"/>
            <w:shd w:val="clear" w:color="auto" w:fill="auto"/>
          </w:tcPr>
          <w:p w:rsidR="00700A0B" w:rsidRPr="00D72AC3" w:rsidRDefault="00700A0B" w:rsidP="00700A0B">
            <w:pPr>
              <w:jc w:val="both"/>
              <w:rPr>
                <w:rFonts w:eastAsia="Times New Roman"/>
                <w:sz w:val="18"/>
                <w:szCs w:val="18"/>
                <w:lang w:val="en-GB" w:eastAsia="lv-LV"/>
              </w:rPr>
            </w:pPr>
          </w:p>
        </w:tc>
        <w:tc>
          <w:tcPr>
            <w:tcW w:w="1134" w:type="dxa"/>
            <w:shd w:val="clear" w:color="auto" w:fill="auto"/>
            <w:noWrap/>
            <w:vAlign w:val="center"/>
          </w:tcPr>
          <w:p w:rsidR="00700A0B" w:rsidRPr="00D72AC3" w:rsidRDefault="00700A0B" w:rsidP="00700A0B">
            <w:pPr>
              <w:jc w:val="right"/>
              <w:rPr>
                <w:rFonts w:eastAsia="Times New Roman"/>
                <w:color w:val="000000"/>
                <w:sz w:val="18"/>
                <w:szCs w:val="18"/>
                <w:lang w:val="en-GB" w:eastAsia="lv-LV"/>
              </w:rPr>
            </w:pPr>
          </w:p>
        </w:tc>
        <w:tc>
          <w:tcPr>
            <w:tcW w:w="856" w:type="dxa"/>
            <w:shd w:val="clear" w:color="auto" w:fill="auto"/>
            <w:noWrap/>
            <w:vAlign w:val="center"/>
          </w:tcPr>
          <w:p w:rsidR="00700A0B" w:rsidRPr="00D72AC3" w:rsidRDefault="00700A0B" w:rsidP="00700A0B">
            <w:pPr>
              <w:jc w:val="right"/>
              <w:rPr>
                <w:rFonts w:eastAsia="Times New Roman"/>
                <w:color w:val="000000"/>
                <w:sz w:val="18"/>
                <w:szCs w:val="18"/>
                <w:lang w:val="en-GB" w:eastAsia="lv-LV"/>
              </w:rPr>
            </w:pPr>
          </w:p>
        </w:tc>
        <w:tc>
          <w:tcPr>
            <w:tcW w:w="992" w:type="dxa"/>
            <w:shd w:val="clear" w:color="auto" w:fill="auto"/>
            <w:noWrap/>
            <w:vAlign w:val="center"/>
          </w:tcPr>
          <w:p w:rsidR="00700A0B" w:rsidRPr="00D72AC3" w:rsidRDefault="00700A0B" w:rsidP="00700A0B">
            <w:pPr>
              <w:jc w:val="right"/>
              <w:rPr>
                <w:rFonts w:eastAsia="Times New Roman"/>
                <w:color w:val="000000"/>
                <w:sz w:val="18"/>
                <w:szCs w:val="18"/>
                <w:lang w:val="en-GB" w:eastAsia="lv-LV"/>
              </w:rPr>
            </w:pPr>
          </w:p>
        </w:tc>
        <w:tc>
          <w:tcPr>
            <w:tcW w:w="1129" w:type="dxa"/>
            <w:shd w:val="clear" w:color="auto" w:fill="auto"/>
            <w:noWrap/>
            <w:vAlign w:val="center"/>
          </w:tcPr>
          <w:p w:rsidR="00700A0B" w:rsidRPr="00D72AC3" w:rsidRDefault="00700A0B" w:rsidP="00700A0B">
            <w:pPr>
              <w:jc w:val="right"/>
              <w:rPr>
                <w:sz w:val="18"/>
                <w:szCs w:val="18"/>
                <w:lang w:val="en-GB"/>
              </w:rPr>
            </w:pPr>
          </w:p>
        </w:tc>
        <w:tc>
          <w:tcPr>
            <w:tcW w:w="1134" w:type="dxa"/>
            <w:shd w:val="clear" w:color="auto" w:fill="auto"/>
            <w:noWrap/>
            <w:vAlign w:val="center"/>
          </w:tcPr>
          <w:p w:rsidR="00700A0B" w:rsidRPr="00D72AC3" w:rsidRDefault="00700A0B" w:rsidP="00700A0B">
            <w:pPr>
              <w:jc w:val="right"/>
              <w:rPr>
                <w:sz w:val="18"/>
                <w:szCs w:val="18"/>
                <w:lang w:val="en-GB"/>
              </w:rPr>
            </w:pPr>
          </w:p>
        </w:tc>
        <w:tc>
          <w:tcPr>
            <w:tcW w:w="1134" w:type="dxa"/>
            <w:shd w:val="clear" w:color="auto" w:fill="auto"/>
            <w:noWrap/>
            <w:vAlign w:val="center"/>
          </w:tcPr>
          <w:p w:rsidR="00700A0B" w:rsidRPr="00D72AC3" w:rsidRDefault="00700A0B" w:rsidP="00700A0B">
            <w:pPr>
              <w:jc w:val="right"/>
              <w:rPr>
                <w:sz w:val="18"/>
                <w:szCs w:val="18"/>
                <w:lang w:val="en-GB"/>
              </w:rPr>
            </w:pPr>
          </w:p>
        </w:tc>
        <w:tc>
          <w:tcPr>
            <w:tcW w:w="851" w:type="dxa"/>
            <w:shd w:val="clear" w:color="auto" w:fill="auto"/>
            <w:noWrap/>
            <w:vAlign w:val="center"/>
          </w:tcPr>
          <w:p w:rsidR="00700A0B" w:rsidRPr="00D72AC3" w:rsidRDefault="00700A0B" w:rsidP="00700A0B">
            <w:pPr>
              <w:jc w:val="right"/>
              <w:rPr>
                <w:rFonts w:eastAsia="Times New Roman"/>
                <w:color w:val="000000"/>
                <w:sz w:val="18"/>
                <w:szCs w:val="18"/>
                <w:lang w:val="en-GB" w:eastAsia="lv-LV"/>
              </w:rPr>
            </w:pPr>
          </w:p>
        </w:tc>
        <w:tc>
          <w:tcPr>
            <w:tcW w:w="1275" w:type="dxa"/>
            <w:shd w:val="clear" w:color="auto" w:fill="auto"/>
            <w:noWrap/>
            <w:vAlign w:val="center"/>
          </w:tcPr>
          <w:p w:rsidR="00700A0B" w:rsidRPr="00D72AC3" w:rsidRDefault="00700A0B" w:rsidP="00700A0B">
            <w:pPr>
              <w:jc w:val="right"/>
              <w:rPr>
                <w:sz w:val="18"/>
                <w:szCs w:val="18"/>
                <w:lang w:val="en-GB"/>
              </w:rPr>
            </w:pPr>
          </w:p>
        </w:tc>
        <w:tc>
          <w:tcPr>
            <w:tcW w:w="1048" w:type="dxa"/>
            <w:shd w:val="clear" w:color="auto" w:fill="auto"/>
            <w:noWrap/>
            <w:vAlign w:val="center"/>
          </w:tcPr>
          <w:p w:rsidR="00700A0B" w:rsidRPr="00D72AC3" w:rsidRDefault="00700A0B" w:rsidP="00700A0B">
            <w:pPr>
              <w:jc w:val="right"/>
              <w:rPr>
                <w:rFonts w:eastAsia="Times New Roman"/>
                <w:color w:val="000000"/>
                <w:sz w:val="18"/>
                <w:szCs w:val="18"/>
                <w:lang w:val="en-GB" w:eastAsia="lv-LV"/>
              </w:rPr>
            </w:pPr>
          </w:p>
        </w:tc>
      </w:tr>
      <w:tr w:rsidR="00700A0B" w:rsidRPr="00D72AC3" w:rsidTr="00F76636">
        <w:trPr>
          <w:trHeight w:val="953"/>
        </w:trPr>
        <w:tc>
          <w:tcPr>
            <w:tcW w:w="2415"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1843" w:type="dxa"/>
            <w:shd w:val="clear" w:color="auto" w:fill="D9D9D9" w:themeFill="background1" w:themeFillShade="D9"/>
          </w:tcPr>
          <w:p w:rsidR="00700A0B" w:rsidRPr="00D72AC3" w:rsidRDefault="00700A0B" w:rsidP="00700A0B">
            <w:pPr>
              <w:jc w:val="both"/>
              <w:rPr>
                <w:rFonts w:eastAsia="Times New Roman"/>
                <w:lang w:val="en-GB" w:eastAsia="lv-LV"/>
              </w:rPr>
            </w:pPr>
          </w:p>
        </w:tc>
        <w:tc>
          <w:tcPr>
            <w:tcW w:w="1412" w:type="dxa"/>
            <w:shd w:val="clear" w:color="auto" w:fill="D9D9D9" w:themeFill="background1" w:themeFillShade="D9"/>
          </w:tcPr>
          <w:p w:rsidR="00700A0B" w:rsidRPr="00D72AC3" w:rsidRDefault="00700A0B" w:rsidP="00700A0B">
            <w:pPr>
              <w:jc w:val="center"/>
              <w:rPr>
                <w:rFonts w:cs="Times New Roman"/>
                <w:sz w:val="18"/>
                <w:szCs w:val="18"/>
                <w:lang w:val="en-GB"/>
              </w:rPr>
            </w:pPr>
            <w:r w:rsidRPr="00D72AC3">
              <w:rPr>
                <w:rFonts w:cs="Times New Roman"/>
                <w:sz w:val="18"/>
                <w:szCs w:val="18"/>
                <w:lang w:val="en-GB" w:bidi="en-GB"/>
              </w:rPr>
              <w:t>33.00.00</w:t>
            </w:r>
          </w:p>
          <w:p w:rsidR="00700A0B" w:rsidRPr="00D72AC3" w:rsidRDefault="00700A0B" w:rsidP="00700A0B">
            <w:pPr>
              <w:jc w:val="center"/>
              <w:rPr>
                <w:rFonts w:eastAsia="Times New Roman"/>
                <w:sz w:val="18"/>
                <w:szCs w:val="18"/>
                <w:lang w:val="en-GB" w:eastAsia="lv-LV"/>
              </w:rPr>
            </w:pPr>
            <w:r w:rsidRPr="00D72AC3">
              <w:rPr>
                <w:rFonts w:cs="Times New Roman"/>
                <w:sz w:val="18"/>
                <w:szCs w:val="18"/>
                <w:lang w:val="en-GB" w:bidi="en-GB"/>
              </w:rPr>
              <w:t>Ensuring the State revenue and customs policy</w:t>
            </w:r>
          </w:p>
        </w:tc>
        <w:tc>
          <w:tcPr>
            <w:tcW w:w="1134"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533, 182</w:t>
            </w:r>
          </w:p>
        </w:tc>
        <w:tc>
          <w:tcPr>
            <w:tcW w:w="856"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533, 163</w:t>
            </w:r>
          </w:p>
        </w:tc>
        <w:tc>
          <w:tcPr>
            <w:tcW w:w="992"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533, 160</w:t>
            </w:r>
          </w:p>
        </w:tc>
        <w:tc>
          <w:tcPr>
            <w:tcW w:w="1129"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2, 827, 551</w:t>
            </w:r>
          </w:p>
        </w:tc>
        <w:tc>
          <w:tcPr>
            <w:tcW w:w="1134"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2, 224, 807</w:t>
            </w:r>
          </w:p>
        </w:tc>
        <w:tc>
          <w:tcPr>
            <w:tcW w:w="1134"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2, 224, 807</w:t>
            </w:r>
          </w:p>
        </w:tc>
        <w:tc>
          <w:tcPr>
            <w:tcW w:w="851"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c>
          <w:tcPr>
            <w:tcW w:w="1275"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2, 224, 807</w:t>
            </w:r>
          </w:p>
        </w:tc>
        <w:tc>
          <w:tcPr>
            <w:tcW w:w="1048" w:type="dxa"/>
            <w:shd w:val="clear" w:color="auto" w:fill="D9D9D9" w:themeFill="background1" w:themeFillShade="D9"/>
            <w:noWrap/>
            <w:vAlign w:val="center"/>
          </w:tcPr>
          <w:p w:rsidR="00700A0B" w:rsidRPr="00D72AC3" w:rsidRDefault="00700A0B" w:rsidP="00700A0B">
            <w:pPr>
              <w:jc w:val="right"/>
              <w:rPr>
                <w:rFonts w:eastAsia="Times New Roman"/>
                <w:color w:val="000000"/>
                <w:sz w:val="18"/>
                <w:szCs w:val="18"/>
                <w:lang w:val="en-GB" w:eastAsia="lv-LV"/>
              </w:rPr>
            </w:pPr>
            <w:r w:rsidRPr="00D72AC3">
              <w:rPr>
                <w:rFonts w:eastAsia="Times New Roman"/>
                <w:color w:val="000000"/>
                <w:sz w:val="18"/>
                <w:szCs w:val="18"/>
                <w:lang w:val="en-GB" w:bidi="en-GB"/>
              </w:rPr>
              <w:t>0</w:t>
            </w:r>
          </w:p>
        </w:tc>
      </w:tr>
      <w:tr w:rsidR="00F76636" w:rsidRPr="00D72AC3" w:rsidTr="00F76636">
        <w:trPr>
          <w:trHeight w:val="312"/>
        </w:trPr>
        <w:tc>
          <w:tcPr>
            <w:tcW w:w="2415" w:type="dxa"/>
            <w:shd w:val="clear" w:color="auto" w:fill="FFFFFF"/>
          </w:tcPr>
          <w:p w:rsidR="00700A0B" w:rsidRPr="00D72AC3" w:rsidRDefault="00700A0B" w:rsidP="00700A0B">
            <w:pPr>
              <w:jc w:val="both"/>
              <w:rPr>
                <w:rFonts w:eastAsia="Times New Roman"/>
                <w:i/>
                <w:iCs/>
                <w:sz w:val="20"/>
                <w:szCs w:val="20"/>
                <w:lang w:val="en-GB" w:eastAsia="lv-LV"/>
              </w:rPr>
            </w:pPr>
          </w:p>
        </w:tc>
        <w:tc>
          <w:tcPr>
            <w:tcW w:w="1843" w:type="dxa"/>
            <w:shd w:val="clear" w:color="auto" w:fill="FFFFFF"/>
          </w:tcPr>
          <w:p w:rsidR="00700A0B" w:rsidRPr="00D72AC3" w:rsidRDefault="00700A0B" w:rsidP="00700A0B">
            <w:pPr>
              <w:jc w:val="both"/>
              <w:rPr>
                <w:rFonts w:eastAsia="Times New Roman"/>
                <w:b/>
                <w:bCs/>
                <w:sz w:val="18"/>
                <w:szCs w:val="18"/>
                <w:lang w:val="en-GB" w:eastAsia="lv-LV"/>
              </w:rPr>
            </w:pPr>
            <w:r w:rsidRPr="00D72AC3">
              <w:rPr>
                <w:rFonts w:eastAsia="Times New Roman"/>
                <w:b/>
                <w:sz w:val="18"/>
                <w:szCs w:val="18"/>
                <w:lang w:val="en-GB" w:bidi="en-GB"/>
              </w:rPr>
              <w:t>Measure 8.6.</w:t>
            </w:r>
          </w:p>
          <w:p w:rsidR="00700A0B" w:rsidRPr="00D72AC3" w:rsidRDefault="00700A0B" w:rsidP="00700A0B">
            <w:pPr>
              <w:jc w:val="both"/>
              <w:rPr>
                <w:rFonts w:eastAsia="Times New Roman"/>
                <w:i/>
                <w:iCs/>
                <w:sz w:val="20"/>
                <w:szCs w:val="20"/>
                <w:lang w:val="en-GB" w:eastAsia="lv-LV"/>
              </w:rPr>
            </w:pPr>
            <w:r w:rsidRPr="00D72AC3">
              <w:rPr>
                <w:rFonts w:eastAsia="Times New Roman"/>
                <w:sz w:val="18"/>
                <w:szCs w:val="18"/>
                <w:lang w:val="en-GB" w:bidi="en-GB"/>
              </w:rPr>
              <w:t>To ensure enhanced declared/undeclared cash movement control measures and the detention thereof on internal borders of the European Union.</w:t>
            </w:r>
          </w:p>
        </w:tc>
        <w:tc>
          <w:tcPr>
            <w:tcW w:w="1412" w:type="dxa"/>
            <w:shd w:val="clear" w:color="auto" w:fill="FFFFFF"/>
          </w:tcPr>
          <w:p w:rsidR="00700A0B" w:rsidRPr="00D72AC3" w:rsidRDefault="00700A0B" w:rsidP="00700A0B">
            <w:pPr>
              <w:jc w:val="both"/>
              <w:rPr>
                <w:rFonts w:eastAsia="Times New Roman"/>
                <w:i/>
                <w:iCs/>
                <w:sz w:val="18"/>
                <w:szCs w:val="18"/>
                <w:lang w:val="en-GB" w:eastAsia="lv-LV"/>
              </w:rPr>
            </w:pPr>
          </w:p>
        </w:tc>
        <w:tc>
          <w:tcPr>
            <w:tcW w:w="1134" w:type="dxa"/>
            <w:shd w:val="clear" w:color="auto" w:fill="FFFFFF"/>
            <w:noWrap/>
            <w:vAlign w:val="bottom"/>
          </w:tcPr>
          <w:p w:rsidR="00700A0B" w:rsidRPr="00D72AC3" w:rsidRDefault="00700A0B" w:rsidP="00700A0B">
            <w:pPr>
              <w:jc w:val="right"/>
              <w:rPr>
                <w:rFonts w:eastAsia="Times New Roman"/>
                <w:color w:val="000000"/>
                <w:sz w:val="18"/>
                <w:szCs w:val="18"/>
                <w:lang w:val="en-GB" w:eastAsia="lv-LV"/>
              </w:rPr>
            </w:pPr>
          </w:p>
        </w:tc>
        <w:tc>
          <w:tcPr>
            <w:tcW w:w="856" w:type="dxa"/>
            <w:shd w:val="clear" w:color="auto" w:fill="FFFFFF"/>
            <w:noWrap/>
            <w:vAlign w:val="bottom"/>
          </w:tcPr>
          <w:p w:rsidR="00700A0B" w:rsidRPr="00D72AC3" w:rsidRDefault="00700A0B" w:rsidP="00700A0B">
            <w:pPr>
              <w:jc w:val="right"/>
              <w:rPr>
                <w:rFonts w:eastAsia="Times New Roman"/>
                <w:color w:val="000000"/>
                <w:sz w:val="18"/>
                <w:szCs w:val="18"/>
                <w:lang w:val="en-GB" w:eastAsia="lv-LV"/>
              </w:rPr>
            </w:pPr>
          </w:p>
        </w:tc>
        <w:tc>
          <w:tcPr>
            <w:tcW w:w="992" w:type="dxa"/>
            <w:shd w:val="clear" w:color="auto" w:fill="FFFFFF"/>
            <w:noWrap/>
            <w:vAlign w:val="bottom"/>
          </w:tcPr>
          <w:p w:rsidR="00700A0B" w:rsidRPr="00D72AC3" w:rsidRDefault="00700A0B" w:rsidP="00700A0B">
            <w:pPr>
              <w:jc w:val="right"/>
              <w:rPr>
                <w:rFonts w:eastAsia="Times New Roman"/>
                <w:color w:val="000000"/>
                <w:sz w:val="18"/>
                <w:szCs w:val="18"/>
                <w:lang w:val="en-GB" w:eastAsia="lv-LV"/>
              </w:rPr>
            </w:pPr>
          </w:p>
        </w:tc>
        <w:tc>
          <w:tcPr>
            <w:tcW w:w="1129"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2, 504, 198</w:t>
            </w:r>
          </w:p>
        </w:tc>
        <w:tc>
          <w:tcPr>
            <w:tcW w:w="1134"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1, 91,2 530</w:t>
            </w:r>
          </w:p>
        </w:tc>
        <w:tc>
          <w:tcPr>
            <w:tcW w:w="1134"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1, 912, 530</w:t>
            </w:r>
          </w:p>
        </w:tc>
        <w:tc>
          <w:tcPr>
            <w:tcW w:w="851" w:type="dxa"/>
            <w:shd w:val="clear" w:color="auto" w:fill="FFFFFF"/>
            <w:noWrap/>
          </w:tcPr>
          <w:p w:rsidR="00700A0B" w:rsidRPr="00D72AC3" w:rsidRDefault="00700A0B" w:rsidP="00700A0B">
            <w:pPr>
              <w:jc w:val="right"/>
              <w:rPr>
                <w:rFonts w:eastAsia="Times New Roman"/>
                <w:color w:val="000000"/>
                <w:sz w:val="18"/>
                <w:szCs w:val="18"/>
                <w:lang w:val="en-GB" w:eastAsia="lv-LV"/>
              </w:rPr>
            </w:pPr>
          </w:p>
        </w:tc>
        <w:tc>
          <w:tcPr>
            <w:tcW w:w="1275" w:type="dxa"/>
            <w:shd w:val="clear" w:color="auto" w:fill="FFFFFF"/>
            <w:noWrap/>
            <w:vAlign w:val="center"/>
          </w:tcPr>
          <w:p w:rsidR="00700A0B" w:rsidRPr="00D72AC3" w:rsidRDefault="00700A0B" w:rsidP="00700A0B">
            <w:pPr>
              <w:jc w:val="center"/>
              <w:rPr>
                <w:rFonts w:eastAsia="Times New Roman"/>
                <w:bCs/>
                <w:sz w:val="18"/>
                <w:szCs w:val="18"/>
                <w:lang w:val="en-GB" w:eastAsia="lv-LV"/>
              </w:rPr>
            </w:pPr>
            <w:r w:rsidRPr="00D72AC3">
              <w:rPr>
                <w:rFonts w:eastAsia="Times New Roman"/>
                <w:sz w:val="18"/>
                <w:szCs w:val="18"/>
                <w:lang w:val="en-GB" w:bidi="en-GB"/>
              </w:rPr>
              <w:t>1, 912, 530</w:t>
            </w:r>
          </w:p>
          <w:p w:rsidR="00700A0B" w:rsidRPr="00D72AC3" w:rsidRDefault="00700A0B" w:rsidP="00700A0B">
            <w:pPr>
              <w:jc w:val="right"/>
              <w:rPr>
                <w:rFonts w:eastAsia="Times New Roman"/>
                <w:color w:val="000000"/>
                <w:sz w:val="18"/>
                <w:szCs w:val="18"/>
                <w:lang w:val="en-GB" w:eastAsia="lv-LV"/>
              </w:rPr>
            </w:pPr>
          </w:p>
        </w:tc>
        <w:tc>
          <w:tcPr>
            <w:tcW w:w="1048" w:type="dxa"/>
            <w:shd w:val="clear" w:color="auto" w:fill="FFFFFF"/>
            <w:noWrap/>
            <w:vAlign w:val="bottom"/>
          </w:tcPr>
          <w:p w:rsidR="00700A0B" w:rsidRPr="00D72AC3" w:rsidRDefault="00700A0B" w:rsidP="00700A0B">
            <w:pPr>
              <w:jc w:val="right"/>
              <w:rPr>
                <w:rFonts w:eastAsia="Times New Roman"/>
                <w:color w:val="000000"/>
                <w:sz w:val="18"/>
                <w:szCs w:val="18"/>
                <w:lang w:val="en-GB" w:eastAsia="lv-LV"/>
              </w:rPr>
            </w:pPr>
          </w:p>
        </w:tc>
      </w:tr>
      <w:tr w:rsidR="00700A0B" w:rsidRPr="00D72AC3" w:rsidTr="00F76636">
        <w:trPr>
          <w:trHeight w:val="312"/>
        </w:trPr>
        <w:tc>
          <w:tcPr>
            <w:tcW w:w="2415" w:type="dxa"/>
            <w:shd w:val="clear" w:color="auto" w:fill="FFFFFF"/>
          </w:tcPr>
          <w:p w:rsidR="00700A0B" w:rsidRPr="00D72AC3" w:rsidRDefault="00700A0B" w:rsidP="00700A0B">
            <w:pPr>
              <w:jc w:val="center"/>
              <w:rPr>
                <w:rFonts w:eastAsia="Times New Roman"/>
                <w:sz w:val="20"/>
                <w:szCs w:val="20"/>
                <w:lang w:val="en-GB" w:eastAsia="lv-LV"/>
              </w:rPr>
            </w:pPr>
          </w:p>
        </w:tc>
        <w:tc>
          <w:tcPr>
            <w:tcW w:w="1843" w:type="dxa"/>
            <w:shd w:val="clear" w:color="auto" w:fill="FFFFFF"/>
          </w:tcPr>
          <w:p w:rsidR="00700A0B" w:rsidRPr="00D72AC3" w:rsidRDefault="00700A0B" w:rsidP="00700A0B">
            <w:pPr>
              <w:jc w:val="both"/>
              <w:rPr>
                <w:rFonts w:eastAsia="Times New Roman"/>
                <w:bCs/>
                <w:sz w:val="18"/>
                <w:szCs w:val="18"/>
                <w:lang w:val="en-GB" w:eastAsia="lv-LV"/>
              </w:rPr>
            </w:pPr>
            <w:r w:rsidRPr="00D72AC3">
              <w:rPr>
                <w:rFonts w:eastAsia="Times New Roman"/>
                <w:sz w:val="18"/>
                <w:szCs w:val="18"/>
                <w:lang w:val="en-GB" w:bidi="en-GB"/>
              </w:rPr>
              <w:t>Ministry of Finance</w:t>
            </w:r>
          </w:p>
        </w:tc>
        <w:tc>
          <w:tcPr>
            <w:tcW w:w="1412" w:type="dxa"/>
            <w:shd w:val="clear" w:color="auto" w:fill="FFFFFF"/>
          </w:tcPr>
          <w:p w:rsidR="00700A0B" w:rsidRPr="00D72AC3" w:rsidRDefault="00700A0B" w:rsidP="00700A0B">
            <w:pPr>
              <w:jc w:val="center"/>
              <w:rPr>
                <w:rFonts w:eastAsia="Times New Roman"/>
                <w:sz w:val="18"/>
                <w:szCs w:val="18"/>
                <w:lang w:val="en-GB" w:eastAsia="lv-LV"/>
              </w:rPr>
            </w:pPr>
          </w:p>
        </w:tc>
        <w:tc>
          <w:tcPr>
            <w:tcW w:w="1134"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856"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992"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1129" w:type="dxa"/>
            <w:shd w:val="clear" w:color="auto" w:fill="FFFFFF"/>
            <w:noWrap/>
            <w:vAlign w:val="center"/>
          </w:tcPr>
          <w:p w:rsidR="00700A0B" w:rsidRPr="00D72AC3" w:rsidRDefault="00700A0B" w:rsidP="00700A0B">
            <w:pPr>
              <w:jc w:val="right"/>
              <w:rPr>
                <w:sz w:val="18"/>
                <w:szCs w:val="18"/>
                <w:lang w:val="en-GB"/>
              </w:rPr>
            </w:pPr>
          </w:p>
        </w:tc>
        <w:tc>
          <w:tcPr>
            <w:tcW w:w="1134" w:type="dxa"/>
            <w:shd w:val="clear" w:color="auto" w:fill="FFFFFF"/>
            <w:noWrap/>
            <w:vAlign w:val="center"/>
          </w:tcPr>
          <w:p w:rsidR="00700A0B" w:rsidRPr="00D72AC3" w:rsidRDefault="00700A0B" w:rsidP="00700A0B">
            <w:pPr>
              <w:jc w:val="right"/>
              <w:rPr>
                <w:sz w:val="18"/>
                <w:szCs w:val="18"/>
                <w:lang w:val="en-GB"/>
              </w:rPr>
            </w:pPr>
          </w:p>
        </w:tc>
        <w:tc>
          <w:tcPr>
            <w:tcW w:w="1134" w:type="dxa"/>
            <w:shd w:val="clear" w:color="auto" w:fill="FFFFFF"/>
            <w:noWrap/>
            <w:vAlign w:val="center"/>
          </w:tcPr>
          <w:p w:rsidR="00700A0B" w:rsidRPr="00D72AC3" w:rsidRDefault="00700A0B" w:rsidP="00700A0B">
            <w:pPr>
              <w:jc w:val="right"/>
              <w:rPr>
                <w:sz w:val="18"/>
                <w:szCs w:val="18"/>
                <w:lang w:val="en-GB"/>
              </w:rPr>
            </w:pPr>
          </w:p>
        </w:tc>
        <w:tc>
          <w:tcPr>
            <w:tcW w:w="851"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1275" w:type="dxa"/>
            <w:shd w:val="clear" w:color="auto" w:fill="FFFFFF"/>
            <w:noWrap/>
            <w:vAlign w:val="center"/>
          </w:tcPr>
          <w:p w:rsidR="00700A0B" w:rsidRPr="00D72AC3" w:rsidRDefault="00700A0B" w:rsidP="00700A0B">
            <w:pPr>
              <w:jc w:val="right"/>
              <w:rPr>
                <w:sz w:val="18"/>
                <w:szCs w:val="18"/>
                <w:lang w:val="en-GB"/>
              </w:rPr>
            </w:pPr>
          </w:p>
        </w:tc>
        <w:tc>
          <w:tcPr>
            <w:tcW w:w="1048" w:type="dxa"/>
            <w:shd w:val="clear" w:color="auto" w:fill="FFFFFF"/>
            <w:noWrap/>
            <w:vAlign w:val="bottom"/>
          </w:tcPr>
          <w:p w:rsidR="00700A0B" w:rsidRPr="00D72AC3" w:rsidRDefault="00700A0B" w:rsidP="00700A0B">
            <w:pPr>
              <w:jc w:val="right"/>
              <w:rPr>
                <w:rFonts w:eastAsia="Times New Roman"/>
                <w:color w:val="000000"/>
                <w:sz w:val="18"/>
                <w:szCs w:val="18"/>
                <w:lang w:val="en-GB" w:eastAsia="lv-LV"/>
              </w:rPr>
            </w:pPr>
          </w:p>
        </w:tc>
      </w:tr>
      <w:tr w:rsidR="00700A0B" w:rsidRPr="00D72AC3" w:rsidTr="00F76636">
        <w:trPr>
          <w:trHeight w:val="312"/>
        </w:trPr>
        <w:tc>
          <w:tcPr>
            <w:tcW w:w="2415" w:type="dxa"/>
            <w:shd w:val="clear" w:color="auto" w:fill="FFFFFF"/>
          </w:tcPr>
          <w:p w:rsidR="00700A0B" w:rsidRPr="00D72AC3" w:rsidRDefault="00700A0B" w:rsidP="00700A0B">
            <w:pPr>
              <w:jc w:val="center"/>
              <w:rPr>
                <w:rFonts w:eastAsia="Times New Roman"/>
                <w:sz w:val="20"/>
                <w:szCs w:val="20"/>
                <w:lang w:val="en-GB" w:eastAsia="lv-LV"/>
              </w:rPr>
            </w:pPr>
          </w:p>
        </w:tc>
        <w:tc>
          <w:tcPr>
            <w:tcW w:w="1843" w:type="dxa"/>
            <w:shd w:val="clear" w:color="auto" w:fill="FFFFFF"/>
          </w:tcPr>
          <w:p w:rsidR="00700A0B" w:rsidRPr="00D72AC3" w:rsidRDefault="00700A0B" w:rsidP="00700A0B">
            <w:pPr>
              <w:jc w:val="both"/>
              <w:rPr>
                <w:rFonts w:eastAsia="Times New Roman"/>
                <w:b/>
                <w:bCs/>
                <w:sz w:val="18"/>
                <w:szCs w:val="18"/>
                <w:lang w:val="en-GB" w:eastAsia="lv-LV"/>
              </w:rPr>
            </w:pPr>
            <w:r w:rsidRPr="00D72AC3">
              <w:rPr>
                <w:rFonts w:eastAsia="Times New Roman"/>
                <w:b/>
                <w:sz w:val="18"/>
                <w:szCs w:val="18"/>
                <w:lang w:val="en-GB" w:bidi="en-GB"/>
              </w:rPr>
              <w:t>Measure 3.3.(2).</w:t>
            </w:r>
          </w:p>
          <w:p w:rsidR="00700A0B" w:rsidRPr="00D72AC3" w:rsidRDefault="00700A0B" w:rsidP="00700A0B">
            <w:pPr>
              <w:jc w:val="both"/>
              <w:rPr>
                <w:rFonts w:eastAsia="Times New Roman"/>
                <w:sz w:val="20"/>
                <w:szCs w:val="20"/>
                <w:lang w:val="en-GB" w:eastAsia="lv-LV"/>
              </w:rPr>
            </w:pPr>
            <w:r w:rsidRPr="00D72AC3">
              <w:rPr>
                <w:rFonts w:eastAsia="Times New Roman"/>
                <w:sz w:val="18"/>
                <w:szCs w:val="18"/>
                <w:lang w:val="en-GB" w:bidi="en-GB"/>
              </w:rPr>
              <w:t>To ensure strengthening of the risk analysis-based anti-money laundering supervisory function in the SRS for 25 job positions.</w:t>
            </w:r>
          </w:p>
        </w:tc>
        <w:tc>
          <w:tcPr>
            <w:tcW w:w="1412" w:type="dxa"/>
            <w:shd w:val="clear" w:color="auto" w:fill="FFFFFF"/>
          </w:tcPr>
          <w:p w:rsidR="00700A0B" w:rsidRPr="00D72AC3" w:rsidRDefault="00700A0B" w:rsidP="00700A0B">
            <w:pPr>
              <w:jc w:val="center"/>
              <w:rPr>
                <w:rFonts w:eastAsia="Times New Roman"/>
                <w:sz w:val="18"/>
                <w:szCs w:val="18"/>
                <w:lang w:val="en-GB" w:eastAsia="lv-LV"/>
              </w:rPr>
            </w:pPr>
          </w:p>
        </w:tc>
        <w:tc>
          <w:tcPr>
            <w:tcW w:w="1134"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856"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992"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1129"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323, 353</w:t>
            </w:r>
          </w:p>
        </w:tc>
        <w:tc>
          <w:tcPr>
            <w:tcW w:w="1134"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312, 277</w:t>
            </w:r>
          </w:p>
        </w:tc>
        <w:tc>
          <w:tcPr>
            <w:tcW w:w="1134"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312, 277</w:t>
            </w:r>
          </w:p>
        </w:tc>
        <w:tc>
          <w:tcPr>
            <w:tcW w:w="851"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p>
        </w:tc>
        <w:tc>
          <w:tcPr>
            <w:tcW w:w="1275" w:type="dxa"/>
            <w:shd w:val="clear" w:color="auto" w:fill="FFFFFF"/>
            <w:noWrap/>
            <w:vAlign w:val="center"/>
          </w:tcPr>
          <w:p w:rsidR="00700A0B" w:rsidRPr="00D72AC3" w:rsidRDefault="00700A0B" w:rsidP="00700A0B">
            <w:pPr>
              <w:jc w:val="right"/>
              <w:rPr>
                <w:rFonts w:eastAsia="Times New Roman"/>
                <w:color w:val="000000"/>
                <w:sz w:val="18"/>
                <w:szCs w:val="18"/>
                <w:lang w:val="en-GB" w:eastAsia="lv-LV"/>
              </w:rPr>
            </w:pPr>
            <w:r w:rsidRPr="00D72AC3">
              <w:rPr>
                <w:sz w:val="18"/>
                <w:szCs w:val="18"/>
                <w:lang w:val="en-GB" w:bidi="en-GB"/>
              </w:rPr>
              <w:t>312, 277</w:t>
            </w:r>
          </w:p>
        </w:tc>
        <w:tc>
          <w:tcPr>
            <w:tcW w:w="1048" w:type="dxa"/>
            <w:shd w:val="clear" w:color="auto" w:fill="FFFFFF"/>
            <w:noWrap/>
            <w:vAlign w:val="bottom"/>
          </w:tcPr>
          <w:p w:rsidR="00700A0B" w:rsidRPr="00D72AC3" w:rsidRDefault="00700A0B" w:rsidP="00700A0B">
            <w:pPr>
              <w:jc w:val="right"/>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sz w:val="18"/>
                <w:szCs w:val="18"/>
                <w:lang w:val="en-GB" w:eastAsia="lv-LV"/>
              </w:rPr>
            </w:pPr>
            <w:r w:rsidRPr="00D72AC3">
              <w:rPr>
                <w:rFonts w:cs="Times New Roman"/>
                <w:sz w:val="18"/>
                <w:szCs w:val="18"/>
                <w:lang w:val="en-GB" w:bidi="en-GB"/>
              </w:rPr>
              <w:t>Ministry of Finance</w:t>
            </w:r>
          </w:p>
        </w:tc>
        <w:tc>
          <w:tcPr>
            <w:tcW w:w="1412" w:type="dxa"/>
            <w:shd w:val="clear" w:color="auto" w:fill="auto"/>
          </w:tcPr>
          <w:p w:rsidR="00700A0B" w:rsidRPr="00D72AC3" w:rsidRDefault="00700A0B" w:rsidP="00700A0B">
            <w:pPr>
              <w:jc w:val="center"/>
              <w:rPr>
                <w:rFonts w:eastAsia="Times New Roman"/>
                <w:sz w:val="20"/>
                <w:szCs w:val="20"/>
                <w:lang w:val="en-GB" w:eastAsia="lv-LV"/>
              </w:rPr>
            </w:pPr>
          </w:p>
        </w:tc>
        <w:tc>
          <w:tcPr>
            <w:tcW w:w="1134" w:type="dxa"/>
            <w:shd w:val="clear" w:color="auto" w:fill="auto"/>
            <w:noWrap/>
            <w:vAlign w:val="bottom"/>
          </w:tcPr>
          <w:p w:rsidR="00700A0B" w:rsidRPr="00D72AC3" w:rsidRDefault="00700A0B" w:rsidP="00700A0B">
            <w:pPr>
              <w:jc w:val="right"/>
              <w:rPr>
                <w:sz w:val="18"/>
                <w:szCs w:val="18"/>
                <w:lang w:val="en-GB"/>
              </w:rPr>
            </w:pPr>
          </w:p>
        </w:tc>
        <w:tc>
          <w:tcPr>
            <w:tcW w:w="856" w:type="dxa"/>
            <w:shd w:val="clear" w:color="auto" w:fill="auto"/>
            <w:noWrap/>
            <w:vAlign w:val="bottom"/>
          </w:tcPr>
          <w:p w:rsidR="00700A0B" w:rsidRPr="00D72AC3" w:rsidRDefault="00700A0B" w:rsidP="00700A0B">
            <w:pPr>
              <w:jc w:val="right"/>
              <w:rPr>
                <w:sz w:val="18"/>
                <w:szCs w:val="18"/>
                <w:lang w:val="en-GB"/>
              </w:rPr>
            </w:pPr>
          </w:p>
        </w:tc>
        <w:tc>
          <w:tcPr>
            <w:tcW w:w="992" w:type="dxa"/>
            <w:shd w:val="clear" w:color="auto" w:fill="auto"/>
            <w:noWrap/>
            <w:vAlign w:val="bottom"/>
          </w:tcPr>
          <w:p w:rsidR="00700A0B" w:rsidRPr="00D72AC3" w:rsidRDefault="00700A0B" w:rsidP="00700A0B">
            <w:pPr>
              <w:jc w:val="right"/>
              <w:rPr>
                <w:sz w:val="18"/>
                <w:szCs w:val="18"/>
                <w:lang w:val="en-GB"/>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b/>
                <w:sz w:val="18"/>
                <w:szCs w:val="18"/>
                <w:lang w:val="en-GB" w:eastAsia="lv-LV"/>
              </w:rPr>
            </w:pPr>
            <w:r w:rsidRPr="00D72AC3">
              <w:rPr>
                <w:rFonts w:cs="Times New Roman"/>
                <w:b/>
                <w:sz w:val="18"/>
                <w:szCs w:val="18"/>
                <w:lang w:val="en-GB" w:bidi="en-GB"/>
              </w:rPr>
              <w:t>Measure 3.3.(2).</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To review the number of employees and resources of the supervisory authorities, in order to ensure that they are able to adequately manage the identified risks and supervise the conduct of the subjects of law with respect to the risks.</w:t>
            </w:r>
          </w:p>
        </w:tc>
        <w:tc>
          <w:tcPr>
            <w:tcW w:w="1412" w:type="dxa"/>
            <w:shd w:val="clear" w:color="auto" w:fill="auto"/>
          </w:tcPr>
          <w:p w:rsidR="00700A0B" w:rsidRPr="00D72AC3" w:rsidRDefault="00700A0B" w:rsidP="00700A0B">
            <w:pPr>
              <w:jc w:val="center"/>
              <w:rPr>
                <w:rFonts w:eastAsia="Times New Roman"/>
                <w:sz w:val="20"/>
                <w:szCs w:val="20"/>
                <w:lang w:val="en-GB" w:eastAsia="lv-LV"/>
              </w:rPr>
            </w:pPr>
          </w:p>
        </w:tc>
        <w:tc>
          <w:tcPr>
            <w:tcW w:w="1134" w:type="dxa"/>
            <w:shd w:val="clear" w:color="auto" w:fill="auto"/>
            <w:noWrap/>
            <w:vAlign w:val="bottom"/>
          </w:tcPr>
          <w:p w:rsidR="00700A0B" w:rsidRPr="00D72AC3" w:rsidRDefault="00700A0B" w:rsidP="00700A0B">
            <w:pPr>
              <w:jc w:val="right"/>
              <w:rPr>
                <w:sz w:val="18"/>
                <w:szCs w:val="18"/>
                <w:lang w:val="en-GB"/>
              </w:rPr>
            </w:pPr>
            <w:r w:rsidRPr="00D72AC3">
              <w:rPr>
                <w:sz w:val="18"/>
                <w:szCs w:val="18"/>
                <w:lang w:val="en-GB" w:bidi="en-GB"/>
              </w:rPr>
              <w:t>533, 182</w:t>
            </w:r>
          </w:p>
        </w:tc>
        <w:tc>
          <w:tcPr>
            <w:tcW w:w="856" w:type="dxa"/>
            <w:shd w:val="clear" w:color="auto" w:fill="auto"/>
            <w:noWrap/>
            <w:vAlign w:val="bottom"/>
          </w:tcPr>
          <w:p w:rsidR="00700A0B" w:rsidRPr="00D72AC3" w:rsidRDefault="00700A0B" w:rsidP="00700A0B">
            <w:pPr>
              <w:jc w:val="right"/>
              <w:rPr>
                <w:sz w:val="18"/>
                <w:szCs w:val="18"/>
                <w:lang w:val="en-GB"/>
              </w:rPr>
            </w:pPr>
            <w:r w:rsidRPr="00D72AC3">
              <w:rPr>
                <w:sz w:val="18"/>
                <w:szCs w:val="18"/>
                <w:lang w:val="en-GB" w:bidi="en-GB"/>
              </w:rPr>
              <w:t>533, 163</w:t>
            </w:r>
          </w:p>
        </w:tc>
        <w:tc>
          <w:tcPr>
            <w:tcW w:w="992" w:type="dxa"/>
            <w:shd w:val="clear" w:color="auto" w:fill="auto"/>
            <w:noWrap/>
            <w:vAlign w:val="bottom"/>
          </w:tcPr>
          <w:p w:rsidR="00700A0B" w:rsidRPr="00D72AC3" w:rsidRDefault="00700A0B" w:rsidP="00700A0B">
            <w:pPr>
              <w:jc w:val="right"/>
              <w:rPr>
                <w:sz w:val="18"/>
                <w:szCs w:val="18"/>
                <w:lang w:val="en-GB"/>
              </w:rPr>
            </w:pPr>
            <w:r w:rsidRPr="00D72AC3">
              <w:rPr>
                <w:sz w:val="18"/>
                <w:szCs w:val="18"/>
                <w:lang w:val="en-GB" w:bidi="en-GB"/>
              </w:rPr>
              <w:t>533, 160</w:t>
            </w: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sz w:val="18"/>
                <w:szCs w:val="18"/>
                <w:lang w:val="en-GB" w:eastAsia="lv-LV"/>
              </w:rPr>
            </w:pPr>
            <w:r w:rsidRPr="00D72AC3">
              <w:rPr>
                <w:rFonts w:cs="Times New Roman"/>
                <w:sz w:val="18"/>
                <w:szCs w:val="18"/>
                <w:lang w:val="en-GB" w:bidi="en-GB"/>
              </w:rPr>
              <w:t>Ministry of Finance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D9D9D9" w:themeFill="background1" w:themeFillShade="D9"/>
          </w:tcPr>
          <w:p w:rsidR="00700A0B" w:rsidRPr="00D72AC3" w:rsidRDefault="00700A0B" w:rsidP="00700A0B">
            <w:pPr>
              <w:jc w:val="center"/>
              <w:rPr>
                <w:rFonts w:eastAsia="Times New Roman"/>
                <w:sz w:val="20"/>
                <w:szCs w:val="20"/>
                <w:lang w:val="en-GB" w:eastAsia="lv-LV"/>
              </w:rPr>
            </w:pPr>
          </w:p>
        </w:tc>
        <w:tc>
          <w:tcPr>
            <w:tcW w:w="1843" w:type="dxa"/>
            <w:shd w:val="clear" w:color="auto" w:fill="D9D9D9" w:themeFill="background1" w:themeFillShade="D9"/>
          </w:tcPr>
          <w:p w:rsidR="00700A0B" w:rsidRPr="00D72AC3" w:rsidRDefault="00700A0B" w:rsidP="00700A0B">
            <w:pPr>
              <w:jc w:val="both"/>
              <w:rPr>
                <w:rFonts w:cs="Times New Roman"/>
                <w:sz w:val="18"/>
                <w:szCs w:val="18"/>
                <w:lang w:val="en-GB" w:eastAsia="lv-LV"/>
              </w:rPr>
            </w:pPr>
          </w:p>
        </w:tc>
        <w:tc>
          <w:tcPr>
            <w:tcW w:w="1412" w:type="dxa"/>
            <w:shd w:val="clear" w:color="auto" w:fill="D9D9D9" w:themeFill="background1" w:themeFillShade="D9"/>
          </w:tcPr>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 xml:space="preserve">39.02.00 </w:t>
            </w:r>
          </w:p>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Supervision of organisation and course of lotteries and gambling</w:t>
            </w:r>
          </w:p>
        </w:tc>
        <w:tc>
          <w:tcPr>
            <w:tcW w:w="1134" w:type="dxa"/>
            <w:shd w:val="clear" w:color="auto" w:fill="D9D9D9" w:themeFill="background1" w:themeFillShade="D9"/>
            <w:noWrap/>
            <w:vAlign w:val="bottom"/>
          </w:tcPr>
          <w:p w:rsidR="00700A0B" w:rsidRPr="00D72AC3" w:rsidRDefault="00700A0B" w:rsidP="00700A0B">
            <w:pPr>
              <w:jc w:val="center"/>
              <w:rPr>
                <w:sz w:val="18"/>
                <w:szCs w:val="18"/>
                <w:lang w:val="en-GB"/>
              </w:rPr>
            </w:pPr>
            <w:r w:rsidRPr="00D72AC3">
              <w:rPr>
                <w:sz w:val="18"/>
                <w:szCs w:val="18"/>
                <w:lang w:val="en-GB" w:bidi="en-GB"/>
              </w:rPr>
              <w:t>24, 580</w:t>
            </w:r>
          </w:p>
        </w:tc>
        <w:tc>
          <w:tcPr>
            <w:tcW w:w="856" w:type="dxa"/>
            <w:shd w:val="clear" w:color="auto" w:fill="D9D9D9" w:themeFill="background1" w:themeFillShade="D9"/>
            <w:noWrap/>
            <w:vAlign w:val="bottom"/>
          </w:tcPr>
          <w:p w:rsidR="00700A0B" w:rsidRPr="00D72AC3" w:rsidRDefault="00700A0B" w:rsidP="00700A0B">
            <w:pPr>
              <w:jc w:val="center"/>
              <w:rPr>
                <w:sz w:val="18"/>
                <w:szCs w:val="18"/>
                <w:lang w:val="en-GB"/>
              </w:rPr>
            </w:pPr>
            <w:r w:rsidRPr="00D72AC3">
              <w:rPr>
                <w:sz w:val="18"/>
                <w:szCs w:val="18"/>
                <w:lang w:val="en-GB" w:bidi="en-GB"/>
              </w:rPr>
              <w:t>22, 830</w:t>
            </w:r>
          </w:p>
        </w:tc>
        <w:tc>
          <w:tcPr>
            <w:tcW w:w="992" w:type="dxa"/>
            <w:shd w:val="clear" w:color="auto" w:fill="D9D9D9" w:themeFill="background1" w:themeFillShade="D9"/>
            <w:noWrap/>
            <w:vAlign w:val="bottom"/>
          </w:tcPr>
          <w:p w:rsidR="00700A0B" w:rsidRPr="00D72AC3" w:rsidRDefault="00700A0B" w:rsidP="00700A0B">
            <w:pPr>
              <w:jc w:val="center"/>
              <w:rPr>
                <w:sz w:val="18"/>
                <w:szCs w:val="18"/>
                <w:lang w:val="en-GB"/>
              </w:rPr>
            </w:pPr>
            <w:r w:rsidRPr="00D72AC3">
              <w:rPr>
                <w:sz w:val="18"/>
                <w:szCs w:val="18"/>
                <w:lang w:val="en-GB" w:bidi="en-GB"/>
              </w:rPr>
              <w:t>22, 830</w:t>
            </w:r>
          </w:p>
        </w:tc>
        <w:tc>
          <w:tcPr>
            <w:tcW w:w="1129"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D9D9D9" w:themeFill="background1" w:themeFillShade="D9"/>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b/>
                <w:sz w:val="18"/>
                <w:szCs w:val="18"/>
                <w:lang w:val="en-GB" w:eastAsia="lv-LV"/>
              </w:rPr>
            </w:pPr>
            <w:r w:rsidRPr="00D72AC3">
              <w:rPr>
                <w:rFonts w:cs="Times New Roman"/>
                <w:b/>
                <w:sz w:val="18"/>
                <w:szCs w:val="18"/>
                <w:lang w:val="en-GB" w:bidi="en-GB"/>
              </w:rPr>
              <w:t>Measure 3.3.(4).</w:t>
            </w:r>
          </w:p>
          <w:p w:rsidR="00700A0B" w:rsidRPr="00D72AC3" w:rsidRDefault="00700A0B" w:rsidP="00700A0B">
            <w:pPr>
              <w:jc w:val="both"/>
              <w:rPr>
                <w:rFonts w:cs="Times New Roman"/>
                <w:sz w:val="18"/>
                <w:szCs w:val="18"/>
                <w:lang w:val="en-GB" w:eastAsia="lv-LV"/>
              </w:rPr>
            </w:pPr>
            <w:r w:rsidRPr="00D72AC3">
              <w:rPr>
                <w:rFonts w:cs="Times New Roman"/>
                <w:sz w:val="18"/>
                <w:szCs w:val="18"/>
                <w:lang w:val="en-GB" w:bidi="en-GB"/>
              </w:rPr>
              <w:t>To review the number of employees and resources of the supervisory authorities, in order to ensure that they are able to adequately manage the identified risks and supervise the conduct of the subjects of law with respect to the risks.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tcPr>
          <w:p w:rsidR="00700A0B" w:rsidRPr="00D72AC3" w:rsidRDefault="00700A0B" w:rsidP="00700A0B">
            <w:pPr>
              <w:jc w:val="center"/>
              <w:rPr>
                <w:sz w:val="18"/>
                <w:szCs w:val="18"/>
                <w:lang w:val="en-GB"/>
              </w:rPr>
            </w:pPr>
            <w:r w:rsidRPr="00D72AC3">
              <w:rPr>
                <w:sz w:val="18"/>
                <w:szCs w:val="18"/>
                <w:lang w:val="en-GB" w:bidi="en-GB"/>
              </w:rPr>
              <w:t>24, 580</w:t>
            </w:r>
          </w:p>
        </w:tc>
        <w:tc>
          <w:tcPr>
            <w:tcW w:w="856" w:type="dxa"/>
            <w:shd w:val="clear" w:color="auto" w:fill="auto"/>
            <w:noWrap/>
          </w:tcPr>
          <w:p w:rsidR="00700A0B" w:rsidRPr="00D72AC3" w:rsidRDefault="00700A0B" w:rsidP="00700A0B">
            <w:pPr>
              <w:jc w:val="center"/>
              <w:rPr>
                <w:sz w:val="18"/>
                <w:szCs w:val="18"/>
                <w:lang w:val="en-GB"/>
              </w:rPr>
            </w:pPr>
            <w:r w:rsidRPr="00D72AC3">
              <w:rPr>
                <w:sz w:val="18"/>
                <w:szCs w:val="18"/>
                <w:lang w:val="en-GB" w:bidi="en-GB"/>
              </w:rPr>
              <w:t>22, 830</w:t>
            </w:r>
          </w:p>
        </w:tc>
        <w:tc>
          <w:tcPr>
            <w:tcW w:w="992" w:type="dxa"/>
            <w:shd w:val="clear" w:color="auto" w:fill="auto"/>
            <w:noWrap/>
          </w:tcPr>
          <w:p w:rsidR="00700A0B" w:rsidRPr="00D72AC3" w:rsidRDefault="00700A0B" w:rsidP="00700A0B">
            <w:pPr>
              <w:jc w:val="center"/>
              <w:rPr>
                <w:sz w:val="18"/>
                <w:szCs w:val="18"/>
                <w:lang w:val="en-GB"/>
              </w:rPr>
            </w:pPr>
            <w:r w:rsidRPr="00D72AC3">
              <w:rPr>
                <w:sz w:val="18"/>
                <w:szCs w:val="18"/>
                <w:lang w:val="en-GB" w:bidi="en-GB"/>
              </w:rPr>
              <w:t>22, 830</w:t>
            </w: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sz w:val="18"/>
                <w:szCs w:val="18"/>
                <w:lang w:val="en-GB" w:eastAsia="lv-LV"/>
              </w:rPr>
            </w:pPr>
            <w:r w:rsidRPr="00D72AC3">
              <w:rPr>
                <w:rFonts w:cs="Times New Roman"/>
                <w:sz w:val="18"/>
                <w:szCs w:val="18"/>
                <w:lang w:val="en-GB" w:bidi="en-GB"/>
              </w:rPr>
              <w:t>Ministry of Finance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D9D9D9" w:themeFill="background1" w:themeFillShade="D9"/>
          </w:tcPr>
          <w:p w:rsidR="00700A0B" w:rsidRPr="00D72AC3" w:rsidRDefault="00700A0B" w:rsidP="00700A0B">
            <w:pPr>
              <w:jc w:val="center"/>
              <w:rPr>
                <w:rFonts w:eastAsia="Times New Roman"/>
                <w:sz w:val="20"/>
                <w:szCs w:val="20"/>
                <w:lang w:val="en-GB" w:eastAsia="lv-LV"/>
              </w:rPr>
            </w:pPr>
          </w:p>
        </w:tc>
        <w:tc>
          <w:tcPr>
            <w:tcW w:w="1843" w:type="dxa"/>
            <w:shd w:val="clear" w:color="auto" w:fill="D9D9D9" w:themeFill="background1" w:themeFillShade="D9"/>
          </w:tcPr>
          <w:p w:rsidR="00700A0B" w:rsidRPr="00D72AC3" w:rsidRDefault="00700A0B" w:rsidP="00700A0B">
            <w:pPr>
              <w:jc w:val="both"/>
              <w:rPr>
                <w:rFonts w:cs="Times New Roman"/>
                <w:sz w:val="18"/>
                <w:szCs w:val="18"/>
                <w:lang w:val="en-GB" w:eastAsia="lv-LV"/>
              </w:rPr>
            </w:pPr>
          </w:p>
        </w:tc>
        <w:tc>
          <w:tcPr>
            <w:tcW w:w="1412" w:type="dxa"/>
            <w:shd w:val="clear" w:color="auto" w:fill="D9D9D9" w:themeFill="background1" w:themeFillShade="D9"/>
          </w:tcPr>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 xml:space="preserve">26.01.00 </w:t>
            </w:r>
          </w:p>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Internal market and consumer rights protection</w:t>
            </w:r>
          </w:p>
        </w:tc>
        <w:tc>
          <w:tcPr>
            <w:tcW w:w="1134" w:type="dxa"/>
            <w:shd w:val="clear" w:color="auto" w:fill="D9D9D9" w:themeFill="background1" w:themeFillShade="D9"/>
            <w:noWrap/>
            <w:vAlign w:val="bottom"/>
          </w:tcPr>
          <w:p w:rsidR="00700A0B" w:rsidRPr="00D72AC3" w:rsidRDefault="00700A0B" w:rsidP="00700A0B">
            <w:pPr>
              <w:jc w:val="center"/>
              <w:rPr>
                <w:sz w:val="18"/>
                <w:szCs w:val="18"/>
                <w:lang w:val="en-GB"/>
              </w:rPr>
            </w:pPr>
            <w:r w:rsidRPr="00D72AC3">
              <w:rPr>
                <w:sz w:val="18"/>
                <w:szCs w:val="18"/>
                <w:lang w:val="en-GB" w:bidi="en-GB"/>
              </w:rPr>
              <w:t>277, 142</w:t>
            </w:r>
          </w:p>
        </w:tc>
        <w:tc>
          <w:tcPr>
            <w:tcW w:w="856" w:type="dxa"/>
            <w:shd w:val="clear" w:color="auto" w:fill="D9D9D9" w:themeFill="background1" w:themeFillShade="D9"/>
            <w:noWrap/>
            <w:vAlign w:val="bottom"/>
          </w:tcPr>
          <w:p w:rsidR="00700A0B" w:rsidRPr="00D72AC3" w:rsidRDefault="00700A0B" w:rsidP="00700A0B">
            <w:pPr>
              <w:jc w:val="center"/>
              <w:rPr>
                <w:sz w:val="18"/>
                <w:szCs w:val="18"/>
                <w:lang w:val="en-GB"/>
              </w:rPr>
            </w:pPr>
            <w:r w:rsidRPr="00D72AC3">
              <w:rPr>
                <w:sz w:val="18"/>
                <w:szCs w:val="18"/>
                <w:lang w:val="en-GB" w:bidi="en-GB"/>
              </w:rPr>
              <w:t>268, 342</w:t>
            </w:r>
          </w:p>
        </w:tc>
        <w:tc>
          <w:tcPr>
            <w:tcW w:w="992" w:type="dxa"/>
            <w:shd w:val="clear" w:color="auto" w:fill="D9D9D9" w:themeFill="background1" w:themeFillShade="D9"/>
            <w:noWrap/>
            <w:vAlign w:val="bottom"/>
          </w:tcPr>
          <w:p w:rsidR="00700A0B" w:rsidRPr="00D72AC3" w:rsidRDefault="00700A0B" w:rsidP="00700A0B">
            <w:pPr>
              <w:jc w:val="center"/>
              <w:rPr>
                <w:sz w:val="18"/>
                <w:szCs w:val="18"/>
                <w:lang w:val="en-GB"/>
              </w:rPr>
            </w:pPr>
            <w:r w:rsidRPr="00D72AC3">
              <w:rPr>
                <w:sz w:val="18"/>
                <w:szCs w:val="18"/>
                <w:lang w:val="en-GB" w:bidi="en-GB"/>
              </w:rPr>
              <w:t>268, 342</w:t>
            </w:r>
          </w:p>
        </w:tc>
        <w:tc>
          <w:tcPr>
            <w:tcW w:w="1129"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D9D9D9" w:themeFill="background1" w:themeFillShade="D9"/>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b/>
                <w:sz w:val="18"/>
                <w:szCs w:val="18"/>
                <w:lang w:val="en-GB" w:eastAsia="lv-LV"/>
              </w:rPr>
            </w:pPr>
            <w:r w:rsidRPr="00D72AC3">
              <w:rPr>
                <w:rFonts w:cs="Times New Roman"/>
                <w:b/>
                <w:sz w:val="18"/>
                <w:szCs w:val="18"/>
                <w:lang w:val="en-GB" w:bidi="en-GB"/>
              </w:rPr>
              <w:t>Measure 3.3.(3).</w:t>
            </w:r>
          </w:p>
          <w:p w:rsidR="00700A0B" w:rsidRPr="00D72AC3" w:rsidRDefault="00700A0B" w:rsidP="00700A0B">
            <w:pPr>
              <w:jc w:val="both"/>
              <w:rPr>
                <w:rFonts w:cs="Times New Roman"/>
                <w:sz w:val="18"/>
                <w:szCs w:val="18"/>
                <w:lang w:val="en-GB" w:eastAsia="lv-LV"/>
              </w:rPr>
            </w:pPr>
            <w:r w:rsidRPr="00D72AC3">
              <w:rPr>
                <w:rFonts w:cs="Times New Roman"/>
                <w:sz w:val="18"/>
                <w:szCs w:val="18"/>
                <w:lang w:val="en-GB" w:bidi="en-GB"/>
              </w:rPr>
              <w:t>To review the number of employees and resources of the supervisory authorities, in order to ensure that they are able to adequately manage the identified risks and supervise the conduct of the subjects of law with respect to the risks.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tcPr>
          <w:p w:rsidR="00700A0B" w:rsidRPr="00D72AC3" w:rsidRDefault="00700A0B" w:rsidP="00700A0B">
            <w:pPr>
              <w:jc w:val="center"/>
              <w:rPr>
                <w:sz w:val="18"/>
                <w:szCs w:val="18"/>
                <w:lang w:val="en-GB"/>
              </w:rPr>
            </w:pPr>
            <w:r w:rsidRPr="00D72AC3">
              <w:rPr>
                <w:sz w:val="18"/>
                <w:szCs w:val="18"/>
                <w:lang w:val="en-GB" w:bidi="en-GB"/>
              </w:rPr>
              <w:t>277, 142</w:t>
            </w:r>
          </w:p>
        </w:tc>
        <w:tc>
          <w:tcPr>
            <w:tcW w:w="856" w:type="dxa"/>
            <w:shd w:val="clear" w:color="auto" w:fill="auto"/>
            <w:noWrap/>
          </w:tcPr>
          <w:p w:rsidR="00700A0B" w:rsidRPr="00D72AC3" w:rsidRDefault="00700A0B" w:rsidP="00700A0B">
            <w:pPr>
              <w:jc w:val="center"/>
              <w:rPr>
                <w:sz w:val="18"/>
                <w:szCs w:val="18"/>
                <w:lang w:val="en-GB"/>
              </w:rPr>
            </w:pPr>
            <w:r w:rsidRPr="00D72AC3">
              <w:rPr>
                <w:sz w:val="18"/>
                <w:szCs w:val="18"/>
                <w:lang w:val="en-GB" w:bidi="en-GB"/>
              </w:rPr>
              <w:t>268, 342</w:t>
            </w:r>
          </w:p>
        </w:tc>
        <w:tc>
          <w:tcPr>
            <w:tcW w:w="992" w:type="dxa"/>
            <w:shd w:val="clear" w:color="auto" w:fill="auto"/>
            <w:noWrap/>
          </w:tcPr>
          <w:p w:rsidR="00700A0B" w:rsidRPr="00D72AC3" w:rsidRDefault="00700A0B" w:rsidP="00700A0B">
            <w:pPr>
              <w:jc w:val="center"/>
              <w:rPr>
                <w:sz w:val="18"/>
                <w:szCs w:val="18"/>
                <w:lang w:val="en-GB"/>
              </w:rPr>
            </w:pPr>
            <w:r w:rsidRPr="00D72AC3">
              <w:rPr>
                <w:sz w:val="18"/>
                <w:szCs w:val="18"/>
                <w:lang w:val="en-GB" w:bidi="en-GB"/>
              </w:rPr>
              <w:t>268, 342</w:t>
            </w: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cs="Times New Roman"/>
                <w:sz w:val="18"/>
                <w:szCs w:val="18"/>
                <w:lang w:val="en-GB" w:eastAsia="lv-LV"/>
              </w:rPr>
            </w:pPr>
            <w:r w:rsidRPr="00D72AC3">
              <w:rPr>
                <w:rFonts w:cs="Times New Roman"/>
                <w:sz w:val="18"/>
                <w:szCs w:val="18"/>
                <w:lang w:val="en-GB" w:bidi="en-GB"/>
              </w:rPr>
              <w:t>Ministry of Economics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523"/>
        </w:trPr>
        <w:tc>
          <w:tcPr>
            <w:tcW w:w="2415" w:type="dxa"/>
            <w:shd w:val="clear" w:color="auto" w:fill="D9D9D9" w:themeFill="background1" w:themeFillShade="D9"/>
            <w:noWrap/>
            <w:vAlign w:val="bottom"/>
          </w:tcPr>
          <w:p w:rsidR="00700A0B" w:rsidRPr="00D72AC3" w:rsidRDefault="00700A0B" w:rsidP="00700A0B">
            <w:pPr>
              <w:rPr>
                <w:rFonts w:eastAsia="Times New Roman"/>
                <w:color w:val="000000"/>
                <w:sz w:val="18"/>
                <w:szCs w:val="18"/>
                <w:lang w:val="en-GB" w:eastAsia="lv-LV"/>
              </w:rPr>
            </w:pPr>
          </w:p>
        </w:tc>
        <w:tc>
          <w:tcPr>
            <w:tcW w:w="1843" w:type="dxa"/>
            <w:shd w:val="clear" w:color="auto" w:fill="D9D9D9" w:themeFill="background1" w:themeFillShade="D9"/>
          </w:tcPr>
          <w:p w:rsidR="00700A0B" w:rsidRPr="00D72AC3" w:rsidRDefault="00700A0B" w:rsidP="00700A0B">
            <w:pPr>
              <w:jc w:val="both"/>
              <w:rPr>
                <w:rFonts w:eastAsia="Times New Roman"/>
                <w:sz w:val="18"/>
                <w:szCs w:val="18"/>
                <w:lang w:val="en-GB" w:eastAsia="lv-LV"/>
              </w:rPr>
            </w:pPr>
          </w:p>
        </w:tc>
        <w:tc>
          <w:tcPr>
            <w:tcW w:w="1412" w:type="dxa"/>
            <w:shd w:val="clear" w:color="auto" w:fill="D9D9D9" w:themeFill="background1" w:themeFillShade="D9"/>
          </w:tcPr>
          <w:p w:rsidR="00700A0B" w:rsidRPr="00D72AC3" w:rsidRDefault="00700A0B" w:rsidP="00700A0B">
            <w:pPr>
              <w:jc w:val="center"/>
              <w:rPr>
                <w:rFonts w:eastAsia="Times New Roman"/>
                <w:sz w:val="18"/>
                <w:szCs w:val="18"/>
                <w:lang w:val="en-GB" w:eastAsia="lv-LV"/>
              </w:rPr>
            </w:pPr>
            <w:r w:rsidRPr="00D72AC3">
              <w:rPr>
                <w:rFonts w:eastAsia="Times New Roman"/>
                <w:sz w:val="18"/>
                <w:szCs w:val="18"/>
                <w:lang w:val="en-GB" w:bidi="en-GB"/>
              </w:rPr>
              <w:t>02.00.00 Anti-money laundering</w:t>
            </w:r>
          </w:p>
        </w:tc>
        <w:tc>
          <w:tcPr>
            <w:tcW w:w="1134"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155, 678</w:t>
            </w:r>
          </w:p>
        </w:tc>
        <w:tc>
          <w:tcPr>
            <w:tcW w:w="856"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137, 536</w:t>
            </w:r>
          </w:p>
        </w:tc>
        <w:tc>
          <w:tcPr>
            <w:tcW w:w="992"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107, 536</w:t>
            </w:r>
          </w:p>
        </w:tc>
        <w:tc>
          <w:tcPr>
            <w:tcW w:w="1129" w:type="dxa"/>
            <w:shd w:val="clear" w:color="auto" w:fill="D9D9D9" w:themeFill="background1" w:themeFillShade="D9"/>
            <w:noWrap/>
            <w:vAlign w:val="bottom"/>
          </w:tcPr>
          <w:p w:rsidR="00700A0B" w:rsidRPr="00D72AC3" w:rsidRDefault="00095084" w:rsidP="00095084">
            <w:pPr>
              <w:jc w:val="center"/>
              <w:rPr>
                <w:rFonts w:eastAsia="Times New Roman"/>
                <w:color w:val="000000"/>
                <w:sz w:val="18"/>
                <w:szCs w:val="18"/>
                <w:lang w:val="en-GB" w:eastAsia="lv-LV"/>
              </w:rPr>
            </w:pPr>
            <w:r>
              <w:rPr>
                <w:rFonts w:eastAsia="Times New Roman"/>
                <w:color w:val="000000"/>
                <w:sz w:val="18"/>
                <w:szCs w:val="18"/>
                <w:lang w:val="en-GB" w:bidi="en-GB"/>
              </w:rPr>
              <w:t>3</w:t>
            </w:r>
            <w:r w:rsidR="008349B6" w:rsidRPr="00D72AC3">
              <w:rPr>
                <w:rFonts w:eastAsia="Times New Roman"/>
                <w:color w:val="000000"/>
                <w:sz w:val="18"/>
                <w:szCs w:val="18"/>
                <w:lang w:val="en-GB" w:bidi="en-GB"/>
              </w:rPr>
              <w:t>,</w:t>
            </w:r>
            <w:r>
              <w:rPr>
                <w:rFonts w:eastAsia="Times New Roman"/>
                <w:color w:val="000000"/>
                <w:sz w:val="18"/>
                <w:szCs w:val="18"/>
                <w:lang w:val="en-GB" w:bidi="en-GB"/>
              </w:rPr>
              <w:t>423</w:t>
            </w:r>
            <w:r w:rsidR="008349B6" w:rsidRPr="00D72AC3">
              <w:rPr>
                <w:rFonts w:eastAsia="Times New Roman"/>
                <w:color w:val="000000"/>
                <w:sz w:val="18"/>
                <w:szCs w:val="18"/>
                <w:lang w:val="en-GB" w:bidi="en-GB"/>
              </w:rPr>
              <w:t>, 179</w:t>
            </w:r>
          </w:p>
        </w:tc>
        <w:tc>
          <w:tcPr>
            <w:tcW w:w="1134" w:type="dxa"/>
            <w:shd w:val="clear" w:color="auto" w:fill="D9D9D9" w:themeFill="background1" w:themeFillShade="D9"/>
            <w:noWrap/>
            <w:vAlign w:val="bottom"/>
          </w:tcPr>
          <w:p w:rsidR="00700A0B" w:rsidRPr="00D72AC3" w:rsidRDefault="00095084" w:rsidP="00095084">
            <w:pPr>
              <w:jc w:val="center"/>
              <w:rPr>
                <w:rFonts w:eastAsia="Times New Roman"/>
                <w:color w:val="000000"/>
                <w:sz w:val="18"/>
                <w:szCs w:val="18"/>
                <w:lang w:val="en-GB" w:eastAsia="lv-LV"/>
              </w:rPr>
            </w:pPr>
            <w:r>
              <w:rPr>
                <w:rFonts w:eastAsia="Times New Roman"/>
                <w:color w:val="000000"/>
                <w:sz w:val="18"/>
                <w:szCs w:val="18"/>
                <w:lang w:val="en-GB" w:bidi="en-GB"/>
              </w:rPr>
              <w:t>2</w:t>
            </w:r>
            <w:r w:rsidR="009934D2" w:rsidRPr="00D72AC3">
              <w:rPr>
                <w:rFonts w:eastAsia="Times New Roman"/>
                <w:color w:val="000000"/>
                <w:sz w:val="18"/>
                <w:szCs w:val="18"/>
                <w:lang w:val="en-GB" w:bidi="en-GB"/>
              </w:rPr>
              <w:t>, </w:t>
            </w:r>
            <w:r>
              <w:rPr>
                <w:rFonts w:eastAsia="Times New Roman"/>
                <w:color w:val="000000"/>
                <w:sz w:val="18"/>
                <w:szCs w:val="18"/>
                <w:lang w:val="en-GB" w:bidi="en-GB"/>
              </w:rPr>
              <w:t>467,179</w:t>
            </w:r>
          </w:p>
        </w:tc>
        <w:tc>
          <w:tcPr>
            <w:tcW w:w="1134" w:type="dxa"/>
            <w:shd w:val="clear" w:color="auto" w:fill="D9D9D9" w:themeFill="background1" w:themeFillShade="D9"/>
            <w:noWrap/>
            <w:vAlign w:val="bottom"/>
          </w:tcPr>
          <w:p w:rsidR="00700A0B" w:rsidRPr="00D72AC3" w:rsidRDefault="00700A0B" w:rsidP="00095084">
            <w:pPr>
              <w:jc w:val="center"/>
              <w:rPr>
                <w:rFonts w:eastAsia="Times New Roman"/>
                <w:color w:val="000000"/>
                <w:sz w:val="18"/>
                <w:szCs w:val="18"/>
                <w:lang w:val="en-GB" w:eastAsia="lv-LV"/>
              </w:rPr>
            </w:pPr>
            <w:r w:rsidRPr="00D72AC3">
              <w:rPr>
                <w:rFonts w:eastAsia="Times New Roman"/>
                <w:color w:val="000000"/>
                <w:sz w:val="18"/>
                <w:szCs w:val="18"/>
                <w:lang w:val="en-GB" w:bidi="en-GB"/>
              </w:rPr>
              <w:t>1, </w:t>
            </w:r>
            <w:r w:rsidR="00095084">
              <w:rPr>
                <w:rFonts w:eastAsia="Times New Roman"/>
                <w:color w:val="000000"/>
                <w:sz w:val="18"/>
                <w:szCs w:val="18"/>
                <w:lang w:val="en-GB" w:bidi="en-GB"/>
              </w:rPr>
              <w:t>757,179</w:t>
            </w:r>
          </w:p>
        </w:tc>
        <w:tc>
          <w:tcPr>
            <w:tcW w:w="851"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D9D9D9" w:themeFill="background1" w:themeFillShade="D9"/>
            <w:noWrap/>
            <w:vAlign w:val="bottom"/>
          </w:tcPr>
          <w:p w:rsidR="00700A0B" w:rsidRPr="00D72AC3" w:rsidRDefault="00095084"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1, </w:t>
            </w:r>
            <w:r>
              <w:rPr>
                <w:rFonts w:eastAsia="Times New Roman"/>
                <w:color w:val="000000"/>
                <w:sz w:val="18"/>
                <w:szCs w:val="18"/>
                <w:lang w:val="en-GB" w:bidi="en-GB"/>
              </w:rPr>
              <w:t>757,179</w:t>
            </w:r>
          </w:p>
        </w:tc>
        <w:tc>
          <w:tcPr>
            <w:tcW w:w="1048" w:type="dxa"/>
            <w:shd w:val="clear" w:color="auto" w:fill="D9D9D9" w:themeFill="background1" w:themeFillShade="D9"/>
            <w:noWrap/>
            <w:vAlign w:val="bottom"/>
          </w:tcPr>
          <w:p w:rsidR="00700A0B" w:rsidRPr="00D72AC3" w:rsidRDefault="00700A0B" w:rsidP="00700A0B">
            <w:pPr>
              <w:rPr>
                <w:rFonts w:eastAsia="Times New Roman"/>
                <w:color w:val="000000"/>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both"/>
              <w:rPr>
                <w:rFonts w:eastAsia="Times New Roman"/>
                <w:i/>
                <w:iCs/>
                <w:sz w:val="20"/>
                <w:szCs w:val="20"/>
                <w:lang w:val="en-GB" w:eastAsia="lv-LV"/>
              </w:rPr>
            </w:pPr>
          </w:p>
        </w:tc>
        <w:tc>
          <w:tcPr>
            <w:tcW w:w="1843" w:type="dxa"/>
            <w:shd w:val="clear" w:color="auto" w:fill="auto"/>
          </w:tcPr>
          <w:p w:rsidR="00700A0B" w:rsidRPr="00D72AC3" w:rsidRDefault="00700A0B" w:rsidP="00700A0B">
            <w:pPr>
              <w:jc w:val="both"/>
              <w:rPr>
                <w:rFonts w:eastAsia="Times New Roman"/>
                <w:iCs/>
                <w:sz w:val="18"/>
                <w:szCs w:val="18"/>
                <w:lang w:val="en-GB" w:eastAsia="lv-LV"/>
              </w:rPr>
            </w:pPr>
            <w:r w:rsidRPr="00D72AC3">
              <w:rPr>
                <w:rFonts w:eastAsia="Times New Roman"/>
                <w:sz w:val="18"/>
                <w:szCs w:val="18"/>
                <w:lang w:val="en-GB" w:bidi="en-GB"/>
              </w:rPr>
              <w:t>Prosecutor's Office</w:t>
            </w:r>
          </w:p>
        </w:tc>
        <w:tc>
          <w:tcPr>
            <w:tcW w:w="1412" w:type="dxa"/>
            <w:shd w:val="clear" w:color="auto" w:fill="auto"/>
            <w:vAlign w:val="bottom"/>
          </w:tcPr>
          <w:p w:rsidR="00700A0B" w:rsidRPr="00D72AC3" w:rsidRDefault="00700A0B" w:rsidP="00700A0B">
            <w:pPr>
              <w:jc w:val="center"/>
              <w:rPr>
                <w:rFonts w:eastAsia="Times New Roman"/>
                <w:iCs/>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6"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992"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both"/>
              <w:rPr>
                <w:rFonts w:eastAsia="Times New Roman"/>
                <w:i/>
                <w:iCs/>
                <w:sz w:val="20"/>
                <w:szCs w:val="20"/>
                <w:lang w:val="en-GB" w:eastAsia="lv-LV"/>
              </w:rPr>
            </w:pPr>
          </w:p>
        </w:tc>
        <w:tc>
          <w:tcPr>
            <w:tcW w:w="1843" w:type="dxa"/>
            <w:shd w:val="clear" w:color="auto" w:fill="auto"/>
          </w:tcPr>
          <w:p w:rsidR="00700A0B" w:rsidRPr="00D72AC3" w:rsidRDefault="00096DFF" w:rsidP="00700A0B">
            <w:pPr>
              <w:jc w:val="both"/>
              <w:rPr>
                <w:rFonts w:eastAsia="Times New Roman"/>
                <w:b/>
                <w:iCs/>
                <w:sz w:val="18"/>
                <w:szCs w:val="18"/>
                <w:lang w:val="en-GB" w:eastAsia="lv-LV"/>
              </w:rPr>
            </w:pPr>
            <w:r>
              <w:rPr>
                <w:rFonts w:eastAsia="Times New Roman"/>
                <w:b/>
                <w:sz w:val="18"/>
                <w:szCs w:val="18"/>
                <w:lang w:val="en-GB" w:bidi="en-GB"/>
              </w:rPr>
              <w:t>Measure 6.5.(1</w:t>
            </w:r>
            <w:r w:rsidR="00700A0B" w:rsidRPr="00D72AC3">
              <w:rPr>
                <w:rFonts w:eastAsia="Times New Roman"/>
                <w:b/>
                <w:sz w:val="18"/>
                <w:szCs w:val="18"/>
                <w:lang w:val="en-GB" w:bidi="en-GB"/>
              </w:rPr>
              <w:t>).</w:t>
            </w:r>
          </w:p>
          <w:p w:rsidR="00700A0B" w:rsidRDefault="00700A0B" w:rsidP="00393E6C">
            <w:pPr>
              <w:jc w:val="both"/>
              <w:rPr>
                <w:rFonts w:eastAsia="Times New Roman"/>
                <w:sz w:val="18"/>
                <w:szCs w:val="18"/>
                <w:lang w:val="en-GB" w:bidi="en-GB"/>
              </w:rPr>
            </w:pPr>
            <w:r w:rsidRPr="00D72AC3">
              <w:rPr>
                <w:rFonts w:eastAsia="Times New Roman"/>
                <w:sz w:val="18"/>
                <w:szCs w:val="18"/>
                <w:lang w:val="en-GB" w:bidi="en-GB"/>
              </w:rPr>
              <w:t xml:space="preserve">To increase the resources of the </w:t>
            </w:r>
            <w:r w:rsidR="005B0C65">
              <w:rPr>
                <w:rFonts w:eastAsia="Times New Roman"/>
                <w:sz w:val="18"/>
                <w:szCs w:val="18"/>
                <w:lang w:val="en-GB" w:bidi="en-GB"/>
              </w:rPr>
              <w:t>CS</w:t>
            </w:r>
            <w:r w:rsidRPr="00D72AC3">
              <w:rPr>
                <w:rFonts w:eastAsia="Times New Roman"/>
                <w:sz w:val="18"/>
                <w:szCs w:val="18"/>
                <w:lang w:val="en-GB" w:bidi="en-GB"/>
              </w:rPr>
              <w:t xml:space="preserve"> for performance of strategic analysis</w:t>
            </w:r>
            <w:r w:rsidR="005C40FF">
              <w:rPr>
                <w:rFonts w:eastAsia="Times New Roman"/>
                <w:sz w:val="18"/>
                <w:szCs w:val="18"/>
                <w:lang w:val="en-GB" w:bidi="en-GB"/>
              </w:rPr>
              <w:t xml:space="preserve"> and </w:t>
            </w:r>
            <w:r w:rsidR="00096DFF">
              <w:rPr>
                <w:rFonts w:eastAsia="Times New Roman"/>
                <w:sz w:val="18"/>
                <w:szCs w:val="18"/>
                <w:lang w:val="en-GB" w:bidi="en-GB"/>
              </w:rPr>
              <w:t xml:space="preserve">in the field of operational </w:t>
            </w:r>
            <w:r w:rsidR="00096DFF" w:rsidRPr="00D72AC3">
              <w:rPr>
                <w:rFonts w:eastAsia="Times New Roman"/>
                <w:sz w:val="18"/>
                <w:szCs w:val="18"/>
                <w:lang w:val="en-GB" w:bidi="en-GB"/>
              </w:rPr>
              <w:t>analysis</w:t>
            </w:r>
            <w:r w:rsidR="001B70FE">
              <w:rPr>
                <w:rFonts w:eastAsia="Times New Roman"/>
                <w:sz w:val="18"/>
                <w:szCs w:val="18"/>
                <w:lang w:val="en-GB" w:bidi="en-GB"/>
              </w:rPr>
              <w:t>.</w:t>
            </w:r>
          </w:p>
          <w:p w:rsidR="00FB1748" w:rsidRPr="00D72AC3" w:rsidRDefault="00FB1748" w:rsidP="00393E6C">
            <w:pPr>
              <w:pStyle w:val="ListParagraph"/>
              <w:ind w:left="33"/>
              <w:jc w:val="both"/>
              <w:rPr>
                <w:rFonts w:cs="Times New Roman"/>
                <w:sz w:val="20"/>
                <w:szCs w:val="20"/>
                <w:lang w:val="en-GB"/>
              </w:rPr>
            </w:pPr>
            <w:r w:rsidRPr="00D72AC3">
              <w:rPr>
                <w:rFonts w:cs="Times New Roman"/>
                <w:sz w:val="20"/>
                <w:szCs w:val="20"/>
                <w:lang w:val="en-GB" w:bidi="en-GB"/>
              </w:rPr>
              <w:t xml:space="preserve">In 2018, 2 (two) additional job position established. </w:t>
            </w:r>
          </w:p>
          <w:p w:rsidR="001B70FE" w:rsidRDefault="00FB1748" w:rsidP="00393E6C">
            <w:pPr>
              <w:pStyle w:val="ListParagraph"/>
              <w:ind w:left="33"/>
              <w:jc w:val="both"/>
              <w:rPr>
                <w:rFonts w:cs="Times New Roman"/>
                <w:sz w:val="20"/>
                <w:szCs w:val="20"/>
                <w:lang w:val="en-GB" w:bidi="en-GB"/>
              </w:rPr>
            </w:pPr>
            <w:r w:rsidRPr="00D72AC3">
              <w:rPr>
                <w:rFonts w:cs="Times New Roman"/>
                <w:sz w:val="20"/>
                <w:szCs w:val="20"/>
                <w:lang w:val="en-GB" w:bidi="en-GB"/>
              </w:rPr>
              <w:t>In 2019, 16 new job positions established;</w:t>
            </w:r>
          </w:p>
          <w:p w:rsidR="00393E6C" w:rsidRPr="00393E6C" w:rsidRDefault="00393E6C" w:rsidP="00393E6C">
            <w:pPr>
              <w:pStyle w:val="HTMLPreformatted"/>
              <w:shd w:val="clear" w:color="auto" w:fill="FFFFFF"/>
              <w:jc w:val="both"/>
              <w:rPr>
                <w:rFonts w:ascii="inherit" w:hAnsi="inherit"/>
                <w:color w:val="212121"/>
              </w:rPr>
            </w:pPr>
            <w:r>
              <w:rPr>
                <w:rFonts w:ascii="inherit" w:hAnsi="inherit"/>
                <w:color w:val="212121"/>
                <w:lang w:val="en"/>
              </w:rPr>
              <w:t>changes in employee remuneration</w:t>
            </w:r>
            <w:r w:rsidR="00437C39">
              <w:rPr>
                <w:rFonts w:ascii="inherit" w:hAnsi="inherit"/>
                <w:color w:val="212121"/>
                <w:lang w:val="en"/>
              </w:rPr>
              <w:t>.</w:t>
            </w:r>
          </w:p>
        </w:tc>
        <w:tc>
          <w:tcPr>
            <w:tcW w:w="1412" w:type="dxa"/>
            <w:shd w:val="clear" w:color="auto" w:fill="auto"/>
            <w:vAlign w:val="bottom"/>
          </w:tcPr>
          <w:p w:rsidR="00700A0B" w:rsidRPr="00D72AC3" w:rsidRDefault="00700A0B" w:rsidP="00700A0B">
            <w:pPr>
              <w:jc w:val="center"/>
              <w:rPr>
                <w:rFonts w:eastAsia="Times New Roman"/>
                <w:iCs/>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6"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992"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29" w:type="dxa"/>
            <w:shd w:val="clear" w:color="auto" w:fill="auto"/>
            <w:noWrap/>
            <w:vAlign w:val="center"/>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1, 332, 179</w:t>
            </w:r>
          </w:p>
        </w:tc>
        <w:tc>
          <w:tcPr>
            <w:tcW w:w="1134" w:type="dxa"/>
            <w:shd w:val="clear" w:color="auto" w:fill="auto"/>
            <w:noWrap/>
            <w:vAlign w:val="center"/>
          </w:tcPr>
          <w:p w:rsidR="00065366" w:rsidRPr="00D72AC3" w:rsidRDefault="00065366" w:rsidP="00700A0B">
            <w:pPr>
              <w:jc w:val="center"/>
              <w:rPr>
                <w:sz w:val="18"/>
                <w:szCs w:val="18"/>
                <w:lang w:val="en-GB"/>
              </w:rPr>
            </w:pPr>
          </w:p>
          <w:p w:rsidR="00700A0B" w:rsidRPr="00D72AC3" w:rsidRDefault="00700A0B" w:rsidP="00700A0B">
            <w:pPr>
              <w:jc w:val="center"/>
              <w:rPr>
                <w:sz w:val="18"/>
                <w:szCs w:val="18"/>
                <w:lang w:val="en-GB"/>
              </w:rPr>
            </w:pPr>
            <w:r w:rsidRPr="00D72AC3">
              <w:rPr>
                <w:sz w:val="18"/>
                <w:szCs w:val="18"/>
                <w:lang w:val="en-GB" w:bidi="en-GB"/>
              </w:rPr>
              <w:t>1, 332, 179</w:t>
            </w:r>
          </w:p>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center"/>
          </w:tcPr>
          <w:p w:rsidR="00065366" w:rsidRPr="00D72AC3" w:rsidRDefault="00065366" w:rsidP="00700A0B">
            <w:pPr>
              <w:jc w:val="center"/>
              <w:rPr>
                <w:sz w:val="18"/>
                <w:szCs w:val="18"/>
                <w:lang w:val="en-GB"/>
              </w:rPr>
            </w:pPr>
          </w:p>
          <w:p w:rsidR="00700A0B" w:rsidRPr="00D72AC3" w:rsidRDefault="00700A0B" w:rsidP="00700A0B">
            <w:pPr>
              <w:jc w:val="center"/>
              <w:rPr>
                <w:sz w:val="18"/>
                <w:szCs w:val="18"/>
                <w:lang w:val="en-GB"/>
              </w:rPr>
            </w:pPr>
            <w:r w:rsidRPr="00D72AC3">
              <w:rPr>
                <w:sz w:val="18"/>
                <w:szCs w:val="18"/>
                <w:lang w:val="en-GB" w:bidi="en-GB"/>
              </w:rPr>
              <w:t>1, 332, 179</w:t>
            </w:r>
          </w:p>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center"/>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center"/>
          </w:tcPr>
          <w:p w:rsidR="00065366" w:rsidRPr="00D72AC3" w:rsidRDefault="00065366" w:rsidP="00700A0B">
            <w:pPr>
              <w:jc w:val="center"/>
              <w:rPr>
                <w:sz w:val="18"/>
                <w:szCs w:val="18"/>
                <w:lang w:val="en-GB"/>
              </w:rPr>
            </w:pPr>
          </w:p>
          <w:p w:rsidR="00700A0B" w:rsidRPr="00D72AC3" w:rsidRDefault="00700A0B" w:rsidP="00700A0B">
            <w:pPr>
              <w:jc w:val="center"/>
              <w:rPr>
                <w:sz w:val="18"/>
                <w:szCs w:val="18"/>
                <w:lang w:val="en-GB"/>
              </w:rPr>
            </w:pPr>
            <w:r w:rsidRPr="00D72AC3">
              <w:rPr>
                <w:sz w:val="18"/>
                <w:szCs w:val="18"/>
                <w:lang w:val="en-GB" w:bidi="en-GB"/>
              </w:rPr>
              <w:t>1, 332, 179</w:t>
            </w:r>
          </w:p>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Prosecutor's Office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6"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992"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b/>
                <w:sz w:val="18"/>
                <w:szCs w:val="18"/>
                <w:lang w:val="en-GB" w:eastAsia="lv-LV"/>
              </w:rPr>
            </w:pPr>
            <w:r w:rsidRPr="00D72AC3">
              <w:rPr>
                <w:rFonts w:eastAsia="Times New Roman"/>
                <w:b/>
                <w:sz w:val="18"/>
                <w:szCs w:val="18"/>
                <w:lang w:val="en-GB" w:bidi="en-GB"/>
              </w:rPr>
              <w:t>Measure 6.1.</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 xml:space="preserve">To raise awareness, training and feedback of the subjects of the </w:t>
            </w:r>
            <w:r w:rsidRPr="00D72AC3">
              <w:rPr>
                <w:rFonts w:eastAsia="Times New Roman"/>
                <w:i/>
                <w:sz w:val="18"/>
                <w:szCs w:val="18"/>
                <w:lang w:val="en-GB" w:bidi="en-GB"/>
              </w:rPr>
              <w:t>Law on the PMLTF</w:t>
            </w:r>
            <w:r w:rsidRPr="00D72AC3">
              <w:rPr>
                <w:rFonts w:eastAsia="Times New Roman"/>
                <w:sz w:val="18"/>
                <w:szCs w:val="18"/>
                <w:lang w:val="en-GB" w:bidi="en-GB"/>
              </w:rPr>
              <w:t xml:space="preserve"> regarding the quality reporting preconditions, including:</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a) differences between suspicious and unusual transactions;</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b) possible adverse effects of delayed/protective reporting.</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6"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992"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r w:rsidRPr="00D72AC3">
              <w:rPr>
                <w:rFonts w:eastAsia="Times New Roman"/>
                <w:color w:val="000000"/>
                <w:sz w:val="18"/>
                <w:szCs w:val="18"/>
                <w:lang w:val="en-GB" w:bidi="en-GB"/>
              </w:rPr>
              <w:t>290, 000</w:t>
            </w: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r w:rsidRPr="00D72AC3">
              <w:rPr>
                <w:rFonts w:eastAsia="Times New Roman"/>
                <w:color w:val="000000"/>
                <w:sz w:val="18"/>
                <w:szCs w:val="18"/>
                <w:lang w:val="en-GB" w:bidi="en-GB"/>
              </w:rPr>
              <w:t>290, 000</w:t>
            </w: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r w:rsidRPr="00D72AC3">
              <w:rPr>
                <w:rFonts w:eastAsia="Times New Roman"/>
                <w:color w:val="000000"/>
                <w:sz w:val="18"/>
                <w:szCs w:val="18"/>
                <w:lang w:val="en-GB" w:bidi="en-GB"/>
              </w:rPr>
              <w:t>290, 000</w:t>
            </w:r>
          </w:p>
        </w:tc>
        <w:tc>
          <w:tcPr>
            <w:tcW w:w="851"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rPr>
                <w:rFonts w:eastAsia="Times New Roman"/>
                <w:color w:val="000000"/>
                <w:sz w:val="18"/>
                <w:szCs w:val="18"/>
                <w:lang w:val="en-GB" w:eastAsia="lv-LV"/>
              </w:rPr>
            </w:pPr>
            <w:r w:rsidRPr="00D72AC3">
              <w:rPr>
                <w:rFonts w:eastAsia="Times New Roman"/>
                <w:color w:val="000000"/>
                <w:sz w:val="18"/>
                <w:szCs w:val="18"/>
                <w:lang w:val="en-GB" w:bidi="en-GB"/>
              </w:rPr>
              <w:t>290, 000</w:t>
            </w: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Prosecutor's Office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6"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992"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29"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b/>
                <w:sz w:val="18"/>
                <w:szCs w:val="18"/>
                <w:lang w:val="en-GB" w:eastAsia="lv-LV"/>
              </w:rPr>
            </w:pPr>
            <w:r w:rsidRPr="00D72AC3">
              <w:rPr>
                <w:rFonts w:eastAsia="Times New Roman"/>
                <w:b/>
                <w:sz w:val="18"/>
                <w:szCs w:val="18"/>
                <w:lang w:val="en-GB" w:bidi="en-GB"/>
              </w:rPr>
              <w:t xml:space="preserve">Measure 6.5. </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 xml:space="preserve">To increase the number of employees of the CS, </w:t>
            </w:r>
            <w:r w:rsidRPr="00D72AC3">
              <w:rPr>
                <w:rFonts w:eastAsia="Times New Roman"/>
                <w:i/>
                <w:sz w:val="18"/>
                <w:szCs w:val="18"/>
                <w:lang w:val="en-GB" w:bidi="en-GB"/>
              </w:rPr>
              <w:t>inter alia</w:t>
            </w:r>
            <w:r w:rsidRPr="00D72AC3">
              <w:rPr>
                <w:rFonts w:eastAsia="Times New Roman"/>
                <w:sz w:val="18"/>
                <w:szCs w:val="18"/>
                <w:lang w:val="en-GB" w:bidi="en-GB"/>
              </w:rPr>
              <w:t>, to increase the resources of the CS for performance of strategic analysis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sz w:val="18"/>
                <w:szCs w:val="18"/>
                <w:lang w:val="en-GB" w:bidi="en-GB"/>
              </w:rPr>
              <w:t>87, 890</w:t>
            </w:r>
          </w:p>
        </w:tc>
        <w:tc>
          <w:tcPr>
            <w:tcW w:w="856"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sz w:val="18"/>
                <w:szCs w:val="18"/>
                <w:lang w:val="en-GB" w:bidi="en-GB"/>
              </w:rPr>
              <w:t>77, 890</w:t>
            </w:r>
          </w:p>
        </w:tc>
        <w:tc>
          <w:tcPr>
            <w:tcW w:w="992"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sz w:val="18"/>
                <w:szCs w:val="18"/>
                <w:lang w:val="en-GB" w:bidi="en-GB"/>
              </w:rPr>
              <w:t>47, 890</w:t>
            </w: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iCs/>
                <w:sz w:val="18"/>
                <w:szCs w:val="18"/>
                <w:lang w:val="en-GB" w:eastAsia="lv-LV"/>
              </w:rPr>
            </w:pPr>
            <w:r w:rsidRPr="00D72AC3">
              <w:rPr>
                <w:rFonts w:eastAsia="Times New Roman"/>
                <w:sz w:val="18"/>
                <w:szCs w:val="18"/>
                <w:lang w:val="en-GB" w:bidi="en-GB"/>
              </w:rPr>
              <w:t>Prosecutor's Office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r w:rsidRPr="00D72AC3">
              <w:rPr>
                <w:rFonts w:eastAsia="Times New Roman"/>
                <w:sz w:val="20"/>
                <w:szCs w:val="20"/>
                <w:lang w:val="en-GB" w:bidi="en-GB"/>
              </w:rPr>
              <w:t> </w:t>
            </w:r>
          </w:p>
        </w:tc>
        <w:tc>
          <w:tcPr>
            <w:tcW w:w="1843" w:type="dxa"/>
            <w:shd w:val="clear" w:color="auto" w:fill="auto"/>
          </w:tcPr>
          <w:p w:rsidR="00700A0B" w:rsidRPr="00D72AC3" w:rsidRDefault="00700A0B" w:rsidP="00700A0B">
            <w:pPr>
              <w:jc w:val="both"/>
              <w:rPr>
                <w:rFonts w:eastAsia="Times New Roman"/>
                <w:b/>
                <w:iCs/>
                <w:sz w:val="18"/>
                <w:szCs w:val="18"/>
                <w:lang w:val="en-GB" w:eastAsia="lv-LV"/>
              </w:rPr>
            </w:pPr>
            <w:r w:rsidRPr="00D72AC3">
              <w:rPr>
                <w:rFonts w:eastAsia="Times New Roman"/>
                <w:b/>
                <w:sz w:val="18"/>
                <w:szCs w:val="18"/>
                <w:lang w:val="en-GB" w:bidi="en-GB"/>
              </w:rPr>
              <w:t xml:space="preserve">Measure 6.5.(2). </w:t>
            </w:r>
          </w:p>
          <w:p w:rsidR="00700A0B" w:rsidRPr="00D72AC3" w:rsidRDefault="00700A0B" w:rsidP="00700A0B">
            <w:pPr>
              <w:jc w:val="both"/>
              <w:rPr>
                <w:rFonts w:eastAsia="Times New Roman"/>
                <w:sz w:val="18"/>
                <w:szCs w:val="18"/>
                <w:lang w:val="en-GB" w:eastAsia="lv-LV"/>
              </w:rPr>
            </w:pPr>
            <w:r w:rsidRPr="00D72AC3">
              <w:rPr>
                <w:rFonts w:eastAsia="Times New Roman"/>
                <w:sz w:val="18"/>
                <w:szCs w:val="18"/>
                <w:lang w:val="en-GB" w:bidi="en-GB"/>
              </w:rPr>
              <w:t xml:space="preserve">To increase the number of employees of the CS, </w:t>
            </w:r>
            <w:r w:rsidRPr="00D72AC3">
              <w:rPr>
                <w:rFonts w:eastAsia="Times New Roman"/>
                <w:i/>
                <w:sz w:val="18"/>
                <w:szCs w:val="18"/>
                <w:lang w:val="en-GB" w:bidi="en-GB"/>
              </w:rPr>
              <w:t>inter alia</w:t>
            </w:r>
            <w:r w:rsidRPr="00D72AC3">
              <w:rPr>
                <w:rFonts w:eastAsia="Times New Roman"/>
                <w:sz w:val="18"/>
                <w:szCs w:val="18"/>
                <w:lang w:val="en-GB" w:bidi="en-GB"/>
              </w:rPr>
              <w:t>, to increase the resources of the CS for performance of strategic analysis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sz w:val="18"/>
                <w:szCs w:val="18"/>
                <w:lang w:val="en-GB" w:bidi="en-GB"/>
              </w:rPr>
              <w:t>67, 788</w:t>
            </w:r>
          </w:p>
        </w:tc>
        <w:tc>
          <w:tcPr>
            <w:tcW w:w="856"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sz w:val="18"/>
                <w:szCs w:val="18"/>
                <w:lang w:val="en-GB" w:bidi="en-GB"/>
              </w:rPr>
              <w:t>59, 646</w:t>
            </w:r>
          </w:p>
        </w:tc>
        <w:tc>
          <w:tcPr>
            <w:tcW w:w="992"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sz w:val="18"/>
                <w:szCs w:val="18"/>
                <w:lang w:val="en-GB" w:bidi="en-GB"/>
              </w:rPr>
              <w:t>59, 646</w:t>
            </w: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iCs/>
                <w:sz w:val="18"/>
                <w:szCs w:val="18"/>
                <w:lang w:val="en-GB" w:eastAsia="lv-LV"/>
              </w:rPr>
            </w:pPr>
            <w:r w:rsidRPr="00D72AC3">
              <w:rPr>
                <w:rFonts w:eastAsia="Times New Roman"/>
                <w:sz w:val="18"/>
                <w:szCs w:val="18"/>
                <w:lang w:val="en-GB" w:bidi="en-GB"/>
              </w:rPr>
              <w:t>Prosecutor's Office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570FED" w:rsidRPr="00D72AC3" w:rsidRDefault="00570FED" w:rsidP="00700A0B">
            <w:pPr>
              <w:jc w:val="both"/>
              <w:rPr>
                <w:rFonts w:cs="Times New Roman"/>
                <w:b/>
                <w:sz w:val="18"/>
                <w:szCs w:val="18"/>
                <w:lang w:val="en-GB"/>
              </w:rPr>
            </w:pPr>
            <w:r w:rsidRPr="00D72AC3">
              <w:rPr>
                <w:rFonts w:cs="Times New Roman"/>
                <w:b/>
                <w:sz w:val="18"/>
                <w:szCs w:val="18"/>
                <w:lang w:val="en-GB" w:bidi="en-GB"/>
              </w:rPr>
              <w:t>Measure 1.1.(7).</w:t>
            </w:r>
          </w:p>
          <w:p w:rsidR="00700A0B" w:rsidRPr="00D72AC3" w:rsidRDefault="00700A0B" w:rsidP="00700A0B">
            <w:pPr>
              <w:jc w:val="both"/>
              <w:rPr>
                <w:rFonts w:cs="Times New Roman"/>
                <w:sz w:val="18"/>
                <w:szCs w:val="18"/>
                <w:lang w:val="en-GB"/>
              </w:rPr>
            </w:pPr>
            <w:r w:rsidRPr="00D72AC3">
              <w:rPr>
                <w:rFonts w:cs="Times New Roman"/>
                <w:sz w:val="18"/>
                <w:szCs w:val="18"/>
                <w:lang w:val="en-GB" w:bidi="en-GB"/>
              </w:rPr>
              <w:t xml:space="preserve"> The report drawn up on the use of virtual currency as the risks of the new ML/FT method</w:t>
            </w:r>
          </w:p>
          <w:p w:rsidR="00700A0B" w:rsidRPr="00D72AC3" w:rsidRDefault="00700A0B" w:rsidP="00700A0B">
            <w:pPr>
              <w:jc w:val="both"/>
              <w:rPr>
                <w:rFonts w:eastAsia="Times New Roman"/>
                <w:iCs/>
                <w:sz w:val="18"/>
                <w:szCs w:val="18"/>
                <w:lang w:val="en-GB" w:eastAsia="lv-LV"/>
              </w:rPr>
            </w:pP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5, 000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570FED" w:rsidP="00570FED">
            <w:pPr>
              <w:jc w:val="both"/>
              <w:rPr>
                <w:rFonts w:eastAsia="Times New Roman"/>
                <w:iCs/>
                <w:sz w:val="18"/>
                <w:szCs w:val="18"/>
                <w:lang w:val="en-GB" w:eastAsia="lv-LV"/>
              </w:rPr>
            </w:pPr>
            <w:r w:rsidRPr="00D72AC3">
              <w:rPr>
                <w:rFonts w:cs="Times New Roman"/>
                <w:b/>
                <w:color w:val="000000"/>
                <w:sz w:val="18"/>
                <w:szCs w:val="18"/>
                <w:lang w:val="en-GB" w:bidi="en-GB"/>
              </w:rPr>
              <w:t>Measure 1.1.(10).</w:t>
            </w:r>
            <w:r w:rsidRPr="00D72AC3">
              <w:rPr>
                <w:rFonts w:cs="Times New Roman"/>
                <w:color w:val="000000"/>
                <w:sz w:val="18"/>
                <w:szCs w:val="18"/>
                <w:lang w:val="en-GB" w:bidi="en-GB"/>
              </w:rPr>
              <w:t>The third national ML/FT risk assessment drawn up, incorporating the results of the assessment carried out within Measure 9.1. Translation into English has been performed.</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20, 000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570FED" w:rsidP="00570FED">
            <w:pPr>
              <w:jc w:val="both"/>
              <w:rPr>
                <w:rFonts w:eastAsia="Times New Roman"/>
                <w:iCs/>
                <w:sz w:val="18"/>
                <w:szCs w:val="18"/>
                <w:lang w:val="en-GB" w:eastAsia="lv-LV"/>
              </w:rPr>
            </w:pPr>
            <w:r w:rsidRPr="00D72AC3">
              <w:rPr>
                <w:rFonts w:cs="Times New Roman"/>
                <w:b/>
                <w:color w:val="000000"/>
                <w:sz w:val="18"/>
                <w:szCs w:val="18"/>
                <w:lang w:val="en-GB" w:bidi="en-GB"/>
              </w:rPr>
              <w:t>Measure 1.1.(9).</w:t>
            </w:r>
            <w:r w:rsidRPr="00D72AC3">
              <w:rPr>
                <w:rFonts w:cs="Times New Roman"/>
                <w:color w:val="000000"/>
                <w:sz w:val="18"/>
                <w:szCs w:val="18"/>
                <w:lang w:val="en-GB" w:bidi="en-GB"/>
              </w:rPr>
              <w:t>Study on the scope of a latent crime has been carried out</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570FED" w:rsidRPr="00D72AC3" w:rsidRDefault="00570FED" w:rsidP="00700A0B">
            <w:pPr>
              <w:jc w:val="both"/>
              <w:rPr>
                <w:rFonts w:cs="Times New Roman"/>
                <w:b/>
                <w:color w:val="000000"/>
                <w:sz w:val="18"/>
                <w:szCs w:val="18"/>
                <w:lang w:val="en-GB"/>
              </w:rPr>
            </w:pPr>
            <w:r w:rsidRPr="00D72AC3">
              <w:rPr>
                <w:rFonts w:cs="Times New Roman"/>
                <w:b/>
                <w:color w:val="000000"/>
                <w:sz w:val="18"/>
                <w:szCs w:val="18"/>
                <w:lang w:val="en-GB" w:bidi="en-GB"/>
              </w:rPr>
              <w:t>Measure 1.2.(5).</w:t>
            </w:r>
          </w:p>
          <w:p w:rsidR="00700A0B" w:rsidRPr="00D72AC3" w:rsidRDefault="00700A0B" w:rsidP="00700A0B">
            <w:pPr>
              <w:jc w:val="both"/>
              <w:rPr>
                <w:rFonts w:eastAsia="Times New Roman"/>
                <w:iCs/>
                <w:sz w:val="18"/>
                <w:szCs w:val="18"/>
                <w:lang w:val="en-GB" w:eastAsia="lv-LV"/>
              </w:rPr>
            </w:pPr>
            <w:r w:rsidRPr="00D72AC3">
              <w:rPr>
                <w:rFonts w:cs="Times New Roman"/>
                <w:color w:val="000000"/>
                <w:sz w:val="18"/>
                <w:szCs w:val="18"/>
                <w:lang w:val="en-GB" w:bidi="en-GB"/>
              </w:rPr>
              <w:lastRenderedPageBreak/>
              <w:t>First AML/CFT days organised</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40, 000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570FED" w:rsidRPr="00D72AC3" w:rsidRDefault="00570FED" w:rsidP="00700A0B">
            <w:pPr>
              <w:jc w:val="both"/>
              <w:rPr>
                <w:rFonts w:cs="Times New Roman"/>
                <w:b/>
                <w:color w:val="000000"/>
                <w:sz w:val="18"/>
                <w:szCs w:val="18"/>
                <w:lang w:val="en-GB"/>
              </w:rPr>
            </w:pPr>
            <w:r w:rsidRPr="00D72AC3">
              <w:rPr>
                <w:rFonts w:cs="Times New Roman"/>
                <w:b/>
                <w:color w:val="000000"/>
                <w:sz w:val="18"/>
                <w:szCs w:val="18"/>
                <w:lang w:val="en-GB" w:bidi="en-GB"/>
              </w:rPr>
              <w:t>Measure 1.2.(4).</w:t>
            </w:r>
          </w:p>
          <w:p w:rsidR="00700A0B" w:rsidRPr="00D72AC3" w:rsidRDefault="00700A0B" w:rsidP="00700A0B">
            <w:pPr>
              <w:jc w:val="both"/>
              <w:rPr>
                <w:rFonts w:eastAsia="Times New Roman"/>
                <w:iCs/>
                <w:sz w:val="18"/>
                <w:szCs w:val="18"/>
                <w:lang w:val="en-GB" w:eastAsia="lv-LV"/>
              </w:rPr>
            </w:pPr>
            <w:r w:rsidRPr="00D72AC3">
              <w:rPr>
                <w:rFonts w:cs="Times New Roman"/>
                <w:color w:val="000000"/>
                <w:sz w:val="18"/>
                <w:szCs w:val="18"/>
                <w:lang w:val="en-GB" w:bidi="en-GB"/>
              </w:rPr>
              <w:t xml:space="preserve">Informative booklets drawn up on the needs of the subjects of the </w:t>
            </w:r>
            <w:r w:rsidRPr="00D72AC3">
              <w:rPr>
                <w:rFonts w:cs="Times New Roman"/>
                <w:i/>
                <w:color w:val="000000"/>
                <w:sz w:val="18"/>
                <w:szCs w:val="18"/>
                <w:lang w:val="en-GB" w:bidi="en-GB"/>
              </w:rPr>
              <w:t>Law on the PMLTF</w:t>
            </w:r>
            <w:r w:rsidRPr="00D72AC3">
              <w:rPr>
                <w:rFonts w:cs="Times New Roman"/>
                <w:color w:val="000000"/>
                <w:sz w:val="18"/>
                <w:szCs w:val="18"/>
                <w:lang w:val="en-GB" w:bidi="en-GB"/>
              </w:rPr>
              <w:t>, SCA and other persons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2, 000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570FED" w:rsidRPr="00D72AC3" w:rsidRDefault="00570FED" w:rsidP="00700A0B">
            <w:pPr>
              <w:jc w:val="both"/>
              <w:rPr>
                <w:rFonts w:cs="Times New Roman"/>
                <w:b/>
                <w:sz w:val="20"/>
                <w:szCs w:val="20"/>
                <w:lang w:val="en-GB"/>
              </w:rPr>
            </w:pPr>
            <w:r w:rsidRPr="00D72AC3">
              <w:rPr>
                <w:rFonts w:cs="Times New Roman"/>
                <w:b/>
                <w:sz w:val="20"/>
                <w:szCs w:val="20"/>
                <w:lang w:val="en-GB" w:bidi="en-GB"/>
              </w:rPr>
              <w:t>Measure 1.2.(1).</w:t>
            </w:r>
          </w:p>
          <w:p w:rsidR="00700A0B" w:rsidRPr="00D72AC3" w:rsidRDefault="00700A0B" w:rsidP="00700A0B">
            <w:pPr>
              <w:jc w:val="both"/>
              <w:rPr>
                <w:rFonts w:eastAsia="Times New Roman"/>
                <w:iCs/>
                <w:sz w:val="18"/>
                <w:szCs w:val="18"/>
                <w:lang w:val="en-GB" w:eastAsia="lv-LV"/>
              </w:rPr>
            </w:pPr>
            <w:r w:rsidRPr="00D72AC3">
              <w:rPr>
                <w:rFonts w:cs="Times New Roman"/>
                <w:sz w:val="20"/>
                <w:szCs w:val="20"/>
                <w:lang w:val="en-GB" w:bidi="en-GB"/>
              </w:rPr>
              <w:t>Moneyval Fifth Round Evaluation Report translated into Latvian and the society information has been carried out.</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4, 000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0712C7" w:rsidP="000712C7">
            <w:pPr>
              <w:jc w:val="both"/>
              <w:rPr>
                <w:rFonts w:eastAsia="Times New Roman"/>
                <w:iCs/>
                <w:sz w:val="18"/>
                <w:szCs w:val="18"/>
                <w:lang w:val="en-GB" w:eastAsia="lv-LV"/>
              </w:rPr>
            </w:pPr>
            <w:r w:rsidRPr="00D72AC3">
              <w:rPr>
                <w:rFonts w:cs="Times New Roman"/>
                <w:b/>
                <w:color w:val="000000"/>
                <w:sz w:val="18"/>
                <w:szCs w:val="18"/>
                <w:lang w:val="en-GB" w:bidi="en-GB"/>
              </w:rPr>
              <w:t>Measure 4.6.(1).</w:t>
            </w:r>
            <w:r w:rsidRPr="00D72AC3">
              <w:rPr>
                <w:rFonts w:cs="Times New Roman"/>
                <w:color w:val="000000"/>
                <w:sz w:val="18"/>
                <w:szCs w:val="18"/>
                <w:lang w:val="en-GB" w:bidi="en-GB"/>
              </w:rPr>
              <w:t>Typologies updated. Translation into English.</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9E7E61" w:rsidRPr="00D72AC3" w:rsidTr="00F76636">
        <w:trPr>
          <w:trHeight w:val="312"/>
        </w:trPr>
        <w:tc>
          <w:tcPr>
            <w:tcW w:w="2415" w:type="dxa"/>
            <w:shd w:val="clear" w:color="auto" w:fill="auto"/>
          </w:tcPr>
          <w:p w:rsidR="009E7E61" w:rsidRPr="00D72AC3" w:rsidRDefault="009E7E61" w:rsidP="00700A0B">
            <w:pPr>
              <w:jc w:val="center"/>
              <w:rPr>
                <w:rFonts w:eastAsia="Times New Roman"/>
                <w:sz w:val="20"/>
                <w:szCs w:val="20"/>
                <w:lang w:val="en-GB" w:eastAsia="lv-LV"/>
              </w:rPr>
            </w:pPr>
          </w:p>
        </w:tc>
        <w:tc>
          <w:tcPr>
            <w:tcW w:w="1843" w:type="dxa"/>
            <w:shd w:val="clear" w:color="auto" w:fill="auto"/>
          </w:tcPr>
          <w:p w:rsidR="009E7E61" w:rsidRPr="00D72AC3" w:rsidRDefault="009E7E61" w:rsidP="000712C7">
            <w:pPr>
              <w:jc w:val="both"/>
              <w:rPr>
                <w:rFonts w:cs="Times New Roman"/>
                <w:b/>
                <w:color w:val="000000"/>
                <w:sz w:val="18"/>
                <w:szCs w:val="18"/>
                <w:lang w:val="en-GB" w:bidi="en-GB"/>
              </w:rPr>
            </w:pPr>
            <w:r w:rsidRPr="00D72AC3">
              <w:rPr>
                <w:rFonts w:eastAsia="Times New Roman"/>
                <w:b/>
                <w:sz w:val="18"/>
                <w:szCs w:val="18"/>
                <w:lang w:val="en-GB" w:bidi="en-GB"/>
              </w:rPr>
              <w:t>Measure 6.5.</w:t>
            </w:r>
          </w:p>
        </w:tc>
        <w:tc>
          <w:tcPr>
            <w:tcW w:w="1412" w:type="dxa"/>
            <w:shd w:val="clear" w:color="auto" w:fill="auto"/>
          </w:tcPr>
          <w:p w:rsidR="009E7E61" w:rsidRPr="00D72AC3" w:rsidRDefault="009E7E61" w:rsidP="00700A0B">
            <w:pPr>
              <w:jc w:val="center"/>
              <w:rPr>
                <w:rFonts w:eastAsia="Times New Roman"/>
                <w:sz w:val="18"/>
                <w:szCs w:val="18"/>
                <w:lang w:val="en-GB" w:eastAsia="lv-LV"/>
              </w:rPr>
            </w:pPr>
          </w:p>
        </w:tc>
        <w:tc>
          <w:tcPr>
            <w:tcW w:w="1134" w:type="dxa"/>
            <w:shd w:val="clear" w:color="auto" w:fill="auto"/>
            <w:noWrap/>
            <w:vAlign w:val="bottom"/>
          </w:tcPr>
          <w:p w:rsidR="009E7E61" w:rsidRPr="00D72AC3" w:rsidRDefault="009E7E61" w:rsidP="00700A0B">
            <w:pPr>
              <w:jc w:val="center"/>
              <w:rPr>
                <w:sz w:val="18"/>
                <w:szCs w:val="18"/>
                <w:lang w:val="en-GB"/>
              </w:rPr>
            </w:pPr>
          </w:p>
        </w:tc>
        <w:tc>
          <w:tcPr>
            <w:tcW w:w="856" w:type="dxa"/>
            <w:shd w:val="clear" w:color="auto" w:fill="auto"/>
            <w:noWrap/>
            <w:vAlign w:val="bottom"/>
          </w:tcPr>
          <w:p w:rsidR="009E7E61" w:rsidRPr="00D72AC3" w:rsidRDefault="009E7E61" w:rsidP="00700A0B">
            <w:pPr>
              <w:jc w:val="center"/>
              <w:rPr>
                <w:sz w:val="18"/>
                <w:szCs w:val="18"/>
                <w:lang w:val="en-GB"/>
              </w:rPr>
            </w:pPr>
          </w:p>
        </w:tc>
        <w:tc>
          <w:tcPr>
            <w:tcW w:w="992" w:type="dxa"/>
            <w:shd w:val="clear" w:color="auto" w:fill="auto"/>
            <w:noWrap/>
            <w:vAlign w:val="bottom"/>
          </w:tcPr>
          <w:p w:rsidR="009E7E61" w:rsidRPr="00D72AC3" w:rsidRDefault="009E7E61" w:rsidP="00700A0B">
            <w:pPr>
              <w:jc w:val="center"/>
              <w:rPr>
                <w:sz w:val="18"/>
                <w:szCs w:val="18"/>
                <w:lang w:val="en-GB"/>
              </w:rPr>
            </w:pPr>
          </w:p>
        </w:tc>
        <w:tc>
          <w:tcPr>
            <w:tcW w:w="1129" w:type="dxa"/>
            <w:shd w:val="clear" w:color="auto" w:fill="auto"/>
            <w:noWrap/>
            <w:vAlign w:val="bottom"/>
          </w:tcPr>
          <w:p w:rsidR="009E7E61" w:rsidRPr="00D72AC3" w:rsidRDefault="009E7E61" w:rsidP="00700A0B">
            <w:pPr>
              <w:jc w:val="center"/>
              <w:rPr>
                <w:rFonts w:eastAsia="Times New Roman"/>
                <w:color w:val="000000"/>
                <w:sz w:val="18"/>
                <w:szCs w:val="18"/>
                <w:lang w:val="en-GB" w:bidi="en-GB"/>
              </w:rPr>
            </w:pPr>
          </w:p>
        </w:tc>
        <w:tc>
          <w:tcPr>
            <w:tcW w:w="1134" w:type="dxa"/>
            <w:shd w:val="clear" w:color="auto" w:fill="auto"/>
            <w:noWrap/>
            <w:vAlign w:val="bottom"/>
          </w:tcPr>
          <w:p w:rsidR="009E7E61" w:rsidRPr="00D72AC3" w:rsidRDefault="009E7E61" w:rsidP="00700A0B">
            <w:pPr>
              <w:jc w:val="center"/>
              <w:rPr>
                <w:rFonts w:eastAsia="Times New Roman"/>
                <w:color w:val="000000"/>
                <w:sz w:val="18"/>
                <w:szCs w:val="18"/>
                <w:lang w:val="en-GB" w:eastAsia="lv-LV"/>
              </w:rPr>
            </w:pPr>
          </w:p>
        </w:tc>
        <w:tc>
          <w:tcPr>
            <w:tcW w:w="1134" w:type="dxa"/>
            <w:shd w:val="clear" w:color="auto" w:fill="auto"/>
            <w:noWrap/>
            <w:vAlign w:val="bottom"/>
          </w:tcPr>
          <w:p w:rsidR="009E7E61" w:rsidRPr="00D72AC3" w:rsidRDefault="009E7E61" w:rsidP="00700A0B">
            <w:pPr>
              <w:jc w:val="center"/>
              <w:rPr>
                <w:rFonts w:eastAsia="Times New Roman"/>
                <w:color w:val="000000"/>
                <w:sz w:val="18"/>
                <w:szCs w:val="18"/>
                <w:lang w:val="en-GB" w:eastAsia="lv-LV"/>
              </w:rPr>
            </w:pPr>
          </w:p>
        </w:tc>
        <w:tc>
          <w:tcPr>
            <w:tcW w:w="851" w:type="dxa"/>
            <w:shd w:val="clear" w:color="auto" w:fill="auto"/>
            <w:noWrap/>
            <w:vAlign w:val="bottom"/>
          </w:tcPr>
          <w:p w:rsidR="009E7E61" w:rsidRPr="00D72AC3" w:rsidRDefault="009E7E61" w:rsidP="00700A0B">
            <w:pPr>
              <w:jc w:val="center"/>
              <w:rPr>
                <w:rFonts w:eastAsia="Times New Roman"/>
                <w:color w:val="000000"/>
                <w:sz w:val="18"/>
                <w:szCs w:val="18"/>
                <w:lang w:val="en-GB" w:eastAsia="lv-LV"/>
              </w:rPr>
            </w:pPr>
          </w:p>
        </w:tc>
        <w:tc>
          <w:tcPr>
            <w:tcW w:w="1275" w:type="dxa"/>
            <w:shd w:val="clear" w:color="auto" w:fill="auto"/>
            <w:noWrap/>
            <w:vAlign w:val="bottom"/>
          </w:tcPr>
          <w:p w:rsidR="009E7E61" w:rsidRPr="00D72AC3" w:rsidRDefault="009E7E61" w:rsidP="00700A0B">
            <w:pPr>
              <w:jc w:val="center"/>
              <w:rPr>
                <w:rFonts w:eastAsia="Times New Roman"/>
                <w:color w:val="000000"/>
                <w:sz w:val="18"/>
                <w:szCs w:val="18"/>
                <w:lang w:val="en-GB" w:eastAsia="lv-LV"/>
              </w:rPr>
            </w:pPr>
          </w:p>
        </w:tc>
        <w:tc>
          <w:tcPr>
            <w:tcW w:w="1048" w:type="dxa"/>
            <w:shd w:val="clear" w:color="auto" w:fill="auto"/>
            <w:noWrap/>
            <w:vAlign w:val="bottom"/>
          </w:tcPr>
          <w:p w:rsidR="009E7E61" w:rsidRPr="00D72AC3" w:rsidRDefault="009E7E61"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BF3562" w:rsidRPr="00D72AC3" w:rsidRDefault="00BF3562" w:rsidP="00700A0B">
            <w:pPr>
              <w:jc w:val="both"/>
              <w:rPr>
                <w:rFonts w:cs="Times New Roman"/>
                <w:b/>
                <w:sz w:val="18"/>
                <w:szCs w:val="18"/>
                <w:lang w:val="en-GB"/>
              </w:rPr>
            </w:pPr>
            <w:r w:rsidRPr="00D72AC3">
              <w:rPr>
                <w:rFonts w:cs="Times New Roman"/>
                <w:b/>
                <w:sz w:val="18"/>
                <w:szCs w:val="18"/>
                <w:lang w:val="en-GB" w:bidi="en-GB"/>
              </w:rPr>
              <w:t>Measure 6.5.(2).</w:t>
            </w:r>
          </w:p>
          <w:p w:rsidR="00700A0B" w:rsidRPr="00D72AC3" w:rsidRDefault="00700A0B" w:rsidP="00700A0B">
            <w:pPr>
              <w:jc w:val="both"/>
              <w:rPr>
                <w:rFonts w:cs="Times New Roman"/>
                <w:sz w:val="18"/>
                <w:szCs w:val="18"/>
                <w:lang w:val="en-GB"/>
              </w:rPr>
            </w:pPr>
            <w:r w:rsidRPr="00D72AC3">
              <w:rPr>
                <w:rFonts w:cs="Times New Roman"/>
                <w:color w:val="000000"/>
                <w:sz w:val="18"/>
                <w:szCs w:val="18"/>
                <w:lang w:val="en-GB" w:bidi="en-GB"/>
              </w:rPr>
              <w:t>The effectiveness of the software of the CS is assessed and the conclusions made with respect to the necessary improvements for data processing</w:t>
            </w:r>
            <w:r w:rsidR="00D72AC3" w:rsidRPr="00D72AC3">
              <w:rPr>
                <w:rFonts w:cs="Times New Roman"/>
                <w:color w:val="000000"/>
                <w:sz w:val="18"/>
                <w:szCs w:val="18"/>
                <w:lang w:val="en-GB" w:bidi="en-GB"/>
              </w:rPr>
              <w:t xml:space="preserve"> </w:t>
            </w:r>
            <w:r w:rsidRPr="00D72AC3">
              <w:rPr>
                <w:rFonts w:cs="Times New Roman"/>
                <w:color w:val="000000"/>
                <w:sz w:val="18"/>
                <w:szCs w:val="18"/>
                <w:lang w:val="en-GB" w:bidi="en-GB"/>
              </w:rPr>
              <w:t>IT systems development</w:t>
            </w:r>
          </w:p>
          <w:p w:rsidR="00700A0B" w:rsidRPr="00D72AC3" w:rsidRDefault="00700A0B" w:rsidP="00700A0B">
            <w:pPr>
              <w:jc w:val="both"/>
              <w:rPr>
                <w:rFonts w:eastAsia="Times New Roman"/>
                <w:iCs/>
                <w:sz w:val="18"/>
                <w:szCs w:val="18"/>
                <w:lang w:val="en-GB" w:eastAsia="lv-LV"/>
              </w:rPr>
            </w:pP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9E7E61" w:rsidP="00700A0B">
            <w:pPr>
              <w:jc w:val="center"/>
              <w:rPr>
                <w:rFonts w:eastAsia="Times New Roman"/>
                <w:color w:val="000000"/>
                <w:sz w:val="18"/>
                <w:szCs w:val="18"/>
                <w:lang w:val="en-GB" w:eastAsia="lv-LV"/>
              </w:rPr>
            </w:pPr>
            <w:r>
              <w:rPr>
                <w:rFonts w:eastAsia="Times New Roman"/>
                <w:color w:val="000000"/>
                <w:sz w:val="18"/>
                <w:szCs w:val="18"/>
                <w:lang w:val="en-GB" w:bidi="en-GB"/>
              </w:rPr>
              <w:t>451</w:t>
            </w:r>
            <w:r w:rsidR="00700A0B" w:rsidRPr="00D72AC3">
              <w:rPr>
                <w:rFonts w:eastAsia="Times New Roman"/>
                <w:color w:val="000000"/>
                <w:sz w:val="18"/>
                <w:szCs w:val="18"/>
                <w:lang w:val="en-GB" w:bidi="en-GB"/>
              </w:rPr>
              <w:t>, 000</w:t>
            </w:r>
          </w:p>
        </w:tc>
        <w:tc>
          <w:tcPr>
            <w:tcW w:w="1134" w:type="dxa"/>
            <w:shd w:val="clear" w:color="auto" w:fill="auto"/>
            <w:noWrap/>
            <w:vAlign w:val="bottom"/>
          </w:tcPr>
          <w:p w:rsidR="00700A0B" w:rsidRPr="00D72AC3" w:rsidRDefault="00700A0B" w:rsidP="009E7E61">
            <w:pPr>
              <w:jc w:val="center"/>
              <w:rPr>
                <w:rFonts w:eastAsia="Times New Roman"/>
                <w:color w:val="000000"/>
                <w:sz w:val="18"/>
                <w:szCs w:val="18"/>
                <w:lang w:val="en-GB" w:eastAsia="lv-LV"/>
              </w:rPr>
            </w:pPr>
            <w:r w:rsidRPr="00D72AC3">
              <w:rPr>
                <w:rFonts w:eastAsia="Times New Roman"/>
                <w:color w:val="000000"/>
                <w:sz w:val="18"/>
                <w:szCs w:val="18"/>
                <w:lang w:val="en-GB" w:bidi="en-GB"/>
              </w:rPr>
              <w:t>1</w:t>
            </w:r>
            <w:r w:rsidR="009E7E61">
              <w:rPr>
                <w:rFonts w:eastAsia="Times New Roman"/>
                <w:color w:val="000000"/>
                <w:sz w:val="18"/>
                <w:szCs w:val="18"/>
                <w:lang w:val="en-GB" w:bidi="en-GB"/>
              </w:rPr>
              <w:t>35</w:t>
            </w:r>
            <w:r w:rsidRPr="00D72AC3">
              <w:rPr>
                <w:rFonts w:eastAsia="Times New Roman"/>
                <w:color w:val="000000"/>
                <w:sz w:val="18"/>
                <w:szCs w:val="18"/>
                <w:lang w:val="en-GB" w:bidi="en-GB"/>
              </w:rPr>
              <w:t>,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w:t>
            </w:r>
            <w:r w:rsidR="009E7E61">
              <w:rPr>
                <w:rFonts w:eastAsia="Times New Roman"/>
                <w:color w:val="000000"/>
                <w:sz w:val="18"/>
                <w:szCs w:val="18"/>
                <w:lang w:val="en-GB" w:bidi="en-GB"/>
              </w:rPr>
              <w:t>3</w:t>
            </w:r>
            <w:r w:rsidRPr="00D72AC3">
              <w:rPr>
                <w:rFonts w:eastAsia="Times New Roman"/>
                <w:color w:val="000000"/>
                <w:sz w:val="18"/>
                <w:szCs w:val="18"/>
                <w:lang w:val="en-GB" w:bidi="en-GB"/>
              </w:rPr>
              <w:t>5, 000</w:t>
            </w: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434417" w:rsidP="00700A0B">
            <w:pPr>
              <w:jc w:val="center"/>
              <w:rPr>
                <w:rFonts w:eastAsia="Times New Roman"/>
                <w:color w:val="000000"/>
                <w:sz w:val="18"/>
                <w:szCs w:val="18"/>
                <w:lang w:val="en-GB" w:eastAsia="lv-LV"/>
              </w:rPr>
            </w:pPr>
            <w:r>
              <w:rPr>
                <w:rFonts w:eastAsia="Times New Roman"/>
                <w:color w:val="000000"/>
                <w:sz w:val="18"/>
                <w:szCs w:val="18"/>
                <w:lang w:val="en-GB" w:bidi="en-GB"/>
              </w:rPr>
              <w:t>13</w:t>
            </w:r>
            <w:r w:rsidR="00700A0B" w:rsidRPr="00D72AC3">
              <w:rPr>
                <w:rFonts w:eastAsia="Times New Roman"/>
                <w:color w:val="000000"/>
                <w:sz w:val="18"/>
                <w:szCs w:val="18"/>
                <w:lang w:val="en-GB" w:bidi="en-GB"/>
              </w:rPr>
              <w:t>5, 000</w:t>
            </w: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BF3562" w:rsidRPr="00D72AC3" w:rsidRDefault="00BF3562" w:rsidP="00700A0B">
            <w:pPr>
              <w:jc w:val="both"/>
              <w:rPr>
                <w:rFonts w:cs="Times New Roman"/>
                <w:b/>
                <w:color w:val="000000"/>
                <w:sz w:val="18"/>
                <w:szCs w:val="18"/>
                <w:lang w:val="en-GB"/>
              </w:rPr>
            </w:pPr>
            <w:r w:rsidRPr="00D72AC3">
              <w:rPr>
                <w:rFonts w:cs="Times New Roman"/>
                <w:b/>
                <w:color w:val="000000"/>
                <w:sz w:val="18"/>
                <w:szCs w:val="18"/>
                <w:lang w:val="en-GB" w:bidi="en-GB"/>
              </w:rPr>
              <w:t>Measure 6.5.(3).</w:t>
            </w:r>
          </w:p>
          <w:p w:rsidR="00700A0B" w:rsidRPr="00D72AC3" w:rsidRDefault="00700A0B" w:rsidP="00700A0B">
            <w:pPr>
              <w:jc w:val="both"/>
              <w:rPr>
                <w:rFonts w:eastAsia="Times New Roman"/>
                <w:iCs/>
                <w:sz w:val="18"/>
                <w:szCs w:val="18"/>
                <w:lang w:val="en-GB" w:eastAsia="lv-LV"/>
              </w:rPr>
            </w:pPr>
            <w:r w:rsidRPr="00D72AC3">
              <w:rPr>
                <w:rFonts w:cs="Times New Roman"/>
                <w:color w:val="000000"/>
                <w:sz w:val="18"/>
                <w:szCs w:val="18"/>
                <w:lang w:val="en-GB" w:bidi="en-GB"/>
              </w:rPr>
              <w:t>Training of the CS employees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50, 000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BF3562" w:rsidRPr="00D72AC3" w:rsidRDefault="00BF3562" w:rsidP="00700A0B">
            <w:pPr>
              <w:jc w:val="both"/>
              <w:rPr>
                <w:rFonts w:cs="Times New Roman"/>
                <w:b/>
                <w:sz w:val="18"/>
                <w:szCs w:val="18"/>
                <w:lang w:val="en-GB"/>
              </w:rPr>
            </w:pPr>
            <w:r w:rsidRPr="00D72AC3">
              <w:rPr>
                <w:rFonts w:cs="Times New Roman"/>
                <w:b/>
                <w:sz w:val="18"/>
                <w:szCs w:val="18"/>
                <w:lang w:val="en-GB" w:bidi="en-GB"/>
              </w:rPr>
              <w:t>Measure 6.5.(4).</w:t>
            </w:r>
          </w:p>
          <w:p w:rsidR="00700A0B" w:rsidRPr="00D72AC3" w:rsidRDefault="00700A0B" w:rsidP="00700A0B">
            <w:pPr>
              <w:jc w:val="both"/>
              <w:rPr>
                <w:rFonts w:eastAsia="Times New Roman"/>
                <w:iCs/>
                <w:sz w:val="18"/>
                <w:szCs w:val="18"/>
                <w:lang w:val="en-GB" w:eastAsia="lv-LV"/>
              </w:rPr>
            </w:pPr>
            <w:r w:rsidRPr="00D72AC3">
              <w:rPr>
                <w:rFonts w:cs="Times New Roman"/>
                <w:color w:val="000000"/>
                <w:sz w:val="18"/>
                <w:szCs w:val="18"/>
                <w:lang w:val="en-GB" w:bidi="en-GB"/>
              </w:rPr>
              <w:t xml:space="preserve">Workplaces arranged in the CS for new employees and the </w:t>
            </w:r>
            <w:r w:rsidRPr="00D72AC3">
              <w:rPr>
                <w:rFonts w:cs="Times New Roman"/>
                <w:color w:val="000000"/>
                <w:sz w:val="18"/>
                <w:szCs w:val="18"/>
                <w:lang w:val="en-GB" w:bidi="en-GB"/>
              </w:rPr>
              <w:lastRenderedPageBreak/>
              <w:t>work in new premises commenced</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150, 000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236C5E" w:rsidRPr="00D72AC3" w:rsidRDefault="00236C5E" w:rsidP="00700A0B">
            <w:pPr>
              <w:jc w:val="both"/>
              <w:rPr>
                <w:rFonts w:cs="Times New Roman"/>
                <w:b/>
                <w:color w:val="000000"/>
                <w:sz w:val="18"/>
                <w:szCs w:val="18"/>
                <w:lang w:val="en-GB"/>
              </w:rPr>
            </w:pPr>
            <w:r w:rsidRPr="00D72AC3">
              <w:rPr>
                <w:rFonts w:cs="Times New Roman"/>
                <w:b/>
                <w:color w:val="000000"/>
                <w:sz w:val="18"/>
                <w:szCs w:val="18"/>
                <w:lang w:val="en-GB" w:bidi="en-GB"/>
              </w:rPr>
              <w:t>Measure 6.1.(2).</w:t>
            </w:r>
          </w:p>
          <w:p w:rsidR="00700A0B" w:rsidRPr="00D72AC3" w:rsidRDefault="00700A0B" w:rsidP="00700A0B">
            <w:pPr>
              <w:jc w:val="both"/>
              <w:rPr>
                <w:rFonts w:eastAsia="Times New Roman"/>
                <w:iCs/>
                <w:sz w:val="18"/>
                <w:szCs w:val="18"/>
                <w:lang w:val="en-GB" w:eastAsia="lv-LV"/>
              </w:rPr>
            </w:pPr>
            <w:r w:rsidRPr="00D72AC3">
              <w:rPr>
                <w:rFonts w:cs="Times New Roman"/>
                <w:sz w:val="20"/>
                <w:szCs w:val="20"/>
                <w:lang w:val="en-GB" w:bidi="en-GB"/>
              </w:rPr>
              <w:t xml:space="preserve"> </w:t>
            </w:r>
            <w:r w:rsidRPr="00D72AC3">
              <w:rPr>
                <w:rFonts w:cs="Times New Roman"/>
                <w:color w:val="000000"/>
                <w:sz w:val="18"/>
                <w:szCs w:val="18"/>
                <w:lang w:val="en-GB" w:bidi="en-GB"/>
              </w:rPr>
              <w:t>The CS, following separate agreement with certain groups of subjects, performs a specialised training thereof.</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F17A58" w:rsidRPr="00D72AC3" w:rsidTr="00F76636">
        <w:trPr>
          <w:trHeight w:val="312"/>
        </w:trPr>
        <w:tc>
          <w:tcPr>
            <w:tcW w:w="2415" w:type="dxa"/>
            <w:shd w:val="clear" w:color="auto" w:fill="auto"/>
          </w:tcPr>
          <w:p w:rsidR="00F17A58" w:rsidRPr="00D72AC3" w:rsidRDefault="00F17A58" w:rsidP="00700A0B">
            <w:pPr>
              <w:jc w:val="center"/>
              <w:rPr>
                <w:rFonts w:eastAsia="Times New Roman"/>
                <w:sz w:val="20"/>
                <w:szCs w:val="20"/>
                <w:lang w:val="en-GB" w:eastAsia="lv-LV"/>
              </w:rPr>
            </w:pPr>
          </w:p>
        </w:tc>
        <w:tc>
          <w:tcPr>
            <w:tcW w:w="1843" w:type="dxa"/>
            <w:shd w:val="clear" w:color="auto" w:fill="auto"/>
          </w:tcPr>
          <w:p w:rsidR="00F17A58" w:rsidRPr="00D72AC3" w:rsidRDefault="00F17A58" w:rsidP="00275CC5">
            <w:pPr>
              <w:jc w:val="both"/>
              <w:rPr>
                <w:rFonts w:eastAsia="Times New Roman"/>
                <w:b/>
                <w:iCs/>
                <w:sz w:val="18"/>
                <w:szCs w:val="18"/>
                <w:lang w:val="en-GB" w:eastAsia="lv-LV"/>
              </w:rPr>
            </w:pPr>
            <w:r w:rsidRPr="00D72AC3">
              <w:rPr>
                <w:rFonts w:eastAsia="Times New Roman"/>
                <w:b/>
                <w:sz w:val="18"/>
                <w:szCs w:val="18"/>
                <w:lang w:val="en-GB" w:bidi="en-GB"/>
              </w:rPr>
              <w:t>Measure 6.5.(5).</w:t>
            </w:r>
            <w:r w:rsidR="00D72AC3" w:rsidRPr="00D72AC3">
              <w:rPr>
                <w:rFonts w:eastAsia="Times New Roman"/>
                <w:b/>
                <w:sz w:val="18"/>
                <w:szCs w:val="18"/>
                <w:lang w:val="en-GB" w:bidi="en-GB"/>
              </w:rPr>
              <w:t xml:space="preserve"> </w:t>
            </w:r>
          </w:p>
          <w:p w:rsidR="00F17A58" w:rsidRPr="00D72AC3" w:rsidRDefault="00F17A58" w:rsidP="004A7EED">
            <w:pPr>
              <w:jc w:val="both"/>
              <w:rPr>
                <w:rFonts w:eastAsia="Times New Roman"/>
                <w:b/>
                <w:iCs/>
                <w:sz w:val="18"/>
                <w:szCs w:val="18"/>
                <w:lang w:val="en-GB" w:eastAsia="lv-LV"/>
              </w:rPr>
            </w:pPr>
            <w:r w:rsidRPr="00D72AC3">
              <w:rPr>
                <w:rFonts w:cs="Times New Roman"/>
                <w:sz w:val="18"/>
                <w:szCs w:val="18"/>
                <w:lang w:val="en-GB" w:bidi="en-GB"/>
              </w:rPr>
              <w:t>The service provider outsourced for the operational and strategic analysis, etc., to be performed during the self-liquidation process of ABLV</w:t>
            </w:r>
          </w:p>
        </w:tc>
        <w:tc>
          <w:tcPr>
            <w:tcW w:w="1412" w:type="dxa"/>
            <w:shd w:val="clear" w:color="auto" w:fill="auto"/>
          </w:tcPr>
          <w:p w:rsidR="00F17A58" w:rsidRPr="00D72AC3" w:rsidRDefault="00F17A58" w:rsidP="00700A0B">
            <w:pPr>
              <w:jc w:val="center"/>
              <w:rPr>
                <w:rFonts w:eastAsia="Times New Roman"/>
                <w:sz w:val="18"/>
                <w:szCs w:val="18"/>
                <w:lang w:val="en-GB" w:eastAsia="lv-LV"/>
              </w:rPr>
            </w:pPr>
          </w:p>
        </w:tc>
        <w:tc>
          <w:tcPr>
            <w:tcW w:w="1134" w:type="dxa"/>
            <w:shd w:val="clear" w:color="auto" w:fill="auto"/>
            <w:noWrap/>
            <w:vAlign w:val="bottom"/>
          </w:tcPr>
          <w:p w:rsidR="00F17A58" w:rsidRPr="00D72AC3" w:rsidRDefault="00F17A58" w:rsidP="00700A0B">
            <w:pPr>
              <w:jc w:val="center"/>
              <w:rPr>
                <w:sz w:val="18"/>
                <w:szCs w:val="18"/>
                <w:lang w:val="en-GB"/>
              </w:rPr>
            </w:pPr>
          </w:p>
        </w:tc>
        <w:tc>
          <w:tcPr>
            <w:tcW w:w="856" w:type="dxa"/>
            <w:shd w:val="clear" w:color="auto" w:fill="auto"/>
            <w:noWrap/>
            <w:vAlign w:val="bottom"/>
          </w:tcPr>
          <w:p w:rsidR="00F17A58" w:rsidRPr="00D72AC3" w:rsidRDefault="00F17A58" w:rsidP="00700A0B">
            <w:pPr>
              <w:jc w:val="center"/>
              <w:rPr>
                <w:sz w:val="18"/>
                <w:szCs w:val="18"/>
                <w:lang w:val="en-GB"/>
              </w:rPr>
            </w:pPr>
          </w:p>
        </w:tc>
        <w:tc>
          <w:tcPr>
            <w:tcW w:w="992" w:type="dxa"/>
            <w:shd w:val="clear" w:color="auto" w:fill="auto"/>
            <w:noWrap/>
            <w:vAlign w:val="bottom"/>
          </w:tcPr>
          <w:p w:rsidR="00F17A58" w:rsidRPr="00D72AC3" w:rsidRDefault="00F17A58" w:rsidP="00700A0B">
            <w:pPr>
              <w:jc w:val="center"/>
              <w:rPr>
                <w:sz w:val="18"/>
                <w:szCs w:val="18"/>
                <w:lang w:val="en-GB"/>
              </w:rPr>
            </w:pPr>
          </w:p>
        </w:tc>
        <w:tc>
          <w:tcPr>
            <w:tcW w:w="1129" w:type="dxa"/>
            <w:shd w:val="clear" w:color="auto" w:fill="auto"/>
            <w:noWrap/>
            <w:vAlign w:val="bottom"/>
          </w:tcPr>
          <w:p w:rsidR="00F17A58" w:rsidRPr="00D72AC3" w:rsidRDefault="00B82E0D" w:rsidP="00700A0B">
            <w:pPr>
              <w:jc w:val="center"/>
              <w:rPr>
                <w:rFonts w:eastAsia="Times New Roman"/>
                <w:color w:val="000000"/>
                <w:sz w:val="18"/>
                <w:szCs w:val="18"/>
                <w:lang w:val="en-GB" w:eastAsia="lv-LV"/>
              </w:rPr>
            </w:pPr>
            <w:r>
              <w:rPr>
                <w:rFonts w:eastAsia="Times New Roman"/>
                <w:color w:val="000000"/>
                <w:sz w:val="18"/>
                <w:szCs w:val="18"/>
                <w:lang w:val="en-GB" w:bidi="en-GB"/>
              </w:rPr>
              <w:t>890,000</w:t>
            </w:r>
          </w:p>
        </w:tc>
        <w:tc>
          <w:tcPr>
            <w:tcW w:w="1134" w:type="dxa"/>
            <w:shd w:val="clear" w:color="auto" w:fill="auto"/>
            <w:noWrap/>
            <w:vAlign w:val="bottom"/>
          </w:tcPr>
          <w:p w:rsidR="00F17A58" w:rsidRPr="00D72AC3" w:rsidRDefault="00B82E0D" w:rsidP="00700A0B">
            <w:pPr>
              <w:jc w:val="center"/>
              <w:rPr>
                <w:rFonts w:eastAsia="Times New Roman"/>
                <w:color w:val="000000"/>
                <w:sz w:val="18"/>
                <w:szCs w:val="18"/>
                <w:lang w:val="en-GB" w:eastAsia="lv-LV"/>
              </w:rPr>
            </w:pPr>
            <w:r>
              <w:rPr>
                <w:rFonts w:eastAsia="Times New Roman"/>
                <w:color w:val="000000"/>
                <w:sz w:val="18"/>
                <w:szCs w:val="18"/>
                <w:lang w:val="en-GB" w:bidi="en-GB"/>
              </w:rPr>
              <w:t>710</w:t>
            </w:r>
            <w:r w:rsidR="00F17A58" w:rsidRPr="00D72AC3">
              <w:rPr>
                <w:rFonts w:eastAsia="Times New Roman"/>
                <w:color w:val="000000"/>
                <w:sz w:val="18"/>
                <w:szCs w:val="18"/>
                <w:lang w:val="en-GB" w:bidi="en-GB"/>
              </w:rPr>
              <w:t>, 000</w:t>
            </w:r>
          </w:p>
        </w:tc>
        <w:tc>
          <w:tcPr>
            <w:tcW w:w="1134" w:type="dxa"/>
            <w:shd w:val="clear" w:color="auto" w:fill="auto"/>
            <w:noWrap/>
            <w:vAlign w:val="bottom"/>
          </w:tcPr>
          <w:p w:rsidR="00F17A58" w:rsidRPr="00D72AC3" w:rsidRDefault="00F17A58" w:rsidP="00700A0B">
            <w:pPr>
              <w:jc w:val="center"/>
              <w:rPr>
                <w:rFonts w:eastAsia="Times New Roman"/>
                <w:color w:val="000000"/>
                <w:sz w:val="18"/>
                <w:szCs w:val="18"/>
                <w:lang w:val="en-GB" w:eastAsia="lv-LV"/>
              </w:rPr>
            </w:pPr>
          </w:p>
        </w:tc>
        <w:tc>
          <w:tcPr>
            <w:tcW w:w="851" w:type="dxa"/>
            <w:shd w:val="clear" w:color="auto" w:fill="auto"/>
            <w:noWrap/>
            <w:vAlign w:val="bottom"/>
          </w:tcPr>
          <w:p w:rsidR="00F17A58" w:rsidRPr="00D72AC3" w:rsidRDefault="00F17A58" w:rsidP="00700A0B">
            <w:pPr>
              <w:jc w:val="center"/>
              <w:rPr>
                <w:rFonts w:eastAsia="Times New Roman"/>
                <w:color w:val="000000"/>
                <w:sz w:val="18"/>
                <w:szCs w:val="18"/>
                <w:lang w:val="en-GB" w:eastAsia="lv-LV"/>
              </w:rPr>
            </w:pPr>
          </w:p>
        </w:tc>
        <w:tc>
          <w:tcPr>
            <w:tcW w:w="1275" w:type="dxa"/>
            <w:shd w:val="clear" w:color="auto" w:fill="auto"/>
            <w:noWrap/>
            <w:vAlign w:val="bottom"/>
          </w:tcPr>
          <w:p w:rsidR="00F17A58" w:rsidRPr="00D72AC3" w:rsidRDefault="00F17A58" w:rsidP="00700A0B">
            <w:pPr>
              <w:jc w:val="center"/>
              <w:rPr>
                <w:rFonts w:eastAsia="Times New Roman"/>
                <w:color w:val="000000"/>
                <w:sz w:val="18"/>
                <w:szCs w:val="18"/>
                <w:lang w:val="en-GB" w:eastAsia="lv-LV"/>
              </w:rPr>
            </w:pPr>
          </w:p>
        </w:tc>
        <w:tc>
          <w:tcPr>
            <w:tcW w:w="1048" w:type="dxa"/>
            <w:shd w:val="clear" w:color="auto" w:fill="auto"/>
            <w:noWrap/>
            <w:vAlign w:val="bottom"/>
          </w:tcPr>
          <w:p w:rsidR="00F17A58" w:rsidRPr="00D72AC3" w:rsidRDefault="00F17A58"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4222ED" w:rsidRPr="00D72AC3" w:rsidRDefault="004222ED" w:rsidP="00700A0B">
            <w:pPr>
              <w:jc w:val="both"/>
              <w:rPr>
                <w:rFonts w:cs="Times New Roman"/>
                <w:b/>
                <w:color w:val="000000"/>
                <w:sz w:val="18"/>
                <w:szCs w:val="18"/>
                <w:lang w:val="en-GB"/>
              </w:rPr>
            </w:pPr>
            <w:r w:rsidRPr="00D72AC3">
              <w:rPr>
                <w:rFonts w:cs="Times New Roman"/>
                <w:b/>
                <w:color w:val="000000"/>
                <w:sz w:val="18"/>
                <w:szCs w:val="18"/>
                <w:lang w:val="en-GB" w:bidi="en-GB"/>
              </w:rPr>
              <w:t>Measure 7.2.</w:t>
            </w:r>
          </w:p>
          <w:p w:rsidR="00700A0B" w:rsidRPr="00D72AC3" w:rsidRDefault="00700A0B" w:rsidP="00700A0B">
            <w:pPr>
              <w:jc w:val="both"/>
              <w:rPr>
                <w:rFonts w:eastAsia="Times New Roman"/>
                <w:iCs/>
                <w:sz w:val="18"/>
                <w:szCs w:val="18"/>
                <w:lang w:val="en-GB" w:eastAsia="lv-LV"/>
              </w:rPr>
            </w:pPr>
            <w:r w:rsidRPr="00D72AC3">
              <w:rPr>
                <w:rFonts w:cs="Times New Roman"/>
                <w:color w:val="000000"/>
                <w:sz w:val="18"/>
                <w:szCs w:val="18"/>
                <w:lang w:val="en-GB" w:bidi="en-GB"/>
              </w:rPr>
              <w:t>Cooperation coordination groups established</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5, 000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4222ED" w:rsidRPr="00D72AC3" w:rsidRDefault="004222ED" w:rsidP="00700A0B">
            <w:pPr>
              <w:jc w:val="both"/>
              <w:rPr>
                <w:rFonts w:cs="Times New Roman"/>
                <w:b/>
                <w:sz w:val="18"/>
                <w:szCs w:val="18"/>
                <w:lang w:val="en-GB"/>
              </w:rPr>
            </w:pPr>
            <w:r w:rsidRPr="00D72AC3">
              <w:rPr>
                <w:rFonts w:cs="Times New Roman"/>
                <w:b/>
                <w:sz w:val="18"/>
                <w:szCs w:val="18"/>
                <w:lang w:val="en-GB" w:bidi="en-GB"/>
              </w:rPr>
              <w:t>Measure 9.1</w:t>
            </w:r>
          </w:p>
          <w:p w:rsidR="00700A0B" w:rsidRPr="00D72AC3" w:rsidRDefault="00700A0B" w:rsidP="00700A0B">
            <w:pPr>
              <w:jc w:val="both"/>
              <w:rPr>
                <w:rFonts w:eastAsia="Times New Roman"/>
                <w:iCs/>
                <w:sz w:val="18"/>
                <w:szCs w:val="18"/>
                <w:lang w:val="en-GB" w:eastAsia="lv-LV"/>
              </w:rPr>
            </w:pPr>
            <w:r w:rsidRPr="00D72AC3">
              <w:rPr>
                <w:rFonts w:cs="Times New Roman"/>
                <w:sz w:val="18"/>
                <w:szCs w:val="18"/>
                <w:lang w:val="en-GB" w:bidi="en-GB"/>
              </w:rPr>
              <w:t>National Terrorism and Proliferation Financing Risks Report for 2017 - 2018 prepared. Translation into English.</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3, 000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570FED" w:rsidRPr="00D72AC3" w:rsidRDefault="00570FED" w:rsidP="00700A0B">
            <w:pPr>
              <w:jc w:val="both"/>
              <w:rPr>
                <w:rFonts w:cs="Times New Roman"/>
                <w:b/>
                <w:color w:val="000000"/>
                <w:sz w:val="18"/>
                <w:szCs w:val="18"/>
                <w:lang w:val="en-GB"/>
              </w:rPr>
            </w:pPr>
            <w:r w:rsidRPr="00D72AC3">
              <w:rPr>
                <w:rFonts w:cs="Times New Roman"/>
                <w:b/>
                <w:color w:val="000000"/>
                <w:sz w:val="18"/>
                <w:szCs w:val="18"/>
                <w:lang w:val="en-GB" w:bidi="en-GB"/>
              </w:rPr>
              <w:t>Measure 11.5.</w:t>
            </w:r>
          </w:p>
          <w:p w:rsidR="00700A0B" w:rsidRPr="00D72AC3" w:rsidRDefault="00700A0B" w:rsidP="00700A0B">
            <w:pPr>
              <w:jc w:val="both"/>
              <w:rPr>
                <w:rFonts w:eastAsia="Times New Roman"/>
                <w:iCs/>
                <w:sz w:val="18"/>
                <w:szCs w:val="18"/>
                <w:lang w:val="en-GB" w:eastAsia="lv-LV"/>
              </w:rPr>
            </w:pPr>
            <w:r w:rsidRPr="00D72AC3">
              <w:rPr>
                <w:rFonts w:cs="Times New Roman"/>
                <w:color w:val="000000"/>
                <w:sz w:val="18"/>
                <w:szCs w:val="18"/>
                <w:lang w:val="en-GB" w:bidi="en-GB"/>
              </w:rPr>
              <w:t xml:space="preserve">The CS, in cooperation with Moneyval Secretariat and FATF, organises an international level conference in Riga on Latvia’s experience in introducing IO11, with the participation of international experts, delegations of </w:t>
            </w:r>
            <w:r w:rsidRPr="00D72AC3">
              <w:rPr>
                <w:rFonts w:cs="Times New Roman"/>
                <w:color w:val="000000"/>
                <w:sz w:val="18"/>
                <w:szCs w:val="18"/>
                <w:lang w:val="en-GB" w:bidi="en-GB"/>
              </w:rPr>
              <w:lastRenderedPageBreak/>
              <w:t>other Moneyval member states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160, 000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D9D9D9" w:themeFill="background1" w:themeFillShade="D9"/>
          </w:tcPr>
          <w:p w:rsidR="00700A0B" w:rsidRPr="00D72AC3" w:rsidRDefault="00700A0B" w:rsidP="00700A0B">
            <w:pPr>
              <w:jc w:val="center"/>
              <w:rPr>
                <w:rFonts w:eastAsia="Times New Roman"/>
                <w:sz w:val="20"/>
                <w:szCs w:val="20"/>
                <w:lang w:val="en-GB" w:eastAsia="lv-LV"/>
              </w:rPr>
            </w:pPr>
          </w:p>
        </w:tc>
        <w:tc>
          <w:tcPr>
            <w:tcW w:w="1843" w:type="dxa"/>
            <w:shd w:val="clear" w:color="auto" w:fill="D9D9D9" w:themeFill="background1" w:themeFillShade="D9"/>
          </w:tcPr>
          <w:p w:rsidR="00700A0B" w:rsidRPr="00D72AC3" w:rsidRDefault="00700A0B" w:rsidP="00700A0B">
            <w:pPr>
              <w:jc w:val="both"/>
              <w:rPr>
                <w:rFonts w:eastAsia="Times New Roman"/>
                <w:iCs/>
                <w:sz w:val="18"/>
                <w:szCs w:val="18"/>
                <w:lang w:val="en-GB" w:eastAsia="lv-LV"/>
              </w:rPr>
            </w:pPr>
            <w:r w:rsidRPr="00D72AC3">
              <w:rPr>
                <w:rFonts w:eastAsia="Times New Roman"/>
                <w:sz w:val="18"/>
                <w:szCs w:val="18"/>
                <w:lang w:val="en-GB" w:bidi="en-GB"/>
              </w:rPr>
              <w:t>.</w:t>
            </w:r>
          </w:p>
        </w:tc>
        <w:tc>
          <w:tcPr>
            <w:tcW w:w="1412" w:type="dxa"/>
            <w:shd w:val="clear" w:color="auto" w:fill="D9D9D9" w:themeFill="background1" w:themeFillShade="D9"/>
          </w:tcPr>
          <w:p w:rsidR="00700A0B" w:rsidRPr="00D72AC3" w:rsidRDefault="00700A0B" w:rsidP="00700A0B">
            <w:pPr>
              <w:jc w:val="center"/>
              <w:rPr>
                <w:rFonts w:eastAsia="Times New Roman"/>
                <w:sz w:val="18"/>
                <w:szCs w:val="18"/>
                <w:lang w:val="en-GB" w:eastAsia="lv-LV"/>
              </w:rPr>
            </w:pPr>
          </w:p>
          <w:p w:rsidR="0075161B" w:rsidRPr="00D72AC3" w:rsidRDefault="0075161B" w:rsidP="0075161B">
            <w:pPr>
              <w:jc w:val="center"/>
              <w:rPr>
                <w:rFonts w:eastAsia="Times New Roman"/>
                <w:sz w:val="18"/>
                <w:szCs w:val="18"/>
                <w:lang w:val="en-GB" w:eastAsia="lv-LV"/>
              </w:rPr>
            </w:pPr>
            <w:r w:rsidRPr="00D72AC3">
              <w:rPr>
                <w:rFonts w:eastAsia="Times New Roman"/>
                <w:sz w:val="18"/>
                <w:szCs w:val="18"/>
                <w:lang w:val="en-GB" w:bidi="en-GB"/>
              </w:rPr>
              <w:t xml:space="preserve">21.00.00. </w:t>
            </w:r>
          </w:p>
          <w:p w:rsidR="0075161B" w:rsidRPr="00D72AC3" w:rsidRDefault="0075161B" w:rsidP="0075161B">
            <w:pPr>
              <w:jc w:val="center"/>
              <w:rPr>
                <w:rFonts w:eastAsia="Times New Roman"/>
                <w:sz w:val="18"/>
                <w:szCs w:val="18"/>
                <w:lang w:val="en-GB" w:eastAsia="lv-LV"/>
              </w:rPr>
            </w:pPr>
            <w:r w:rsidRPr="00D72AC3">
              <w:rPr>
                <w:rFonts w:eastAsia="Times New Roman"/>
                <w:sz w:val="18"/>
                <w:szCs w:val="18"/>
                <w:lang w:val="en-GB" w:bidi="en-GB"/>
              </w:rPr>
              <w:t>Cultural heritage</w:t>
            </w:r>
          </w:p>
        </w:tc>
        <w:tc>
          <w:tcPr>
            <w:tcW w:w="1134" w:type="dxa"/>
            <w:shd w:val="clear" w:color="auto" w:fill="D9D9D9" w:themeFill="background1" w:themeFillShade="D9"/>
            <w:noWrap/>
            <w:vAlign w:val="bottom"/>
          </w:tcPr>
          <w:p w:rsidR="00700A0B" w:rsidRPr="00D72AC3" w:rsidRDefault="00700A0B" w:rsidP="00700A0B">
            <w:pPr>
              <w:jc w:val="center"/>
              <w:rPr>
                <w:sz w:val="18"/>
                <w:szCs w:val="18"/>
                <w:lang w:val="en-GB"/>
              </w:rPr>
            </w:pPr>
          </w:p>
        </w:tc>
        <w:tc>
          <w:tcPr>
            <w:tcW w:w="856" w:type="dxa"/>
            <w:shd w:val="clear" w:color="auto" w:fill="D9D9D9" w:themeFill="background1" w:themeFillShade="D9"/>
            <w:noWrap/>
            <w:vAlign w:val="bottom"/>
          </w:tcPr>
          <w:p w:rsidR="00700A0B" w:rsidRPr="00D72AC3" w:rsidRDefault="00700A0B" w:rsidP="00700A0B">
            <w:pPr>
              <w:jc w:val="center"/>
              <w:rPr>
                <w:sz w:val="18"/>
                <w:szCs w:val="18"/>
                <w:lang w:val="en-GB"/>
              </w:rPr>
            </w:pPr>
          </w:p>
        </w:tc>
        <w:tc>
          <w:tcPr>
            <w:tcW w:w="992" w:type="dxa"/>
            <w:shd w:val="clear" w:color="auto" w:fill="D9D9D9" w:themeFill="background1" w:themeFillShade="D9"/>
            <w:noWrap/>
            <w:vAlign w:val="bottom"/>
          </w:tcPr>
          <w:p w:rsidR="00700A0B" w:rsidRPr="00D72AC3" w:rsidRDefault="00700A0B" w:rsidP="00700A0B">
            <w:pPr>
              <w:jc w:val="center"/>
              <w:rPr>
                <w:sz w:val="18"/>
                <w:szCs w:val="18"/>
                <w:lang w:val="en-GB"/>
              </w:rPr>
            </w:pPr>
          </w:p>
        </w:tc>
        <w:tc>
          <w:tcPr>
            <w:tcW w:w="1129"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D9D9D9" w:themeFill="background1" w:themeFillShade="D9"/>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b/>
                <w:iCs/>
                <w:sz w:val="18"/>
                <w:szCs w:val="18"/>
                <w:lang w:val="en-GB" w:eastAsia="lv-LV"/>
              </w:rPr>
            </w:pPr>
            <w:r w:rsidRPr="00D72AC3">
              <w:rPr>
                <w:rFonts w:eastAsia="Times New Roman"/>
                <w:b/>
                <w:sz w:val="18"/>
                <w:szCs w:val="18"/>
                <w:lang w:val="en-GB" w:bidi="en-GB"/>
              </w:rPr>
              <w:t>Measure 3.3.(5).</w:t>
            </w:r>
          </w:p>
          <w:p w:rsidR="00700A0B" w:rsidRPr="00D72AC3" w:rsidRDefault="00700A0B" w:rsidP="00700A0B">
            <w:pPr>
              <w:jc w:val="both"/>
              <w:rPr>
                <w:rFonts w:eastAsia="Times New Roman"/>
                <w:iCs/>
                <w:sz w:val="18"/>
                <w:szCs w:val="18"/>
                <w:lang w:val="en-GB" w:eastAsia="lv-LV"/>
              </w:rPr>
            </w:pPr>
            <w:r w:rsidRPr="00D72AC3">
              <w:rPr>
                <w:rFonts w:eastAsia="Times New Roman"/>
                <w:sz w:val="18"/>
                <w:szCs w:val="18"/>
                <w:lang w:val="en-GB" w:bidi="en-GB"/>
              </w:rPr>
              <w:t>To review the number of employees and resources of the supervisory authorities, in order to ensure that they are able to adequately manage the identified risks and supervise the conduct of the subjects of law with respect to the risks</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5128A7"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68, 640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49, 140</w:t>
            </w: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49, 140</w:t>
            </w: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r w:rsidRPr="00D72AC3">
              <w:rPr>
                <w:rFonts w:eastAsia="Times New Roman"/>
                <w:color w:val="000000"/>
                <w:sz w:val="18"/>
                <w:szCs w:val="18"/>
                <w:lang w:val="en-GB" w:bidi="en-GB"/>
              </w:rPr>
              <w:t>49, 140</w:t>
            </w: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auto"/>
          </w:tcPr>
          <w:p w:rsidR="00700A0B" w:rsidRPr="00D72AC3" w:rsidRDefault="00700A0B" w:rsidP="00700A0B">
            <w:pPr>
              <w:jc w:val="center"/>
              <w:rPr>
                <w:rFonts w:eastAsia="Times New Roman"/>
                <w:sz w:val="20"/>
                <w:szCs w:val="20"/>
                <w:lang w:val="en-GB" w:eastAsia="lv-LV"/>
              </w:rPr>
            </w:pPr>
          </w:p>
        </w:tc>
        <w:tc>
          <w:tcPr>
            <w:tcW w:w="1843" w:type="dxa"/>
            <w:shd w:val="clear" w:color="auto" w:fill="auto"/>
          </w:tcPr>
          <w:p w:rsidR="00700A0B" w:rsidRPr="00D72AC3" w:rsidRDefault="00700A0B" w:rsidP="00700A0B">
            <w:pPr>
              <w:jc w:val="both"/>
              <w:rPr>
                <w:rFonts w:eastAsia="Times New Roman"/>
                <w:iCs/>
                <w:sz w:val="18"/>
                <w:szCs w:val="18"/>
                <w:lang w:val="en-GB" w:eastAsia="lv-LV"/>
              </w:rPr>
            </w:pPr>
            <w:r w:rsidRPr="00D72AC3">
              <w:rPr>
                <w:rFonts w:eastAsia="Times New Roman"/>
                <w:sz w:val="18"/>
                <w:szCs w:val="18"/>
                <w:lang w:val="en-GB" w:bidi="en-GB"/>
              </w:rPr>
              <w:t>Ministry of Culture</w:t>
            </w:r>
          </w:p>
        </w:tc>
        <w:tc>
          <w:tcPr>
            <w:tcW w:w="1412" w:type="dxa"/>
            <w:shd w:val="clear" w:color="auto" w:fill="auto"/>
          </w:tcPr>
          <w:p w:rsidR="00700A0B" w:rsidRPr="00D72AC3" w:rsidRDefault="00700A0B" w:rsidP="00700A0B">
            <w:pPr>
              <w:jc w:val="center"/>
              <w:rPr>
                <w:rFonts w:eastAsia="Times New Roman"/>
                <w:sz w:val="18"/>
                <w:szCs w:val="18"/>
                <w:lang w:val="en-GB" w:eastAsia="lv-LV"/>
              </w:rPr>
            </w:pPr>
          </w:p>
        </w:tc>
        <w:tc>
          <w:tcPr>
            <w:tcW w:w="1134" w:type="dxa"/>
            <w:shd w:val="clear" w:color="auto" w:fill="auto"/>
            <w:noWrap/>
            <w:vAlign w:val="bottom"/>
          </w:tcPr>
          <w:p w:rsidR="00700A0B" w:rsidRPr="00D72AC3" w:rsidRDefault="00700A0B" w:rsidP="00700A0B">
            <w:pPr>
              <w:jc w:val="center"/>
              <w:rPr>
                <w:sz w:val="18"/>
                <w:szCs w:val="18"/>
                <w:lang w:val="en-GB"/>
              </w:rPr>
            </w:pPr>
          </w:p>
        </w:tc>
        <w:tc>
          <w:tcPr>
            <w:tcW w:w="856" w:type="dxa"/>
            <w:shd w:val="clear" w:color="auto" w:fill="auto"/>
            <w:noWrap/>
            <w:vAlign w:val="bottom"/>
          </w:tcPr>
          <w:p w:rsidR="00700A0B" w:rsidRPr="00D72AC3" w:rsidRDefault="00700A0B" w:rsidP="00700A0B">
            <w:pPr>
              <w:jc w:val="center"/>
              <w:rPr>
                <w:sz w:val="18"/>
                <w:szCs w:val="18"/>
                <w:lang w:val="en-GB"/>
              </w:rPr>
            </w:pPr>
          </w:p>
        </w:tc>
        <w:tc>
          <w:tcPr>
            <w:tcW w:w="992" w:type="dxa"/>
            <w:shd w:val="clear" w:color="auto" w:fill="auto"/>
            <w:noWrap/>
            <w:vAlign w:val="bottom"/>
          </w:tcPr>
          <w:p w:rsidR="00700A0B" w:rsidRPr="00D72AC3" w:rsidRDefault="00700A0B" w:rsidP="00700A0B">
            <w:pPr>
              <w:jc w:val="center"/>
              <w:rPr>
                <w:sz w:val="18"/>
                <w:szCs w:val="18"/>
                <w:lang w:val="en-GB"/>
              </w:rPr>
            </w:pPr>
          </w:p>
        </w:tc>
        <w:tc>
          <w:tcPr>
            <w:tcW w:w="1129"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auto"/>
            <w:noWrap/>
            <w:vAlign w:val="bottom"/>
          </w:tcPr>
          <w:p w:rsidR="00700A0B" w:rsidRPr="00D72AC3" w:rsidRDefault="00700A0B" w:rsidP="00700A0B">
            <w:pPr>
              <w:jc w:val="center"/>
              <w:rPr>
                <w:rFonts w:eastAsia="Times New Roman"/>
                <w:color w:val="000000"/>
                <w:sz w:val="18"/>
                <w:szCs w:val="18"/>
                <w:lang w:val="en-GB" w:eastAsia="lv-LV"/>
              </w:rPr>
            </w:pPr>
          </w:p>
        </w:tc>
      </w:tr>
      <w:tr w:rsidR="00700A0B" w:rsidRPr="00D72AC3" w:rsidTr="00F76636">
        <w:trPr>
          <w:trHeight w:val="312"/>
        </w:trPr>
        <w:tc>
          <w:tcPr>
            <w:tcW w:w="2415" w:type="dxa"/>
            <w:shd w:val="clear" w:color="auto" w:fill="D9D9D9" w:themeFill="background1" w:themeFillShade="D9"/>
          </w:tcPr>
          <w:p w:rsidR="00700A0B" w:rsidRPr="00D72AC3" w:rsidRDefault="00700A0B" w:rsidP="00700A0B">
            <w:pPr>
              <w:jc w:val="center"/>
              <w:rPr>
                <w:rFonts w:eastAsia="Times New Roman"/>
                <w:sz w:val="18"/>
                <w:szCs w:val="18"/>
                <w:lang w:val="en-GB" w:eastAsia="lv-LV"/>
              </w:rPr>
            </w:pPr>
          </w:p>
        </w:tc>
        <w:tc>
          <w:tcPr>
            <w:tcW w:w="1843" w:type="dxa"/>
            <w:shd w:val="clear" w:color="auto" w:fill="D9D9D9" w:themeFill="background1" w:themeFillShade="D9"/>
          </w:tcPr>
          <w:p w:rsidR="00700A0B" w:rsidRPr="00D72AC3" w:rsidRDefault="00700A0B" w:rsidP="00700A0B">
            <w:pPr>
              <w:jc w:val="center"/>
              <w:rPr>
                <w:rFonts w:eastAsia="Times New Roman"/>
                <w:iCs/>
                <w:sz w:val="18"/>
                <w:szCs w:val="18"/>
                <w:lang w:val="en-GB" w:eastAsia="lv-LV"/>
              </w:rPr>
            </w:pPr>
          </w:p>
        </w:tc>
        <w:tc>
          <w:tcPr>
            <w:tcW w:w="1412" w:type="dxa"/>
            <w:shd w:val="clear" w:color="auto" w:fill="D9D9D9" w:themeFill="background1" w:themeFillShade="D9"/>
          </w:tcPr>
          <w:p w:rsidR="00700A0B" w:rsidRPr="00D72AC3" w:rsidRDefault="00700A0B" w:rsidP="00700A0B">
            <w:pPr>
              <w:jc w:val="center"/>
              <w:rPr>
                <w:sz w:val="18"/>
                <w:szCs w:val="18"/>
                <w:lang w:val="en-GB"/>
              </w:rPr>
            </w:pPr>
            <w:r w:rsidRPr="00D72AC3">
              <w:rPr>
                <w:sz w:val="18"/>
                <w:szCs w:val="18"/>
                <w:lang w:val="en-GB" w:bidi="en-GB"/>
              </w:rPr>
              <w:t xml:space="preserve">06.01.00 </w:t>
            </w:r>
          </w:p>
          <w:p w:rsidR="00700A0B" w:rsidRPr="00D72AC3" w:rsidRDefault="00700A0B" w:rsidP="00700A0B">
            <w:pPr>
              <w:jc w:val="center"/>
              <w:rPr>
                <w:rFonts w:eastAsia="Times New Roman"/>
                <w:sz w:val="18"/>
                <w:szCs w:val="18"/>
                <w:lang w:val="en-GB" w:eastAsia="lv-LV"/>
              </w:rPr>
            </w:pPr>
            <w:r w:rsidRPr="00D72AC3">
              <w:rPr>
                <w:sz w:val="18"/>
                <w:szCs w:val="18"/>
                <w:lang w:val="en-GB" w:bidi="en-GB"/>
              </w:rPr>
              <w:t>State Police</w:t>
            </w:r>
          </w:p>
        </w:tc>
        <w:tc>
          <w:tcPr>
            <w:tcW w:w="1134" w:type="dxa"/>
            <w:shd w:val="clear" w:color="auto" w:fill="D9D9D9" w:themeFill="background1" w:themeFillShade="D9"/>
            <w:noWrap/>
          </w:tcPr>
          <w:p w:rsidR="00700A0B" w:rsidRPr="00D72AC3" w:rsidRDefault="00700A0B" w:rsidP="00700A0B">
            <w:pPr>
              <w:jc w:val="center"/>
              <w:rPr>
                <w:sz w:val="18"/>
                <w:szCs w:val="18"/>
                <w:lang w:val="en-GB"/>
              </w:rPr>
            </w:pPr>
          </w:p>
        </w:tc>
        <w:tc>
          <w:tcPr>
            <w:tcW w:w="856" w:type="dxa"/>
            <w:shd w:val="clear" w:color="auto" w:fill="D9D9D9" w:themeFill="background1" w:themeFillShade="D9"/>
            <w:noWrap/>
          </w:tcPr>
          <w:p w:rsidR="00700A0B" w:rsidRPr="00D72AC3" w:rsidRDefault="00700A0B" w:rsidP="00700A0B">
            <w:pPr>
              <w:jc w:val="center"/>
              <w:rPr>
                <w:sz w:val="18"/>
                <w:szCs w:val="18"/>
                <w:lang w:val="en-GB"/>
              </w:rPr>
            </w:pPr>
          </w:p>
        </w:tc>
        <w:tc>
          <w:tcPr>
            <w:tcW w:w="992" w:type="dxa"/>
            <w:shd w:val="clear" w:color="auto" w:fill="D9D9D9" w:themeFill="background1" w:themeFillShade="D9"/>
            <w:noWrap/>
          </w:tcPr>
          <w:p w:rsidR="00700A0B" w:rsidRPr="00D72AC3" w:rsidRDefault="00700A0B" w:rsidP="00700A0B">
            <w:pPr>
              <w:jc w:val="center"/>
              <w:rPr>
                <w:sz w:val="18"/>
                <w:szCs w:val="18"/>
                <w:lang w:val="en-GB"/>
              </w:rPr>
            </w:pPr>
          </w:p>
        </w:tc>
        <w:tc>
          <w:tcPr>
            <w:tcW w:w="1129" w:type="dxa"/>
            <w:shd w:val="clear" w:color="auto" w:fill="D9D9D9" w:themeFill="background1" w:themeFillShade="D9"/>
            <w:noWrap/>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D9D9D9" w:themeFill="background1" w:themeFillShade="D9"/>
            <w:noWrap/>
          </w:tcPr>
          <w:p w:rsidR="00700A0B" w:rsidRPr="00D72AC3" w:rsidRDefault="00700A0B" w:rsidP="00700A0B">
            <w:pPr>
              <w:jc w:val="center"/>
              <w:rPr>
                <w:rFonts w:eastAsia="Times New Roman"/>
                <w:color w:val="000000"/>
                <w:sz w:val="18"/>
                <w:szCs w:val="18"/>
                <w:lang w:val="en-GB" w:eastAsia="lv-LV"/>
              </w:rPr>
            </w:pPr>
          </w:p>
        </w:tc>
        <w:tc>
          <w:tcPr>
            <w:tcW w:w="1134" w:type="dxa"/>
            <w:shd w:val="clear" w:color="auto" w:fill="D9D9D9" w:themeFill="background1" w:themeFillShade="D9"/>
            <w:noWrap/>
          </w:tcPr>
          <w:p w:rsidR="00700A0B" w:rsidRPr="00D72AC3" w:rsidRDefault="00700A0B" w:rsidP="00700A0B">
            <w:pPr>
              <w:jc w:val="center"/>
              <w:rPr>
                <w:rFonts w:eastAsia="Times New Roman"/>
                <w:color w:val="000000"/>
                <w:sz w:val="18"/>
                <w:szCs w:val="18"/>
                <w:lang w:val="en-GB" w:eastAsia="lv-LV"/>
              </w:rPr>
            </w:pPr>
          </w:p>
        </w:tc>
        <w:tc>
          <w:tcPr>
            <w:tcW w:w="851" w:type="dxa"/>
            <w:shd w:val="clear" w:color="auto" w:fill="D9D9D9" w:themeFill="background1" w:themeFillShade="D9"/>
            <w:noWrap/>
          </w:tcPr>
          <w:p w:rsidR="00700A0B" w:rsidRPr="00D72AC3" w:rsidRDefault="00700A0B" w:rsidP="00700A0B">
            <w:pPr>
              <w:jc w:val="center"/>
              <w:rPr>
                <w:rFonts w:eastAsia="Times New Roman"/>
                <w:color w:val="000000"/>
                <w:sz w:val="18"/>
                <w:szCs w:val="18"/>
                <w:lang w:val="en-GB" w:eastAsia="lv-LV"/>
              </w:rPr>
            </w:pPr>
          </w:p>
        </w:tc>
        <w:tc>
          <w:tcPr>
            <w:tcW w:w="1275" w:type="dxa"/>
            <w:shd w:val="clear" w:color="auto" w:fill="D9D9D9" w:themeFill="background1" w:themeFillShade="D9"/>
            <w:noWrap/>
          </w:tcPr>
          <w:p w:rsidR="00700A0B" w:rsidRPr="00D72AC3" w:rsidRDefault="00700A0B" w:rsidP="00700A0B">
            <w:pPr>
              <w:jc w:val="center"/>
              <w:rPr>
                <w:rFonts w:eastAsia="Times New Roman"/>
                <w:color w:val="000000"/>
                <w:sz w:val="18"/>
                <w:szCs w:val="18"/>
                <w:lang w:val="en-GB" w:eastAsia="lv-LV"/>
              </w:rPr>
            </w:pPr>
          </w:p>
        </w:tc>
        <w:tc>
          <w:tcPr>
            <w:tcW w:w="1048" w:type="dxa"/>
            <w:shd w:val="clear" w:color="auto" w:fill="D9D9D9" w:themeFill="background1" w:themeFillShade="D9"/>
            <w:noWrap/>
          </w:tcPr>
          <w:p w:rsidR="00700A0B" w:rsidRPr="00D72AC3" w:rsidRDefault="00700A0B" w:rsidP="00700A0B">
            <w:pPr>
              <w:jc w:val="center"/>
              <w:rPr>
                <w:rFonts w:eastAsia="Times New Roman"/>
                <w:color w:val="000000"/>
                <w:sz w:val="18"/>
                <w:szCs w:val="18"/>
                <w:lang w:val="en-GB" w:eastAsia="lv-LV"/>
              </w:rPr>
            </w:pPr>
          </w:p>
        </w:tc>
      </w:tr>
      <w:tr w:rsidR="00B50FD0" w:rsidRPr="00D72AC3" w:rsidTr="00F76636">
        <w:trPr>
          <w:trHeight w:val="748"/>
        </w:trPr>
        <w:tc>
          <w:tcPr>
            <w:tcW w:w="2415" w:type="dxa"/>
            <w:shd w:val="clear" w:color="auto" w:fill="auto"/>
          </w:tcPr>
          <w:p w:rsidR="00B50FD0" w:rsidRPr="00D72AC3" w:rsidRDefault="00B50FD0" w:rsidP="00B50FD0">
            <w:pPr>
              <w:jc w:val="center"/>
              <w:rPr>
                <w:rFonts w:eastAsia="Times New Roman"/>
                <w:sz w:val="18"/>
                <w:szCs w:val="18"/>
                <w:lang w:val="en-GB" w:eastAsia="lv-LV"/>
              </w:rPr>
            </w:pPr>
          </w:p>
        </w:tc>
        <w:tc>
          <w:tcPr>
            <w:tcW w:w="1843" w:type="dxa"/>
            <w:shd w:val="clear" w:color="auto" w:fill="auto"/>
          </w:tcPr>
          <w:p w:rsidR="00726716" w:rsidRPr="00D72AC3" w:rsidRDefault="00A214A8" w:rsidP="00726716">
            <w:pPr>
              <w:jc w:val="both"/>
              <w:rPr>
                <w:rFonts w:eastAsia="Times New Roman"/>
                <w:b/>
                <w:iCs/>
                <w:sz w:val="18"/>
                <w:szCs w:val="18"/>
                <w:lang w:val="en-GB" w:eastAsia="lv-LV"/>
              </w:rPr>
            </w:pPr>
            <w:r w:rsidRPr="00D72AC3">
              <w:rPr>
                <w:rFonts w:eastAsia="Times New Roman"/>
                <w:b/>
                <w:sz w:val="18"/>
                <w:szCs w:val="18"/>
                <w:lang w:val="en-GB" w:bidi="en-GB"/>
              </w:rPr>
              <w:t xml:space="preserve">Measure 7.8.(2). </w:t>
            </w:r>
          </w:p>
          <w:p w:rsidR="00B50FD0" w:rsidRPr="00D72AC3" w:rsidRDefault="00B50FD0" w:rsidP="00726716">
            <w:pPr>
              <w:jc w:val="both"/>
              <w:rPr>
                <w:rFonts w:cs="Times New Roman"/>
                <w:sz w:val="18"/>
                <w:szCs w:val="18"/>
                <w:lang w:val="en-GB"/>
              </w:rPr>
            </w:pPr>
            <w:r w:rsidRPr="00D72AC3">
              <w:rPr>
                <w:rFonts w:cs="Times New Roman"/>
                <w:sz w:val="18"/>
                <w:szCs w:val="18"/>
                <w:lang w:val="en-GB" w:bidi="en-GB"/>
              </w:rPr>
              <w:t xml:space="preserve"> Abilities and skills enhanced in investigating complex and voluminous ML cases;</w:t>
            </w:r>
          </w:p>
          <w:p w:rsidR="00726716" w:rsidRPr="00D72AC3" w:rsidRDefault="00827945" w:rsidP="00726716">
            <w:pPr>
              <w:jc w:val="both"/>
              <w:rPr>
                <w:rFonts w:cs="Times New Roman"/>
                <w:b/>
                <w:sz w:val="18"/>
                <w:szCs w:val="18"/>
                <w:lang w:val="en-GB"/>
              </w:rPr>
            </w:pPr>
            <w:r w:rsidRPr="00D72AC3">
              <w:rPr>
                <w:rFonts w:cs="Times New Roman"/>
                <w:b/>
                <w:sz w:val="18"/>
                <w:szCs w:val="18"/>
                <w:lang w:val="en-GB" w:bidi="en-GB"/>
              </w:rPr>
              <w:t>Measure 7.13.</w:t>
            </w:r>
          </w:p>
          <w:p w:rsidR="00726716" w:rsidRPr="00D72AC3" w:rsidRDefault="00275CC5" w:rsidP="00726716">
            <w:pPr>
              <w:jc w:val="both"/>
              <w:rPr>
                <w:rFonts w:eastAsia="Times New Roman"/>
                <w:b/>
                <w:iCs/>
                <w:sz w:val="18"/>
                <w:szCs w:val="18"/>
                <w:lang w:val="en-GB" w:eastAsia="lv-LV"/>
              </w:rPr>
            </w:pPr>
            <w:r w:rsidRPr="00D72AC3">
              <w:rPr>
                <w:rFonts w:cs="Times New Roman"/>
                <w:sz w:val="18"/>
                <w:szCs w:val="18"/>
                <w:lang w:val="en-GB" w:bidi="en-GB"/>
              </w:rPr>
              <w:t xml:space="preserve">To review the number of employees and resources of the Economic Crime Enforcement Department of the Main Criminal Police Department of the State Police , in order to ensure that they are able to adequately accumulate the </w:t>
            </w:r>
            <w:r w:rsidRPr="00D72AC3">
              <w:rPr>
                <w:rFonts w:cs="Times New Roman"/>
                <w:sz w:val="18"/>
                <w:szCs w:val="18"/>
                <w:lang w:val="en-GB" w:bidi="en-GB"/>
              </w:rPr>
              <w:lastRenderedPageBreak/>
              <w:t>expected increase in information to be verified and criminal proceedings as a result of the relevant activities of the action plan</w:t>
            </w:r>
          </w:p>
        </w:tc>
        <w:tc>
          <w:tcPr>
            <w:tcW w:w="1412" w:type="dxa"/>
            <w:shd w:val="clear" w:color="auto" w:fill="auto"/>
          </w:tcPr>
          <w:p w:rsidR="00B50FD0" w:rsidRPr="00D72AC3" w:rsidRDefault="00B50FD0" w:rsidP="00B50FD0">
            <w:pPr>
              <w:jc w:val="center"/>
              <w:rPr>
                <w:rFonts w:eastAsia="Times New Roman"/>
                <w:sz w:val="18"/>
                <w:szCs w:val="18"/>
                <w:lang w:val="en-GB" w:eastAsia="lv-LV"/>
              </w:rPr>
            </w:pPr>
          </w:p>
        </w:tc>
        <w:tc>
          <w:tcPr>
            <w:tcW w:w="1134" w:type="dxa"/>
            <w:shd w:val="clear" w:color="auto" w:fill="auto"/>
            <w:noWrap/>
          </w:tcPr>
          <w:p w:rsidR="00B50FD0" w:rsidRPr="00D72AC3" w:rsidRDefault="00B50FD0" w:rsidP="00B50FD0">
            <w:pPr>
              <w:jc w:val="center"/>
              <w:rPr>
                <w:sz w:val="18"/>
                <w:szCs w:val="18"/>
                <w:lang w:val="en-GB"/>
              </w:rPr>
            </w:pPr>
          </w:p>
        </w:tc>
        <w:tc>
          <w:tcPr>
            <w:tcW w:w="856" w:type="dxa"/>
            <w:shd w:val="clear" w:color="auto" w:fill="auto"/>
            <w:noWrap/>
          </w:tcPr>
          <w:p w:rsidR="00B50FD0" w:rsidRPr="00D72AC3" w:rsidRDefault="00B50FD0" w:rsidP="00B50FD0">
            <w:pPr>
              <w:jc w:val="center"/>
              <w:rPr>
                <w:sz w:val="18"/>
                <w:szCs w:val="18"/>
                <w:lang w:val="en-GB"/>
              </w:rPr>
            </w:pPr>
          </w:p>
        </w:tc>
        <w:tc>
          <w:tcPr>
            <w:tcW w:w="992" w:type="dxa"/>
            <w:shd w:val="clear" w:color="auto" w:fill="auto"/>
            <w:noWrap/>
          </w:tcPr>
          <w:p w:rsidR="00B50FD0" w:rsidRPr="00D72AC3" w:rsidRDefault="00B50FD0" w:rsidP="00B50FD0">
            <w:pPr>
              <w:jc w:val="center"/>
              <w:rPr>
                <w:sz w:val="18"/>
                <w:szCs w:val="18"/>
                <w:lang w:val="en-GB"/>
              </w:rPr>
            </w:pPr>
          </w:p>
        </w:tc>
        <w:tc>
          <w:tcPr>
            <w:tcW w:w="1129" w:type="dxa"/>
            <w:shd w:val="clear" w:color="auto" w:fill="auto"/>
            <w:noWrap/>
          </w:tcPr>
          <w:p w:rsidR="00B50FD0" w:rsidRPr="00D72AC3" w:rsidRDefault="00B50FD0" w:rsidP="00B50FD0">
            <w:pPr>
              <w:jc w:val="center"/>
              <w:rPr>
                <w:sz w:val="18"/>
                <w:szCs w:val="18"/>
                <w:lang w:val="en-GB"/>
              </w:rPr>
            </w:pPr>
            <w:r w:rsidRPr="00D72AC3">
              <w:rPr>
                <w:sz w:val="18"/>
                <w:szCs w:val="18"/>
                <w:lang w:val="en-GB" w:bidi="en-GB"/>
              </w:rPr>
              <w:t>171, 609</w:t>
            </w:r>
          </w:p>
        </w:tc>
        <w:tc>
          <w:tcPr>
            <w:tcW w:w="1134" w:type="dxa"/>
            <w:shd w:val="clear" w:color="auto" w:fill="auto"/>
            <w:noWrap/>
          </w:tcPr>
          <w:p w:rsidR="00B50FD0" w:rsidRPr="00D72AC3" w:rsidRDefault="00B50FD0" w:rsidP="00B50FD0">
            <w:pPr>
              <w:jc w:val="center"/>
              <w:rPr>
                <w:sz w:val="18"/>
                <w:szCs w:val="18"/>
                <w:lang w:val="en-GB"/>
              </w:rPr>
            </w:pPr>
            <w:r w:rsidRPr="00D72AC3">
              <w:rPr>
                <w:sz w:val="18"/>
                <w:szCs w:val="18"/>
                <w:lang w:val="en-GB" w:bidi="en-GB"/>
              </w:rPr>
              <w:t>163, 309</w:t>
            </w:r>
          </w:p>
        </w:tc>
        <w:tc>
          <w:tcPr>
            <w:tcW w:w="1134" w:type="dxa"/>
            <w:shd w:val="clear" w:color="auto" w:fill="auto"/>
            <w:noWrap/>
          </w:tcPr>
          <w:p w:rsidR="00B50FD0" w:rsidRPr="00D72AC3" w:rsidRDefault="00B50FD0" w:rsidP="00B50FD0">
            <w:pPr>
              <w:jc w:val="center"/>
              <w:rPr>
                <w:sz w:val="18"/>
                <w:szCs w:val="18"/>
                <w:lang w:val="en-GB"/>
              </w:rPr>
            </w:pPr>
            <w:r w:rsidRPr="00D72AC3">
              <w:rPr>
                <w:sz w:val="18"/>
                <w:szCs w:val="18"/>
                <w:lang w:val="en-GB" w:bidi="en-GB"/>
              </w:rPr>
              <w:t>163, 309</w:t>
            </w:r>
          </w:p>
        </w:tc>
        <w:tc>
          <w:tcPr>
            <w:tcW w:w="851" w:type="dxa"/>
            <w:shd w:val="clear" w:color="auto" w:fill="auto"/>
            <w:noWrap/>
          </w:tcPr>
          <w:p w:rsidR="00B50FD0" w:rsidRPr="00D72AC3" w:rsidRDefault="00B50FD0" w:rsidP="00B50FD0">
            <w:pPr>
              <w:jc w:val="center"/>
              <w:rPr>
                <w:rFonts w:eastAsia="Times New Roman"/>
                <w:color w:val="000000"/>
                <w:sz w:val="18"/>
                <w:szCs w:val="18"/>
                <w:lang w:val="en-GB" w:eastAsia="lv-LV"/>
              </w:rPr>
            </w:pPr>
          </w:p>
        </w:tc>
        <w:tc>
          <w:tcPr>
            <w:tcW w:w="1275" w:type="dxa"/>
            <w:shd w:val="clear" w:color="auto" w:fill="auto"/>
            <w:noWrap/>
          </w:tcPr>
          <w:p w:rsidR="00B50FD0" w:rsidRPr="00D72AC3" w:rsidRDefault="00B50FD0" w:rsidP="00B50FD0">
            <w:pPr>
              <w:jc w:val="center"/>
              <w:rPr>
                <w:sz w:val="18"/>
                <w:szCs w:val="18"/>
                <w:lang w:val="en-GB"/>
              </w:rPr>
            </w:pPr>
            <w:r w:rsidRPr="00D72AC3">
              <w:rPr>
                <w:sz w:val="18"/>
                <w:szCs w:val="18"/>
                <w:lang w:val="en-GB" w:bidi="en-GB"/>
              </w:rPr>
              <w:t>163, 309</w:t>
            </w:r>
          </w:p>
        </w:tc>
        <w:tc>
          <w:tcPr>
            <w:tcW w:w="1048" w:type="dxa"/>
            <w:shd w:val="clear" w:color="auto" w:fill="auto"/>
            <w:noWrap/>
          </w:tcPr>
          <w:p w:rsidR="00B50FD0" w:rsidRPr="00D72AC3" w:rsidRDefault="00B50FD0" w:rsidP="00B50FD0">
            <w:pPr>
              <w:jc w:val="center"/>
              <w:rPr>
                <w:rFonts w:eastAsia="Times New Roman"/>
                <w:color w:val="000000"/>
                <w:sz w:val="18"/>
                <w:szCs w:val="18"/>
                <w:lang w:val="en-GB" w:eastAsia="lv-LV"/>
              </w:rPr>
            </w:pPr>
          </w:p>
        </w:tc>
      </w:tr>
      <w:tr w:rsidR="00B50FD0" w:rsidRPr="00D72AC3" w:rsidTr="00F76636">
        <w:trPr>
          <w:trHeight w:val="309"/>
        </w:trPr>
        <w:tc>
          <w:tcPr>
            <w:tcW w:w="2415" w:type="dxa"/>
            <w:shd w:val="clear" w:color="auto" w:fill="auto"/>
          </w:tcPr>
          <w:p w:rsidR="00B50FD0" w:rsidRPr="00D72AC3" w:rsidRDefault="00B50FD0" w:rsidP="00B50FD0">
            <w:pPr>
              <w:jc w:val="center"/>
              <w:rPr>
                <w:rFonts w:eastAsia="Times New Roman"/>
                <w:sz w:val="18"/>
                <w:szCs w:val="18"/>
                <w:lang w:val="en-GB" w:eastAsia="lv-LV"/>
              </w:rPr>
            </w:pPr>
          </w:p>
        </w:tc>
        <w:tc>
          <w:tcPr>
            <w:tcW w:w="1843" w:type="dxa"/>
            <w:shd w:val="clear" w:color="auto" w:fill="auto"/>
          </w:tcPr>
          <w:p w:rsidR="00B50FD0" w:rsidRPr="00D72AC3" w:rsidRDefault="00B50FD0" w:rsidP="00B50FD0">
            <w:pPr>
              <w:jc w:val="center"/>
              <w:rPr>
                <w:sz w:val="18"/>
                <w:szCs w:val="18"/>
                <w:lang w:val="en-GB"/>
              </w:rPr>
            </w:pPr>
            <w:r w:rsidRPr="00D72AC3">
              <w:rPr>
                <w:sz w:val="18"/>
                <w:szCs w:val="18"/>
                <w:lang w:val="en-GB" w:bidi="en-GB"/>
              </w:rPr>
              <w:t>Ministry of the Interior</w:t>
            </w:r>
          </w:p>
        </w:tc>
        <w:tc>
          <w:tcPr>
            <w:tcW w:w="1412" w:type="dxa"/>
            <w:shd w:val="clear" w:color="auto" w:fill="auto"/>
          </w:tcPr>
          <w:p w:rsidR="00B50FD0" w:rsidRPr="00D72AC3" w:rsidRDefault="00B50FD0" w:rsidP="00B50FD0">
            <w:pPr>
              <w:jc w:val="center"/>
              <w:rPr>
                <w:rFonts w:eastAsia="Times New Roman"/>
                <w:sz w:val="18"/>
                <w:szCs w:val="18"/>
                <w:lang w:val="en-GB" w:eastAsia="lv-LV"/>
              </w:rPr>
            </w:pPr>
          </w:p>
        </w:tc>
        <w:tc>
          <w:tcPr>
            <w:tcW w:w="1134" w:type="dxa"/>
            <w:shd w:val="clear" w:color="auto" w:fill="auto"/>
            <w:noWrap/>
          </w:tcPr>
          <w:p w:rsidR="00B50FD0" w:rsidRPr="00D72AC3" w:rsidRDefault="00B50FD0" w:rsidP="00B50FD0">
            <w:pPr>
              <w:jc w:val="center"/>
              <w:rPr>
                <w:sz w:val="18"/>
                <w:szCs w:val="18"/>
                <w:lang w:val="en-GB"/>
              </w:rPr>
            </w:pPr>
          </w:p>
        </w:tc>
        <w:tc>
          <w:tcPr>
            <w:tcW w:w="856" w:type="dxa"/>
            <w:shd w:val="clear" w:color="auto" w:fill="auto"/>
            <w:noWrap/>
          </w:tcPr>
          <w:p w:rsidR="00B50FD0" w:rsidRPr="00D72AC3" w:rsidRDefault="00B50FD0" w:rsidP="00B50FD0">
            <w:pPr>
              <w:jc w:val="center"/>
              <w:rPr>
                <w:sz w:val="18"/>
                <w:szCs w:val="18"/>
                <w:lang w:val="en-GB"/>
              </w:rPr>
            </w:pPr>
          </w:p>
        </w:tc>
        <w:tc>
          <w:tcPr>
            <w:tcW w:w="992" w:type="dxa"/>
            <w:shd w:val="clear" w:color="auto" w:fill="auto"/>
            <w:noWrap/>
          </w:tcPr>
          <w:p w:rsidR="00B50FD0" w:rsidRPr="00D72AC3" w:rsidRDefault="00B50FD0" w:rsidP="00B50FD0">
            <w:pPr>
              <w:jc w:val="center"/>
              <w:rPr>
                <w:sz w:val="18"/>
                <w:szCs w:val="18"/>
                <w:lang w:val="en-GB"/>
              </w:rPr>
            </w:pPr>
          </w:p>
        </w:tc>
        <w:tc>
          <w:tcPr>
            <w:tcW w:w="1129" w:type="dxa"/>
            <w:shd w:val="clear" w:color="auto" w:fill="auto"/>
            <w:noWrap/>
          </w:tcPr>
          <w:p w:rsidR="00B50FD0" w:rsidRPr="00D72AC3" w:rsidRDefault="00B50FD0" w:rsidP="00B50FD0">
            <w:pPr>
              <w:jc w:val="center"/>
              <w:rPr>
                <w:sz w:val="18"/>
                <w:szCs w:val="18"/>
                <w:lang w:val="en-GB"/>
              </w:rPr>
            </w:pPr>
          </w:p>
        </w:tc>
        <w:tc>
          <w:tcPr>
            <w:tcW w:w="1134" w:type="dxa"/>
            <w:shd w:val="clear" w:color="auto" w:fill="auto"/>
            <w:noWrap/>
          </w:tcPr>
          <w:p w:rsidR="00B50FD0" w:rsidRPr="00D72AC3" w:rsidRDefault="00B50FD0" w:rsidP="00B50FD0">
            <w:pPr>
              <w:jc w:val="center"/>
              <w:rPr>
                <w:sz w:val="18"/>
                <w:szCs w:val="18"/>
                <w:lang w:val="en-GB"/>
              </w:rPr>
            </w:pPr>
          </w:p>
        </w:tc>
        <w:tc>
          <w:tcPr>
            <w:tcW w:w="1134" w:type="dxa"/>
            <w:shd w:val="clear" w:color="auto" w:fill="auto"/>
            <w:noWrap/>
          </w:tcPr>
          <w:p w:rsidR="00B50FD0" w:rsidRPr="00D72AC3" w:rsidRDefault="00B50FD0" w:rsidP="00B50FD0">
            <w:pPr>
              <w:jc w:val="center"/>
              <w:rPr>
                <w:sz w:val="18"/>
                <w:szCs w:val="18"/>
                <w:lang w:val="en-GB"/>
              </w:rPr>
            </w:pPr>
          </w:p>
        </w:tc>
        <w:tc>
          <w:tcPr>
            <w:tcW w:w="851" w:type="dxa"/>
            <w:shd w:val="clear" w:color="auto" w:fill="auto"/>
            <w:noWrap/>
          </w:tcPr>
          <w:p w:rsidR="00B50FD0" w:rsidRPr="00D72AC3" w:rsidRDefault="00B50FD0" w:rsidP="00B50FD0">
            <w:pPr>
              <w:jc w:val="center"/>
              <w:rPr>
                <w:rFonts w:eastAsia="Times New Roman"/>
                <w:color w:val="000000"/>
                <w:sz w:val="18"/>
                <w:szCs w:val="18"/>
                <w:lang w:val="en-GB" w:eastAsia="lv-LV"/>
              </w:rPr>
            </w:pPr>
          </w:p>
        </w:tc>
        <w:tc>
          <w:tcPr>
            <w:tcW w:w="1275" w:type="dxa"/>
            <w:shd w:val="clear" w:color="auto" w:fill="auto"/>
            <w:noWrap/>
          </w:tcPr>
          <w:p w:rsidR="00B50FD0" w:rsidRPr="00D72AC3" w:rsidRDefault="00B50FD0" w:rsidP="00B50FD0">
            <w:pPr>
              <w:jc w:val="center"/>
              <w:rPr>
                <w:sz w:val="18"/>
                <w:szCs w:val="18"/>
                <w:lang w:val="en-GB"/>
              </w:rPr>
            </w:pPr>
          </w:p>
        </w:tc>
        <w:tc>
          <w:tcPr>
            <w:tcW w:w="1048" w:type="dxa"/>
            <w:shd w:val="clear" w:color="auto" w:fill="auto"/>
            <w:noWrap/>
          </w:tcPr>
          <w:p w:rsidR="00B50FD0" w:rsidRPr="00D72AC3" w:rsidRDefault="00B50FD0" w:rsidP="00B50FD0">
            <w:pPr>
              <w:jc w:val="center"/>
              <w:rPr>
                <w:rFonts w:eastAsia="Times New Roman"/>
                <w:color w:val="000000"/>
                <w:sz w:val="18"/>
                <w:szCs w:val="18"/>
                <w:lang w:val="en-GB" w:eastAsia="lv-LV"/>
              </w:rPr>
            </w:pPr>
          </w:p>
        </w:tc>
      </w:tr>
    </w:tbl>
    <w:p w:rsidR="005F48E8" w:rsidRPr="00D72AC3" w:rsidRDefault="005F48E8" w:rsidP="00192E78">
      <w:pPr>
        <w:ind w:firstLine="720"/>
        <w:rPr>
          <w:szCs w:val="24"/>
          <w:lang w:val="en-GB"/>
        </w:rPr>
      </w:pPr>
    </w:p>
    <w:p w:rsidR="00275CC5" w:rsidRPr="00D72AC3" w:rsidRDefault="00275CC5" w:rsidP="00192E78">
      <w:pPr>
        <w:ind w:firstLine="720"/>
        <w:rPr>
          <w:szCs w:val="24"/>
          <w:lang w:val="en-GB"/>
        </w:rPr>
      </w:pPr>
    </w:p>
    <w:p w:rsidR="00192E78" w:rsidRPr="00D72AC3" w:rsidRDefault="00192E78" w:rsidP="00192E78">
      <w:pPr>
        <w:ind w:firstLine="720"/>
        <w:rPr>
          <w:szCs w:val="24"/>
          <w:lang w:val="en-GB"/>
        </w:rPr>
      </w:pPr>
      <w:r w:rsidRPr="00D72AC3">
        <w:rPr>
          <w:szCs w:val="24"/>
          <w:lang w:val="en-GB" w:bidi="en-GB"/>
        </w:rPr>
        <w:t>Minister for Finance</w:t>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r>
      <w:r w:rsidRPr="00D72AC3">
        <w:rPr>
          <w:szCs w:val="24"/>
          <w:lang w:val="en-GB" w:bidi="en-GB"/>
        </w:rPr>
        <w:tab/>
        <w:t>D. Reizniece-Ozola</w:t>
      </w:r>
    </w:p>
    <w:p w:rsidR="00192E78" w:rsidRPr="00D72AC3" w:rsidRDefault="00192E78" w:rsidP="00192E78">
      <w:pPr>
        <w:rPr>
          <w:szCs w:val="24"/>
          <w:lang w:val="en-GB"/>
        </w:rPr>
      </w:pPr>
    </w:p>
    <w:p w:rsidR="00192E78" w:rsidRPr="00D72AC3" w:rsidRDefault="00192E78" w:rsidP="00192E78">
      <w:pPr>
        <w:rPr>
          <w:szCs w:val="24"/>
          <w:lang w:val="en-GB"/>
        </w:rPr>
      </w:pPr>
    </w:p>
    <w:p w:rsidR="00B50FD0" w:rsidRPr="00D72AC3" w:rsidRDefault="00B50FD0" w:rsidP="00192E78">
      <w:pPr>
        <w:rPr>
          <w:sz w:val="18"/>
          <w:szCs w:val="18"/>
          <w:lang w:val="en-GB"/>
        </w:rPr>
      </w:pPr>
    </w:p>
    <w:p w:rsidR="00275CC5" w:rsidRPr="00D72AC3" w:rsidRDefault="00275CC5" w:rsidP="00192E78">
      <w:pPr>
        <w:rPr>
          <w:sz w:val="18"/>
          <w:szCs w:val="18"/>
          <w:lang w:val="en-GB"/>
        </w:rPr>
      </w:pPr>
    </w:p>
    <w:p w:rsidR="00275CC5" w:rsidRPr="00D72AC3" w:rsidRDefault="00275CC5" w:rsidP="00192E78">
      <w:pPr>
        <w:rPr>
          <w:sz w:val="18"/>
          <w:szCs w:val="18"/>
          <w:lang w:val="en-GB"/>
        </w:rPr>
      </w:pPr>
    </w:p>
    <w:p w:rsidR="00275CC5" w:rsidRPr="00D72AC3" w:rsidRDefault="00275CC5" w:rsidP="00192E78">
      <w:pPr>
        <w:rPr>
          <w:sz w:val="18"/>
          <w:szCs w:val="18"/>
          <w:lang w:val="en-GB"/>
        </w:rPr>
      </w:pPr>
    </w:p>
    <w:p w:rsidR="00275CC5" w:rsidRPr="00D72AC3" w:rsidRDefault="00275CC5" w:rsidP="00192E78">
      <w:pPr>
        <w:rPr>
          <w:sz w:val="18"/>
          <w:szCs w:val="18"/>
          <w:lang w:val="en-GB"/>
        </w:rPr>
      </w:pPr>
    </w:p>
    <w:p w:rsidR="00275CC5" w:rsidRPr="00D72AC3" w:rsidRDefault="00275CC5" w:rsidP="00192E78">
      <w:pPr>
        <w:rPr>
          <w:sz w:val="18"/>
          <w:szCs w:val="18"/>
          <w:lang w:val="en-GB"/>
        </w:rPr>
      </w:pPr>
    </w:p>
    <w:p w:rsidR="00192E78" w:rsidRPr="00D72AC3" w:rsidRDefault="00192E78" w:rsidP="00192E78">
      <w:pPr>
        <w:rPr>
          <w:sz w:val="18"/>
          <w:szCs w:val="18"/>
          <w:lang w:val="en-GB"/>
        </w:rPr>
      </w:pPr>
      <w:r w:rsidRPr="00D72AC3">
        <w:rPr>
          <w:sz w:val="18"/>
          <w:szCs w:val="18"/>
          <w:lang w:val="en-GB" w:bidi="en-GB"/>
        </w:rPr>
        <w:t>A. Zitcere +371 67095553</w:t>
      </w:r>
    </w:p>
    <w:p w:rsidR="00192E78" w:rsidRPr="00D72AC3" w:rsidRDefault="00192E78" w:rsidP="00192E78">
      <w:pPr>
        <w:rPr>
          <w:sz w:val="18"/>
          <w:szCs w:val="18"/>
          <w:lang w:val="en-GB"/>
        </w:rPr>
      </w:pPr>
      <w:r w:rsidRPr="00D72AC3">
        <w:rPr>
          <w:sz w:val="18"/>
          <w:szCs w:val="18"/>
          <w:lang w:val="en-GB" w:bidi="en-GB"/>
        </w:rPr>
        <w:t>Aija.Zitcere@fm.gov.lv</w:t>
      </w:r>
    </w:p>
    <w:sectPr w:rsidR="00192E78" w:rsidRPr="00D72AC3" w:rsidSect="00A401DB">
      <w:pgSz w:w="16838" w:h="11906" w:orient="landscape"/>
      <w:pgMar w:top="1276"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23" w:rsidRDefault="00607923" w:rsidP="008A7686">
      <w:r>
        <w:separator/>
      </w:r>
    </w:p>
  </w:endnote>
  <w:endnote w:type="continuationSeparator" w:id="0">
    <w:p w:rsidR="00607923" w:rsidRDefault="00607923" w:rsidP="008A7686">
      <w:r>
        <w:continuationSeparator/>
      </w:r>
    </w:p>
  </w:endnote>
  <w:endnote w:type="continuationNotice" w:id="1">
    <w:p w:rsidR="00607923" w:rsidRDefault="00607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7358"/>
      <w:docPartObj>
        <w:docPartGallery w:val="Page Numbers (Bottom of Page)"/>
        <w:docPartUnique/>
      </w:docPartObj>
    </w:sdtPr>
    <w:sdtEndPr>
      <w:rPr>
        <w:noProof/>
      </w:rPr>
    </w:sdtEndPr>
    <w:sdtContent>
      <w:p w:rsidR="00607923" w:rsidRDefault="00607923">
        <w:pPr>
          <w:pStyle w:val="Footer"/>
          <w:jc w:val="center"/>
        </w:pPr>
        <w:r>
          <w:rPr>
            <w:lang w:val="en-GB" w:bidi="en-GB"/>
          </w:rPr>
          <w:fldChar w:fldCharType="begin"/>
        </w:r>
        <w:r>
          <w:rPr>
            <w:lang w:val="en-GB" w:bidi="en-GB"/>
          </w:rPr>
          <w:instrText xml:space="preserve"> PAGE   \* MERGEFORMAT </w:instrText>
        </w:r>
        <w:r>
          <w:rPr>
            <w:lang w:val="en-GB" w:bidi="en-GB"/>
          </w:rPr>
          <w:fldChar w:fldCharType="separate"/>
        </w:r>
        <w:r w:rsidR="00F76636">
          <w:rPr>
            <w:noProof/>
            <w:lang w:val="en-GB" w:bidi="en-GB"/>
          </w:rPr>
          <w:t>84</w:t>
        </w:r>
        <w:r>
          <w:rPr>
            <w:noProof/>
            <w:lang w:val="en-GB" w:bidi="en-GB"/>
          </w:rPr>
          <w:fldChar w:fldCharType="end"/>
        </w:r>
      </w:p>
    </w:sdtContent>
  </w:sdt>
  <w:p w:rsidR="00607923" w:rsidRPr="004D5137" w:rsidRDefault="00607923" w:rsidP="002D5476">
    <w:pPr>
      <w:pStyle w:val="Footer"/>
      <w:rPr>
        <w:sz w:val="18"/>
        <w:szCs w:val="18"/>
      </w:rPr>
    </w:pPr>
    <w:r>
      <w:rPr>
        <w:sz w:val="18"/>
        <w:szCs w:val="18"/>
        <w:lang w:val="en-GB" w:bidi="en-GB"/>
      </w:rPr>
      <w:fldChar w:fldCharType="begin"/>
    </w:r>
    <w:r>
      <w:rPr>
        <w:sz w:val="18"/>
        <w:szCs w:val="18"/>
        <w:lang w:val="en-GB" w:bidi="en-GB"/>
      </w:rPr>
      <w:instrText xml:space="preserve"> FILENAME   \* MERGEFORMAT </w:instrText>
    </w:r>
    <w:r>
      <w:rPr>
        <w:sz w:val="18"/>
        <w:szCs w:val="18"/>
        <w:lang w:val="en-GB" w:bidi="en-GB"/>
      </w:rPr>
      <w:fldChar w:fldCharType="separate"/>
    </w:r>
    <w:r>
      <w:rPr>
        <w:noProof/>
        <w:sz w:val="18"/>
        <w:szCs w:val="18"/>
        <w:lang w:val="en-GB" w:bidi="en-GB"/>
      </w:rPr>
      <w:t>Moneyval_action_plan_20180925.docx</w:t>
    </w:r>
    <w:r>
      <w:rPr>
        <w:sz w:val="18"/>
        <w:szCs w:val="18"/>
        <w:lang w:val="en-GB" w:bidi="en-GB"/>
      </w:rPr>
      <w:fldChar w:fldCharType="end"/>
    </w:r>
    <w:r>
      <w:rPr>
        <w:sz w:val="18"/>
        <w:szCs w:val="18"/>
        <w:lang w:val="en-GB"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23" w:rsidRDefault="00607923" w:rsidP="008A7686">
      <w:r>
        <w:separator/>
      </w:r>
    </w:p>
  </w:footnote>
  <w:footnote w:type="continuationSeparator" w:id="0">
    <w:p w:rsidR="00607923" w:rsidRDefault="00607923" w:rsidP="008A7686">
      <w:r>
        <w:continuationSeparator/>
      </w:r>
    </w:p>
  </w:footnote>
  <w:footnote w:type="continuationNotice" w:id="1">
    <w:p w:rsidR="00607923" w:rsidRDefault="00607923"/>
  </w:footnote>
  <w:footnote w:id="2">
    <w:p w:rsidR="00607923" w:rsidRDefault="00607923" w:rsidP="00796432">
      <w:pPr>
        <w:pStyle w:val="FootnoteText"/>
        <w:jc w:val="both"/>
      </w:pPr>
      <w:r>
        <w:rPr>
          <w:rStyle w:val="FootnoteReference"/>
          <w:lang w:val="en-GB" w:bidi="en-GB"/>
        </w:rPr>
        <w:footnoteRef/>
      </w:r>
      <w:r>
        <w:rPr>
          <w:lang w:val="en-GB" w:bidi="en-GB"/>
        </w:rPr>
        <w:t xml:space="preserve"> Within the meaning of the methodology, "threats" are proceeds of crime that have been generated as a result of predicative crimes. In Latvia, the ML predicative crime may be any of the crimes provided for in the Special Part of the </w:t>
      </w:r>
      <w:r>
        <w:rPr>
          <w:i/>
          <w:lang w:val="en-GB" w:bidi="en-GB"/>
        </w:rPr>
        <w:t>Criminal Law.</w:t>
      </w:r>
    </w:p>
  </w:footnote>
  <w:footnote w:id="3">
    <w:p w:rsidR="00607923" w:rsidRDefault="00607923" w:rsidP="00796432">
      <w:pPr>
        <w:pStyle w:val="FootnoteText"/>
        <w:jc w:val="both"/>
      </w:pPr>
      <w:r>
        <w:rPr>
          <w:rStyle w:val="FootnoteReference"/>
          <w:lang w:val="en-GB" w:bidi="en-GB"/>
        </w:rPr>
        <w:footnoteRef/>
      </w:r>
      <w:r>
        <w:rPr>
          <w:lang w:val="en-GB" w:bidi="en-GB"/>
        </w:rPr>
        <w:t xml:space="preserve"> Operation of large financially powerful groups of the CIS countries through several Latvian credit institutions, servicing foreign customers, especially - large number of non-transparent mutual transactions in internal bank or within the scope of the Latvian financial sector without appropriate economic basis.</w:t>
      </w:r>
    </w:p>
  </w:footnote>
  <w:footnote w:id="4">
    <w:p w:rsidR="00607923" w:rsidRDefault="00607923" w:rsidP="00796432">
      <w:pPr>
        <w:pStyle w:val="FootnoteText"/>
      </w:pPr>
      <w:r>
        <w:rPr>
          <w:rStyle w:val="FootnoteReference"/>
          <w:lang w:val="en-GB" w:bidi="en-GB"/>
        </w:rPr>
        <w:footnoteRef/>
      </w:r>
      <w:r>
        <w:rPr>
          <w:lang w:val="en-GB" w:bidi="en-GB"/>
        </w:rPr>
        <w:t xml:space="preserve"> Within the meaning of the module, the vulnerability refers to gaps and weaknesses in a country’s defences against ML/FT that may exist at national or sector level.</w:t>
      </w:r>
    </w:p>
  </w:footnote>
  <w:footnote w:id="5">
    <w:p w:rsidR="00607923" w:rsidRDefault="00607923" w:rsidP="00796432">
      <w:pPr>
        <w:pStyle w:val="FootnoteText"/>
        <w:jc w:val="both"/>
      </w:pPr>
      <w:r w:rsidRPr="00AD7EF1">
        <w:rPr>
          <w:vertAlign w:val="superscript"/>
          <w:lang w:val="en-GB" w:bidi="en-GB"/>
        </w:rPr>
        <w:footnoteRef/>
      </w:r>
      <w:r w:rsidRPr="00AD7EF1">
        <w:rPr>
          <w:lang w:val="en-GB" w:bidi="en-GB"/>
        </w:rPr>
        <w:t xml:space="preserve"> Geography, both with respect to the customer (offshore companies) and the beneficial owner thereof - the CIS, products and services (fiduciary trusts, loans against financial collateral, etc.), as well as supply channels (e-commerce, corporate cards with unreasonably large number of cardholders, etc.);</w:t>
      </w:r>
    </w:p>
  </w:footnote>
  <w:footnote w:id="6">
    <w:p w:rsidR="00607923" w:rsidRDefault="00607923">
      <w:pPr>
        <w:pStyle w:val="FootnoteText"/>
      </w:pPr>
      <w:r>
        <w:rPr>
          <w:rStyle w:val="FootnoteReference"/>
          <w:lang w:val="en-GB" w:bidi="en-GB"/>
        </w:rPr>
        <w:footnoteRef/>
      </w:r>
      <w:r>
        <w:rPr>
          <w:lang w:val="en-GB" w:bidi="en-GB"/>
        </w:rPr>
        <w:t xml:space="preserve"> The number of performed verification in 2019 depends upon the time of recruiting of the newly established job positions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1061"/>
    <w:multiLevelType w:val="hybridMultilevel"/>
    <w:tmpl w:val="1A50EA24"/>
    <w:lvl w:ilvl="0" w:tplc="5B96EE8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1552"/>
    <w:multiLevelType w:val="hybridMultilevel"/>
    <w:tmpl w:val="4FF8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F29"/>
    <w:multiLevelType w:val="hybridMultilevel"/>
    <w:tmpl w:val="AC6639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B00818"/>
    <w:multiLevelType w:val="hybridMultilevel"/>
    <w:tmpl w:val="F04AFA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E8B1174"/>
    <w:multiLevelType w:val="hybridMultilevel"/>
    <w:tmpl w:val="09FA20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492BCA"/>
    <w:multiLevelType w:val="hybridMultilevel"/>
    <w:tmpl w:val="A6A6AEA6"/>
    <w:lvl w:ilvl="0" w:tplc="AC525544">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3042406"/>
    <w:multiLevelType w:val="hybridMultilevel"/>
    <w:tmpl w:val="174AE1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30557"/>
    <w:multiLevelType w:val="hybridMultilevel"/>
    <w:tmpl w:val="0686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1605F"/>
    <w:multiLevelType w:val="hybridMultilevel"/>
    <w:tmpl w:val="81B69C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E06130"/>
    <w:multiLevelType w:val="hybridMultilevel"/>
    <w:tmpl w:val="6D8E8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B3C3D"/>
    <w:multiLevelType w:val="hybridMultilevel"/>
    <w:tmpl w:val="39DC3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E6050"/>
    <w:multiLevelType w:val="hybridMultilevel"/>
    <w:tmpl w:val="45BA76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571A6E"/>
    <w:multiLevelType w:val="hybridMultilevel"/>
    <w:tmpl w:val="F374708E"/>
    <w:lvl w:ilvl="0" w:tplc="7F78C228">
      <w:start w:val="4"/>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1DB85461"/>
    <w:multiLevelType w:val="hybridMultilevel"/>
    <w:tmpl w:val="FD1A9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6B245F"/>
    <w:multiLevelType w:val="hybridMultilevel"/>
    <w:tmpl w:val="06D21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47095E"/>
    <w:multiLevelType w:val="hybridMultilevel"/>
    <w:tmpl w:val="3AA0578A"/>
    <w:lvl w:ilvl="0" w:tplc="04260011">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5B5B22"/>
    <w:multiLevelType w:val="hybridMultilevel"/>
    <w:tmpl w:val="53E4E340"/>
    <w:lvl w:ilvl="0" w:tplc="FAE002A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B370C0"/>
    <w:multiLevelType w:val="hybridMultilevel"/>
    <w:tmpl w:val="6060C1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584424"/>
    <w:multiLevelType w:val="hybridMultilevel"/>
    <w:tmpl w:val="97F887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E407A1"/>
    <w:multiLevelType w:val="hybridMultilevel"/>
    <w:tmpl w:val="A650CBD4"/>
    <w:lvl w:ilvl="0" w:tplc="DD70B03E">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09207D"/>
    <w:multiLevelType w:val="hybridMultilevel"/>
    <w:tmpl w:val="B91CF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8C3DD0"/>
    <w:multiLevelType w:val="hybridMultilevel"/>
    <w:tmpl w:val="959CF4E8"/>
    <w:lvl w:ilvl="0" w:tplc="E5163F6C">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AE74548"/>
    <w:multiLevelType w:val="hybridMultilevel"/>
    <w:tmpl w:val="572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55D9D"/>
    <w:multiLevelType w:val="hybridMultilevel"/>
    <w:tmpl w:val="8BE09B5A"/>
    <w:lvl w:ilvl="0" w:tplc="F682675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0C11AB"/>
    <w:multiLevelType w:val="hybridMultilevel"/>
    <w:tmpl w:val="1E3C62D2"/>
    <w:lvl w:ilvl="0" w:tplc="16DA0A2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4C42E29"/>
    <w:multiLevelType w:val="hybridMultilevel"/>
    <w:tmpl w:val="AD2C23C0"/>
    <w:lvl w:ilvl="0" w:tplc="5B96EE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497711"/>
    <w:multiLevelType w:val="hybridMultilevel"/>
    <w:tmpl w:val="35EC2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971243"/>
    <w:multiLevelType w:val="hybridMultilevel"/>
    <w:tmpl w:val="A348A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C8639C"/>
    <w:multiLevelType w:val="hybridMultilevel"/>
    <w:tmpl w:val="B5725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7C7068"/>
    <w:multiLevelType w:val="hybridMultilevel"/>
    <w:tmpl w:val="50E85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D21CF"/>
    <w:multiLevelType w:val="hybridMultilevel"/>
    <w:tmpl w:val="AB183E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387CC9"/>
    <w:multiLevelType w:val="hybridMultilevel"/>
    <w:tmpl w:val="6E949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36CE8"/>
    <w:multiLevelType w:val="hybridMultilevel"/>
    <w:tmpl w:val="FFDA10E2"/>
    <w:lvl w:ilvl="0" w:tplc="A4DAB3B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87E096A"/>
    <w:multiLevelType w:val="hybridMultilevel"/>
    <w:tmpl w:val="687C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EA02D0"/>
    <w:multiLevelType w:val="hybridMultilevel"/>
    <w:tmpl w:val="C3D2D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FF3D96"/>
    <w:multiLevelType w:val="hybridMultilevel"/>
    <w:tmpl w:val="5A32A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1B62E9"/>
    <w:multiLevelType w:val="hybridMultilevel"/>
    <w:tmpl w:val="C326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6864"/>
    <w:multiLevelType w:val="hybridMultilevel"/>
    <w:tmpl w:val="A94A2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C8091A"/>
    <w:multiLevelType w:val="hybridMultilevel"/>
    <w:tmpl w:val="A6CEA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1B496D"/>
    <w:multiLevelType w:val="hybridMultilevel"/>
    <w:tmpl w:val="88303D32"/>
    <w:lvl w:ilvl="0" w:tplc="BD74889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B4538A"/>
    <w:multiLevelType w:val="hybridMultilevel"/>
    <w:tmpl w:val="39DC3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BF5B23"/>
    <w:multiLevelType w:val="hybridMultilevel"/>
    <w:tmpl w:val="35EC2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39"/>
  </w:num>
  <w:num w:numId="3">
    <w:abstractNumId w:val="20"/>
  </w:num>
  <w:num w:numId="4">
    <w:abstractNumId w:val="18"/>
  </w:num>
  <w:num w:numId="5">
    <w:abstractNumId w:val="37"/>
  </w:num>
  <w:num w:numId="6">
    <w:abstractNumId w:val="4"/>
  </w:num>
  <w:num w:numId="7">
    <w:abstractNumId w:val="34"/>
  </w:num>
  <w:num w:numId="8">
    <w:abstractNumId w:val="8"/>
  </w:num>
  <w:num w:numId="9">
    <w:abstractNumId w:val="13"/>
  </w:num>
  <w:num w:numId="10">
    <w:abstractNumId w:val="25"/>
  </w:num>
  <w:num w:numId="11">
    <w:abstractNumId w:val="0"/>
  </w:num>
  <w:num w:numId="12">
    <w:abstractNumId w:val="17"/>
  </w:num>
  <w:num w:numId="13">
    <w:abstractNumId w:val="38"/>
  </w:num>
  <w:num w:numId="14">
    <w:abstractNumId w:val="31"/>
  </w:num>
  <w:num w:numId="15">
    <w:abstractNumId w:val="7"/>
  </w:num>
  <w:num w:numId="16">
    <w:abstractNumId w:val="22"/>
  </w:num>
  <w:num w:numId="17">
    <w:abstractNumId w:val="1"/>
  </w:num>
  <w:num w:numId="18">
    <w:abstractNumId w:val="36"/>
  </w:num>
  <w:num w:numId="19">
    <w:abstractNumId w:val="24"/>
  </w:num>
  <w:num w:numId="20">
    <w:abstractNumId w:val="28"/>
  </w:num>
  <w:num w:numId="21">
    <w:abstractNumId w:val="21"/>
  </w:num>
  <w:num w:numId="22">
    <w:abstractNumId w:val="2"/>
  </w:num>
  <w:num w:numId="23">
    <w:abstractNumId w:val="30"/>
  </w:num>
  <w:num w:numId="24">
    <w:abstractNumId w:val="11"/>
  </w:num>
  <w:num w:numId="25">
    <w:abstractNumId w:val="16"/>
  </w:num>
  <w:num w:numId="26">
    <w:abstractNumId w:val="33"/>
  </w:num>
  <w:num w:numId="27">
    <w:abstractNumId w:val="6"/>
  </w:num>
  <w:num w:numId="28">
    <w:abstractNumId w:val="29"/>
  </w:num>
  <w:num w:numId="29">
    <w:abstractNumId w:val="9"/>
  </w:num>
  <w:num w:numId="30">
    <w:abstractNumId w:val="27"/>
  </w:num>
  <w:num w:numId="31">
    <w:abstractNumId w:val="19"/>
  </w:num>
  <w:num w:numId="32">
    <w:abstractNumId w:val="41"/>
  </w:num>
  <w:num w:numId="33">
    <w:abstractNumId w:val="10"/>
  </w:num>
  <w:num w:numId="34">
    <w:abstractNumId w:val="35"/>
  </w:num>
  <w:num w:numId="35">
    <w:abstractNumId w:val="26"/>
  </w:num>
  <w:num w:numId="36">
    <w:abstractNumId w:val="4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5"/>
  </w:num>
  <w:num w:numId="40">
    <w:abstractNumId w:val="5"/>
  </w:num>
  <w:num w:numId="41">
    <w:abstractNumId w:val="1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53"/>
    <w:rsid w:val="00000662"/>
    <w:rsid w:val="00000E22"/>
    <w:rsid w:val="000010E9"/>
    <w:rsid w:val="000012CB"/>
    <w:rsid w:val="00001FA0"/>
    <w:rsid w:val="00004BA0"/>
    <w:rsid w:val="0000507F"/>
    <w:rsid w:val="00005263"/>
    <w:rsid w:val="00005A22"/>
    <w:rsid w:val="00005BED"/>
    <w:rsid w:val="00007339"/>
    <w:rsid w:val="00007CB4"/>
    <w:rsid w:val="00011A37"/>
    <w:rsid w:val="00011D0A"/>
    <w:rsid w:val="00011F3A"/>
    <w:rsid w:val="00012BDB"/>
    <w:rsid w:val="00013364"/>
    <w:rsid w:val="00013746"/>
    <w:rsid w:val="00015DD2"/>
    <w:rsid w:val="00016E09"/>
    <w:rsid w:val="00016E6D"/>
    <w:rsid w:val="00016F1F"/>
    <w:rsid w:val="00017934"/>
    <w:rsid w:val="00020833"/>
    <w:rsid w:val="000215A6"/>
    <w:rsid w:val="00024421"/>
    <w:rsid w:val="00025AB6"/>
    <w:rsid w:val="000261E6"/>
    <w:rsid w:val="000317E1"/>
    <w:rsid w:val="00033C6B"/>
    <w:rsid w:val="000340C6"/>
    <w:rsid w:val="000344B8"/>
    <w:rsid w:val="000368A1"/>
    <w:rsid w:val="00037C79"/>
    <w:rsid w:val="00040061"/>
    <w:rsid w:val="0004180E"/>
    <w:rsid w:val="00041B4A"/>
    <w:rsid w:val="00042520"/>
    <w:rsid w:val="00044038"/>
    <w:rsid w:val="00046212"/>
    <w:rsid w:val="00050634"/>
    <w:rsid w:val="0005227B"/>
    <w:rsid w:val="0005279C"/>
    <w:rsid w:val="00052DDB"/>
    <w:rsid w:val="00054C13"/>
    <w:rsid w:val="000601CE"/>
    <w:rsid w:val="0006062A"/>
    <w:rsid w:val="0006091D"/>
    <w:rsid w:val="00060EBB"/>
    <w:rsid w:val="00061390"/>
    <w:rsid w:val="00063887"/>
    <w:rsid w:val="0006495D"/>
    <w:rsid w:val="00064F81"/>
    <w:rsid w:val="00065366"/>
    <w:rsid w:val="00066513"/>
    <w:rsid w:val="00067A8F"/>
    <w:rsid w:val="000707D3"/>
    <w:rsid w:val="000712C7"/>
    <w:rsid w:val="000738D1"/>
    <w:rsid w:val="00075AAF"/>
    <w:rsid w:val="0007773B"/>
    <w:rsid w:val="000824DA"/>
    <w:rsid w:val="00083B83"/>
    <w:rsid w:val="000841C1"/>
    <w:rsid w:val="0008471B"/>
    <w:rsid w:val="0008512A"/>
    <w:rsid w:val="00086A74"/>
    <w:rsid w:val="0009140F"/>
    <w:rsid w:val="00092B1A"/>
    <w:rsid w:val="0009486A"/>
    <w:rsid w:val="00095084"/>
    <w:rsid w:val="00096AA3"/>
    <w:rsid w:val="00096DFF"/>
    <w:rsid w:val="0009711A"/>
    <w:rsid w:val="000A13C4"/>
    <w:rsid w:val="000A28C2"/>
    <w:rsid w:val="000A2B24"/>
    <w:rsid w:val="000A3249"/>
    <w:rsid w:val="000A4B43"/>
    <w:rsid w:val="000A4BCB"/>
    <w:rsid w:val="000A4F2F"/>
    <w:rsid w:val="000A5546"/>
    <w:rsid w:val="000A5FBA"/>
    <w:rsid w:val="000A62AA"/>
    <w:rsid w:val="000A64FF"/>
    <w:rsid w:val="000B0E1E"/>
    <w:rsid w:val="000B3CEB"/>
    <w:rsid w:val="000B4CE3"/>
    <w:rsid w:val="000B60B1"/>
    <w:rsid w:val="000C07B7"/>
    <w:rsid w:val="000C118F"/>
    <w:rsid w:val="000C2B06"/>
    <w:rsid w:val="000C2D5E"/>
    <w:rsid w:val="000C5748"/>
    <w:rsid w:val="000C68D7"/>
    <w:rsid w:val="000C6A6F"/>
    <w:rsid w:val="000C7E03"/>
    <w:rsid w:val="000C7EA0"/>
    <w:rsid w:val="000D0F6D"/>
    <w:rsid w:val="000D0FCD"/>
    <w:rsid w:val="000D1851"/>
    <w:rsid w:val="000D3013"/>
    <w:rsid w:val="000D4176"/>
    <w:rsid w:val="000D4C76"/>
    <w:rsid w:val="000D51C9"/>
    <w:rsid w:val="000D6C44"/>
    <w:rsid w:val="000D6CFF"/>
    <w:rsid w:val="000E05FD"/>
    <w:rsid w:val="000E2AD4"/>
    <w:rsid w:val="000E4222"/>
    <w:rsid w:val="000E54CF"/>
    <w:rsid w:val="000E5C49"/>
    <w:rsid w:val="000E5F2F"/>
    <w:rsid w:val="000E646C"/>
    <w:rsid w:val="000F0B38"/>
    <w:rsid w:val="000F455A"/>
    <w:rsid w:val="000F5234"/>
    <w:rsid w:val="000F7119"/>
    <w:rsid w:val="000F7575"/>
    <w:rsid w:val="00102D5B"/>
    <w:rsid w:val="00103052"/>
    <w:rsid w:val="001041E1"/>
    <w:rsid w:val="00104BBC"/>
    <w:rsid w:val="00106386"/>
    <w:rsid w:val="001068EA"/>
    <w:rsid w:val="00107138"/>
    <w:rsid w:val="00107C5B"/>
    <w:rsid w:val="00110748"/>
    <w:rsid w:val="00111755"/>
    <w:rsid w:val="00113E8B"/>
    <w:rsid w:val="00121773"/>
    <w:rsid w:val="00122AD7"/>
    <w:rsid w:val="00123141"/>
    <w:rsid w:val="00123E6E"/>
    <w:rsid w:val="001258EC"/>
    <w:rsid w:val="00126E9C"/>
    <w:rsid w:val="001300DF"/>
    <w:rsid w:val="00131B1F"/>
    <w:rsid w:val="001331DE"/>
    <w:rsid w:val="00136F39"/>
    <w:rsid w:val="00137930"/>
    <w:rsid w:val="00137F91"/>
    <w:rsid w:val="0014039B"/>
    <w:rsid w:val="00141DAB"/>
    <w:rsid w:val="0014268B"/>
    <w:rsid w:val="0014512D"/>
    <w:rsid w:val="001451D6"/>
    <w:rsid w:val="001459F9"/>
    <w:rsid w:val="0014702B"/>
    <w:rsid w:val="001471C5"/>
    <w:rsid w:val="00150205"/>
    <w:rsid w:val="001504EE"/>
    <w:rsid w:val="001505D5"/>
    <w:rsid w:val="00153CFB"/>
    <w:rsid w:val="00153D37"/>
    <w:rsid w:val="00155509"/>
    <w:rsid w:val="0015565C"/>
    <w:rsid w:val="00156099"/>
    <w:rsid w:val="00157C3A"/>
    <w:rsid w:val="00157C4F"/>
    <w:rsid w:val="00161201"/>
    <w:rsid w:val="00161E8F"/>
    <w:rsid w:val="0016393C"/>
    <w:rsid w:val="00163940"/>
    <w:rsid w:val="0016623A"/>
    <w:rsid w:val="00166616"/>
    <w:rsid w:val="00170049"/>
    <w:rsid w:val="001748EE"/>
    <w:rsid w:val="00174D9A"/>
    <w:rsid w:val="00177DFD"/>
    <w:rsid w:val="00180B05"/>
    <w:rsid w:val="0018182E"/>
    <w:rsid w:val="00181B0E"/>
    <w:rsid w:val="001826FB"/>
    <w:rsid w:val="00183A17"/>
    <w:rsid w:val="00183F04"/>
    <w:rsid w:val="0018424E"/>
    <w:rsid w:val="001845E3"/>
    <w:rsid w:val="00185015"/>
    <w:rsid w:val="00185B7D"/>
    <w:rsid w:val="00186872"/>
    <w:rsid w:val="0018760A"/>
    <w:rsid w:val="00187DDF"/>
    <w:rsid w:val="00190052"/>
    <w:rsid w:val="0019186E"/>
    <w:rsid w:val="00191C97"/>
    <w:rsid w:val="00191F59"/>
    <w:rsid w:val="00192E78"/>
    <w:rsid w:val="001932D5"/>
    <w:rsid w:val="00195179"/>
    <w:rsid w:val="00195285"/>
    <w:rsid w:val="00197931"/>
    <w:rsid w:val="00197D8A"/>
    <w:rsid w:val="001A1298"/>
    <w:rsid w:val="001A13DF"/>
    <w:rsid w:val="001A30C3"/>
    <w:rsid w:val="001A4704"/>
    <w:rsid w:val="001A7662"/>
    <w:rsid w:val="001B012B"/>
    <w:rsid w:val="001B0D24"/>
    <w:rsid w:val="001B243A"/>
    <w:rsid w:val="001B2D6F"/>
    <w:rsid w:val="001B3100"/>
    <w:rsid w:val="001B4949"/>
    <w:rsid w:val="001B70FE"/>
    <w:rsid w:val="001B7A02"/>
    <w:rsid w:val="001C227D"/>
    <w:rsid w:val="001C2282"/>
    <w:rsid w:val="001C2B0B"/>
    <w:rsid w:val="001C40B0"/>
    <w:rsid w:val="001D1193"/>
    <w:rsid w:val="001D18D0"/>
    <w:rsid w:val="001D26AB"/>
    <w:rsid w:val="001D4109"/>
    <w:rsid w:val="001D4D9B"/>
    <w:rsid w:val="001D5040"/>
    <w:rsid w:val="001D5BB4"/>
    <w:rsid w:val="001D6CFA"/>
    <w:rsid w:val="001D7E56"/>
    <w:rsid w:val="001E1C4E"/>
    <w:rsid w:val="001E265F"/>
    <w:rsid w:val="001E29AD"/>
    <w:rsid w:val="001E2E57"/>
    <w:rsid w:val="001E36B6"/>
    <w:rsid w:val="001E3F33"/>
    <w:rsid w:val="001E7B13"/>
    <w:rsid w:val="001F0933"/>
    <w:rsid w:val="001F14F3"/>
    <w:rsid w:val="001F297A"/>
    <w:rsid w:val="001F5C9F"/>
    <w:rsid w:val="001F6A8B"/>
    <w:rsid w:val="001F70D4"/>
    <w:rsid w:val="001F76B5"/>
    <w:rsid w:val="00201071"/>
    <w:rsid w:val="002021F6"/>
    <w:rsid w:val="00202B60"/>
    <w:rsid w:val="00207B91"/>
    <w:rsid w:val="00211EDC"/>
    <w:rsid w:val="00212B02"/>
    <w:rsid w:val="0021437C"/>
    <w:rsid w:val="002159B4"/>
    <w:rsid w:val="0021719D"/>
    <w:rsid w:val="002174F2"/>
    <w:rsid w:val="00220FA0"/>
    <w:rsid w:val="00221B5E"/>
    <w:rsid w:val="00223B8D"/>
    <w:rsid w:val="00225A22"/>
    <w:rsid w:val="00225E0E"/>
    <w:rsid w:val="00230DD7"/>
    <w:rsid w:val="00232E53"/>
    <w:rsid w:val="002337DD"/>
    <w:rsid w:val="0023385B"/>
    <w:rsid w:val="00235A57"/>
    <w:rsid w:val="00235BD3"/>
    <w:rsid w:val="0023616A"/>
    <w:rsid w:val="00236C5E"/>
    <w:rsid w:val="00240E39"/>
    <w:rsid w:val="00244A07"/>
    <w:rsid w:val="0024641B"/>
    <w:rsid w:val="0024659E"/>
    <w:rsid w:val="00246A4B"/>
    <w:rsid w:val="00246FD9"/>
    <w:rsid w:val="00247D4A"/>
    <w:rsid w:val="00251D90"/>
    <w:rsid w:val="00252966"/>
    <w:rsid w:val="0025329D"/>
    <w:rsid w:val="0025344E"/>
    <w:rsid w:val="00256D36"/>
    <w:rsid w:val="00257254"/>
    <w:rsid w:val="0025734A"/>
    <w:rsid w:val="002609B3"/>
    <w:rsid w:val="002615FC"/>
    <w:rsid w:val="0026263E"/>
    <w:rsid w:val="002628A7"/>
    <w:rsid w:val="0026291E"/>
    <w:rsid w:val="002660E6"/>
    <w:rsid w:val="00267C40"/>
    <w:rsid w:val="00270086"/>
    <w:rsid w:val="00271723"/>
    <w:rsid w:val="00272E91"/>
    <w:rsid w:val="00275CC5"/>
    <w:rsid w:val="00275CD6"/>
    <w:rsid w:val="00280A6F"/>
    <w:rsid w:val="00281E6E"/>
    <w:rsid w:val="0028238A"/>
    <w:rsid w:val="002827CF"/>
    <w:rsid w:val="00282868"/>
    <w:rsid w:val="0028738E"/>
    <w:rsid w:val="00291739"/>
    <w:rsid w:val="00291F3B"/>
    <w:rsid w:val="002920BA"/>
    <w:rsid w:val="00292C73"/>
    <w:rsid w:val="002941FC"/>
    <w:rsid w:val="00294DB7"/>
    <w:rsid w:val="002A27BD"/>
    <w:rsid w:val="002A3E26"/>
    <w:rsid w:val="002A45AF"/>
    <w:rsid w:val="002A4DB7"/>
    <w:rsid w:val="002A55CC"/>
    <w:rsid w:val="002A5952"/>
    <w:rsid w:val="002A5E4C"/>
    <w:rsid w:val="002A6726"/>
    <w:rsid w:val="002A6BF3"/>
    <w:rsid w:val="002A7220"/>
    <w:rsid w:val="002A73D6"/>
    <w:rsid w:val="002B0A72"/>
    <w:rsid w:val="002B0FCF"/>
    <w:rsid w:val="002B20F6"/>
    <w:rsid w:val="002B32F8"/>
    <w:rsid w:val="002B34E5"/>
    <w:rsid w:val="002B43A2"/>
    <w:rsid w:val="002B7BDF"/>
    <w:rsid w:val="002B7C72"/>
    <w:rsid w:val="002C113B"/>
    <w:rsid w:val="002C3957"/>
    <w:rsid w:val="002C633D"/>
    <w:rsid w:val="002C6A3C"/>
    <w:rsid w:val="002C6D07"/>
    <w:rsid w:val="002D113D"/>
    <w:rsid w:val="002D2620"/>
    <w:rsid w:val="002D5476"/>
    <w:rsid w:val="002D5C1C"/>
    <w:rsid w:val="002D6385"/>
    <w:rsid w:val="002D63BE"/>
    <w:rsid w:val="002D7C68"/>
    <w:rsid w:val="002E0A31"/>
    <w:rsid w:val="002E0CB0"/>
    <w:rsid w:val="002E0E26"/>
    <w:rsid w:val="002E17DE"/>
    <w:rsid w:val="002E1901"/>
    <w:rsid w:val="002E1F2E"/>
    <w:rsid w:val="002E252E"/>
    <w:rsid w:val="002E2791"/>
    <w:rsid w:val="002E2B53"/>
    <w:rsid w:val="002E5AF2"/>
    <w:rsid w:val="002E791F"/>
    <w:rsid w:val="002F08B2"/>
    <w:rsid w:val="002F0D0D"/>
    <w:rsid w:val="002F2062"/>
    <w:rsid w:val="002F2958"/>
    <w:rsid w:val="002F30D0"/>
    <w:rsid w:val="002F5F09"/>
    <w:rsid w:val="002F694E"/>
    <w:rsid w:val="002F6B21"/>
    <w:rsid w:val="002F70F1"/>
    <w:rsid w:val="002F76A1"/>
    <w:rsid w:val="00301B84"/>
    <w:rsid w:val="0030473A"/>
    <w:rsid w:val="003052E4"/>
    <w:rsid w:val="00306969"/>
    <w:rsid w:val="00306B2A"/>
    <w:rsid w:val="0030709D"/>
    <w:rsid w:val="003072DA"/>
    <w:rsid w:val="00307902"/>
    <w:rsid w:val="00311B74"/>
    <w:rsid w:val="003135F6"/>
    <w:rsid w:val="00313FE9"/>
    <w:rsid w:val="00315B8A"/>
    <w:rsid w:val="00315D82"/>
    <w:rsid w:val="00317666"/>
    <w:rsid w:val="003178AC"/>
    <w:rsid w:val="00317BB2"/>
    <w:rsid w:val="0032105F"/>
    <w:rsid w:val="0032107B"/>
    <w:rsid w:val="003213CC"/>
    <w:rsid w:val="00322151"/>
    <w:rsid w:val="00323693"/>
    <w:rsid w:val="00325E8D"/>
    <w:rsid w:val="00327055"/>
    <w:rsid w:val="00330C41"/>
    <w:rsid w:val="0033152C"/>
    <w:rsid w:val="00333994"/>
    <w:rsid w:val="00337ED2"/>
    <w:rsid w:val="00337EDC"/>
    <w:rsid w:val="00340363"/>
    <w:rsid w:val="00341282"/>
    <w:rsid w:val="00342D0D"/>
    <w:rsid w:val="00343AAE"/>
    <w:rsid w:val="00344A5D"/>
    <w:rsid w:val="00345731"/>
    <w:rsid w:val="00347065"/>
    <w:rsid w:val="00350DB9"/>
    <w:rsid w:val="0035437C"/>
    <w:rsid w:val="00356F0E"/>
    <w:rsid w:val="00360B12"/>
    <w:rsid w:val="003642C2"/>
    <w:rsid w:val="003645AD"/>
    <w:rsid w:val="00364F2E"/>
    <w:rsid w:val="00365678"/>
    <w:rsid w:val="003665F0"/>
    <w:rsid w:val="00367840"/>
    <w:rsid w:val="0037175D"/>
    <w:rsid w:val="00371995"/>
    <w:rsid w:val="003724A2"/>
    <w:rsid w:val="00372A83"/>
    <w:rsid w:val="00373692"/>
    <w:rsid w:val="003748DB"/>
    <w:rsid w:val="00374E04"/>
    <w:rsid w:val="00375CD1"/>
    <w:rsid w:val="00375CEC"/>
    <w:rsid w:val="00375DC6"/>
    <w:rsid w:val="00376021"/>
    <w:rsid w:val="0037632B"/>
    <w:rsid w:val="00380836"/>
    <w:rsid w:val="00380E17"/>
    <w:rsid w:val="0038105D"/>
    <w:rsid w:val="003838BE"/>
    <w:rsid w:val="00384116"/>
    <w:rsid w:val="00386CA9"/>
    <w:rsid w:val="00390D1B"/>
    <w:rsid w:val="003917D3"/>
    <w:rsid w:val="003923D2"/>
    <w:rsid w:val="00392A8A"/>
    <w:rsid w:val="00392C36"/>
    <w:rsid w:val="00392D25"/>
    <w:rsid w:val="00393E6C"/>
    <w:rsid w:val="00394B9B"/>
    <w:rsid w:val="003962F3"/>
    <w:rsid w:val="003A12D3"/>
    <w:rsid w:val="003A14AD"/>
    <w:rsid w:val="003A17CA"/>
    <w:rsid w:val="003A1DFD"/>
    <w:rsid w:val="003A2384"/>
    <w:rsid w:val="003A28B4"/>
    <w:rsid w:val="003A34AD"/>
    <w:rsid w:val="003A4237"/>
    <w:rsid w:val="003A4CC8"/>
    <w:rsid w:val="003A5CA4"/>
    <w:rsid w:val="003A6E7A"/>
    <w:rsid w:val="003B0BF3"/>
    <w:rsid w:val="003B0C7A"/>
    <w:rsid w:val="003B28E1"/>
    <w:rsid w:val="003B3DC7"/>
    <w:rsid w:val="003B4B5E"/>
    <w:rsid w:val="003B4F90"/>
    <w:rsid w:val="003B4FF0"/>
    <w:rsid w:val="003B6396"/>
    <w:rsid w:val="003C07D0"/>
    <w:rsid w:val="003C26A8"/>
    <w:rsid w:val="003C4343"/>
    <w:rsid w:val="003C460A"/>
    <w:rsid w:val="003C4B53"/>
    <w:rsid w:val="003C5EB8"/>
    <w:rsid w:val="003C6562"/>
    <w:rsid w:val="003C6B63"/>
    <w:rsid w:val="003C7D93"/>
    <w:rsid w:val="003C7F27"/>
    <w:rsid w:val="003D2032"/>
    <w:rsid w:val="003D2D0C"/>
    <w:rsid w:val="003D324B"/>
    <w:rsid w:val="003D474F"/>
    <w:rsid w:val="003D79C0"/>
    <w:rsid w:val="003E16BD"/>
    <w:rsid w:val="003E2651"/>
    <w:rsid w:val="003E2653"/>
    <w:rsid w:val="003E2A07"/>
    <w:rsid w:val="003E3569"/>
    <w:rsid w:val="003E3BCD"/>
    <w:rsid w:val="003E49FA"/>
    <w:rsid w:val="003E5EA8"/>
    <w:rsid w:val="003E6025"/>
    <w:rsid w:val="003E68C1"/>
    <w:rsid w:val="003F243E"/>
    <w:rsid w:val="003F301A"/>
    <w:rsid w:val="003F447E"/>
    <w:rsid w:val="003F45F3"/>
    <w:rsid w:val="003F5130"/>
    <w:rsid w:val="003F5AAD"/>
    <w:rsid w:val="003F5FAC"/>
    <w:rsid w:val="003F66DD"/>
    <w:rsid w:val="003F69CE"/>
    <w:rsid w:val="0040178E"/>
    <w:rsid w:val="00405DB3"/>
    <w:rsid w:val="00405F7F"/>
    <w:rsid w:val="00406305"/>
    <w:rsid w:val="0040642E"/>
    <w:rsid w:val="00406AE8"/>
    <w:rsid w:val="00407177"/>
    <w:rsid w:val="00407BF9"/>
    <w:rsid w:val="0041273D"/>
    <w:rsid w:val="00413D0D"/>
    <w:rsid w:val="0041445D"/>
    <w:rsid w:val="0041676C"/>
    <w:rsid w:val="004172AF"/>
    <w:rsid w:val="00417F80"/>
    <w:rsid w:val="00421FDF"/>
    <w:rsid w:val="004222ED"/>
    <w:rsid w:val="00422A48"/>
    <w:rsid w:val="00423710"/>
    <w:rsid w:val="00424857"/>
    <w:rsid w:val="00424E41"/>
    <w:rsid w:val="0042737D"/>
    <w:rsid w:val="00430F4C"/>
    <w:rsid w:val="00433064"/>
    <w:rsid w:val="00434417"/>
    <w:rsid w:val="00434ADC"/>
    <w:rsid w:val="004352B5"/>
    <w:rsid w:val="0043626E"/>
    <w:rsid w:val="00437C39"/>
    <w:rsid w:val="00437FF9"/>
    <w:rsid w:val="00441FD6"/>
    <w:rsid w:val="00445DCE"/>
    <w:rsid w:val="00446A78"/>
    <w:rsid w:val="00446D2C"/>
    <w:rsid w:val="00447A1D"/>
    <w:rsid w:val="004506EB"/>
    <w:rsid w:val="00452C4D"/>
    <w:rsid w:val="00453758"/>
    <w:rsid w:val="00454062"/>
    <w:rsid w:val="00454EA5"/>
    <w:rsid w:val="00457CC8"/>
    <w:rsid w:val="00457E8F"/>
    <w:rsid w:val="004600AF"/>
    <w:rsid w:val="0046064C"/>
    <w:rsid w:val="00461327"/>
    <w:rsid w:val="004632B4"/>
    <w:rsid w:val="004649A6"/>
    <w:rsid w:val="00465ABC"/>
    <w:rsid w:val="004667E1"/>
    <w:rsid w:val="00466A18"/>
    <w:rsid w:val="0046778F"/>
    <w:rsid w:val="0046786A"/>
    <w:rsid w:val="004701BC"/>
    <w:rsid w:val="00470B3C"/>
    <w:rsid w:val="00472A19"/>
    <w:rsid w:val="00473D20"/>
    <w:rsid w:val="00473DE1"/>
    <w:rsid w:val="00473DFD"/>
    <w:rsid w:val="00475282"/>
    <w:rsid w:val="004803D8"/>
    <w:rsid w:val="00481460"/>
    <w:rsid w:val="0048177B"/>
    <w:rsid w:val="00481AD0"/>
    <w:rsid w:val="00481D6F"/>
    <w:rsid w:val="00482384"/>
    <w:rsid w:val="00492CC9"/>
    <w:rsid w:val="0049399E"/>
    <w:rsid w:val="0049449D"/>
    <w:rsid w:val="0049466A"/>
    <w:rsid w:val="004952B1"/>
    <w:rsid w:val="004A1848"/>
    <w:rsid w:val="004A36E5"/>
    <w:rsid w:val="004A55EC"/>
    <w:rsid w:val="004A656F"/>
    <w:rsid w:val="004A7EED"/>
    <w:rsid w:val="004B035B"/>
    <w:rsid w:val="004B44FD"/>
    <w:rsid w:val="004B5256"/>
    <w:rsid w:val="004C016B"/>
    <w:rsid w:val="004C23AC"/>
    <w:rsid w:val="004C4133"/>
    <w:rsid w:val="004C4472"/>
    <w:rsid w:val="004C58A7"/>
    <w:rsid w:val="004C6643"/>
    <w:rsid w:val="004D054B"/>
    <w:rsid w:val="004D11C0"/>
    <w:rsid w:val="004D19A8"/>
    <w:rsid w:val="004D3714"/>
    <w:rsid w:val="004D5137"/>
    <w:rsid w:val="004D6636"/>
    <w:rsid w:val="004D6894"/>
    <w:rsid w:val="004E0330"/>
    <w:rsid w:val="004E136E"/>
    <w:rsid w:val="004E31A9"/>
    <w:rsid w:val="004E3DB5"/>
    <w:rsid w:val="004F0268"/>
    <w:rsid w:val="004F075D"/>
    <w:rsid w:val="004F11FC"/>
    <w:rsid w:val="004F166A"/>
    <w:rsid w:val="004F21C5"/>
    <w:rsid w:val="004F4AEC"/>
    <w:rsid w:val="004F54E4"/>
    <w:rsid w:val="004F6B83"/>
    <w:rsid w:val="00500E47"/>
    <w:rsid w:val="00501C9C"/>
    <w:rsid w:val="00501FB5"/>
    <w:rsid w:val="005027E7"/>
    <w:rsid w:val="00504162"/>
    <w:rsid w:val="00504909"/>
    <w:rsid w:val="00505985"/>
    <w:rsid w:val="005063F0"/>
    <w:rsid w:val="005078A1"/>
    <w:rsid w:val="005110EB"/>
    <w:rsid w:val="005122DD"/>
    <w:rsid w:val="005128A7"/>
    <w:rsid w:val="00512963"/>
    <w:rsid w:val="005138D7"/>
    <w:rsid w:val="00514098"/>
    <w:rsid w:val="00515651"/>
    <w:rsid w:val="00515A36"/>
    <w:rsid w:val="00516D42"/>
    <w:rsid w:val="00517BFA"/>
    <w:rsid w:val="00520161"/>
    <w:rsid w:val="00531D46"/>
    <w:rsid w:val="00532787"/>
    <w:rsid w:val="0053332C"/>
    <w:rsid w:val="00533B4B"/>
    <w:rsid w:val="005342A2"/>
    <w:rsid w:val="0053439A"/>
    <w:rsid w:val="00534A2B"/>
    <w:rsid w:val="005373E4"/>
    <w:rsid w:val="00540663"/>
    <w:rsid w:val="005430A8"/>
    <w:rsid w:val="005430AD"/>
    <w:rsid w:val="005435BC"/>
    <w:rsid w:val="0054450C"/>
    <w:rsid w:val="00547042"/>
    <w:rsid w:val="00547B88"/>
    <w:rsid w:val="00550014"/>
    <w:rsid w:val="005516E3"/>
    <w:rsid w:val="00552400"/>
    <w:rsid w:val="005527B4"/>
    <w:rsid w:val="005545EE"/>
    <w:rsid w:val="00554E89"/>
    <w:rsid w:val="00555052"/>
    <w:rsid w:val="00555302"/>
    <w:rsid w:val="005624ED"/>
    <w:rsid w:val="00563173"/>
    <w:rsid w:val="0056332C"/>
    <w:rsid w:val="0056500A"/>
    <w:rsid w:val="00567350"/>
    <w:rsid w:val="005704C7"/>
    <w:rsid w:val="00570F66"/>
    <w:rsid w:val="00570FED"/>
    <w:rsid w:val="005713F7"/>
    <w:rsid w:val="00571EFE"/>
    <w:rsid w:val="00572A01"/>
    <w:rsid w:val="005734C5"/>
    <w:rsid w:val="005738EC"/>
    <w:rsid w:val="00573EA3"/>
    <w:rsid w:val="00573EAC"/>
    <w:rsid w:val="00574439"/>
    <w:rsid w:val="00575F73"/>
    <w:rsid w:val="00582796"/>
    <w:rsid w:val="00583E17"/>
    <w:rsid w:val="00583FDD"/>
    <w:rsid w:val="00585760"/>
    <w:rsid w:val="00591761"/>
    <w:rsid w:val="00593258"/>
    <w:rsid w:val="005947CD"/>
    <w:rsid w:val="00594AED"/>
    <w:rsid w:val="0059574A"/>
    <w:rsid w:val="0059580C"/>
    <w:rsid w:val="0059700B"/>
    <w:rsid w:val="00597CB8"/>
    <w:rsid w:val="005A00D8"/>
    <w:rsid w:val="005A2C00"/>
    <w:rsid w:val="005A4F79"/>
    <w:rsid w:val="005A5AA4"/>
    <w:rsid w:val="005A61D5"/>
    <w:rsid w:val="005A67C4"/>
    <w:rsid w:val="005A75FC"/>
    <w:rsid w:val="005B0C65"/>
    <w:rsid w:val="005B0ECD"/>
    <w:rsid w:val="005B2582"/>
    <w:rsid w:val="005B4A74"/>
    <w:rsid w:val="005B5027"/>
    <w:rsid w:val="005B533B"/>
    <w:rsid w:val="005B675A"/>
    <w:rsid w:val="005B6D07"/>
    <w:rsid w:val="005C1732"/>
    <w:rsid w:val="005C1E0F"/>
    <w:rsid w:val="005C25B8"/>
    <w:rsid w:val="005C268B"/>
    <w:rsid w:val="005C279B"/>
    <w:rsid w:val="005C2DBB"/>
    <w:rsid w:val="005C40FF"/>
    <w:rsid w:val="005C45DC"/>
    <w:rsid w:val="005C4B34"/>
    <w:rsid w:val="005C5397"/>
    <w:rsid w:val="005C653F"/>
    <w:rsid w:val="005C66D5"/>
    <w:rsid w:val="005C672C"/>
    <w:rsid w:val="005C6C25"/>
    <w:rsid w:val="005C6EE7"/>
    <w:rsid w:val="005C78E1"/>
    <w:rsid w:val="005C7B99"/>
    <w:rsid w:val="005C7CFF"/>
    <w:rsid w:val="005D0A77"/>
    <w:rsid w:val="005D0CCC"/>
    <w:rsid w:val="005D0E8A"/>
    <w:rsid w:val="005D26BF"/>
    <w:rsid w:val="005D2E16"/>
    <w:rsid w:val="005D2E1D"/>
    <w:rsid w:val="005D43BA"/>
    <w:rsid w:val="005D4E69"/>
    <w:rsid w:val="005D72BC"/>
    <w:rsid w:val="005E007F"/>
    <w:rsid w:val="005E03C7"/>
    <w:rsid w:val="005E0A0A"/>
    <w:rsid w:val="005E1279"/>
    <w:rsid w:val="005E1677"/>
    <w:rsid w:val="005E28C6"/>
    <w:rsid w:val="005E2C51"/>
    <w:rsid w:val="005E3ACA"/>
    <w:rsid w:val="005E69EB"/>
    <w:rsid w:val="005E6E99"/>
    <w:rsid w:val="005F255C"/>
    <w:rsid w:val="005F3329"/>
    <w:rsid w:val="005F367D"/>
    <w:rsid w:val="005F42A6"/>
    <w:rsid w:val="005F48E8"/>
    <w:rsid w:val="005F4FB3"/>
    <w:rsid w:val="005F5EF8"/>
    <w:rsid w:val="00602089"/>
    <w:rsid w:val="006024F0"/>
    <w:rsid w:val="00602772"/>
    <w:rsid w:val="00604545"/>
    <w:rsid w:val="00604E18"/>
    <w:rsid w:val="00607923"/>
    <w:rsid w:val="00610050"/>
    <w:rsid w:val="006107FA"/>
    <w:rsid w:val="00610856"/>
    <w:rsid w:val="00610E0F"/>
    <w:rsid w:val="00611144"/>
    <w:rsid w:val="00611B7C"/>
    <w:rsid w:val="00611E9F"/>
    <w:rsid w:val="00612909"/>
    <w:rsid w:val="00613676"/>
    <w:rsid w:val="00613C61"/>
    <w:rsid w:val="00613FE5"/>
    <w:rsid w:val="00614F18"/>
    <w:rsid w:val="00615E3B"/>
    <w:rsid w:val="00616BCF"/>
    <w:rsid w:val="0062094E"/>
    <w:rsid w:val="00621AE9"/>
    <w:rsid w:val="00623C63"/>
    <w:rsid w:val="006253AA"/>
    <w:rsid w:val="00625980"/>
    <w:rsid w:val="00625C7B"/>
    <w:rsid w:val="00626B8F"/>
    <w:rsid w:val="00627499"/>
    <w:rsid w:val="006301E7"/>
    <w:rsid w:val="0063076B"/>
    <w:rsid w:val="00630CA0"/>
    <w:rsid w:val="00631A3A"/>
    <w:rsid w:val="00632D1F"/>
    <w:rsid w:val="00637738"/>
    <w:rsid w:val="0063784C"/>
    <w:rsid w:val="0064100C"/>
    <w:rsid w:val="00641C8F"/>
    <w:rsid w:val="00641D46"/>
    <w:rsid w:val="00643BAD"/>
    <w:rsid w:val="0064544E"/>
    <w:rsid w:val="00646C16"/>
    <w:rsid w:val="00647348"/>
    <w:rsid w:val="00647A56"/>
    <w:rsid w:val="00647CDA"/>
    <w:rsid w:val="0065029D"/>
    <w:rsid w:val="00650C4F"/>
    <w:rsid w:val="00652691"/>
    <w:rsid w:val="00653A69"/>
    <w:rsid w:val="00655AC1"/>
    <w:rsid w:val="006607F5"/>
    <w:rsid w:val="0066229E"/>
    <w:rsid w:val="00662356"/>
    <w:rsid w:val="006638EA"/>
    <w:rsid w:val="00663B9B"/>
    <w:rsid w:val="006643F8"/>
    <w:rsid w:val="00664547"/>
    <w:rsid w:val="0066497D"/>
    <w:rsid w:val="00664A91"/>
    <w:rsid w:val="0066578E"/>
    <w:rsid w:val="00670C22"/>
    <w:rsid w:val="0067128C"/>
    <w:rsid w:val="00671FCB"/>
    <w:rsid w:val="00672B27"/>
    <w:rsid w:val="0067358E"/>
    <w:rsid w:val="00674584"/>
    <w:rsid w:val="0067580E"/>
    <w:rsid w:val="00675CF5"/>
    <w:rsid w:val="00676356"/>
    <w:rsid w:val="006773D8"/>
    <w:rsid w:val="00677B35"/>
    <w:rsid w:val="00681341"/>
    <w:rsid w:val="00682580"/>
    <w:rsid w:val="00682D68"/>
    <w:rsid w:val="00685709"/>
    <w:rsid w:val="00690598"/>
    <w:rsid w:val="00692A55"/>
    <w:rsid w:val="006931E7"/>
    <w:rsid w:val="00693B93"/>
    <w:rsid w:val="00693E6E"/>
    <w:rsid w:val="00694136"/>
    <w:rsid w:val="00694A26"/>
    <w:rsid w:val="00694CD4"/>
    <w:rsid w:val="00697222"/>
    <w:rsid w:val="006A05B0"/>
    <w:rsid w:val="006A0FE3"/>
    <w:rsid w:val="006A1020"/>
    <w:rsid w:val="006A2347"/>
    <w:rsid w:val="006A3BC5"/>
    <w:rsid w:val="006A47FE"/>
    <w:rsid w:val="006A4F24"/>
    <w:rsid w:val="006A6DC4"/>
    <w:rsid w:val="006B0B90"/>
    <w:rsid w:val="006B290A"/>
    <w:rsid w:val="006B2BE0"/>
    <w:rsid w:val="006B355D"/>
    <w:rsid w:val="006B472E"/>
    <w:rsid w:val="006B5812"/>
    <w:rsid w:val="006B6889"/>
    <w:rsid w:val="006B7B41"/>
    <w:rsid w:val="006C08DD"/>
    <w:rsid w:val="006C2506"/>
    <w:rsid w:val="006C29CC"/>
    <w:rsid w:val="006C417A"/>
    <w:rsid w:val="006C4754"/>
    <w:rsid w:val="006C6773"/>
    <w:rsid w:val="006D009B"/>
    <w:rsid w:val="006D0DB5"/>
    <w:rsid w:val="006D4870"/>
    <w:rsid w:val="006D5D58"/>
    <w:rsid w:val="006D5DDC"/>
    <w:rsid w:val="006E38D1"/>
    <w:rsid w:val="006E3F90"/>
    <w:rsid w:val="006E48F7"/>
    <w:rsid w:val="006E594A"/>
    <w:rsid w:val="006E6330"/>
    <w:rsid w:val="006F065E"/>
    <w:rsid w:val="006F0968"/>
    <w:rsid w:val="006F3788"/>
    <w:rsid w:val="006F4CE8"/>
    <w:rsid w:val="006F5E15"/>
    <w:rsid w:val="006F64A8"/>
    <w:rsid w:val="006F6605"/>
    <w:rsid w:val="006F767A"/>
    <w:rsid w:val="00700A0B"/>
    <w:rsid w:val="00701FAE"/>
    <w:rsid w:val="007027CA"/>
    <w:rsid w:val="007040CE"/>
    <w:rsid w:val="00705C7F"/>
    <w:rsid w:val="00710001"/>
    <w:rsid w:val="00710E51"/>
    <w:rsid w:val="007110CF"/>
    <w:rsid w:val="007112F3"/>
    <w:rsid w:val="00711A01"/>
    <w:rsid w:val="00711DDA"/>
    <w:rsid w:val="007129BF"/>
    <w:rsid w:val="00713696"/>
    <w:rsid w:val="00713E40"/>
    <w:rsid w:val="00715862"/>
    <w:rsid w:val="00717EAF"/>
    <w:rsid w:val="00720CD6"/>
    <w:rsid w:val="00721D5C"/>
    <w:rsid w:val="007238B3"/>
    <w:rsid w:val="00724527"/>
    <w:rsid w:val="00724E50"/>
    <w:rsid w:val="00725B4A"/>
    <w:rsid w:val="00725FFA"/>
    <w:rsid w:val="00726716"/>
    <w:rsid w:val="0072746E"/>
    <w:rsid w:val="00727DF7"/>
    <w:rsid w:val="0073091F"/>
    <w:rsid w:val="00731452"/>
    <w:rsid w:val="007331C1"/>
    <w:rsid w:val="00734510"/>
    <w:rsid w:val="007364E5"/>
    <w:rsid w:val="00740234"/>
    <w:rsid w:val="0074070A"/>
    <w:rsid w:val="00741A60"/>
    <w:rsid w:val="00741ACB"/>
    <w:rsid w:val="00745A29"/>
    <w:rsid w:val="0074652C"/>
    <w:rsid w:val="007466C4"/>
    <w:rsid w:val="00747015"/>
    <w:rsid w:val="007504E1"/>
    <w:rsid w:val="00750B14"/>
    <w:rsid w:val="0075119B"/>
    <w:rsid w:val="0075161B"/>
    <w:rsid w:val="00751DFD"/>
    <w:rsid w:val="0075203F"/>
    <w:rsid w:val="007576D1"/>
    <w:rsid w:val="00760FE9"/>
    <w:rsid w:val="00761483"/>
    <w:rsid w:val="00761F3B"/>
    <w:rsid w:val="00762051"/>
    <w:rsid w:val="00762897"/>
    <w:rsid w:val="00762E9F"/>
    <w:rsid w:val="0076326E"/>
    <w:rsid w:val="0076359A"/>
    <w:rsid w:val="00766E8A"/>
    <w:rsid w:val="007671B4"/>
    <w:rsid w:val="0076780F"/>
    <w:rsid w:val="007714D2"/>
    <w:rsid w:val="0077246A"/>
    <w:rsid w:val="00772A78"/>
    <w:rsid w:val="00773932"/>
    <w:rsid w:val="00775394"/>
    <w:rsid w:val="00776CA2"/>
    <w:rsid w:val="00780D18"/>
    <w:rsid w:val="00781568"/>
    <w:rsid w:val="00781676"/>
    <w:rsid w:val="00783586"/>
    <w:rsid w:val="00783E10"/>
    <w:rsid w:val="0079021D"/>
    <w:rsid w:val="00791EC9"/>
    <w:rsid w:val="00792600"/>
    <w:rsid w:val="00792EA4"/>
    <w:rsid w:val="00793CC7"/>
    <w:rsid w:val="00796432"/>
    <w:rsid w:val="007A02F5"/>
    <w:rsid w:val="007A06F7"/>
    <w:rsid w:val="007A3BDE"/>
    <w:rsid w:val="007A3D3A"/>
    <w:rsid w:val="007A3F0B"/>
    <w:rsid w:val="007A5D88"/>
    <w:rsid w:val="007A5FB6"/>
    <w:rsid w:val="007A603E"/>
    <w:rsid w:val="007B0520"/>
    <w:rsid w:val="007B08A4"/>
    <w:rsid w:val="007B1541"/>
    <w:rsid w:val="007B2625"/>
    <w:rsid w:val="007B26C3"/>
    <w:rsid w:val="007B2E92"/>
    <w:rsid w:val="007B37B2"/>
    <w:rsid w:val="007B4E9E"/>
    <w:rsid w:val="007B63CB"/>
    <w:rsid w:val="007B6B0F"/>
    <w:rsid w:val="007C2802"/>
    <w:rsid w:val="007C3073"/>
    <w:rsid w:val="007C33AF"/>
    <w:rsid w:val="007C3A72"/>
    <w:rsid w:val="007C471A"/>
    <w:rsid w:val="007C5E51"/>
    <w:rsid w:val="007C6CC7"/>
    <w:rsid w:val="007C7D26"/>
    <w:rsid w:val="007D1989"/>
    <w:rsid w:val="007D4F92"/>
    <w:rsid w:val="007E209B"/>
    <w:rsid w:val="007E250D"/>
    <w:rsid w:val="007E25AD"/>
    <w:rsid w:val="007E2D9B"/>
    <w:rsid w:val="007E2EEB"/>
    <w:rsid w:val="007E6223"/>
    <w:rsid w:val="007E62EB"/>
    <w:rsid w:val="007E77D9"/>
    <w:rsid w:val="007F30A9"/>
    <w:rsid w:val="007F32D4"/>
    <w:rsid w:val="007F338E"/>
    <w:rsid w:val="007F641F"/>
    <w:rsid w:val="007F7748"/>
    <w:rsid w:val="007F7A58"/>
    <w:rsid w:val="008010F8"/>
    <w:rsid w:val="0080283C"/>
    <w:rsid w:val="008029AA"/>
    <w:rsid w:val="0080332D"/>
    <w:rsid w:val="008039F3"/>
    <w:rsid w:val="008047BA"/>
    <w:rsid w:val="00806099"/>
    <w:rsid w:val="0081177F"/>
    <w:rsid w:val="00812591"/>
    <w:rsid w:val="0081315E"/>
    <w:rsid w:val="008133B6"/>
    <w:rsid w:val="00814AF6"/>
    <w:rsid w:val="00815AB8"/>
    <w:rsid w:val="00816B31"/>
    <w:rsid w:val="00816CA6"/>
    <w:rsid w:val="008171F9"/>
    <w:rsid w:val="00817503"/>
    <w:rsid w:val="00820085"/>
    <w:rsid w:val="00820D38"/>
    <w:rsid w:val="00821D34"/>
    <w:rsid w:val="008225A5"/>
    <w:rsid w:val="00822E0D"/>
    <w:rsid w:val="00826268"/>
    <w:rsid w:val="008268C4"/>
    <w:rsid w:val="0082758D"/>
    <w:rsid w:val="00827945"/>
    <w:rsid w:val="00834412"/>
    <w:rsid w:val="008349B6"/>
    <w:rsid w:val="008353A7"/>
    <w:rsid w:val="00836222"/>
    <w:rsid w:val="00840303"/>
    <w:rsid w:val="00840D2A"/>
    <w:rsid w:val="00840EB7"/>
    <w:rsid w:val="008425D0"/>
    <w:rsid w:val="00843352"/>
    <w:rsid w:val="00844B47"/>
    <w:rsid w:val="008463DD"/>
    <w:rsid w:val="00846440"/>
    <w:rsid w:val="00846EE6"/>
    <w:rsid w:val="00850817"/>
    <w:rsid w:val="00850F9E"/>
    <w:rsid w:val="008516C8"/>
    <w:rsid w:val="00852A2D"/>
    <w:rsid w:val="00853C04"/>
    <w:rsid w:val="00855E55"/>
    <w:rsid w:val="0086101A"/>
    <w:rsid w:val="008611C3"/>
    <w:rsid w:val="00861B18"/>
    <w:rsid w:val="0086440C"/>
    <w:rsid w:val="00864D58"/>
    <w:rsid w:val="00865258"/>
    <w:rsid w:val="008654BB"/>
    <w:rsid w:val="00866D63"/>
    <w:rsid w:val="008673D9"/>
    <w:rsid w:val="00867464"/>
    <w:rsid w:val="008678F6"/>
    <w:rsid w:val="00872DDF"/>
    <w:rsid w:val="00874649"/>
    <w:rsid w:val="0087476E"/>
    <w:rsid w:val="0087550F"/>
    <w:rsid w:val="008769A8"/>
    <w:rsid w:val="00876A1A"/>
    <w:rsid w:val="008773FA"/>
    <w:rsid w:val="00877487"/>
    <w:rsid w:val="008775AC"/>
    <w:rsid w:val="0087770D"/>
    <w:rsid w:val="00877EA5"/>
    <w:rsid w:val="008807C7"/>
    <w:rsid w:val="00884041"/>
    <w:rsid w:val="00886102"/>
    <w:rsid w:val="00886D12"/>
    <w:rsid w:val="00886FA8"/>
    <w:rsid w:val="00887364"/>
    <w:rsid w:val="0088766C"/>
    <w:rsid w:val="00887869"/>
    <w:rsid w:val="008913A1"/>
    <w:rsid w:val="00891D5B"/>
    <w:rsid w:val="00892753"/>
    <w:rsid w:val="008939B9"/>
    <w:rsid w:val="00893F3C"/>
    <w:rsid w:val="0089630F"/>
    <w:rsid w:val="00896751"/>
    <w:rsid w:val="0089767C"/>
    <w:rsid w:val="008978FB"/>
    <w:rsid w:val="008A0379"/>
    <w:rsid w:val="008A2185"/>
    <w:rsid w:val="008A2793"/>
    <w:rsid w:val="008A2993"/>
    <w:rsid w:val="008A38DE"/>
    <w:rsid w:val="008A508F"/>
    <w:rsid w:val="008A5A72"/>
    <w:rsid w:val="008A5DBF"/>
    <w:rsid w:val="008A6629"/>
    <w:rsid w:val="008A686C"/>
    <w:rsid w:val="008A7686"/>
    <w:rsid w:val="008A76A9"/>
    <w:rsid w:val="008B09F9"/>
    <w:rsid w:val="008B2181"/>
    <w:rsid w:val="008B29DC"/>
    <w:rsid w:val="008B3650"/>
    <w:rsid w:val="008B423E"/>
    <w:rsid w:val="008B4FF0"/>
    <w:rsid w:val="008B7C3C"/>
    <w:rsid w:val="008C065E"/>
    <w:rsid w:val="008C0D1F"/>
    <w:rsid w:val="008C25C7"/>
    <w:rsid w:val="008C4559"/>
    <w:rsid w:val="008C4ED9"/>
    <w:rsid w:val="008C505E"/>
    <w:rsid w:val="008C762C"/>
    <w:rsid w:val="008C78AC"/>
    <w:rsid w:val="008D026F"/>
    <w:rsid w:val="008D17CD"/>
    <w:rsid w:val="008D1E92"/>
    <w:rsid w:val="008D24DD"/>
    <w:rsid w:val="008D2793"/>
    <w:rsid w:val="008D3A79"/>
    <w:rsid w:val="008D4220"/>
    <w:rsid w:val="008D79D5"/>
    <w:rsid w:val="008D7F6F"/>
    <w:rsid w:val="008E0C31"/>
    <w:rsid w:val="008E2800"/>
    <w:rsid w:val="008E2F37"/>
    <w:rsid w:val="008E35D1"/>
    <w:rsid w:val="008E40C3"/>
    <w:rsid w:val="008E4AE8"/>
    <w:rsid w:val="008E4B70"/>
    <w:rsid w:val="008E5489"/>
    <w:rsid w:val="008E55BD"/>
    <w:rsid w:val="008E5B91"/>
    <w:rsid w:val="008E6D12"/>
    <w:rsid w:val="008F0044"/>
    <w:rsid w:val="008F0947"/>
    <w:rsid w:val="008F0E54"/>
    <w:rsid w:val="008F77C6"/>
    <w:rsid w:val="009008D8"/>
    <w:rsid w:val="00900A0C"/>
    <w:rsid w:val="0090372F"/>
    <w:rsid w:val="00903BD8"/>
    <w:rsid w:val="00906E50"/>
    <w:rsid w:val="0090716E"/>
    <w:rsid w:val="00907267"/>
    <w:rsid w:val="0090763B"/>
    <w:rsid w:val="009077BA"/>
    <w:rsid w:val="00911F71"/>
    <w:rsid w:val="00913F60"/>
    <w:rsid w:val="00913FD1"/>
    <w:rsid w:val="00914F28"/>
    <w:rsid w:val="0092028D"/>
    <w:rsid w:val="00920FC8"/>
    <w:rsid w:val="0092169A"/>
    <w:rsid w:val="00921C02"/>
    <w:rsid w:val="00923466"/>
    <w:rsid w:val="0092417B"/>
    <w:rsid w:val="00924AFD"/>
    <w:rsid w:val="00926CD8"/>
    <w:rsid w:val="00927689"/>
    <w:rsid w:val="00932C83"/>
    <w:rsid w:val="00934053"/>
    <w:rsid w:val="00935211"/>
    <w:rsid w:val="009356A6"/>
    <w:rsid w:val="00935A5F"/>
    <w:rsid w:val="0093617A"/>
    <w:rsid w:val="00941604"/>
    <w:rsid w:val="009427B4"/>
    <w:rsid w:val="00942E92"/>
    <w:rsid w:val="00945564"/>
    <w:rsid w:val="0094640F"/>
    <w:rsid w:val="00947091"/>
    <w:rsid w:val="009471D5"/>
    <w:rsid w:val="00947869"/>
    <w:rsid w:val="009502FB"/>
    <w:rsid w:val="00950E49"/>
    <w:rsid w:val="0095146A"/>
    <w:rsid w:val="009520EE"/>
    <w:rsid w:val="009527FF"/>
    <w:rsid w:val="009548CC"/>
    <w:rsid w:val="00955877"/>
    <w:rsid w:val="009608CC"/>
    <w:rsid w:val="009629A8"/>
    <w:rsid w:val="009673CF"/>
    <w:rsid w:val="00971DC3"/>
    <w:rsid w:val="00972241"/>
    <w:rsid w:val="00972F42"/>
    <w:rsid w:val="00975703"/>
    <w:rsid w:val="009757FF"/>
    <w:rsid w:val="0097619B"/>
    <w:rsid w:val="00976CAE"/>
    <w:rsid w:val="009806D3"/>
    <w:rsid w:val="00980737"/>
    <w:rsid w:val="00981EC9"/>
    <w:rsid w:val="00981F3F"/>
    <w:rsid w:val="009821FA"/>
    <w:rsid w:val="009831E6"/>
    <w:rsid w:val="009838BC"/>
    <w:rsid w:val="00983F29"/>
    <w:rsid w:val="00984CE4"/>
    <w:rsid w:val="00985909"/>
    <w:rsid w:val="00985D89"/>
    <w:rsid w:val="00986EE2"/>
    <w:rsid w:val="00990BF3"/>
    <w:rsid w:val="00990D12"/>
    <w:rsid w:val="009918C6"/>
    <w:rsid w:val="0099331C"/>
    <w:rsid w:val="009934D2"/>
    <w:rsid w:val="00993D98"/>
    <w:rsid w:val="00995BF1"/>
    <w:rsid w:val="00996225"/>
    <w:rsid w:val="00997FDE"/>
    <w:rsid w:val="009A01A0"/>
    <w:rsid w:val="009A275E"/>
    <w:rsid w:val="009A3DA1"/>
    <w:rsid w:val="009A5A8F"/>
    <w:rsid w:val="009B0393"/>
    <w:rsid w:val="009B1593"/>
    <w:rsid w:val="009B280C"/>
    <w:rsid w:val="009B3ACE"/>
    <w:rsid w:val="009B4B7E"/>
    <w:rsid w:val="009B6573"/>
    <w:rsid w:val="009B6BDE"/>
    <w:rsid w:val="009B6ED0"/>
    <w:rsid w:val="009B7E09"/>
    <w:rsid w:val="009C0D6F"/>
    <w:rsid w:val="009C2DE8"/>
    <w:rsid w:val="009C3952"/>
    <w:rsid w:val="009C3A3D"/>
    <w:rsid w:val="009C3C5B"/>
    <w:rsid w:val="009C3DCE"/>
    <w:rsid w:val="009C5D9F"/>
    <w:rsid w:val="009C66C6"/>
    <w:rsid w:val="009C6D67"/>
    <w:rsid w:val="009C7206"/>
    <w:rsid w:val="009C78E0"/>
    <w:rsid w:val="009D23CC"/>
    <w:rsid w:val="009D455E"/>
    <w:rsid w:val="009E00A7"/>
    <w:rsid w:val="009E0B79"/>
    <w:rsid w:val="009E1CD8"/>
    <w:rsid w:val="009E4BAF"/>
    <w:rsid w:val="009E55ED"/>
    <w:rsid w:val="009E6048"/>
    <w:rsid w:val="009E7E61"/>
    <w:rsid w:val="009F3F5C"/>
    <w:rsid w:val="009F4B9B"/>
    <w:rsid w:val="009F4BA4"/>
    <w:rsid w:val="009F4E1A"/>
    <w:rsid w:val="009F5038"/>
    <w:rsid w:val="009F545A"/>
    <w:rsid w:val="009F62C9"/>
    <w:rsid w:val="009F6B53"/>
    <w:rsid w:val="009F713E"/>
    <w:rsid w:val="00A02B0C"/>
    <w:rsid w:val="00A03312"/>
    <w:rsid w:val="00A03CF5"/>
    <w:rsid w:val="00A07B3C"/>
    <w:rsid w:val="00A1122E"/>
    <w:rsid w:val="00A11861"/>
    <w:rsid w:val="00A146A5"/>
    <w:rsid w:val="00A1628B"/>
    <w:rsid w:val="00A17252"/>
    <w:rsid w:val="00A17FA2"/>
    <w:rsid w:val="00A20392"/>
    <w:rsid w:val="00A20D12"/>
    <w:rsid w:val="00A214A8"/>
    <w:rsid w:val="00A214D7"/>
    <w:rsid w:val="00A2354C"/>
    <w:rsid w:val="00A25EB8"/>
    <w:rsid w:val="00A26D1B"/>
    <w:rsid w:val="00A26F5F"/>
    <w:rsid w:val="00A26FBF"/>
    <w:rsid w:val="00A273D2"/>
    <w:rsid w:val="00A307B4"/>
    <w:rsid w:val="00A30FB7"/>
    <w:rsid w:val="00A3110B"/>
    <w:rsid w:val="00A31121"/>
    <w:rsid w:val="00A31130"/>
    <w:rsid w:val="00A31279"/>
    <w:rsid w:val="00A3142E"/>
    <w:rsid w:val="00A31F27"/>
    <w:rsid w:val="00A32609"/>
    <w:rsid w:val="00A34190"/>
    <w:rsid w:val="00A34EB7"/>
    <w:rsid w:val="00A37320"/>
    <w:rsid w:val="00A401DB"/>
    <w:rsid w:val="00A40A5A"/>
    <w:rsid w:val="00A40F02"/>
    <w:rsid w:val="00A4221B"/>
    <w:rsid w:val="00A44862"/>
    <w:rsid w:val="00A45332"/>
    <w:rsid w:val="00A45E9A"/>
    <w:rsid w:val="00A461A4"/>
    <w:rsid w:val="00A5117A"/>
    <w:rsid w:val="00A5577F"/>
    <w:rsid w:val="00A629A6"/>
    <w:rsid w:val="00A63A74"/>
    <w:rsid w:val="00A63D6A"/>
    <w:rsid w:val="00A65161"/>
    <w:rsid w:val="00A66E0E"/>
    <w:rsid w:val="00A67A36"/>
    <w:rsid w:val="00A73332"/>
    <w:rsid w:val="00A74194"/>
    <w:rsid w:val="00A7446B"/>
    <w:rsid w:val="00A74A67"/>
    <w:rsid w:val="00A74BB2"/>
    <w:rsid w:val="00A74EED"/>
    <w:rsid w:val="00A75461"/>
    <w:rsid w:val="00A777FB"/>
    <w:rsid w:val="00A80C4B"/>
    <w:rsid w:val="00A82245"/>
    <w:rsid w:val="00A82820"/>
    <w:rsid w:val="00A830DE"/>
    <w:rsid w:val="00A832FD"/>
    <w:rsid w:val="00A8455D"/>
    <w:rsid w:val="00A849BB"/>
    <w:rsid w:val="00A853F6"/>
    <w:rsid w:val="00A93770"/>
    <w:rsid w:val="00A951A7"/>
    <w:rsid w:val="00AA0410"/>
    <w:rsid w:val="00AA053A"/>
    <w:rsid w:val="00AA096D"/>
    <w:rsid w:val="00AA2668"/>
    <w:rsid w:val="00AA2E7B"/>
    <w:rsid w:val="00AB13F3"/>
    <w:rsid w:val="00AB1BA5"/>
    <w:rsid w:val="00AB2FA6"/>
    <w:rsid w:val="00AB3520"/>
    <w:rsid w:val="00AB6390"/>
    <w:rsid w:val="00AC1BF5"/>
    <w:rsid w:val="00AC202D"/>
    <w:rsid w:val="00AC2255"/>
    <w:rsid w:val="00AC51EB"/>
    <w:rsid w:val="00AC5D59"/>
    <w:rsid w:val="00AD00CF"/>
    <w:rsid w:val="00AD0980"/>
    <w:rsid w:val="00AD0B73"/>
    <w:rsid w:val="00AD1137"/>
    <w:rsid w:val="00AD27EE"/>
    <w:rsid w:val="00AD307F"/>
    <w:rsid w:val="00AD7AC8"/>
    <w:rsid w:val="00AD7EF1"/>
    <w:rsid w:val="00AE06F5"/>
    <w:rsid w:val="00AE19BB"/>
    <w:rsid w:val="00AE4436"/>
    <w:rsid w:val="00AE4F82"/>
    <w:rsid w:val="00AE56CB"/>
    <w:rsid w:val="00AE6D92"/>
    <w:rsid w:val="00AE7083"/>
    <w:rsid w:val="00AE7B8A"/>
    <w:rsid w:val="00AF0261"/>
    <w:rsid w:val="00AF1CD1"/>
    <w:rsid w:val="00AF238A"/>
    <w:rsid w:val="00AF2CC8"/>
    <w:rsid w:val="00AF5F24"/>
    <w:rsid w:val="00AF651B"/>
    <w:rsid w:val="00AF6C5B"/>
    <w:rsid w:val="00AF77E3"/>
    <w:rsid w:val="00AF7820"/>
    <w:rsid w:val="00B0150D"/>
    <w:rsid w:val="00B01AF0"/>
    <w:rsid w:val="00B03388"/>
    <w:rsid w:val="00B04511"/>
    <w:rsid w:val="00B05A50"/>
    <w:rsid w:val="00B05EB5"/>
    <w:rsid w:val="00B063D7"/>
    <w:rsid w:val="00B0721B"/>
    <w:rsid w:val="00B1078C"/>
    <w:rsid w:val="00B11BDD"/>
    <w:rsid w:val="00B13CA5"/>
    <w:rsid w:val="00B1756A"/>
    <w:rsid w:val="00B20B2E"/>
    <w:rsid w:val="00B220E1"/>
    <w:rsid w:val="00B2277D"/>
    <w:rsid w:val="00B2476D"/>
    <w:rsid w:val="00B25465"/>
    <w:rsid w:val="00B27A5E"/>
    <w:rsid w:val="00B310BB"/>
    <w:rsid w:val="00B31A6A"/>
    <w:rsid w:val="00B31D2D"/>
    <w:rsid w:val="00B3236F"/>
    <w:rsid w:val="00B32B2E"/>
    <w:rsid w:val="00B332C0"/>
    <w:rsid w:val="00B33A84"/>
    <w:rsid w:val="00B33B4B"/>
    <w:rsid w:val="00B33D8C"/>
    <w:rsid w:val="00B34009"/>
    <w:rsid w:val="00B34378"/>
    <w:rsid w:val="00B344E0"/>
    <w:rsid w:val="00B354D5"/>
    <w:rsid w:val="00B35C99"/>
    <w:rsid w:val="00B41B1C"/>
    <w:rsid w:val="00B41B23"/>
    <w:rsid w:val="00B41BF0"/>
    <w:rsid w:val="00B42973"/>
    <w:rsid w:val="00B47C0D"/>
    <w:rsid w:val="00B50949"/>
    <w:rsid w:val="00B50FD0"/>
    <w:rsid w:val="00B51766"/>
    <w:rsid w:val="00B54355"/>
    <w:rsid w:val="00B608E3"/>
    <w:rsid w:val="00B60BAD"/>
    <w:rsid w:val="00B60CB1"/>
    <w:rsid w:val="00B61E5F"/>
    <w:rsid w:val="00B62346"/>
    <w:rsid w:val="00B6304D"/>
    <w:rsid w:val="00B63EAF"/>
    <w:rsid w:val="00B65992"/>
    <w:rsid w:val="00B663DF"/>
    <w:rsid w:val="00B66AB5"/>
    <w:rsid w:val="00B66C82"/>
    <w:rsid w:val="00B66D01"/>
    <w:rsid w:val="00B707AC"/>
    <w:rsid w:val="00B71666"/>
    <w:rsid w:val="00B7226F"/>
    <w:rsid w:val="00B736CF"/>
    <w:rsid w:val="00B75AA9"/>
    <w:rsid w:val="00B82E0D"/>
    <w:rsid w:val="00B839AA"/>
    <w:rsid w:val="00B85476"/>
    <w:rsid w:val="00B87262"/>
    <w:rsid w:val="00B876D3"/>
    <w:rsid w:val="00B87DC1"/>
    <w:rsid w:val="00B92AE4"/>
    <w:rsid w:val="00B936A6"/>
    <w:rsid w:val="00B9538C"/>
    <w:rsid w:val="00B95F5E"/>
    <w:rsid w:val="00B95F87"/>
    <w:rsid w:val="00B979D1"/>
    <w:rsid w:val="00BA4746"/>
    <w:rsid w:val="00BA5DAF"/>
    <w:rsid w:val="00BA6A7D"/>
    <w:rsid w:val="00BA706C"/>
    <w:rsid w:val="00BB13BD"/>
    <w:rsid w:val="00BB27B0"/>
    <w:rsid w:val="00BB290F"/>
    <w:rsid w:val="00BB2D97"/>
    <w:rsid w:val="00BB319C"/>
    <w:rsid w:val="00BB3DB1"/>
    <w:rsid w:val="00BB4E37"/>
    <w:rsid w:val="00BB56E9"/>
    <w:rsid w:val="00BB7A82"/>
    <w:rsid w:val="00BC091E"/>
    <w:rsid w:val="00BC1A64"/>
    <w:rsid w:val="00BC29A4"/>
    <w:rsid w:val="00BC29D8"/>
    <w:rsid w:val="00BC3229"/>
    <w:rsid w:val="00BC646F"/>
    <w:rsid w:val="00BC7CAA"/>
    <w:rsid w:val="00BD055F"/>
    <w:rsid w:val="00BD14A5"/>
    <w:rsid w:val="00BD19BC"/>
    <w:rsid w:val="00BD23F9"/>
    <w:rsid w:val="00BD2499"/>
    <w:rsid w:val="00BD2BE0"/>
    <w:rsid w:val="00BD42F9"/>
    <w:rsid w:val="00BD5673"/>
    <w:rsid w:val="00BD657E"/>
    <w:rsid w:val="00BD796D"/>
    <w:rsid w:val="00BE0003"/>
    <w:rsid w:val="00BE17E9"/>
    <w:rsid w:val="00BE193D"/>
    <w:rsid w:val="00BE2D27"/>
    <w:rsid w:val="00BE3695"/>
    <w:rsid w:val="00BE3D31"/>
    <w:rsid w:val="00BE4DB1"/>
    <w:rsid w:val="00BE4E6E"/>
    <w:rsid w:val="00BE4FFB"/>
    <w:rsid w:val="00BE5299"/>
    <w:rsid w:val="00BE667C"/>
    <w:rsid w:val="00BE6AA3"/>
    <w:rsid w:val="00BE72B5"/>
    <w:rsid w:val="00BE7E12"/>
    <w:rsid w:val="00BF00D4"/>
    <w:rsid w:val="00BF148F"/>
    <w:rsid w:val="00BF157F"/>
    <w:rsid w:val="00BF2FD3"/>
    <w:rsid w:val="00BF3562"/>
    <w:rsid w:val="00BF3703"/>
    <w:rsid w:val="00BF605C"/>
    <w:rsid w:val="00BF7024"/>
    <w:rsid w:val="00BF74B4"/>
    <w:rsid w:val="00BF7B45"/>
    <w:rsid w:val="00C01BB0"/>
    <w:rsid w:val="00C02CAA"/>
    <w:rsid w:val="00C06DAA"/>
    <w:rsid w:val="00C07225"/>
    <w:rsid w:val="00C10943"/>
    <w:rsid w:val="00C120FA"/>
    <w:rsid w:val="00C12F6F"/>
    <w:rsid w:val="00C13B89"/>
    <w:rsid w:val="00C13BFB"/>
    <w:rsid w:val="00C13FE5"/>
    <w:rsid w:val="00C14AC8"/>
    <w:rsid w:val="00C15031"/>
    <w:rsid w:val="00C1529C"/>
    <w:rsid w:val="00C1575A"/>
    <w:rsid w:val="00C16A4A"/>
    <w:rsid w:val="00C21E92"/>
    <w:rsid w:val="00C22658"/>
    <w:rsid w:val="00C22E4A"/>
    <w:rsid w:val="00C23D22"/>
    <w:rsid w:val="00C24AD8"/>
    <w:rsid w:val="00C25235"/>
    <w:rsid w:val="00C31644"/>
    <w:rsid w:val="00C31756"/>
    <w:rsid w:val="00C31EC5"/>
    <w:rsid w:val="00C32C50"/>
    <w:rsid w:val="00C33FEE"/>
    <w:rsid w:val="00C34DB8"/>
    <w:rsid w:val="00C35B80"/>
    <w:rsid w:val="00C37B59"/>
    <w:rsid w:val="00C405C6"/>
    <w:rsid w:val="00C408E5"/>
    <w:rsid w:val="00C41412"/>
    <w:rsid w:val="00C41918"/>
    <w:rsid w:val="00C41D50"/>
    <w:rsid w:val="00C44499"/>
    <w:rsid w:val="00C458EB"/>
    <w:rsid w:val="00C4644B"/>
    <w:rsid w:val="00C46DC9"/>
    <w:rsid w:val="00C47E84"/>
    <w:rsid w:val="00C515DE"/>
    <w:rsid w:val="00C51AB1"/>
    <w:rsid w:val="00C52392"/>
    <w:rsid w:val="00C524BC"/>
    <w:rsid w:val="00C53B77"/>
    <w:rsid w:val="00C53C45"/>
    <w:rsid w:val="00C54874"/>
    <w:rsid w:val="00C625EF"/>
    <w:rsid w:val="00C63EA4"/>
    <w:rsid w:val="00C65884"/>
    <w:rsid w:val="00C65A43"/>
    <w:rsid w:val="00C65FF9"/>
    <w:rsid w:val="00C66540"/>
    <w:rsid w:val="00C71590"/>
    <w:rsid w:val="00C719D0"/>
    <w:rsid w:val="00C73928"/>
    <w:rsid w:val="00C76BE1"/>
    <w:rsid w:val="00C80E71"/>
    <w:rsid w:val="00C81C97"/>
    <w:rsid w:val="00C82F77"/>
    <w:rsid w:val="00C84537"/>
    <w:rsid w:val="00C84FE7"/>
    <w:rsid w:val="00C8593B"/>
    <w:rsid w:val="00C86475"/>
    <w:rsid w:val="00C872B5"/>
    <w:rsid w:val="00C8785C"/>
    <w:rsid w:val="00C87E23"/>
    <w:rsid w:val="00C916EB"/>
    <w:rsid w:val="00C9329C"/>
    <w:rsid w:val="00C94E2B"/>
    <w:rsid w:val="00C96B4A"/>
    <w:rsid w:val="00C96ED1"/>
    <w:rsid w:val="00C97CFB"/>
    <w:rsid w:val="00C97FF2"/>
    <w:rsid w:val="00CA0547"/>
    <w:rsid w:val="00CA7138"/>
    <w:rsid w:val="00CA7308"/>
    <w:rsid w:val="00CA76CB"/>
    <w:rsid w:val="00CA7C15"/>
    <w:rsid w:val="00CB057E"/>
    <w:rsid w:val="00CB2800"/>
    <w:rsid w:val="00CB2893"/>
    <w:rsid w:val="00CB2D59"/>
    <w:rsid w:val="00CB2F44"/>
    <w:rsid w:val="00CB4CDA"/>
    <w:rsid w:val="00CB51EA"/>
    <w:rsid w:val="00CB562C"/>
    <w:rsid w:val="00CB5707"/>
    <w:rsid w:val="00CB642B"/>
    <w:rsid w:val="00CB65DA"/>
    <w:rsid w:val="00CB7061"/>
    <w:rsid w:val="00CB7783"/>
    <w:rsid w:val="00CB7D21"/>
    <w:rsid w:val="00CC18DD"/>
    <w:rsid w:val="00CC33BC"/>
    <w:rsid w:val="00CC4408"/>
    <w:rsid w:val="00CC4684"/>
    <w:rsid w:val="00CD11B4"/>
    <w:rsid w:val="00CD233B"/>
    <w:rsid w:val="00CD39BB"/>
    <w:rsid w:val="00CD49D0"/>
    <w:rsid w:val="00CD6847"/>
    <w:rsid w:val="00CD73FD"/>
    <w:rsid w:val="00CE0576"/>
    <w:rsid w:val="00CE0FFF"/>
    <w:rsid w:val="00CE2D82"/>
    <w:rsid w:val="00CE354E"/>
    <w:rsid w:val="00CE3B84"/>
    <w:rsid w:val="00CE3CC7"/>
    <w:rsid w:val="00CF1441"/>
    <w:rsid w:val="00CF1A2F"/>
    <w:rsid w:val="00CF2236"/>
    <w:rsid w:val="00CF2B71"/>
    <w:rsid w:val="00CF2D6F"/>
    <w:rsid w:val="00CF449D"/>
    <w:rsid w:val="00D0045D"/>
    <w:rsid w:val="00D00D97"/>
    <w:rsid w:val="00D01F24"/>
    <w:rsid w:val="00D02593"/>
    <w:rsid w:val="00D026CE"/>
    <w:rsid w:val="00D02EBB"/>
    <w:rsid w:val="00D04244"/>
    <w:rsid w:val="00D0572F"/>
    <w:rsid w:val="00D10C3E"/>
    <w:rsid w:val="00D11516"/>
    <w:rsid w:val="00D1326B"/>
    <w:rsid w:val="00D1576B"/>
    <w:rsid w:val="00D1647D"/>
    <w:rsid w:val="00D16791"/>
    <w:rsid w:val="00D16A9E"/>
    <w:rsid w:val="00D16BAB"/>
    <w:rsid w:val="00D17B2F"/>
    <w:rsid w:val="00D202B5"/>
    <w:rsid w:val="00D20758"/>
    <w:rsid w:val="00D21C7D"/>
    <w:rsid w:val="00D22BB2"/>
    <w:rsid w:val="00D25478"/>
    <w:rsid w:val="00D25C57"/>
    <w:rsid w:val="00D26092"/>
    <w:rsid w:val="00D270D3"/>
    <w:rsid w:val="00D277C4"/>
    <w:rsid w:val="00D30C93"/>
    <w:rsid w:val="00D31CCE"/>
    <w:rsid w:val="00D31F7B"/>
    <w:rsid w:val="00D33C5E"/>
    <w:rsid w:val="00D348ED"/>
    <w:rsid w:val="00D3502C"/>
    <w:rsid w:val="00D350E3"/>
    <w:rsid w:val="00D35DB6"/>
    <w:rsid w:val="00D36AFB"/>
    <w:rsid w:val="00D371EF"/>
    <w:rsid w:val="00D40118"/>
    <w:rsid w:val="00D44ACB"/>
    <w:rsid w:val="00D454F2"/>
    <w:rsid w:val="00D46887"/>
    <w:rsid w:val="00D47B06"/>
    <w:rsid w:val="00D50A01"/>
    <w:rsid w:val="00D50EB9"/>
    <w:rsid w:val="00D52831"/>
    <w:rsid w:val="00D539CA"/>
    <w:rsid w:val="00D55CD1"/>
    <w:rsid w:val="00D620A6"/>
    <w:rsid w:val="00D634D8"/>
    <w:rsid w:val="00D65CE6"/>
    <w:rsid w:val="00D65F36"/>
    <w:rsid w:val="00D66475"/>
    <w:rsid w:val="00D70CFE"/>
    <w:rsid w:val="00D70D49"/>
    <w:rsid w:val="00D712C7"/>
    <w:rsid w:val="00D7164D"/>
    <w:rsid w:val="00D729D1"/>
    <w:rsid w:val="00D72AC3"/>
    <w:rsid w:val="00D739A2"/>
    <w:rsid w:val="00D74A88"/>
    <w:rsid w:val="00D755B0"/>
    <w:rsid w:val="00D76759"/>
    <w:rsid w:val="00D775AA"/>
    <w:rsid w:val="00D80155"/>
    <w:rsid w:val="00D802D7"/>
    <w:rsid w:val="00D803F7"/>
    <w:rsid w:val="00D81818"/>
    <w:rsid w:val="00D81FAC"/>
    <w:rsid w:val="00D85EC7"/>
    <w:rsid w:val="00D861E1"/>
    <w:rsid w:val="00D8695D"/>
    <w:rsid w:val="00D8766C"/>
    <w:rsid w:val="00D876EA"/>
    <w:rsid w:val="00D90307"/>
    <w:rsid w:val="00D92F44"/>
    <w:rsid w:val="00D977F0"/>
    <w:rsid w:val="00DA1D8A"/>
    <w:rsid w:val="00DA4660"/>
    <w:rsid w:val="00DA599A"/>
    <w:rsid w:val="00DB02FE"/>
    <w:rsid w:val="00DB6F66"/>
    <w:rsid w:val="00DB7002"/>
    <w:rsid w:val="00DC14D7"/>
    <w:rsid w:val="00DC198D"/>
    <w:rsid w:val="00DC1D09"/>
    <w:rsid w:val="00DC42CD"/>
    <w:rsid w:val="00DC5499"/>
    <w:rsid w:val="00DC5B0D"/>
    <w:rsid w:val="00DC5C33"/>
    <w:rsid w:val="00DC6564"/>
    <w:rsid w:val="00DD0082"/>
    <w:rsid w:val="00DD0889"/>
    <w:rsid w:val="00DD17DA"/>
    <w:rsid w:val="00DD5970"/>
    <w:rsid w:val="00DD5B55"/>
    <w:rsid w:val="00DD7E4F"/>
    <w:rsid w:val="00DD7EA0"/>
    <w:rsid w:val="00DE0882"/>
    <w:rsid w:val="00DE0F52"/>
    <w:rsid w:val="00DE112B"/>
    <w:rsid w:val="00DE2483"/>
    <w:rsid w:val="00DE3813"/>
    <w:rsid w:val="00DE523D"/>
    <w:rsid w:val="00DF02CB"/>
    <w:rsid w:val="00DF04F9"/>
    <w:rsid w:val="00DF194A"/>
    <w:rsid w:val="00DF4601"/>
    <w:rsid w:val="00DF503D"/>
    <w:rsid w:val="00DF6889"/>
    <w:rsid w:val="00DF73EF"/>
    <w:rsid w:val="00DF745E"/>
    <w:rsid w:val="00E01328"/>
    <w:rsid w:val="00E0250D"/>
    <w:rsid w:val="00E0273A"/>
    <w:rsid w:val="00E038AE"/>
    <w:rsid w:val="00E03CEB"/>
    <w:rsid w:val="00E04027"/>
    <w:rsid w:val="00E0583C"/>
    <w:rsid w:val="00E05A73"/>
    <w:rsid w:val="00E10762"/>
    <w:rsid w:val="00E10827"/>
    <w:rsid w:val="00E1106A"/>
    <w:rsid w:val="00E13B66"/>
    <w:rsid w:val="00E14B35"/>
    <w:rsid w:val="00E15594"/>
    <w:rsid w:val="00E2163B"/>
    <w:rsid w:val="00E22FF3"/>
    <w:rsid w:val="00E24C32"/>
    <w:rsid w:val="00E24D83"/>
    <w:rsid w:val="00E24F37"/>
    <w:rsid w:val="00E25132"/>
    <w:rsid w:val="00E2689C"/>
    <w:rsid w:val="00E3241B"/>
    <w:rsid w:val="00E331C7"/>
    <w:rsid w:val="00E33DA0"/>
    <w:rsid w:val="00E3451B"/>
    <w:rsid w:val="00E35A60"/>
    <w:rsid w:val="00E35C3B"/>
    <w:rsid w:val="00E35C5E"/>
    <w:rsid w:val="00E36176"/>
    <w:rsid w:val="00E36210"/>
    <w:rsid w:val="00E37DF3"/>
    <w:rsid w:val="00E422C8"/>
    <w:rsid w:val="00E4405A"/>
    <w:rsid w:val="00E45B69"/>
    <w:rsid w:val="00E508C0"/>
    <w:rsid w:val="00E50F53"/>
    <w:rsid w:val="00E50F96"/>
    <w:rsid w:val="00E517B7"/>
    <w:rsid w:val="00E53709"/>
    <w:rsid w:val="00E537FB"/>
    <w:rsid w:val="00E5617C"/>
    <w:rsid w:val="00E56FA2"/>
    <w:rsid w:val="00E61095"/>
    <w:rsid w:val="00E61A05"/>
    <w:rsid w:val="00E61A2D"/>
    <w:rsid w:val="00E61ECF"/>
    <w:rsid w:val="00E62BF7"/>
    <w:rsid w:val="00E63C0C"/>
    <w:rsid w:val="00E64555"/>
    <w:rsid w:val="00E70281"/>
    <w:rsid w:val="00E721BA"/>
    <w:rsid w:val="00E734CD"/>
    <w:rsid w:val="00E73D3E"/>
    <w:rsid w:val="00E77295"/>
    <w:rsid w:val="00E80257"/>
    <w:rsid w:val="00E816CD"/>
    <w:rsid w:val="00E8509E"/>
    <w:rsid w:val="00E861B0"/>
    <w:rsid w:val="00E9019B"/>
    <w:rsid w:val="00E90629"/>
    <w:rsid w:val="00E92D3F"/>
    <w:rsid w:val="00E941C6"/>
    <w:rsid w:val="00E942CA"/>
    <w:rsid w:val="00E96634"/>
    <w:rsid w:val="00E968D0"/>
    <w:rsid w:val="00E96AB6"/>
    <w:rsid w:val="00E97FF6"/>
    <w:rsid w:val="00EA087A"/>
    <w:rsid w:val="00EA30AC"/>
    <w:rsid w:val="00EA422B"/>
    <w:rsid w:val="00EA6275"/>
    <w:rsid w:val="00EB2BD8"/>
    <w:rsid w:val="00EB5968"/>
    <w:rsid w:val="00EB7241"/>
    <w:rsid w:val="00EB7FE4"/>
    <w:rsid w:val="00EC0850"/>
    <w:rsid w:val="00EC20E7"/>
    <w:rsid w:val="00EC22EA"/>
    <w:rsid w:val="00EC2803"/>
    <w:rsid w:val="00EC3765"/>
    <w:rsid w:val="00EC4B08"/>
    <w:rsid w:val="00EC6064"/>
    <w:rsid w:val="00EC75AE"/>
    <w:rsid w:val="00ED0665"/>
    <w:rsid w:val="00ED3CB9"/>
    <w:rsid w:val="00ED4ECE"/>
    <w:rsid w:val="00ED5C60"/>
    <w:rsid w:val="00ED67B6"/>
    <w:rsid w:val="00ED67C2"/>
    <w:rsid w:val="00ED725F"/>
    <w:rsid w:val="00EE1B29"/>
    <w:rsid w:val="00EE31D3"/>
    <w:rsid w:val="00EE5A7A"/>
    <w:rsid w:val="00EE622B"/>
    <w:rsid w:val="00EE66E0"/>
    <w:rsid w:val="00EE6806"/>
    <w:rsid w:val="00EF1AD0"/>
    <w:rsid w:val="00EF29E8"/>
    <w:rsid w:val="00EF544C"/>
    <w:rsid w:val="00F00FF9"/>
    <w:rsid w:val="00F03449"/>
    <w:rsid w:val="00F04567"/>
    <w:rsid w:val="00F066C2"/>
    <w:rsid w:val="00F1016B"/>
    <w:rsid w:val="00F12D28"/>
    <w:rsid w:val="00F17A58"/>
    <w:rsid w:val="00F17DFA"/>
    <w:rsid w:val="00F2202D"/>
    <w:rsid w:val="00F22244"/>
    <w:rsid w:val="00F2297B"/>
    <w:rsid w:val="00F24463"/>
    <w:rsid w:val="00F244AA"/>
    <w:rsid w:val="00F24CC4"/>
    <w:rsid w:val="00F2562C"/>
    <w:rsid w:val="00F25BF3"/>
    <w:rsid w:val="00F277BD"/>
    <w:rsid w:val="00F27E5F"/>
    <w:rsid w:val="00F3011A"/>
    <w:rsid w:val="00F31326"/>
    <w:rsid w:val="00F329DA"/>
    <w:rsid w:val="00F33054"/>
    <w:rsid w:val="00F33139"/>
    <w:rsid w:val="00F33782"/>
    <w:rsid w:val="00F33A39"/>
    <w:rsid w:val="00F351E8"/>
    <w:rsid w:val="00F35F5F"/>
    <w:rsid w:val="00F35FD0"/>
    <w:rsid w:val="00F36E29"/>
    <w:rsid w:val="00F37A3A"/>
    <w:rsid w:val="00F405EF"/>
    <w:rsid w:val="00F40752"/>
    <w:rsid w:val="00F42BBA"/>
    <w:rsid w:val="00F50D7E"/>
    <w:rsid w:val="00F532A1"/>
    <w:rsid w:val="00F54D3A"/>
    <w:rsid w:val="00F5500A"/>
    <w:rsid w:val="00F55231"/>
    <w:rsid w:val="00F552A2"/>
    <w:rsid w:val="00F552E0"/>
    <w:rsid w:val="00F568D8"/>
    <w:rsid w:val="00F56A21"/>
    <w:rsid w:val="00F60701"/>
    <w:rsid w:val="00F60C65"/>
    <w:rsid w:val="00F613E9"/>
    <w:rsid w:val="00F63277"/>
    <w:rsid w:val="00F638CF"/>
    <w:rsid w:val="00F63FEF"/>
    <w:rsid w:val="00F660AE"/>
    <w:rsid w:val="00F66114"/>
    <w:rsid w:val="00F66F20"/>
    <w:rsid w:val="00F67A24"/>
    <w:rsid w:val="00F700F6"/>
    <w:rsid w:val="00F72F5C"/>
    <w:rsid w:val="00F7621A"/>
    <w:rsid w:val="00F76334"/>
    <w:rsid w:val="00F76636"/>
    <w:rsid w:val="00F8172B"/>
    <w:rsid w:val="00F81974"/>
    <w:rsid w:val="00F81E3F"/>
    <w:rsid w:val="00F83ABE"/>
    <w:rsid w:val="00F845E8"/>
    <w:rsid w:val="00F853E7"/>
    <w:rsid w:val="00F879B9"/>
    <w:rsid w:val="00F87B15"/>
    <w:rsid w:val="00F90AD1"/>
    <w:rsid w:val="00F913B1"/>
    <w:rsid w:val="00F93714"/>
    <w:rsid w:val="00F93A9B"/>
    <w:rsid w:val="00F94B43"/>
    <w:rsid w:val="00F96344"/>
    <w:rsid w:val="00F968A4"/>
    <w:rsid w:val="00F971F6"/>
    <w:rsid w:val="00F9798A"/>
    <w:rsid w:val="00FA40F4"/>
    <w:rsid w:val="00FA4ED7"/>
    <w:rsid w:val="00FA6257"/>
    <w:rsid w:val="00FB0096"/>
    <w:rsid w:val="00FB05E9"/>
    <w:rsid w:val="00FB0D3A"/>
    <w:rsid w:val="00FB1748"/>
    <w:rsid w:val="00FB2119"/>
    <w:rsid w:val="00FB2501"/>
    <w:rsid w:val="00FB4F2C"/>
    <w:rsid w:val="00FB5B85"/>
    <w:rsid w:val="00FB6747"/>
    <w:rsid w:val="00FC0326"/>
    <w:rsid w:val="00FC0F83"/>
    <w:rsid w:val="00FC14D0"/>
    <w:rsid w:val="00FC212F"/>
    <w:rsid w:val="00FC3492"/>
    <w:rsid w:val="00FC38AD"/>
    <w:rsid w:val="00FC417E"/>
    <w:rsid w:val="00FC7C5D"/>
    <w:rsid w:val="00FD1906"/>
    <w:rsid w:val="00FD1DE9"/>
    <w:rsid w:val="00FD2565"/>
    <w:rsid w:val="00FD65C4"/>
    <w:rsid w:val="00FD6F91"/>
    <w:rsid w:val="00FD7B08"/>
    <w:rsid w:val="00FE04E8"/>
    <w:rsid w:val="00FE2254"/>
    <w:rsid w:val="00FE237C"/>
    <w:rsid w:val="00FE41AF"/>
    <w:rsid w:val="00FE4547"/>
    <w:rsid w:val="00FE4A2E"/>
    <w:rsid w:val="00FE7142"/>
    <w:rsid w:val="00FE744F"/>
    <w:rsid w:val="00FF0BBA"/>
    <w:rsid w:val="00FF3195"/>
    <w:rsid w:val="00FF3D43"/>
    <w:rsid w:val="00FF4844"/>
    <w:rsid w:val="00FF4E6B"/>
    <w:rsid w:val="00FF4F1F"/>
    <w:rsid w:val="00FF70E8"/>
    <w:rsid w:val="00FF7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92A17EB-7A7A-412A-8D72-31880FF4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0D"/>
  </w:style>
  <w:style w:type="paragraph" w:styleId="Heading1">
    <w:name w:val="heading 1"/>
    <w:basedOn w:val="Normal"/>
    <w:link w:val="Heading1Char"/>
    <w:uiPriority w:val="9"/>
    <w:qFormat/>
    <w:rsid w:val="00671FCB"/>
    <w:pPr>
      <w:spacing w:before="100" w:beforeAutospacing="1" w:after="100" w:afterAutospacing="1"/>
      <w:outlineLvl w:val="0"/>
    </w:pPr>
    <w:rPr>
      <w:rFonts w:eastAsia="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E24F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8A7686"/>
    <w:rPr>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8A7686"/>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Normal"/>
    <w:link w:val="ListParagraphChar"/>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unhideWhenUsed/>
    <w:rsid w:val="005D2E1D"/>
    <w:rPr>
      <w:sz w:val="20"/>
      <w:szCs w:val="20"/>
    </w:rPr>
  </w:style>
  <w:style w:type="character" w:customStyle="1" w:styleId="CommentTextChar">
    <w:name w:val="Comment Text Char"/>
    <w:basedOn w:val="DefaultParagraphFont"/>
    <w:link w:val="CommentText"/>
    <w:uiPriority w:val="99"/>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character" w:styleId="Strong">
    <w:name w:val="Strong"/>
    <w:basedOn w:val="DefaultParagraphFont"/>
    <w:uiPriority w:val="22"/>
    <w:qFormat/>
    <w:rsid w:val="007B37B2"/>
    <w:rPr>
      <w:b/>
      <w:bCs/>
    </w:rPr>
  </w:style>
  <w:style w:type="character" w:customStyle="1" w:styleId="Heading1Char">
    <w:name w:val="Heading 1 Char"/>
    <w:basedOn w:val="DefaultParagraphFont"/>
    <w:link w:val="Heading1"/>
    <w:uiPriority w:val="9"/>
    <w:rsid w:val="00671FCB"/>
    <w:rPr>
      <w:rFonts w:eastAsia="Times New Roman" w:cs="Times New Roman"/>
      <w:b/>
      <w:bCs/>
      <w:kern w:val="36"/>
      <w:sz w:val="48"/>
      <w:szCs w:val="48"/>
      <w:lang w:val="en-GB" w:eastAsia="en-GB"/>
    </w:rPr>
  </w:style>
  <w:style w:type="paragraph" w:styleId="NormalWeb">
    <w:name w:val="Normal (Web)"/>
    <w:basedOn w:val="Normal"/>
    <w:uiPriority w:val="99"/>
    <w:unhideWhenUsed/>
    <w:rsid w:val="00671FCB"/>
    <w:pPr>
      <w:spacing w:before="100" w:beforeAutospacing="1" w:after="100" w:afterAutospacing="1"/>
    </w:pPr>
    <w:rPr>
      <w:rFonts w:eastAsia="Times New Roman" w:cs="Times New Roman"/>
      <w:szCs w:val="24"/>
      <w:lang w:val="en-GB" w:eastAsia="en-GB"/>
    </w:rPr>
  </w:style>
  <w:style w:type="paragraph" w:customStyle="1" w:styleId="tvhtml">
    <w:name w:val="tv_html"/>
    <w:basedOn w:val="Normal"/>
    <w:rsid w:val="00610E0F"/>
    <w:pPr>
      <w:spacing w:before="100" w:beforeAutospacing="1" w:after="100" w:afterAutospacing="1"/>
    </w:pPr>
    <w:rPr>
      <w:rFonts w:eastAsia="Times New Roman" w:cs="Times New Roman"/>
      <w:szCs w:val="24"/>
      <w:lang w:eastAsia="lv-LV"/>
    </w:rPr>
  </w:style>
  <w:style w:type="paragraph" w:styleId="NoSpacing">
    <w:name w:val="No Spacing"/>
    <w:link w:val="NoSpacingChar"/>
    <w:uiPriority w:val="1"/>
    <w:qFormat/>
    <w:rsid w:val="00A3142E"/>
    <w:rPr>
      <w:rFonts w:asciiTheme="minorHAnsi" w:hAnsiTheme="minorHAnsi"/>
      <w:sz w:val="22"/>
    </w:rPr>
  </w:style>
  <w:style w:type="character" w:customStyle="1" w:styleId="NoSpacingChar">
    <w:name w:val="No Spacing Char"/>
    <w:basedOn w:val="DefaultParagraphFont"/>
    <w:link w:val="NoSpacing"/>
    <w:uiPriority w:val="1"/>
    <w:locked/>
    <w:rsid w:val="00A3142E"/>
    <w:rPr>
      <w:rFonts w:asciiTheme="minorHAnsi" w:hAnsiTheme="minorHAnsi"/>
      <w:sz w:val="22"/>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
    <w:basedOn w:val="DefaultParagraphFont"/>
    <w:link w:val="ListParagraph"/>
    <w:uiPriority w:val="34"/>
    <w:qFormat/>
    <w:locked/>
    <w:rsid w:val="00A3142E"/>
  </w:style>
  <w:style w:type="paragraph" w:styleId="TOCHeading">
    <w:name w:val="TOC Heading"/>
    <w:basedOn w:val="Heading1"/>
    <w:next w:val="Normal"/>
    <w:uiPriority w:val="39"/>
    <w:unhideWhenUsed/>
    <w:qFormat/>
    <w:rsid w:val="00B95F8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B95F87"/>
    <w:pPr>
      <w:spacing w:after="100"/>
    </w:pPr>
  </w:style>
  <w:style w:type="character" w:customStyle="1" w:styleId="Heading2Char">
    <w:name w:val="Heading 2 Char"/>
    <w:basedOn w:val="DefaultParagraphFont"/>
    <w:link w:val="Heading2"/>
    <w:uiPriority w:val="9"/>
    <w:rsid w:val="00E24F3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B0D3A"/>
    <w:pPr>
      <w:spacing w:after="100"/>
      <w:ind w:left="240"/>
    </w:pPr>
  </w:style>
  <w:style w:type="paragraph" w:styleId="HTMLPreformatted">
    <w:name w:val="HTML Preformatted"/>
    <w:basedOn w:val="Normal"/>
    <w:link w:val="HTMLPreformattedChar"/>
    <w:uiPriority w:val="99"/>
    <w:unhideWhenUsed/>
    <w:rsid w:val="001B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1B70FE"/>
    <w:rPr>
      <w:rFonts w:ascii="Courier New" w:eastAsia="Times New Roman" w:hAnsi="Courier New" w:cs="Courier Ne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7452">
      <w:bodyDiv w:val="1"/>
      <w:marLeft w:val="0"/>
      <w:marRight w:val="0"/>
      <w:marTop w:val="0"/>
      <w:marBottom w:val="0"/>
      <w:divBdr>
        <w:top w:val="none" w:sz="0" w:space="0" w:color="auto"/>
        <w:left w:val="none" w:sz="0" w:space="0" w:color="auto"/>
        <w:bottom w:val="none" w:sz="0" w:space="0" w:color="auto"/>
        <w:right w:val="none" w:sz="0" w:space="0" w:color="auto"/>
      </w:divBdr>
    </w:div>
    <w:div w:id="220749312">
      <w:bodyDiv w:val="1"/>
      <w:marLeft w:val="0"/>
      <w:marRight w:val="0"/>
      <w:marTop w:val="0"/>
      <w:marBottom w:val="0"/>
      <w:divBdr>
        <w:top w:val="none" w:sz="0" w:space="0" w:color="auto"/>
        <w:left w:val="none" w:sz="0" w:space="0" w:color="auto"/>
        <w:bottom w:val="none" w:sz="0" w:space="0" w:color="auto"/>
        <w:right w:val="none" w:sz="0" w:space="0" w:color="auto"/>
      </w:divBdr>
    </w:div>
    <w:div w:id="268507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355">
          <w:marLeft w:val="0"/>
          <w:marRight w:val="0"/>
          <w:marTop w:val="0"/>
          <w:marBottom w:val="0"/>
          <w:divBdr>
            <w:top w:val="none" w:sz="0" w:space="0" w:color="auto"/>
            <w:left w:val="none" w:sz="0" w:space="0" w:color="auto"/>
            <w:bottom w:val="none" w:sz="0" w:space="0" w:color="auto"/>
            <w:right w:val="none" w:sz="0" w:space="0" w:color="auto"/>
          </w:divBdr>
          <w:divsChild>
            <w:div w:id="1541824199">
              <w:marLeft w:val="0"/>
              <w:marRight w:val="0"/>
              <w:marTop w:val="0"/>
              <w:marBottom w:val="0"/>
              <w:divBdr>
                <w:top w:val="none" w:sz="0" w:space="0" w:color="auto"/>
                <w:left w:val="none" w:sz="0" w:space="0" w:color="auto"/>
                <w:bottom w:val="none" w:sz="0" w:space="0" w:color="auto"/>
                <w:right w:val="none" w:sz="0" w:space="0" w:color="auto"/>
              </w:divBdr>
              <w:divsChild>
                <w:div w:id="473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7970">
      <w:bodyDiv w:val="1"/>
      <w:marLeft w:val="0"/>
      <w:marRight w:val="0"/>
      <w:marTop w:val="0"/>
      <w:marBottom w:val="0"/>
      <w:divBdr>
        <w:top w:val="none" w:sz="0" w:space="0" w:color="auto"/>
        <w:left w:val="none" w:sz="0" w:space="0" w:color="auto"/>
        <w:bottom w:val="none" w:sz="0" w:space="0" w:color="auto"/>
        <w:right w:val="none" w:sz="0" w:space="0" w:color="auto"/>
      </w:divBdr>
    </w:div>
    <w:div w:id="489953325">
      <w:bodyDiv w:val="1"/>
      <w:marLeft w:val="0"/>
      <w:marRight w:val="0"/>
      <w:marTop w:val="0"/>
      <w:marBottom w:val="0"/>
      <w:divBdr>
        <w:top w:val="none" w:sz="0" w:space="0" w:color="auto"/>
        <w:left w:val="none" w:sz="0" w:space="0" w:color="auto"/>
        <w:bottom w:val="none" w:sz="0" w:space="0" w:color="auto"/>
        <w:right w:val="none" w:sz="0" w:space="0" w:color="auto"/>
      </w:divBdr>
    </w:div>
    <w:div w:id="501895791">
      <w:bodyDiv w:val="1"/>
      <w:marLeft w:val="0"/>
      <w:marRight w:val="0"/>
      <w:marTop w:val="0"/>
      <w:marBottom w:val="0"/>
      <w:divBdr>
        <w:top w:val="none" w:sz="0" w:space="0" w:color="auto"/>
        <w:left w:val="none" w:sz="0" w:space="0" w:color="auto"/>
        <w:bottom w:val="none" w:sz="0" w:space="0" w:color="auto"/>
        <w:right w:val="none" w:sz="0" w:space="0" w:color="auto"/>
      </w:divBdr>
    </w:div>
    <w:div w:id="522478633">
      <w:bodyDiv w:val="1"/>
      <w:marLeft w:val="0"/>
      <w:marRight w:val="0"/>
      <w:marTop w:val="0"/>
      <w:marBottom w:val="0"/>
      <w:divBdr>
        <w:top w:val="none" w:sz="0" w:space="0" w:color="auto"/>
        <w:left w:val="none" w:sz="0" w:space="0" w:color="auto"/>
        <w:bottom w:val="none" w:sz="0" w:space="0" w:color="auto"/>
        <w:right w:val="none" w:sz="0" w:space="0" w:color="auto"/>
      </w:divBdr>
    </w:div>
    <w:div w:id="561016461">
      <w:bodyDiv w:val="1"/>
      <w:marLeft w:val="0"/>
      <w:marRight w:val="0"/>
      <w:marTop w:val="0"/>
      <w:marBottom w:val="0"/>
      <w:divBdr>
        <w:top w:val="none" w:sz="0" w:space="0" w:color="auto"/>
        <w:left w:val="none" w:sz="0" w:space="0" w:color="auto"/>
        <w:bottom w:val="none" w:sz="0" w:space="0" w:color="auto"/>
        <w:right w:val="none" w:sz="0" w:space="0" w:color="auto"/>
      </w:divBdr>
    </w:div>
    <w:div w:id="628702648">
      <w:bodyDiv w:val="1"/>
      <w:marLeft w:val="0"/>
      <w:marRight w:val="0"/>
      <w:marTop w:val="0"/>
      <w:marBottom w:val="0"/>
      <w:divBdr>
        <w:top w:val="none" w:sz="0" w:space="0" w:color="auto"/>
        <w:left w:val="none" w:sz="0" w:space="0" w:color="auto"/>
        <w:bottom w:val="none" w:sz="0" w:space="0" w:color="auto"/>
        <w:right w:val="none" w:sz="0" w:space="0" w:color="auto"/>
      </w:divBdr>
    </w:div>
    <w:div w:id="704403679">
      <w:bodyDiv w:val="1"/>
      <w:marLeft w:val="0"/>
      <w:marRight w:val="0"/>
      <w:marTop w:val="0"/>
      <w:marBottom w:val="0"/>
      <w:divBdr>
        <w:top w:val="none" w:sz="0" w:space="0" w:color="auto"/>
        <w:left w:val="none" w:sz="0" w:space="0" w:color="auto"/>
        <w:bottom w:val="none" w:sz="0" w:space="0" w:color="auto"/>
        <w:right w:val="none" w:sz="0" w:space="0" w:color="auto"/>
      </w:divBdr>
    </w:div>
    <w:div w:id="788357557">
      <w:bodyDiv w:val="1"/>
      <w:marLeft w:val="0"/>
      <w:marRight w:val="0"/>
      <w:marTop w:val="0"/>
      <w:marBottom w:val="0"/>
      <w:divBdr>
        <w:top w:val="none" w:sz="0" w:space="0" w:color="auto"/>
        <w:left w:val="none" w:sz="0" w:space="0" w:color="auto"/>
        <w:bottom w:val="none" w:sz="0" w:space="0" w:color="auto"/>
        <w:right w:val="none" w:sz="0" w:space="0" w:color="auto"/>
      </w:divBdr>
      <w:divsChild>
        <w:div w:id="1445034013">
          <w:marLeft w:val="0"/>
          <w:marRight w:val="0"/>
          <w:marTop w:val="0"/>
          <w:marBottom w:val="567"/>
          <w:divBdr>
            <w:top w:val="none" w:sz="0" w:space="0" w:color="auto"/>
            <w:left w:val="none" w:sz="0" w:space="0" w:color="auto"/>
            <w:bottom w:val="none" w:sz="0" w:space="0" w:color="auto"/>
            <w:right w:val="none" w:sz="0" w:space="0" w:color="auto"/>
          </w:divBdr>
        </w:div>
        <w:div w:id="1763530890">
          <w:marLeft w:val="0"/>
          <w:marRight w:val="0"/>
          <w:marTop w:val="480"/>
          <w:marBottom w:val="240"/>
          <w:divBdr>
            <w:top w:val="none" w:sz="0" w:space="0" w:color="auto"/>
            <w:left w:val="none" w:sz="0" w:space="0" w:color="auto"/>
            <w:bottom w:val="none" w:sz="0" w:space="0" w:color="auto"/>
            <w:right w:val="none" w:sz="0" w:space="0" w:color="auto"/>
          </w:divBdr>
        </w:div>
      </w:divsChild>
    </w:div>
    <w:div w:id="790440443">
      <w:bodyDiv w:val="1"/>
      <w:marLeft w:val="0"/>
      <w:marRight w:val="0"/>
      <w:marTop w:val="0"/>
      <w:marBottom w:val="0"/>
      <w:divBdr>
        <w:top w:val="none" w:sz="0" w:space="0" w:color="auto"/>
        <w:left w:val="none" w:sz="0" w:space="0" w:color="auto"/>
        <w:bottom w:val="none" w:sz="0" w:space="0" w:color="auto"/>
        <w:right w:val="none" w:sz="0" w:space="0" w:color="auto"/>
      </w:divBdr>
    </w:div>
    <w:div w:id="849217977">
      <w:bodyDiv w:val="1"/>
      <w:marLeft w:val="0"/>
      <w:marRight w:val="0"/>
      <w:marTop w:val="0"/>
      <w:marBottom w:val="0"/>
      <w:divBdr>
        <w:top w:val="none" w:sz="0" w:space="0" w:color="auto"/>
        <w:left w:val="none" w:sz="0" w:space="0" w:color="auto"/>
        <w:bottom w:val="none" w:sz="0" w:space="0" w:color="auto"/>
        <w:right w:val="none" w:sz="0" w:space="0" w:color="auto"/>
      </w:divBdr>
    </w:div>
    <w:div w:id="851066482">
      <w:bodyDiv w:val="1"/>
      <w:marLeft w:val="0"/>
      <w:marRight w:val="0"/>
      <w:marTop w:val="0"/>
      <w:marBottom w:val="0"/>
      <w:divBdr>
        <w:top w:val="none" w:sz="0" w:space="0" w:color="auto"/>
        <w:left w:val="none" w:sz="0" w:space="0" w:color="auto"/>
        <w:bottom w:val="none" w:sz="0" w:space="0" w:color="auto"/>
        <w:right w:val="none" w:sz="0" w:space="0" w:color="auto"/>
      </w:divBdr>
    </w:div>
    <w:div w:id="1103574402">
      <w:bodyDiv w:val="1"/>
      <w:marLeft w:val="0"/>
      <w:marRight w:val="0"/>
      <w:marTop w:val="0"/>
      <w:marBottom w:val="0"/>
      <w:divBdr>
        <w:top w:val="none" w:sz="0" w:space="0" w:color="auto"/>
        <w:left w:val="none" w:sz="0" w:space="0" w:color="auto"/>
        <w:bottom w:val="none" w:sz="0" w:space="0" w:color="auto"/>
        <w:right w:val="none" w:sz="0" w:space="0" w:color="auto"/>
      </w:divBdr>
    </w:div>
    <w:div w:id="1103845852">
      <w:bodyDiv w:val="1"/>
      <w:marLeft w:val="0"/>
      <w:marRight w:val="0"/>
      <w:marTop w:val="0"/>
      <w:marBottom w:val="0"/>
      <w:divBdr>
        <w:top w:val="none" w:sz="0" w:space="0" w:color="auto"/>
        <w:left w:val="none" w:sz="0" w:space="0" w:color="auto"/>
        <w:bottom w:val="none" w:sz="0" w:space="0" w:color="auto"/>
        <w:right w:val="none" w:sz="0" w:space="0" w:color="auto"/>
      </w:divBdr>
    </w:div>
    <w:div w:id="1139609502">
      <w:bodyDiv w:val="1"/>
      <w:marLeft w:val="0"/>
      <w:marRight w:val="0"/>
      <w:marTop w:val="0"/>
      <w:marBottom w:val="0"/>
      <w:divBdr>
        <w:top w:val="none" w:sz="0" w:space="0" w:color="auto"/>
        <w:left w:val="none" w:sz="0" w:space="0" w:color="auto"/>
        <w:bottom w:val="none" w:sz="0" w:space="0" w:color="auto"/>
        <w:right w:val="none" w:sz="0" w:space="0" w:color="auto"/>
      </w:divBdr>
    </w:div>
    <w:div w:id="1477064829">
      <w:bodyDiv w:val="1"/>
      <w:marLeft w:val="0"/>
      <w:marRight w:val="0"/>
      <w:marTop w:val="0"/>
      <w:marBottom w:val="0"/>
      <w:divBdr>
        <w:top w:val="none" w:sz="0" w:space="0" w:color="auto"/>
        <w:left w:val="none" w:sz="0" w:space="0" w:color="auto"/>
        <w:bottom w:val="none" w:sz="0" w:space="0" w:color="auto"/>
        <w:right w:val="none" w:sz="0" w:space="0" w:color="auto"/>
      </w:divBdr>
    </w:div>
    <w:div w:id="1485924649">
      <w:bodyDiv w:val="1"/>
      <w:marLeft w:val="0"/>
      <w:marRight w:val="0"/>
      <w:marTop w:val="0"/>
      <w:marBottom w:val="0"/>
      <w:divBdr>
        <w:top w:val="none" w:sz="0" w:space="0" w:color="auto"/>
        <w:left w:val="none" w:sz="0" w:space="0" w:color="auto"/>
        <w:bottom w:val="none" w:sz="0" w:space="0" w:color="auto"/>
        <w:right w:val="none" w:sz="0" w:space="0" w:color="auto"/>
      </w:divBdr>
    </w:div>
    <w:div w:id="1542282717">
      <w:bodyDiv w:val="1"/>
      <w:marLeft w:val="0"/>
      <w:marRight w:val="0"/>
      <w:marTop w:val="0"/>
      <w:marBottom w:val="0"/>
      <w:divBdr>
        <w:top w:val="none" w:sz="0" w:space="0" w:color="auto"/>
        <w:left w:val="none" w:sz="0" w:space="0" w:color="auto"/>
        <w:bottom w:val="none" w:sz="0" w:space="0" w:color="auto"/>
        <w:right w:val="none" w:sz="0" w:space="0" w:color="auto"/>
      </w:divBdr>
    </w:div>
    <w:div w:id="1557350217">
      <w:bodyDiv w:val="1"/>
      <w:marLeft w:val="0"/>
      <w:marRight w:val="0"/>
      <w:marTop w:val="0"/>
      <w:marBottom w:val="0"/>
      <w:divBdr>
        <w:top w:val="none" w:sz="0" w:space="0" w:color="auto"/>
        <w:left w:val="none" w:sz="0" w:space="0" w:color="auto"/>
        <w:bottom w:val="none" w:sz="0" w:space="0" w:color="auto"/>
        <w:right w:val="none" w:sz="0" w:space="0" w:color="auto"/>
      </w:divBdr>
    </w:div>
    <w:div w:id="1724913826">
      <w:bodyDiv w:val="1"/>
      <w:marLeft w:val="0"/>
      <w:marRight w:val="0"/>
      <w:marTop w:val="0"/>
      <w:marBottom w:val="0"/>
      <w:divBdr>
        <w:top w:val="none" w:sz="0" w:space="0" w:color="auto"/>
        <w:left w:val="none" w:sz="0" w:space="0" w:color="auto"/>
        <w:bottom w:val="none" w:sz="0" w:space="0" w:color="auto"/>
        <w:right w:val="none" w:sz="0" w:space="0" w:color="auto"/>
      </w:divBdr>
    </w:div>
    <w:div w:id="1745101976">
      <w:bodyDiv w:val="1"/>
      <w:marLeft w:val="0"/>
      <w:marRight w:val="0"/>
      <w:marTop w:val="0"/>
      <w:marBottom w:val="0"/>
      <w:divBdr>
        <w:top w:val="none" w:sz="0" w:space="0" w:color="auto"/>
        <w:left w:val="none" w:sz="0" w:space="0" w:color="auto"/>
        <w:bottom w:val="none" w:sz="0" w:space="0" w:color="auto"/>
        <w:right w:val="none" w:sz="0" w:space="0" w:color="auto"/>
      </w:divBdr>
    </w:div>
    <w:div w:id="1759253294">
      <w:bodyDiv w:val="1"/>
      <w:marLeft w:val="0"/>
      <w:marRight w:val="0"/>
      <w:marTop w:val="0"/>
      <w:marBottom w:val="0"/>
      <w:divBdr>
        <w:top w:val="none" w:sz="0" w:space="0" w:color="auto"/>
        <w:left w:val="none" w:sz="0" w:space="0" w:color="auto"/>
        <w:bottom w:val="none" w:sz="0" w:space="0" w:color="auto"/>
        <w:right w:val="none" w:sz="0" w:space="0" w:color="auto"/>
      </w:divBdr>
    </w:div>
    <w:div w:id="1772508169">
      <w:bodyDiv w:val="1"/>
      <w:marLeft w:val="0"/>
      <w:marRight w:val="0"/>
      <w:marTop w:val="0"/>
      <w:marBottom w:val="0"/>
      <w:divBdr>
        <w:top w:val="none" w:sz="0" w:space="0" w:color="auto"/>
        <w:left w:val="none" w:sz="0" w:space="0" w:color="auto"/>
        <w:bottom w:val="none" w:sz="0" w:space="0" w:color="auto"/>
        <w:right w:val="none" w:sz="0" w:space="0" w:color="auto"/>
      </w:divBdr>
    </w:div>
    <w:div w:id="1910341442">
      <w:bodyDiv w:val="1"/>
      <w:marLeft w:val="0"/>
      <w:marRight w:val="0"/>
      <w:marTop w:val="0"/>
      <w:marBottom w:val="0"/>
      <w:divBdr>
        <w:top w:val="none" w:sz="0" w:space="0" w:color="auto"/>
        <w:left w:val="none" w:sz="0" w:space="0" w:color="auto"/>
        <w:bottom w:val="none" w:sz="0" w:space="0" w:color="auto"/>
        <w:right w:val="none" w:sz="0" w:space="0" w:color="auto"/>
      </w:divBdr>
    </w:div>
    <w:div w:id="1977832654">
      <w:bodyDiv w:val="1"/>
      <w:marLeft w:val="0"/>
      <w:marRight w:val="0"/>
      <w:marTop w:val="0"/>
      <w:marBottom w:val="0"/>
      <w:divBdr>
        <w:top w:val="none" w:sz="0" w:space="0" w:color="auto"/>
        <w:left w:val="none" w:sz="0" w:space="0" w:color="auto"/>
        <w:bottom w:val="none" w:sz="0" w:space="0" w:color="auto"/>
        <w:right w:val="none" w:sz="0" w:space="0" w:color="auto"/>
      </w:divBdr>
    </w:div>
    <w:div w:id="2059812302">
      <w:bodyDiv w:val="1"/>
      <w:marLeft w:val="0"/>
      <w:marRight w:val="0"/>
      <w:marTop w:val="0"/>
      <w:marBottom w:val="0"/>
      <w:divBdr>
        <w:top w:val="none" w:sz="0" w:space="0" w:color="auto"/>
        <w:left w:val="none" w:sz="0" w:space="0" w:color="auto"/>
        <w:bottom w:val="none" w:sz="0" w:space="0" w:color="auto"/>
        <w:right w:val="none" w:sz="0" w:space="0" w:color="auto"/>
      </w:divBdr>
    </w:div>
    <w:div w:id="2069379364">
      <w:bodyDiv w:val="1"/>
      <w:marLeft w:val="0"/>
      <w:marRight w:val="0"/>
      <w:marTop w:val="0"/>
      <w:marBottom w:val="0"/>
      <w:divBdr>
        <w:top w:val="none" w:sz="0" w:space="0" w:color="auto"/>
        <w:left w:val="none" w:sz="0" w:space="0" w:color="auto"/>
        <w:bottom w:val="none" w:sz="0" w:space="0" w:color="auto"/>
        <w:right w:val="none" w:sz="0" w:space="0" w:color="auto"/>
      </w:divBdr>
    </w:div>
    <w:div w:id="2121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C044-ABF9-4B71-8577-C51F02BC1C27}">
  <ds:schemaRefs>
    <ds:schemaRef ds:uri="http://schemas.openxmlformats.org/officeDocument/2006/bibliography"/>
  </ds:schemaRefs>
</ds:datastoreItem>
</file>

<file path=customXml/itemProps2.xml><?xml version="1.0" encoding="utf-8"?>
<ds:datastoreItem xmlns:ds="http://schemas.openxmlformats.org/officeDocument/2006/customXml" ds:itemID="{6992B578-24CE-4281-BEFE-5730BB440CB8}">
  <ds:schemaRefs>
    <ds:schemaRef ds:uri="http://schemas.openxmlformats.org/officeDocument/2006/bibliography"/>
  </ds:schemaRefs>
</ds:datastoreItem>
</file>

<file path=customXml/itemProps3.xml><?xml version="1.0" encoding="utf-8"?>
<ds:datastoreItem xmlns:ds="http://schemas.openxmlformats.org/officeDocument/2006/customXml" ds:itemID="{F5BBB825-990F-42DC-B05C-1E67B975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89654</Words>
  <Characters>51103</Characters>
  <Application>Microsoft Office Word</Application>
  <DocSecurity>0</DocSecurity>
  <Lines>425</Lines>
  <Paragraphs>280</Paragraphs>
  <ScaleCrop>false</ScaleCrop>
  <HeadingPairs>
    <vt:vector size="2" baseType="variant">
      <vt:variant>
        <vt:lpstr>Title</vt:lpstr>
      </vt:variant>
      <vt:variant>
        <vt:i4>1</vt:i4>
      </vt:variant>
    </vt:vector>
  </HeadingPairs>
  <TitlesOfParts>
    <vt:vector size="1" baseType="lpstr">
      <vt:lpstr>Pasākumu plāns noziedzīgi iegūtu līdzekļu legalizācijas un terorisma finansēšanas risku ierobežošanai 2017.-2019.gadam</vt:lpstr>
    </vt:vector>
  </TitlesOfParts>
  <Company/>
  <LinksUpToDate>false</LinksUpToDate>
  <CharactersWithSpaces>140477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Pasākumu plāns noziedzīgi iegūtu līdzekļu legalizācijas un terorisma finansēšanas risku ierobežošanai 2017.-2019.gadam</dc:title>
  <dc:subject/>
  <dc:creator>aija.zitcere@fm.gov.lv</dc:creator>
  <cp:keywords/>
  <dc:description/>
  <cp:lastModifiedBy>Dina Buse</cp:lastModifiedBy>
  <cp:revision>2</cp:revision>
  <cp:lastPrinted>2018-09-20T07:47:00Z</cp:lastPrinted>
  <dcterms:created xsi:type="dcterms:W3CDTF">2018-10-08T14:37:00Z</dcterms:created>
  <dcterms:modified xsi:type="dcterms:W3CDTF">2018-10-08T14:37:00Z</dcterms:modified>
</cp:coreProperties>
</file>