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12" w14:textId="6ABD23F6" w:rsidR="003312ED" w:rsidRPr="00A034AA" w:rsidRDefault="00021950" w:rsidP="00A034AA">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24"/>
        </w:rPr>
      </w:pPr>
      <w:r w:rsidRPr="00A034AA">
        <w:rPr>
          <w:rFonts w:asciiTheme="majorHAnsi" w:eastAsiaTheme="majorEastAsia" w:hAnsiTheme="majorHAnsi" w:cstheme="majorBidi"/>
          <w:b w:val="0"/>
          <w:bCs w:val="0"/>
          <w:caps/>
          <w:color w:val="1F4E79" w:themeColor="accent1" w:themeShade="80"/>
          <w:kern w:val="28"/>
          <w:szCs w:val="24"/>
        </w:rPr>
        <w:t xml:space="preserve">On </w:t>
      </w:r>
      <w:r w:rsidR="00A867DC" w:rsidRPr="00A034AA">
        <w:rPr>
          <w:rFonts w:asciiTheme="majorHAnsi" w:eastAsiaTheme="majorEastAsia" w:hAnsiTheme="majorHAnsi" w:cstheme="majorBidi"/>
          <w:b w:val="0"/>
          <w:bCs w:val="0"/>
          <w:caps/>
          <w:color w:val="1F4E79" w:themeColor="accent1" w:themeShade="80"/>
          <w:kern w:val="28"/>
          <w:szCs w:val="24"/>
        </w:rPr>
        <w:t>the results of public spending review for the years 2017, 2018 and 2019 and suggestions regarding use of these results in the process of the Draft Medium Term Budget Framework Law for the years 2017, 2018 and 2019 and the Draft Annual State Budget Law for 2017</w:t>
      </w:r>
    </w:p>
    <w:p w14:paraId="433DD8F1" w14:textId="3D5B368E" w:rsidR="003312ED" w:rsidRDefault="00021950" w:rsidP="008B632F">
      <w:pPr>
        <w:pStyle w:val="Heading1"/>
        <w:spacing w:before="320" w:after="120"/>
      </w:pPr>
      <w:r>
        <w:t>Scope</w:t>
      </w:r>
    </w:p>
    <w:tbl>
      <w:tblPr>
        <w:tblStyle w:val="TipTable"/>
        <w:tblW w:w="5000" w:type="pct"/>
        <w:tblLook w:val="04A0" w:firstRow="1" w:lastRow="0" w:firstColumn="1" w:lastColumn="0" w:noHBand="0" w:noVBand="1"/>
        <w:tblDescription w:val="Layout table"/>
      </w:tblPr>
      <w:tblGrid>
        <w:gridCol w:w="625"/>
        <w:gridCol w:w="8735"/>
      </w:tblGrid>
      <w:tr w:rsidR="005D4DC9" w14:paraId="28BB296A" w14:textId="77777777" w:rsidTr="009A70EE">
        <w:trPr>
          <w:trHeight w:val="2234"/>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Default="005D4DC9" w:rsidP="007664E8">
            <w:r>
              <w:rPr>
                <w:noProof/>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0D7FEB9F" w14:textId="05D3AF2A" w:rsidR="008B632F" w:rsidRPr="008B632F" w:rsidRDefault="00A867DC"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595959" w:themeColor="text1" w:themeTint="A6"/>
                <w:szCs w:val="20"/>
              </w:rPr>
            </w:pPr>
            <w:r w:rsidRPr="00A867DC">
              <w:rPr>
                <w:b/>
                <w:bCs/>
                <w:i/>
                <w:iCs/>
                <w:color w:val="595959" w:themeColor="text1" w:themeTint="A6"/>
                <w:szCs w:val="20"/>
              </w:rPr>
              <w:t>On 1 March 2016 the Cabinet of Ministers approved the following</w:t>
            </w:r>
            <w:r w:rsidR="008B632F" w:rsidRPr="008B632F">
              <w:rPr>
                <w:b/>
                <w:bCs/>
                <w:i/>
                <w:iCs/>
                <w:color w:val="595959" w:themeColor="text1" w:themeTint="A6"/>
                <w:szCs w:val="20"/>
              </w:rPr>
              <w:t>:</w:t>
            </w:r>
          </w:p>
          <w:p w14:paraId="2520886A" w14:textId="478301D6" w:rsidR="00BB450C" w:rsidRPr="00BB450C" w:rsidRDefault="00021950" w:rsidP="00BB450C">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1.</w:t>
            </w:r>
            <w:r w:rsidRPr="00FE72E1">
              <w:rPr>
                <w:i/>
                <w:iCs/>
                <w:sz w:val="16"/>
              </w:rPr>
              <w:tab/>
            </w:r>
            <w:r w:rsidR="00BB450C" w:rsidRPr="00BB450C">
              <w:rPr>
                <w:i/>
                <w:iCs/>
                <w:sz w:val="16"/>
              </w:rPr>
              <w:t>The Scope of spending review (effects of budget elasticity tools; correlation to market prices; irrational spending changes compared to 2015; analysis of past new policy initiatives etc.).</w:t>
            </w:r>
          </w:p>
          <w:p w14:paraId="6C1DFF7B" w14:textId="77777777" w:rsidR="00BB450C" w:rsidRPr="00BB450C" w:rsidRDefault="00BB450C" w:rsidP="00BB450C">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sz w:val="16"/>
              </w:rPr>
            </w:pPr>
            <w:r w:rsidRPr="00BB450C">
              <w:rPr>
                <w:i/>
                <w:iCs/>
                <w:sz w:val="16"/>
              </w:rPr>
              <w:t>2.</w:t>
            </w:r>
            <w:r w:rsidRPr="00BB450C">
              <w:rPr>
                <w:i/>
                <w:iCs/>
                <w:sz w:val="16"/>
              </w:rPr>
              <w:tab/>
              <w:t>Reviewing priorities – health and education sectors (also two working groups were set up for overall process, one of the specifically dedicated to health spending).</w:t>
            </w:r>
          </w:p>
          <w:p w14:paraId="55DEFBA2" w14:textId="77777777" w:rsidR="00BB450C" w:rsidRPr="00BB450C" w:rsidRDefault="00BB450C" w:rsidP="00BB450C">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sz w:val="16"/>
              </w:rPr>
            </w:pPr>
            <w:r w:rsidRPr="00BB450C">
              <w:rPr>
                <w:i/>
                <w:iCs/>
                <w:sz w:val="16"/>
              </w:rPr>
              <w:t>3.</w:t>
            </w:r>
            <w:r w:rsidRPr="00BB450C">
              <w:rPr>
                <w:i/>
                <w:iCs/>
                <w:sz w:val="16"/>
              </w:rPr>
              <w:tab/>
              <w:t xml:space="preserve">Fundamentally review and update performance information linking it to policies and budget </w:t>
            </w:r>
            <w:proofErr w:type="spellStart"/>
            <w:r w:rsidRPr="00BB450C">
              <w:rPr>
                <w:i/>
                <w:iCs/>
                <w:sz w:val="16"/>
              </w:rPr>
              <w:t>programme</w:t>
            </w:r>
            <w:proofErr w:type="spellEnd"/>
            <w:r w:rsidRPr="00BB450C">
              <w:rPr>
                <w:i/>
                <w:iCs/>
                <w:sz w:val="16"/>
              </w:rPr>
              <w:t xml:space="preserve"> expenditures.</w:t>
            </w:r>
          </w:p>
          <w:p w14:paraId="157AF2A4" w14:textId="666849B2" w:rsidR="005D4DC9" w:rsidRPr="009A70EE" w:rsidRDefault="00BB450C" w:rsidP="00BB450C">
            <w:pPr>
              <w:pStyle w:val="TipText"/>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sz w:val="18"/>
                <w:szCs w:val="20"/>
              </w:rPr>
            </w:pPr>
            <w:r w:rsidRPr="00BB450C">
              <w:t>4.</w:t>
            </w:r>
            <w:r w:rsidRPr="00BB450C">
              <w:tab/>
              <w:t>To develop tools for efficiency and effectiveness analysis of expenditure (linking expenditure with policy outcomes and outputs).</w:t>
            </w:r>
          </w:p>
        </w:tc>
      </w:tr>
    </w:tbl>
    <w:p w14:paraId="73693604" w14:textId="434CD1BC" w:rsidR="003312ED" w:rsidRDefault="009A70EE" w:rsidP="009A70EE">
      <w:pPr>
        <w:pStyle w:val="Heading2"/>
        <w:numPr>
          <w:ilvl w:val="0"/>
          <w:numId w:val="0"/>
        </w:numPr>
        <w:ind w:left="360" w:hanging="360"/>
      </w:pPr>
      <w:r w:rsidRPr="009A70EE">
        <w:rPr>
          <w:caps/>
          <w:color w:val="1F4E79" w:themeColor="accent1" w:themeShade="80"/>
          <w:sz w:val="28"/>
        </w:rPr>
        <w:t>Financial Results of the Spending Review</w:t>
      </w:r>
    </w:p>
    <w:tbl>
      <w:tblPr>
        <w:tblStyle w:val="TipTable"/>
        <w:tblW w:w="5000" w:type="pct"/>
        <w:tblLook w:val="04A0" w:firstRow="1" w:lastRow="0" w:firstColumn="1" w:lastColumn="0" w:noHBand="0" w:noVBand="1"/>
        <w:tblDescription w:val="Layout table"/>
      </w:tblPr>
      <w:tblGrid>
        <w:gridCol w:w="577"/>
        <w:gridCol w:w="8783"/>
      </w:tblGrid>
      <w:tr w:rsidR="005D4DC9"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Default="005D4DC9" w:rsidP="007664E8">
            <w:r>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A62030" w14:textId="578CB5B8" w:rsidR="00E36373" w:rsidRDefault="00BB450C" w:rsidP="00E36373">
            <w:pPr>
              <w:spacing w:after="60"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BB450C">
              <w:rPr>
                <w:i/>
                <w:iCs/>
                <w:sz w:val="16"/>
              </w:rPr>
              <w:t>Results</w:t>
            </w:r>
            <w:r>
              <w:rPr>
                <w:i/>
                <w:iCs/>
                <w:sz w:val="16"/>
              </w:rPr>
              <w:t xml:space="preserve"> </w:t>
            </w:r>
            <w:r w:rsidRPr="00BB450C">
              <w:rPr>
                <w:i/>
                <w:iCs/>
                <w:sz w:val="16"/>
              </w:rPr>
              <w:t xml:space="preserve">was adopted by the Cabinet of Ministers on 31 </w:t>
            </w:r>
            <w:r w:rsidR="00965C2F" w:rsidRPr="00BB450C">
              <w:rPr>
                <w:i/>
                <w:iCs/>
                <w:sz w:val="16"/>
              </w:rPr>
              <w:t>May</w:t>
            </w:r>
            <w:r w:rsidRPr="00BB450C">
              <w:rPr>
                <w:i/>
                <w:iCs/>
                <w:sz w:val="16"/>
              </w:rPr>
              <w:t xml:space="preserve"> 2016. </w:t>
            </w:r>
          </w:p>
          <w:p w14:paraId="27F92289" w14:textId="037C2CAA" w:rsidR="00BB450C" w:rsidRDefault="00BB450C" w:rsidP="00E36373">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BB450C">
              <w:rPr>
                <w:i/>
                <w:iCs/>
                <w:sz w:val="16"/>
              </w:rPr>
              <w:t xml:space="preserve">In fiscal terms efficiency gains of </w:t>
            </w:r>
            <w:r w:rsidRPr="00FD5AF0">
              <w:rPr>
                <w:b/>
                <w:bCs/>
                <w:i/>
                <w:iCs/>
                <w:sz w:val="16"/>
              </w:rPr>
              <w:t xml:space="preserve">EUR 61,3 million </w:t>
            </w:r>
            <w:r w:rsidRPr="00FD5AF0">
              <w:rPr>
                <w:i/>
                <w:iCs/>
                <w:sz w:val="16"/>
              </w:rPr>
              <w:t xml:space="preserve">for 2017 were achieved, </w:t>
            </w:r>
            <w:r w:rsidRPr="00BB450C">
              <w:rPr>
                <w:i/>
                <w:iCs/>
                <w:sz w:val="16"/>
              </w:rPr>
              <w:t xml:space="preserve">which provided additional funds for </w:t>
            </w:r>
            <w:r w:rsidR="00E36373" w:rsidRPr="00BB450C">
              <w:rPr>
                <w:i/>
                <w:iCs/>
                <w:sz w:val="16"/>
              </w:rPr>
              <w:t>reprioritizing</w:t>
            </w:r>
            <w:r w:rsidRPr="00BB450C">
              <w:rPr>
                <w:i/>
                <w:iCs/>
                <w:sz w:val="16"/>
              </w:rPr>
              <w:t xml:space="preserve"> expenditures both within line ministries and for general government priorities:</w:t>
            </w:r>
          </w:p>
          <w:p w14:paraId="7E59AC5E" w14:textId="77777777" w:rsidR="00BB450C" w:rsidRPr="00BB450C" w:rsidRDefault="00BB450C" w:rsidP="00E36373">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color w:val="595959" w:themeColor="text1" w:themeTint="A6"/>
                <w:sz w:val="16"/>
              </w:rPr>
            </w:pPr>
            <w:r w:rsidRPr="00BB450C">
              <w:rPr>
                <w:i/>
                <w:iCs/>
                <w:sz w:val="16"/>
              </w:rPr>
              <w:t>EUR 32,6 million were allocated for government priorities;</w:t>
            </w:r>
          </w:p>
          <w:p w14:paraId="068E2DA5" w14:textId="3CD93755" w:rsidR="00BB450C" w:rsidRPr="00EC1473" w:rsidRDefault="00BB450C" w:rsidP="00E36373">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color w:val="595959" w:themeColor="text1" w:themeTint="A6"/>
                <w:sz w:val="16"/>
              </w:rPr>
            </w:pPr>
            <w:r w:rsidRPr="00BB450C">
              <w:rPr>
                <w:i/>
                <w:iCs/>
                <w:color w:val="595959" w:themeColor="text1" w:themeTint="A6"/>
                <w:sz w:val="16"/>
              </w:rPr>
              <w:t>EUR 28,7 million were identified as ministerial internal resources.</w:t>
            </w:r>
          </w:p>
        </w:tc>
      </w:tr>
    </w:tbl>
    <w:tbl>
      <w:tblPr>
        <w:tblStyle w:val="ProjectScopeTable"/>
        <w:tblW w:w="5000" w:type="pct"/>
        <w:tblLook w:val="04A0" w:firstRow="1" w:lastRow="0" w:firstColumn="1" w:lastColumn="0" w:noHBand="0" w:noVBand="1"/>
        <w:tblDescription w:val="Layout table"/>
      </w:tblPr>
      <w:tblGrid>
        <w:gridCol w:w="6800"/>
        <w:gridCol w:w="1275"/>
        <w:gridCol w:w="1275"/>
      </w:tblGrid>
      <w:tr w:rsidR="009F4DFB" w14:paraId="2235118F" w14:textId="77777777" w:rsidTr="009F4DFB">
        <w:trPr>
          <w:cnfStyle w:val="100000000000" w:firstRow="1" w:lastRow="0" w:firstColumn="0" w:lastColumn="0" w:oddVBand="0" w:evenVBand="0" w:oddHBand="0" w:evenHBand="0" w:firstRowFirstColumn="0" w:firstRowLastColumn="0" w:lastRowFirstColumn="0" w:lastRowLastColumn="0"/>
        </w:trPr>
        <w:tc>
          <w:tcPr>
            <w:tcW w:w="3636" w:type="pct"/>
          </w:tcPr>
          <w:p w14:paraId="3A6D3982" w14:textId="664A5F94" w:rsidR="00EC1473" w:rsidRDefault="00EC1473" w:rsidP="00EC1473">
            <w:r w:rsidRPr="00BE3483">
              <w:t>Method of the Spending Review</w:t>
            </w:r>
          </w:p>
        </w:tc>
        <w:tc>
          <w:tcPr>
            <w:tcW w:w="682" w:type="pct"/>
          </w:tcPr>
          <w:p w14:paraId="0B43FC22" w14:textId="76707C33" w:rsidR="00EC1473" w:rsidRDefault="00EC1473" w:rsidP="00EC1473">
            <w:pPr>
              <w:jc w:val="center"/>
            </w:pPr>
            <w:r w:rsidRPr="00BE3483">
              <w:t>20</w:t>
            </w:r>
            <w:r w:rsidR="00A84D83">
              <w:t>17</w:t>
            </w:r>
          </w:p>
        </w:tc>
        <w:tc>
          <w:tcPr>
            <w:tcW w:w="682" w:type="pct"/>
          </w:tcPr>
          <w:p w14:paraId="4A2C57E7" w14:textId="2EE71709" w:rsidR="00EC1473" w:rsidRDefault="00EC1473" w:rsidP="00EC1473">
            <w:pPr>
              <w:jc w:val="center"/>
            </w:pPr>
            <w:r>
              <w:t>20</w:t>
            </w:r>
            <w:r w:rsidR="00A84D83">
              <w:t>18</w:t>
            </w:r>
          </w:p>
        </w:tc>
      </w:tr>
      <w:tr w:rsidR="00EC1473" w14:paraId="5D1914A8" w14:textId="77777777" w:rsidTr="009F4DFB">
        <w:tc>
          <w:tcPr>
            <w:tcW w:w="3636" w:type="pct"/>
          </w:tcPr>
          <w:p w14:paraId="53806C38" w14:textId="59E1483C" w:rsidR="00931DD4" w:rsidRDefault="00931DD4" w:rsidP="009F4DFB">
            <w:pPr>
              <w:spacing w:after="0"/>
              <w:rPr>
                <w:rFonts w:cstheme="minorHAnsi"/>
                <w:color w:val="000000"/>
                <w:sz w:val="16"/>
                <w:szCs w:val="16"/>
              </w:rPr>
            </w:pPr>
            <w:r w:rsidRPr="00F3481D">
              <w:rPr>
                <w:rFonts w:cstheme="minorHAnsi"/>
                <w:color w:val="000000"/>
                <w:sz w:val="16"/>
                <w:szCs w:val="16"/>
              </w:rPr>
              <w:t>Upda</w:t>
            </w:r>
            <w:r w:rsidR="00F3481D" w:rsidRPr="00F3481D">
              <w:rPr>
                <w:rFonts w:cstheme="minorHAnsi"/>
                <w:color w:val="000000"/>
                <w:sz w:val="16"/>
                <w:szCs w:val="16"/>
              </w:rPr>
              <w:t>te</w:t>
            </w:r>
            <w:r w:rsidRPr="00F3481D">
              <w:rPr>
                <w:rFonts w:cstheme="minorHAnsi"/>
                <w:color w:val="000000"/>
                <w:sz w:val="16"/>
                <w:szCs w:val="16"/>
              </w:rPr>
              <w:t xml:space="preserve"> of c</w:t>
            </w:r>
            <w:r w:rsidR="00F3481D" w:rsidRPr="00F3481D">
              <w:rPr>
                <w:rFonts w:cstheme="minorHAnsi"/>
                <w:color w:val="000000"/>
                <w:sz w:val="16"/>
                <w:szCs w:val="16"/>
              </w:rPr>
              <w:t>onditions</w:t>
            </w:r>
          </w:p>
          <w:p w14:paraId="7417F17E" w14:textId="044E0961" w:rsidR="00EC1473" w:rsidRPr="00C0187B" w:rsidRDefault="00F3481D" w:rsidP="009F4DFB">
            <w:pPr>
              <w:spacing w:after="0"/>
              <w:rPr>
                <w:rFonts w:cstheme="minorHAnsi"/>
                <w:i/>
                <w:iCs/>
                <w:color w:val="000000"/>
              </w:rPr>
            </w:pPr>
            <w:r w:rsidRPr="00F3481D">
              <w:rPr>
                <w:rFonts w:cstheme="minorHAnsi"/>
                <w:i/>
                <w:iCs/>
                <w:color w:val="000000"/>
                <w:sz w:val="16"/>
                <w:szCs w:val="16"/>
                <w:shd w:val="clear" w:color="auto" w:fill="FFFFFF" w:themeFill="background1"/>
              </w:rPr>
              <w:t>Analysis of legislation regarding fixed-term measures, update of expenditure in line with updated GDP forecasts</w:t>
            </w:r>
            <w:r>
              <w:rPr>
                <w:rFonts w:cstheme="minorHAnsi"/>
                <w:i/>
                <w:iCs/>
                <w:color w:val="000000"/>
                <w:sz w:val="16"/>
                <w:szCs w:val="16"/>
                <w:shd w:val="clear" w:color="auto" w:fill="FFFFFF" w:themeFill="background1"/>
              </w:rPr>
              <w:t>.</w:t>
            </w:r>
          </w:p>
        </w:tc>
        <w:tc>
          <w:tcPr>
            <w:tcW w:w="682" w:type="pct"/>
          </w:tcPr>
          <w:p w14:paraId="55985A08" w14:textId="18922758" w:rsidR="00EC1473" w:rsidRPr="00C0187B" w:rsidRDefault="00931DD4" w:rsidP="00EC1473">
            <w:pPr>
              <w:jc w:val="center"/>
              <w:rPr>
                <w:rFonts w:cstheme="minorHAnsi"/>
                <w:color w:val="000000"/>
                <w:sz w:val="16"/>
                <w:szCs w:val="16"/>
              </w:rPr>
            </w:pPr>
            <w:r w:rsidRPr="00931DD4">
              <w:rPr>
                <w:rFonts w:cstheme="minorHAnsi"/>
                <w:color w:val="000000"/>
                <w:sz w:val="16"/>
                <w:szCs w:val="16"/>
              </w:rPr>
              <w:t>21 684 364</w:t>
            </w:r>
          </w:p>
        </w:tc>
        <w:tc>
          <w:tcPr>
            <w:tcW w:w="682" w:type="pct"/>
          </w:tcPr>
          <w:p w14:paraId="50C2D2AD" w14:textId="64161F5D" w:rsidR="00EC1473" w:rsidRPr="00C0187B" w:rsidRDefault="00931DD4" w:rsidP="00EC1473">
            <w:pPr>
              <w:jc w:val="center"/>
              <w:rPr>
                <w:rFonts w:cstheme="minorHAnsi"/>
                <w:color w:val="000000"/>
                <w:sz w:val="16"/>
                <w:szCs w:val="16"/>
              </w:rPr>
            </w:pPr>
            <w:r w:rsidRPr="00931DD4">
              <w:rPr>
                <w:rFonts w:cstheme="minorHAnsi"/>
                <w:color w:val="000000"/>
                <w:sz w:val="16"/>
                <w:szCs w:val="16"/>
              </w:rPr>
              <w:t>20 182 112</w:t>
            </w:r>
          </w:p>
        </w:tc>
      </w:tr>
      <w:tr w:rsidR="00EC1473" w14:paraId="161F1FA8" w14:textId="77777777" w:rsidTr="009F4DFB">
        <w:tc>
          <w:tcPr>
            <w:tcW w:w="3636" w:type="pct"/>
          </w:tcPr>
          <w:p w14:paraId="50D50FC9" w14:textId="33ADD2FC" w:rsidR="00931DD4" w:rsidRDefault="00931DD4" w:rsidP="009F4DFB">
            <w:pPr>
              <w:spacing w:after="0"/>
              <w:rPr>
                <w:rFonts w:cstheme="minorHAnsi"/>
                <w:color w:val="000000"/>
                <w:sz w:val="16"/>
                <w:szCs w:val="16"/>
              </w:rPr>
            </w:pPr>
            <w:r w:rsidRPr="0053781E">
              <w:rPr>
                <w:rFonts w:cstheme="minorHAnsi"/>
                <w:color w:val="000000"/>
                <w:sz w:val="16"/>
                <w:szCs w:val="16"/>
              </w:rPr>
              <w:t xml:space="preserve">Revenue </w:t>
            </w:r>
            <w:r w:rsidR="0053781E" w:rsidRPr="0053781E">
              <w:rPr>
                <w:rFonts w:cstheme="minorHAnsi"/>
                <w:color w:val="000000"/>
                <w:sz w:val="16"/>
                <w:szCs w:val="16"/>
              </w:rPr>
              <w:t>non-performance</w:t>
            </w:r>
          </w:p>
          <w:p w14:paraId="39E22398" w14:textId="70FDD10D" w:rsidR="00EC1473" w:rsidRPr="00C0187B" w:rsidRDefault="0053781E" w:rsidP="009F4DFB">
            <w:pPr>
              <w:spacing w:after="0"/>
              <w:rPr>
                <w:rFonts w:cstheme="minorHAnsi"/>
                <w:i/>
                <w:iCs/>
                <w:color w:val="000000"/>
                <w:sz w:val="16"/>
                <w:szCs w:val="16"/>
              </w:rPr>
            </w:pPr>
            <w:r w:rsidRPr="0053781E">
              <w:rPr>
                <w:rFonts w:cstheme="minorHAnsi"/>
                <w:i/>
                <w:iCs/>
                <w:sz w:val="16"/>
                <w:szCs w:val="16"/>
              </w:rPr>
              <w:t>Disregard of certain toll revenue.</w:t>
            </w:r>
          </w:p>
        </w:tc>
        <w:tc>
          <w:tcPr>
            <w:tcW w:w="682" w:type="pct"/>
          </w:tcPr>
          <w:p w14:paraId="337C40C2" w14:textId="4704F06A" w:rsidR="00EC1473" w:rsidRPr="00C0187B" w:rsidRDefault="00931DD4" w:rsidP="00EC1473">
            <w:pPr>
              <w:jc w:val="center"/>
              <w:rPr>
                <w:rFonts w:cstheme="minorHAnsi"/>
                <w:color w:val="000000"/>
                <w:sz w:val="16"/>
                <w:szCs w:val="16"/>
              </w:rPr>
            </w:pPr>
            <w:r w:rsidRPr="00931DD4">
              <w:rPr>
                <w:rFonts w:cstheme="minorHAnsi"/>
                <w:color w:val="000000"/>
                <w:sz w:val="16"/>
                <w:szCs w:val="16"/>
              </w:rPr>
              <w:t>8 046 552</w:t>
            </w:r>
          </w:p>
        </w:tc>
        <w:tc>
          <w:tcPr>
            <w:tcW w:w="682" w:type="pct"/>
          </w:tcPr>
          <w:p w14:paraId="40CD1157" w14:textId="730D44EB" w:rsidR="00EC1473" w:rsidRPr="00C0187B" w:rsidRDefault="00931DD4" w:rsidP="00EC1473">
            <w:pPr>
              <w:jc w:val="center"/>
              <w:rPr>
                <w:rFonts w:cstheme="minorHAnsi"/>
                <w:color w:val="000000"/>
                <w:sz w:val="16"/>
                <w:szCs w:val="16"/>
              </w:rPr>
            </w:pPr>
            <w:r w:rsidRPr="00931DD4">
              <w:rPr>
                <w:rFonts w:cstheme="minorHAnsi"/>
                <w:color w:val="000000"/>
                <w:sz w:val="16"/>
                <w:szCs w:val="16"/>
              </w:rPr>
              <w:t>8 046 552</w:t>
            </w:r>
          </w:p>
        </w:tc>
      </w:tr>
      <w:tr w:rsidR="00EC1473" w14:paraId="73DE5860" w14:textId="77777777" w:rsidTr="009F4DFB">
        <w:tc>
          <w:tcPr>
            <w:tcW w:w="3636" w:type="pct"/>
          </w:tcPr>
          <w:p w14:paraId="0DF4A023" w14:textId="56BD34DD" w:rsidR="00931DD4" w:rsidRDefault="00931DD4" w:rsidP="009F4DFB">
            <w:pPr>
              <w:spacing w:after="0"/>
              <w:rPr>
                <w:rFonts w:cstheme="minorHAnsi"/>
                <w:color w:val="000000"/>
                <w:sz w:val="16"/>
                <w:szCs w:val="16"/>
              </w:rPr>
            </w:pPr>
            <w:r w:rsidRPr="00F3481D">
              <w:rPr>
                <w:rFonts w:cstheme="minorHAnsi"/>
                <w:color w:val="000000"/>
                <w:sz w:val="16"/>
                <w:szCs w:val="16"/>
              </w:rPr>
              <w:t xml:space="preserve">Expenditure </w:t>
            </w:r>
            <w:r w:rsidR="00F3481D" w:rsidRPr="00F3481D">
              <w:rPr>
                <w:rFonts w:cstheme="minorHAnsi"/>
                <w:color w:val="000000"/>
                <w:sz w:val="16"/>
                <w:szCs w:val="16"/>
              </w:rPr>
              <w:t>non-performance</w:t>
            </w:r>
          </w:p>
          <w:p w14:paraId="48BE30D9" w14:textId="6F1AB9FB" w:rsidR="00EC1473" w:rsidRPr="00C0187B" w:rsidRDefault="00931DD4" w:rsidP="009F4DFB">
            <w:pPr>
              <w:spacing w:after="0"/>
              <w:rPr>
                <w:rFonts w:cstheme="minorHAnsi"/>
                <w:i/>
                <w:iCs/>
                <w:color w:val="000000"/>
                <w:sz w:val="16"/>
                <w:szCs w:val="16"/>
              </w:rPr>
            </w:pPr>
            <w:r>
              <w:rPr>
                <w:rFonts w:cstheme="minorHAnsi"/>
                <w:i/>
                <w:iCs/>
                <w:sz w:val="16"/>
                <w:szCs w:val="16"/>
                <w:shd w:val="clear" w:color="auto" w:fill="FFFFFF" w:themeFill="background1"/>
              </w:rPr>
              <w:t>A</w:t>
            </w:r>
            <w:r w:rsidRPr="00931DD4">
              <w:rPr>
                <w:rFonts w:cstheme="minorHAnsi"/>
                <w:i/>
                <w:iCs/>
                <w:sz w:val="16"/>
                <w:szCs w:val="16"/>
                <w:shd w:val="clear" w:color="auto" w:fill="FFFFFF" w:themeFill="background1"/>
              </w:rPr>
              <w:t xml:space="preserve">nalysis of regular </w:t>
            </w:r>
            <w:r w:rsidR="00F3481D">
              <w:rPr>
                <w:rFonts w:cstheme="minorHAnsi"/>
                <w:i/>
                <w:iCs/>
                <w:sz w:val="16"/>
                <w:szCs w:val="16"/>
                <w:shd w:val="clear" w:color="auto" w:fill="FFFFFF" w:themeFill="background1"/>
              </w:rPr>
              <w:t xml:space="preserve">surplus in budget </w:t>
            </w:r>
            <w:proofErr w:type="spellStart"/>
            <w:r w:rsidR="00F3481D">
              <w:rPr>
                <w:rFonts w:cstheme="minorHAnsi"/>
                <w:i/>
                <w:iCs/>
                <w:sz w:val="16"/>
                <w:szCs w:val="16"/>
                <w:shd w:val="clear" w:color="auto" w:fill="FFFFFF" w:themeFill="background1"/>
              </w:rPr>
              <w:t>programmes</w:t>
            </w:r>
            <w:proofErr w:type="spellEnd"/>
            <w:r w:rsidR="00F3481D">
              <w:rPr>
                <w:rFonts w:cstheme="minorHAnsi"/>
                <w:i/>
                <w:iCs/>
                <w:sz w:val="16"/>
                <w:szCs w:val="16"/>
                <w:shd w:val="clear" w:color="auto" w:fill="FFFFFF" w:themeFill="background1"/>
              </w:rPr>
              <w:t xml:space="preserve"> from</w:t>
            </w:r>
            <w:r w:rsidRPr="00931DD4">
              <w:rPr>
                <w:rFonts w:cstheme="minorHAnsi"/>
                <w:i/>
                <w:iCs/>
                <w:sz w:val="16"/>
                <w:szCs w:val="16"/>
                <w:shd w:val="clear" w:color="auto" w:fill="FFFFFF" w:themeFill="background1"/>
              </w:rPr>
              <w:t xml:space="preserve"> 2013 </w:t>
            </w:r>
            <w:r w:rsidR="00F3481D">
              <w:rPr>
                <w:rFonts w:cstheme="minorHAnsi"/>
                <w:i/>
                <w:iCs/>
                <w:sz w:val="16"/>
                <w:szCs w:val="16"/>
                <w:shd w:val="clear" w:color="auto" w:fill="FFFFFF" w:themeFill="background1"/>
              </w:rPr>
              <w:t>to</w:t>
            </w:r>
            <w:r w:rsidRPr="00931DD4">
              <w:rPr>
                <w:rFonts w:cstheme="minorHAnsi"/>
                <w:i/>
                <w:iCs/>
                <w:sz w:val="16"/>
                <w:szCs w:val="16"/>
                <w:shd w:val="clear" w:color="auto" w:fill="FFFFFF" w:themeFill="background1"/>
              </w:rPr>
              <w:t xml:space="preserve"> 2015</w:t>
            </w:r>
            <w:r w:rsidR="00EC1473" w:rsidRPr="00C0187B">
              <w:rPr>
                <w:rFonts w:cstheme="minorHAnsi"/>
                <w:i/>
                <w:iCs/>
                <w:sz w:val="16"/>
                <w:szCs w:val="16"/>
                <w:shd w:val="clear" w:color="auto" w:fill="FFFFFF" w:themeFill="background1"/>
              </w:rPr>
              <w:t>.</w:t>
            </w:r>
          </w:p>
        </w:tc>
        <w:tc>
          <w:tcPr>
            <w:tcW w:w="682" w:type="pct"/>
          </w:tcPr>
          <w:p w14:paraId="4364D3D7" w14:textId="6C651BF5" w:rsidR="00EC1473" w:rsidRPr="00C0187B" w:rsidRDefault="00931DD4" w:rsidP="00EC1473">
            <w:pPr>
              <w:jc w:val="center"/>
              <w:rPr>
                <w:rFonts w:cstheme="minorHAnsi"/>
                <w:color w:val="000000"/>
                <w:sz w:val="16"/>
                <w:szCs w:val="16"/>
              </w:rPr>
            </w:pPr>
            <w:r w:rsidRPr="00931DD4">
              <w:rPr>
                <w:rFonts w:cstheme="minorHAnsi"/>
                <w:color w:val="000000"/>
                <w:sz w:val="16"/>
                <w:szCs w:val="16"/>
              </w:rPr>
              <w:t>2 964 628</w:t>
            </w:r>
          </w:p>
        </w:tc>
        <w:tc>
          <w:tcPr>
            <w:tcW w:w="682" w:type="pct"/>
          </w:tcPr>
          <w:p w14:paraId="0E1FC53C" w14:textId="098BD108" w:rsidR="00EC1473" w:rsidRPr="00C0187B" w:rsidRDefault="00931DD4" w:rsidP="00EC1473">
            <w:pPr>
              <w:jc w:val="center"/>
              <w:rPr>
                <w:rFonts w:cstheme="minorHAnsi"/>
                <w:color w:val="000000"/>
                <w:sz w:val="16"/>
                <w:szCs w:val="16"/>
              </w:rPr>
            </w:pPr>
            <w:r w:rsidRPr="00931DD4">
              <w:rPr>
                <w:rFonts w:cstheme="minorHAnsi"/>
                <w:color w:val="000000"/>
                <w:sz w:val="16"/>
                <w:szCs w:val="16"/>
              </w:rPr>
              <w:t>2 964 628</w:t>
            </w:r>
          </w:p>
        </w:tc>
      </w:tr>
      <w:tr w:rsidR="00EC1473" w14:paraId="79B7ED7A" w14:textId="77777777" w:rsidTr="009F4DFB">
        <w:tc>
          <w:tcPr>
            <w:tcW w:w="3636" w:type="pct"/>
          </w:tcPr>
          <w:p w14:paraId="0CC8A333" w14:textId="07424ABF" w:rsidR="00931DD4" w:rsidRDefault="00931DD4" w:rsidP="009F4DFB">
            <w:pPr>
              <w:spacing w:after="0"/>
              <w:rPr>
                <w:rFonts w:cstheme="minorHAnsi"/>
                <w:color w:val="000000"/>
                <w:sz w:val="16"/>
                <w:szCs w:val="16"/>
              </w:rPr>
            </w:pPr>
            <w:r w:rsidRPr="00931DD4">
              <w:rPr>
                <w:rFonts w:cstheme="minorHAnsi"/>
                <w:color w:val="000000"/>
                <w:sz w:val="16"/>
                <w:szCs w:val="16"/>
              </w:rPr>
              <w:t xml:space="preserve">Expenditure </w:t>
            </w:r>
            <w:r w:rsidR="0053781E" w:rsidRPr="0053781E">
              <w:rPr>
                <w:rFonts w:cstheme="minorHAnsi"/>
                <w:color w:val="000000"/>
                <w:sz w:val="16"/>
                <w:szCs w:val="16"/>
              </w:rPr>
              <w:t>redistribution</w:t>
            </w:r>
          </w:p>
          <w:p w14:paraId="00796566" w14:textId="3F47885E" w:rsidR="00EC1473" w:rsidRPr="00C0187B" w:rsidRDefault="0053781E" w:rsidP="009F4DFB">
            <w:pPr>
              <w:spacing w:after="0"/>
              <w:rPr>
                <w:rFonts w:cstheme="minorHAnsi"/>
                <w:i/>
                <w:iCs/>
                <w:color w:val="000000"/>
                <w:sz w:val="16"/>
                <w:szCs w:val="16"/>
              </w:rPr>
            </w:pPr>
            <w:r>
              <w:rPr>
                <w:rFonts w:cstheme="minorHAnsi"/>
                <w:i/>
                <w:iCs/>
                <w:sz w:val="16"/>
                <w:szCs w:val="16"/>
                <w:shd w:val="clear" w:color="auto" w:fill="FFFFFF" w:themeFill="background1"/>
              </w:rPr>
              <w:t>A</w:t>
            </w:r>
            <w:r w:rsidR="00931DD4" w:rsidRPr="00931DD4">
              <w:rPr>
                <w:rFonts w:cstheme="minorHAnsi"/>
                <w:i/>
                <w:iCs/>
                <w:sz w:val="16"/>
                <w:szCs w:val="16"/>
                <w:shd w:val="clear" w:color="auto" w:fill="FFFFFF" w:themeFill="background1"/>
              </w:rPr>
              <w:t>nalysis of systematic and resource-intensive re</w:t>
            </w:r>
            <w:r>
              <w:rPr>
                <w:rFonts w:cstheme="minorHAnsi"/>
                <w:i/>
                <w:iCs/>
                <w:sz w:val="16"/>
                <w:szCs w:val="16"/>
                <w:shd w:val="clear" w:color="auto" w:fill="FFFFFF" w:themeFill="background1"/>
              </w:rPr>
              <w:t>distributions</w:t>
            </w:r>
            <w:r w:rsidR="00931DD4" w:rsidRPr="00931DD4">
              <w:rPr>
                <w:rFonts w:cstheme="minorHAnsi"/>
                <w:i/>
                <w:iCs/>
                <w:sz w:val="16"/>
                <w:szCs w:val="16"/>
                <w:shd w:val="clear" w:color="auto" w:fill="FFFFFF" w:themeFill="background1"/>
              </w:rPr>
              <w:t xml:space="preserve"> from one budget </w:t>
            </w:r>
            <w:proofErr w:type="spellStart"/>
            <w:r w:rsidR="00931DD4" w:rsidRPr="00931DD4">
              <w:rPr>
                <w:rFonts w:cstheme="minorHAnsi"/>
                <w:i/>
                <w:iCs/>
                <w:sz w:val="16"/>
                <w:szCs w:val="16"/>
                <w:shd w:val="clear" w:color="auto" w:fill="FFFFFF" w:themeFill="background1"/>
              </w:rPr>
              <w:t>programme</w:t>
            </w:r>
            <w:proofErr w:type="spellEnd"/>
            <w:r w:rsidR="00931DD4" w:rsidRPr="00931DD4">
              <w:rPr>
                <w:rFonts w:cstheme="minorHAnsi"/>
                <w:i/>
                <w:iCs/>
                <w:sz w:val="16"/>
                <w:szCs w:val="16"/>
                <w:shd w:val="clear" w:color="auto" w:fill="FFFFFF" w:themeFill="background1"/>
              </w:rPr>
              <w:t xml:space="preserve"> to other </w:t>
            </w:r>
            <w:r>
              <w:rPr>
                <w:rFonts w:cstheme="minorHAnsi"/>
                <w:i/>
                <w:iCs/>
                <w:sz w:val="16"/>
                <w:szCs w:val="16"/>
                <w:shd w:val="clear" w:color="auto" w:fill="FFFFFF" w:themeFill="background1"/>
              </w:rPr>
              <w:t>(</w:t>
            </w:r>
            <w:r w:rsidR="00931DD4" w:rsidRPr="00931DD4">
              <w:rPr>
                <w:rFonts w:cstheme="minorHAnsi"/>
                <w:i/>
                <w:iCs/>
                <w:sz w:val="16"/>
                <w:szCs w:val="16"/>
                <w:shd w:val="clear" w:color="auto" w:fill="FFFFFF" w:themeFill="background1"/>
              </w:rPr>
              <w:t>from 2013 to 2015</w:t>
            </w:r>
            <w:r>
              <w:rPr>
                <w:rFonts w:cstheme="minorHAnsi"/>
                <w:i/>
                <w:iCs/>
                <w:sz w:val="16"/>
                <w:szCs w:val="16"/>
                <w:shd w:val="clear" w:color="auto" w:fill="FFFFFF" w:themeFill="background1"/>
              </w:rPr>
              <w:t>).</w:t>
            </w:r>
          </w:p>
        </w:tc>
        <w:tc>
          <w:tcPr>
            <w:tcW w:w="682" w:type="pct"/>
          </w:tcPr>
          <w:p w14:paraId="4C33B373" w14:textId="5D658000" w:rsidR="00EC1473" w:rsidRPr="00C0187B" w:rsidRDefault="00931DD4" w:rsidP="00EC1473">
            <w:pPr>
              <w:jc w:val="center"/>
              <w:rPr>
                <w:rFonts w:cstheme="minorHAnsi"/>
                <w:color w:val="000000"/>
                <w:sz w:val="16"/>
                <w:szCs w:val="16"/>
              </w:rPr>
            </w:pPr>
            <w:r w:rsidRPr="00931DD4">
              <w:rPr>
                <w:rFonts w:cstheme="minorHAnsi"/>
                <w:color w:val="000000"/>
                <w:sz w:val="16"/>
                <w:szCs w:val="16"/>
              </w:rPr>
              <w:t>20 065 043</w:t>
            </w:r>
          </w:p>
        </w:tc>
        <w:tc>
          <w:tcPr>
            <w:tcW w:w="682" w:type="pct"/>
          </w:tcPr>
          <w:p w14:paraId="767821DC" w14:textId="7137EC70" w:rsidR="00EC1473" w:rsidRPr="00C0187B" w:rsidRDefault="00931DD4" w:rsidP="00EC1473">
            <w:pPr>
              <w:jc w:val="center"/>
              <w:rPr>
                <w:rFonts w:cstheme="minorHAnsi"/>
                <w:color w:val="000000"/>
                <w:sz w:val="16"/>
                <w:szCs w:val="16"/>
              </w:rPr>
            </w:pPr>
            <w:r w:rsidRPr="00931DD4">
              <w:rPr>
                <w:rFonts w:cstheme="minorHAnsi"/>
                <w:color w:val="000000"/>
                <w:sz w:val="16"/>
                <w:szCs w:val="16"/>
              </w:rPr>
              <w:t>19 804 170</w:t>
            </w:r>
          </w:p>
        </w:tc>
      </w:tr>
      <w:tr w:rsidR="00EC1473" w14:paraId="755FC72E" w14:textId="77777777" w:rsidTr="009F4DFB">
        <w:tc>
          <w:tcPr>
            <w:tcW w:w="3636" w:type="pct"/>
          </w:tcPr>
          <w:p w14:paraId="172E194A" w14:textId="77777777" w:rsidR="0066448F" w:rsidRDefault="0066448F" w:rsidP="009F4DFB">
            <w:pPr>
              <w:spacing w:after="0"/>
              <w:rPr>
                <w:rFonts w:cstheme="minorHAnsi"/>
                <w:color w:val="000000"/>
                <w:sz w:val="16"/>
                <w:szCs w:val="16"/>
              </w:rPr>
            </w:pPr>
            <w:r w:rsidRPr="0066448F">
              <w:rPr>
                <w:rFonts w:cstheme="minorHAnsi"/>
                <w:color w:val="000000"/>
                <w:sz w:val="16"/>
                <w:szCs w:val="16"/>
              </w:rPr>
              <w:t xml:space="preserve">Redistributions from new policy initiatives </w:t>
            </w:r>
          </w:p>
          <w:p w14:paraId="70B51F87" w14:textId="701184A3" w:rsidR="00EC1473" w:rsidRPr="00C0187B" w:rsidRDefault="00931DD4" w:rsidP="009F4DFB">
            <w:pPr>
              <w:spacing w:after="0"/>
              <w:rPr>
                <w:rFonts w:cstheme="minorHAnsi"/>
                <w:i/>
                <w:iCs/>
                <w:color w:val="000000"/>
                <w:sz w:val="16"/>
                <w:szCs w:val="16"/>
              </w:rPr>
            </w:pPr>
            <w:r w:rsidRPr="00931DD4">
              <w:rPr>
                <w:rFonts w:cstheme="minorHAnsi"/>
                <w:i/>
                <w:iCs/>
                <w:color w:val="000000"/>
                <w:sz w:val="16"/>
                <w:szCs w:val="16"/>
                <w:shd w:val="clear" w:color="auto" w:fill="FFFFFF" w:themeFill="background1"/>
              </w:rPr>
              <w:t xml:space="preserve">Analysis of </w:t>
            </w:r>
            <w:r w:rsidR="0066448F">
              <w:rPr>
                <w:rFonts w:cstheme="minorHAnsi"/>
                <w:i/>
                <w:iCs/>
                <w:color w:val="000000"/>
                <w:sz w:val="16"/>
                <w:szCs w:val="16"/>
                <w:shd w:val="clear" w:color="auto" w:fill="FFFFFF" w:themeFill="background1"/>
              </w:rPr>
              <w:t>m</w:t>
            </w:r>
            <w:r w:rsidR="0066448F" w:rsidRPr="0066448F">
              <w:rPr>
                <w:rFonts w:cstheme="minorHAnsi"/>
                <w:i/>
                <w:iCs/>
                <w:color w:val="000000"/>
                <w:sz w:val="16"/>
                <w:szCs w:val="16"/>
                <w:shd w:val="clear" w:color="auto" w:fill="FFFFFF" w:themeFill="background1"/>
              </w:rPr>
              <w:t>ade redistributions from new policy initiatives over the last three years (from 2013 to 2015).</w:t>
            </w:r>
          </w:p>
        </w:tc>
        <w:tc>
          <w:tcPr>
            <w:tcW w:w="682" w:type="pct"/>
          </w:tcPr>
          <w:p w14:paraId="6F87709B" w14:textId="770A7473" w:rsidR="00EC1473" w:rsidRPr="00C0187B" w:rsidRDefault="00931DD4" w:rsidP="00EC1473">
            <w:pPr>
              <w:jc w:val="center"/>
              <w:rPr>
                <w:rFonts w:cstheme="minorHAnsi"/>
                <w:color w:val="000000"/>
                <w:sz w:val="16"/>
                <w:szCs w:val="16"/>
              </w:rPr>
            </w:pPr>
            <w:r w:rsidRPr="00931DD4">
              <w:rPr>
                <w:rFonts w:cstheme="minorHAnsi"/>
                <w:color w:val="000000"/>
                <w:sz w:val="16"/>
                <w:szCs w:val="16"/>
              </w:rPr>
              <w:t>819 647</w:t>
            </w:r>
          </w:p>
        </w:tc>
        <w:tc>
          <w:tcPr>
            <w:tcW w:w="682" w:type="pct"/>
          </w:tcPr>
          <w:p w14:paraId="39F7E02C" w14:textId="79BAB9A9" w:rsidR="00EC1473" w:rsidRPr="00C0187B" w:rsidRDefault="00931DD4" w:rsidP="00EC1473">
            <w:pPr>
              <w:jc w:val="center"/>
              <w:rPr>
                <w:rFonts w:cstheme="minorHAnsi"/>
                <w:color w:val="000000"/>
                <w:sz w:val="16"/>
                <w:szCs w:val="16"/>
              </w:rPr>
            </w:pPr>
            <w:r w:rsidRPr="00931DD4">
              <w:rPr>
                <w:rFonts w:cstheme="minorHAnsi"/>
                <w:color w:val="000000"/>
                <w:sz w:val="16"/>
                <w:szCs w:val="16"/>
              </w:rPr>
              <w:t>819 647</w:t>
            </w:r>
          </w:p>
        </w:tc>
      </w:tr>
      <w:tr w:rsidR="00EC1473" w14:paraId="706A39F6" w14:textId="77777777" w:rsidTr="009F4DFB">
        <w:tc>
          <w:tcPr>
            <w:tcW w:w="3636" w:type="pct"/>
          </w:tcPr>
          <w:p w14:paraId="5059FC85" w14:textId="2C7ACC41" w:rsidR="00931DD4" w:rsidRDefault="00931DD4" w:rsidP="009F4DFB">
            <w:pPr>
              <w:spacing w:after="0"/>
              <w:rPr>
                <w:rFonts w:cstheme="minorHAnsi"/>
                <w:color w:val="000000"/>
                <w:sz w:val="16"/>
                <w:szCs w:val="16"/>
              </w:rPr>
            </w:pPr>
            <w:r w:rsidRPr="00931DD4">
              <w:rPr>
                <w:rFonts w:cstheme="minorHAnsi"/>
                <w:color w:val="000000"/>
                <w:sz w:val="16"/>
                <w:szCs w:val="16"/>
              </w:rPr>
              <w:t xml:space="preserve">Policy </w:t>
            </w:r>
            <w:r w:rsidR="00F3481D" w:rsidRPr="00931DD4">
              <w:rPr>
                <w:rFonts w:cstheme="minorHAnsi"/>
                <w:color w:val="000000"/>
                <w:sz w:val="16"/>
                <w:szCs w:val="16"/>
              </w:rPr>
              <w:t>changes</w:t>
            </w:r>
            <w:r w:rsidRPr="00931DD4">
              <w:rPr>
                <w:rFonts w:cstheme="minorHAnsi"/>
                <w:color w:val="000000"/>
                <w:sz w:val="16"/>
                <w:szCs w:val="16"/>
              </w:rPr>
              <w:t xml:space="preserve"> </w:t>
            </w:r>
          </w:p>
          <w:p w14:paraId="64391416" w14:textId="27E8E83D" w:rsidR="00EC1473" w:rsidRPr="00C0187B" w:rsidRDefault="00F3481D" w:rsidP="009F4DFB">
            <w:pPr>
              <w:spacing w:after="0"/>
              <w:rPr>
                <w:rFonts w:cstheme="minorHAnsi"/>
                <w:i/>
                <w:iCs/>
                <w:color w:val="000000"/>
                <w:sz w:val="16"/>
                <w:szCs w:val="16"/>
              </w:rPr>
            </w:pPr>
            <w:r w:rsidRPr="00F3481D">
              <w:rPr>
                <w:rFonts w:cstheme="minorHAnsi"/>
                <w:i/>
                <w:iCs/>
                <w:color w:val="000000"/>
                <w:sz w:val="16"/>
                <w:szCs w:val="16"/>
              </w:rPr>
              <w:t>Possibilities to make determined policy changes in legislation that affect revenue and expenditure.</w:t>
            </w:r>
          </w:p>
        </w:tc>
        <w:tc>
          <w:tcPr>
            <w:tcW w:w="682" w:type="pct"/>
          </w:tcPr>
          <w:p w14:paraId="7CC482B4" w14:textId="52D4D6FA" w:rsidR="00EC1473" w:rsidRPr="00C0187B" w:rsidRDefault="00D21974" w:rsidP="00EC1473">
            <w:pPr>
              <w:jc w:val="center"/>
              <w:rPr>
                <w:rFonts w:cstheme="minorHAnsi"/>
                <w:color w:val="000000"/>
                <w:sz w:val="16"/>
                <w:szCs w:val="16"/>
              </w:rPr>
            </w:pPr>
            <w:r w:rsidRPr="00D21974">
              <w:rPr>
                <w:rFonts w:cstheme="minorHAnsi"/>
                <w:color w:val="000000"/>
                <w:sz w:val="16"/>
                <w:szCs w:val="16"/>
              </w:rPr>
              <w:t>2 253 473</w:t>
            </w:r>
          </w:p>
        </w:tc>
        <w:tc>
          <w:tcPr>
            <w:tcW w:w="682" w:type="pct"/>
          </w:tcPr>
          <w:p w14:paraId="19D7371E" w14:textId="56348FA8" w:rsidR="00EC1473" w:rsidRPr="00C0187B" w:rsidRDefault="00D21974" w:rsidP="00EC1473">
            <w:pPr>
              <w:jc w:val="center"/>
              <w:rPr>
                <w:rFonts w:cstheme="minorHAnsi"/>
                <w:color w:val="000000"/>
                <w:sz w:val="16"/>
                <w:szCs w:val="16"/>
              </w:rPr>
            </w:pPr>
            <w:r w:rsidRPr="00D21974">
              <w:rPr>
                <w:rFonts w:cstheme="minorHAnsi"/>
                <w:color w:val="000000"/>
                <w:sz w:val="16"/>
                <w:szCs w:val="16"/>
              </w:rPr>
              <w:t>4 248 709</w:t>
            </w:r>
          </w:p>
        </w:tc>
      </w:tr>
      <w:tr w:rsidR="00FD5AF0" w14:paraId="41D4B6E8" w14:textId="77777777" w:rsidTr="009F4DFB">
        <w:tc>
          <w:tcPr>
            <w:tcW w:w="3636" w:type="pct"/>
          </w:tcPr>
          <w:p w14:paraId="0C75CDCF" w14:textId="77777777" w:rsidR="00FD5AF0" w:rsidRDefault="00FD5AF0" w:rsidP="00FD5AF0">
            <w:pPr>
              <w:spacing w:after="0"/>
              <w:rPr>
                <w:rFonts w:cstheme="minorHAnsi"/>
                <w:color w:val="000000"/>
                <w:sz w:val="16"/>
                <w:szCs w:val="16"/>
              </w:rPr>
            </w:pPr>
            <w:r w:rsidRPr="00D21974">
              <w:rPr>
                <w:rFonts w:cstheme="minorHAnsi"/>
                <w:color w:val="000000"/>
                <w:sz w:val="16"/>
                <w:szCs w:val="16"/>
              </w:rPr>
              <w:t>Link</w:t>
            </w:r>
            <w:r>
              <w:rPr>
                <w:rFonts w:cstheme="minorHAnsi"/>
                <w:color w:val="000000"/>
                <w:sz w:val="16"/>
                <w:szCs w:val="16"/>
              </w:rPr>
              <w:t>age</w:t>
            </w:r>
            <w:r w:rsidRPr="00D21974">
              <w:rPr>
                <w:rFonts w:cstheme="minorHAnsi"/>
                <w:color w:val="000000"/>
                <w:sz w:val="16"/>
                <w:szCs w:val="16"/>
              </w:rPr>
              <w:t xml:space="preserve"> to the results </w:t>
            </w:r>
          </w:p>
          <w:p w14:paraId="1AF5D023" w14:textId="1BE75966" w:rsidR="00FD5AF0" w:rsidRPr="00931DD4" w:rsidRDefault="00F3481D" w:rsidP="00FD5AF0">
            <w:pPr>
              <w:spacing w:after="0"/>
              <w:rPr>
                <w:rFonts w:cstheme="minorHAnsi"/>
                <w:color w:val="000000"/>
                <w:sz w:val="16"/>
                <w:szCs w:val="16"/>
              </w:rPr>
            </w:pPr>
            <w:r w:rsidRPr="00F3481D">
              <w:rPr>
                <w:rFonts w:cstheme="minorHAnsi"/>
                <w:i/>
                <w:iCs/>
                <w:color w:val="000000"/>
                <w:sz w:val="16"/>
                <w:szCs w:val="16"/>
                <w:shd w:val="clear" w:color="auto" w:fill="FFFFFF" w:themeFill="background1"/>
              </w:rPr>
              <w:t>Aligning costs with direct performance results.</w:t>
            </w:r>
          </w:p>
        </w:tc>
        <w:tc>
          <w:tcPr>
            <w:tcW w:w="682" w:type="pct"/>
          </w:tcPr>
          <w:p w14:paraId="633E9E96" w14:textId="2A9172A2" w:rsidR="00FD5AF0" w:rsidRPr="00D21974" w:rsidRDefault="00FD5AF0" w:rsidP="00FD5AF0">
            <w:pPr>
              <w:jc w:val="center"/>
              <w:rPr>
                <w:rFonts w:cstheme="minorHAnsi"/>
                <w:color w:val="000000"/>
                <w:sz w:val="16"/>
                <w:szCs w:val="16"/>
              </w:rPr>
            </w:pPr>
            <w:r w:rsidRPr="00D21974">
              <w:rPr>
                <w:rFonts w:cstheme="minorHAnsi"/>
                <w:color w:val="000000"/>
                <w:sz w:val="16"/>
                <w:szCs w:val="16"/>
              </w:rPr>
              <w:t>1 539 442</w:t>
            </w:r>
          </w:p>
        </w:tc>
        <w:tc>
          <w:tcPr>
            <w:tcW w:w="682" w:type="pct"/>
          </w:tcPr>
          <w:p w14:paraId="7456D275" w14:textId="28E786B9" w:rsidR="00FD5AF0" w:rsidRPr="00D21974" w:rsidRDefault="00FD5AF0" w:rsidP="00FD5AF0">
            <w:pPr>
              <w:jc w:val="center"/>
              <w:rPr>
                <w:rFonts w:cstheme="minorHAnsi"/>
                <w:color w:val="000000"/>
                <w:sz w:val="16"/>
                <w:szCs w:val="16"/>
              </w:rPr>
            </w:pPr>
            <w:r w:rsidRPr="00D21974">
              <w:rPr>
                <w:rFonts w:cstheme="minorHAnsi"/>
                <w:color w:val="000000"/>
                <w:sz w:val="16"/>
                <w:szCs w:val="16"/>
              </w:rPr>
              <w:t>1 445 855</w:t>
            </w:r>
          </w:p>
        </w:tc>
      </w:tr>
      <w:tr w:rsidR="00FD5AF0" w14:paraId="752CC432" w14:textId="77777777" w:rsidTr="009F4DFB">
        <w:tc>
          <w:tcPr>
            <w:tcW w:w="3636" w:type="pct"/>
          </w:tcPr>
          <w:p w14:paraId="5AEE4E74" w14:textId="77777777" w:rsidR="00FD5AF0" w:rsidRDefault="00FD5AF0" w:rsidP="00FD5AF0">
            <w:pPr>
              <w:spacing w:after="0"/>
              <w:rPr>
                <w:rFonts w:cstheme="minorHAnsi"/>
                <w:color w:val="000000"/>
                <w:sz w:val="16"/>
                <w:szCs w:val="16"/>
              </w:rPr>
            </w:pPr>
            <w:r w:rsidRPr="0062309A">
              <w:rPr>
                <w:rFonts w:cstheme="minorHAnsi"/>
                <w:color w:val="000000"/>
                <w:sz w:val="16"/>
                <w:szCs w:val="16"/>
              </w:rPr>
              <w:t xml:space="preserve">Heating and fuel </w:t>
            </w:r>
          </w:p>
          <w:p w14:paraId="16650645" w14:textId="03449967" w:rsidR="00FD5AF0" w:rsidRPr="00C0187B" w:rsidRDefault="00FD5AF0" w:rsidP="00FD5AF0">
            <w:pPr>
              <w:spacing w:after="0"/>
              <w:rPr>
                <w:rFonts w:cstheme="minorHAnsi"/>
                <w:i/>
                <w:iCs/>
                <w:color w:val="000000"/>
                <w:sz w:val="16"/>
                <w:szCs w:val="16"/>
              </w:rPr>
            </w:pPr>
            <w:r>
              <w:rPr>
                <w:rFonts w:cstheme="minorHAnsi"/>
                <w:i/>
                <w:iCs/>
                <w:sz w:val="16"/>
                <w:szCs w:val="16"/>
                <w:shd w:val="clear" w:color="auto" w:fill="FFFFFF" w:themeFill="background1"/>
              </w:rPr>
              <w:t>Medium-term expenditure trend compared to market prices</w:t>
            </w:r>
          </w:p>
        </w:tc>
        <w:tc>
          <w:tcPr>
            <w:tcW w:w="682" w:type="pct"/>
          </w:tcPr>
          <w:p w14:paraId="3CAE3BD7" w14:textId="79BDAF0D" w:rsidR="00FD5AF0" w:rsidRPr="00C0187B" w:rsidRDefault="00FD5AF0" w:rsidP="00FD5AF0">
            <w:pPr>
              <w:jc w:val="center"/>
              <w:rPr>
                <w:rFonts w:cstheme="minorHAnsi"/>
                <w:color w:val="000000"/>
                <w:sz w:val="16"/>
                <w:szCs w:val="16"/>
              </w:rPr>
            </w:pPr>
            <w:r w:rsidRPr="0062309A">
              <w:rPr>
                <w:rFonts w:cstheme="minorHAnsi"/>
                <w:color w:val="000000"/>
                <w:sz w:val="16"/>
                <w:szCs w:val="16"/>
              </w:rPr>
              <w:t>3 970 124</w:t>
            </w:r>
          </w:p>
        </w:tc>
        <w:tc>
          <w:tcPr>
            <w:tcW w:w="682" w:type="pct"/>
          </w:tcPr>
          <w:p w14:paraId="033A787B" w14:textId="7CF16D1F" w:rsidR="00FD5AF0" w:rsidRPr="00C0187B" w:rsidRDefault="00FD5AF0" w:rsidP="00FD5AF0">
            <w:pPr>
              <w:jc w:val="center"/>
              <w:rPr>
                <w:rFonts w:cstheme="minorHAnsi"/>
                <w:color w:val="000000"/>
                <w:sz w:val="16"/>
                <w:szCs w:val="16"/>
              </w:rPr>
            </w:pPr>
            <w:r w:rsidRPr="0062309A">
              <w:rPr>
                <w:rFonts w:cstheme="minorHAnsi"/>
                <w:color w:val="000000"/>
                <w:sz w:val="16"/>
                <w:szCs w:val="16"/>
              </w:rPr>
              <w:t>3 825 381</w:t>
            </w:r>
          </w:p>
        </w:tc>
      </w:tr>
      <w:tr w:rsidR="00FD5AF0" w14:paraId="532B9D86" w14:textId="77777777" w:rsidTr="009F4DFB">
        <w:tc>
          <w:tcPr>
            <w:tcW w:w="3636" w:type="pct"/>
          </w:tcPr>
          <w:p w14:paraId="10E00E67" w14:textId="4B470322" w:rsidR="00FD5AF0" w:rsidRPr="00C0187B" w:rsidRDefault="00FD5AF0" w:rsidP="00FD5AF0">
            <w:pPr>
              <w:jc w:val="both"/>
              <w:rPr>
                <w:rFonts w:cstheme="minorHAnsi"/>
                <w:color w:val="000000"/>
                <w:shd w:val="clear" w:color="auto" w:fill="FFFFFF" w:themeFill="background1"/>
              </w:rPr>
            </w:pPr>
            <w:r w:rsidRPr="00C0187B">
              <w:rPr>
                <w:rFonts w:cstheme="minorHAnsi"/>
                <w:b/>
                <w:bCs/>
              </w:rPr>
              <w:lastRenderedPageBreak/>
              <w:t>TOTAL:</w:t>
            </w:r>
          </w:p>
        </w:tc>
        <w:tc>
          <w:tcPr>
            <w:tcW w:w="682" w:type="pct"/>
            <w:vAlign w:val="center"/>
          </w:tcPr>
          <w:p w14:paraId="7E9551C4" w14:textId="3F3294C9" w:rsidR="00FD5AF0" w:rsidRPr="00C0187B" w:rsidRDefault="00FD5AF0" w:rsidP="00FD5AF0">
            <w:pPr>
              <w:jc w:val="center"/>
              <w:rPr>
                <w:rFonts w:cstheme="minorHAnsi"/>
                <w:color w:val="000000"/>
              </w:rPr>
            </w:pPr>
            <w:r w:rsidRPr="00D21974">
              <w:rPr>
                <w:rFonts w:cstheme="minorHAnsi"/>
                <w:b/>
                <w:bCs/>
                <w:color w:val="000000"/>
              </w:rPr>
              <w:t>61 343 273</w:t>
            </w:r>
          </w:p>
        </w:tc>
        <w:tc>
          <w:tcPr>
            <w:tcW w:w="682" w:type="pct"/>
            <w:vAlign w:val="center"/>
          </w:tcPr>
          <w:p w14:paraId="416ECFED" w14:textId="1EABA03F" w:rsidR="00FD5AF0" w:rsidRPr="00C0187B" w:rsidRDefault="00FD5AF0" w:rsidP="00FD5AF0">
            <w:pPr>
              <w:jc w:val="center"/>
              <w:rPr>
                <w:rFonts w:cstheme="minorHAnsi"/>
                <w:color w:val="000000"/>
              </w:rPr>
            </w:pPr>
            <w:r w:rsidRPr="00D21974">
              <w:rPr>
                <w:rFonts w:cstheme="minorHAnsi"/>
                <w:b/>
                <w:bCs/>
                <w:color w:val="000000"/>
              </w:rPr>
              <w:t>61 337 054</w:t>
            </w:r>
          </w:p>
        </w:tc>
      </w:tr>
    </w:tbl>
    <w:p w14:paraId="348476A4" w14:textId="6E34C66D" w:rsidR="003312ED" w:rsidRDefault="003312ED"/>
    <w:p w14:paraId="79AD44B2" w14:textId="6CE11460" w:rsidR="00EC1473" w:rsidRDefault="008B632F">
      <w:pPr>
        <w:rPr>
          <w:b/>
          <w:bCs/>
          <w:caps/>
          <w:color w:val="1F4E79" w:themeColor="accent1" w:themeShade="80"/>
          <w:sz w:val="28"/>
        </w:rPr>
      </w:pPr>
      <w:r w:rsidRPr="008B632F">
        <w:rPr>
          <w:b/>
          <w:bCs/>
          <w:caps/>
          <w:color w:val="1F4E79" w:themeColor="accent1" w:themeShade="80"/>
          <w:sz w:val="28"/>
        </w:rPr>
        <w:t>Detailed information on benefits and results of the Spending review</w:t>
      </w:r>
    </w:p>
    <w:p w14:paraId="11D7A00A" w14:textId="5F948B38" w:rsidR="003F6D9B" w:rsidRDefault="003F6D9B">
      <w:pPr>
        <w:rPr>
          <w:rFonts w:cstheme="minorHAnsi"/>
          <w:sz w:val="24"/>
          <w:u w:val="single"/>
        </w:rPr>
      </w:pPr>
      <w:bookmarkStart w:id="0" w:name="_Hlk98162092"/>
      <w:r w:rsidRPr="003F6D9B">
        <w:rPr>
          <w:rFonts w:cstheme="minorHAnsi"/>
          <w:sz w:val="24"/>
          <w:u w:val="single"/>
        </w:rPr>
        <w:t>Methods of Spending Review:</w:t>
      </w:r>
      <w:bookmarkEnd w:id="0"/>
    </w:p>
    <w:tbl>
      <w:tblPr>
        <w:tblStyle w:val="TipTable"/>
        <w:tblW w:w="5000" w:type="pct"/>
        <w:tblLook w:val="04A0" w:firstRow="1" w:lastRow="0" w:firstColumn="1" w:lastColumn="0" w:noHBand="0" w:noVBand="1"/>
        <w:tblDescription w:val="Layout table"/>
      </w:tblPr>
      <w:tblGrid>
        <w:gridCol w:w="577"/>
        <w:gridCol w:w="8783"/>
      </w:tblGrid>
      <w:tr w:rsidR="003F6D9B" w14:paraId="580124D8"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1B692401" w14:textId="77777777" w:rsidR="003F6D9B" w:rsidRDefault="003F6D9B" w:rsidP="006170E1">
            <w:r>
              <w:rPr>
                <w:noProof/>
                <w:lang w:eastAsia="en-US"/>
              </w:rPr>
              <mc:AlternateContent>
                <mc:Choice Requires="wpg">
                  <w:drawing>
                    <wp:inline distT="0" distB="0" distL="0" distR="0" wp14:anchorId="3EEF676F" wp14:editId="015FD58F">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A0297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pU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Kc42Tp/qs3WF+9wIIGDQX3U0jY9Hb7RPhgb7Tt9AqXwtE8W&#10;wAgCgQN1XDUHhsoEHnfoMDlhGTISOLGyDKEInFqBactJaGwq9bn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Bqq2lSSCAAAXigAAA4AAAAAAAAAAAAAAAAALgIAAGRycy9lMm9Eb2MueG1sUEsBAi0AFAAG&#10;AAgAAAAhAAXiDD3ZAAAAAwEAAA8AAAAAAAAAAAAAAAAA7AoAAGRycy9kb3ducmV2LnhtbFBLBQYA&#10;AAAABAAEAPMAAADyC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96ECA4" w14:textId="6856B859" w:rsidR="003F6D9B" w:rsidRPr="00181B28" w:rsidRDefault="005F4684"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5F4684">
              <w:rPr>
                <w:b/>
                <w:bCs/>
                <w:i w:val="0"/>
                <w:iCs w:val="0"/>
                <w:sz w:val="18"/>
                <w:szCs w:val="20"/>
              </w:rPr>
              <w:t>Linking Public Expenditure with Results</w:t>
            </w:r>
          </w:p>
        </w:tc>
      </w:tr>
    </w:tbl>
    <w:p w14:paraId="0FAFE67C" w14:textId="73C18B4E" w:rsidR="00584A20" w:rsidRDefault="00D72128" w:rsidP="00335B30">
      <w:pPr>
        <w:pStyle w:val="ListBullet"/>
        <w:jc w:val="both"/>
      </w:pPr>
      <w:bookmarkStart w:id="1" w:name="_Hlk98859496"/>
      <w:r w:rsidRPr="00D72128">
        <w:t>The implementation of t</w:t>
      </w:r>
      <w:r w:rsidRPr="00965C2F">
        <w:t>he</w:t>
      </w:r>
      <w:r w:rsidRPr="00965C2F">
        <w:rPr>
          <w:i/>
          <w:iCs/>
        </w:rPr>
        <w:t xml:space="preserve"> Instrument Panel </w:t>
      </w:r>
      <w:r w:rsidRPr="00D72128">
        <w:t xml:space="preserve">enabled the budget to be linked with policy performance indicators. As a </w:t>
      </w:r>
      <w:r w:rsidR="005F4684" w:rsidRPr="00D72128">
        <w:t>result,</w:t>
      </w:r>
      <w:r w:rsidRPr="00D72128">
        <w:t xml:space="preserve"> budget explanations </w:t>
      </w:r>
      <w:r w:rsidR="00965C2F">
        <w:t>since</w:t>
      </w:r>
      <w:r w:rsidRPr="00D72128">
        <w:t xml:space="preserve"> 2017 were changed, implementing policy and resource management scorecards through which view is provided on invested resources (financial and human resources) to achieve sectoral policy outcomes and on the benefits for society in the result of sectoral activity. The policy and resource management scorecards for each sector defines the sectoral objectives, investment indicators, policy and performance indicators and quality indicators.</w:t>
      </w:r>
    </w:p>
    <w:bookmarkEnd w:id="1"/>
    <w:p w14:paraId="69D53059" w14:textId="700D590F" w:rsidR="00D72128" w:rsidRPr="00547143" w:rsidRDefault="00D72128" w:rsidP="00D72128">
      <w:pPr>
        <w:pStyle w:val="ListBullet"/>
      </w:pPr>
      <w:r w:rsidRPr="00D72128">
        <w:t>To implement best international practice, an interactive budget infographic is available on the Ministry of Finance website, which allows the user to get acquainted with nine budget investment areas (for example, health, education, social protection, etc.) and the allocated funding, as well as to find out detailed information on the investment directions in each area and funding sources. Additionally, information is provided on the results that can be expected from the investment of State budget funding into the relevant area</w:t>
      </w:r>
      <w:r w:rsidR="00FE061E">
        <w:t>.</w:t>
      </w:r>
    </w:p>
    <w:tbl>
      <w:tblPr>
        <w:tblStyle w:val="TipTable"/>
        <w:tblW w:w="5000" w:type="pct"/>
        <w:tblLook w:val="04A0" w:firstRow="1" w:lastRow="0" w:firstColumn="1" w:lastColumn="0" w:noHBand="0" w:noVBand="1"/>
        <w:tblDescription w:val="Layout table"/>
      </w:tblPr>
      <w:tblGrid>
        <w:gridCol w:w="577"/>
        <w:gridCol w:w="8783"/>
      </w:tblGrid>
      <w:tr w:rsidR="00181B28" w14:paraId="058AB5F9"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39B1AA11" w14:textId="77777777" w:rsidR="00181B28" w:rsidRDefault="00181B28" w:rsidP="006170E1">
            <w:r>
              <w:rPr>
                <w:noProof/>
                <w:lang w:eastAsia="en-US"/>
              </w:rPr>
              <mc:AlternateContent>
                <mc:Choice Requires="wpg">
                  <w:drawing>
                    <wp:inline distT="0" distB="0" distL="0" distR="0" wp14:anchorId="3573D26C" wp14:editId="375C3F38">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5E256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Qh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Y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PsVCGSCAAAXigAAA4AAAAAAAAAAAAAAAAALgIAAGRycy9lMm9Eb2MueG1sUEsBAi0AFAAG&#10;AAgAAAAhAAXiDD3ZAAAAAwEAAA8AAAAAAAAAAAAAAAAA7AoAAGRycy9kb3ducmV2LnhtbFBLBQYA&#10;AAAABAAEAPMAAADyCw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FD6265D" w14:textId="6BAF9C0E" w:rsidR="00181B28" w:rsidRPr="00181B28" w:rsidRDefault="001F28AE"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1F28AE">
              <w:rPr>
                <w:b/>
                <w:bCs/>
                <w:i w:val="0"/>
                <w:iCs w:val="0"/>
                <w:sz w:val="18"/>
                <w:szCs w:val="20"/>
              </w:rPr>
              <w:t>Analysis of state budget flexibility instruments</w:t>
            </w:r>
          </w:p>
        </w:tc>
      </w:tr>
    </w:tbl>
    <w:p w14:paraId="1A31409E" w14:textId="165105A4" w:rsidR="001F28AE" w:rsidRPr="00ED05DB" w:rsidRDefault="00E07D1C" w:rsidP="001F28AE">
      <w:pPr>
        <w:pStyle w:val="ListBullet"/>
        <w:jc w:val="both"/>
      </w:pPr>
      <w:r w:rsidRPr="00ED05DB">
        <w:t>Analyzing</w:t>
      </w:r>
      <w:r w:rsidR="001F28AE" w:rsidRPr="00ED05DB">
        <w:t xml:space="preserve"> increase </w:t>
      </w:r>
      <w:r w:rsidRPr="00ED05DB">
        <w:t xml:space="preserve">of </w:t>
      </w:r>
      <w:r w:rsidR="001F28AE" w:rsidRPr="00ED05DB">
        <w:t xml:space="preserve">the </w:t>
      </w:r>
      <w:r w:rsidR="001F28AE" w:rsidRPr="009F441B">
        <w:rPr>
          <w:b/>
          <w:bCs/>
        </w:rPr>
        <w:t>number of sick</w:t>
      </w:r>
      <w:r w:rsidRPr="009F441B">
        <w:rPr>
          <w:b/>
          <w:bCs/>
        </w:rPr>
        <w:t>-leave sheets</w:t>
      </w:r>
      <w:r w:rsidR="001F28AE" w:rsidRPr="009F441B">
        <w:rPr>
          <w:b/>
          <w:bCs/>
        </w:rPr>
        <w:t xml:space="preserve"> and the cost of sickness benefits</w:t>
      </w:r>
      <w:r w:rsidR="001F28AE" w:rsidRPr="00ED05DB">
        <w:t xml:space="preserve">, the Ministry of Welfare, in cooperation with the Ministry of Health and the Ministry of Economics, was asked to develop a solution to stabilize the situation. As a result, </w:t>
      </w:r>
      <w:r w:rsidR="00FE061E" w:rsidRPr="00ED05DB">
        <w:t>since</w:t>
      </w:r>
      <w:r w:rsidR="001F28AE" w:rsidRPr="00ED05DB">
        <w:t xml:space="preserve"> 2018 amendments were made to the regulatory act, including period for the qualification of sickness benefits (by determining the insurance period of 3 months in the last 6 months or 6 months in the last 24 months), limiting the right to sickness benefits if the work failure occurred within a month after the person ceases to be a worker, and adjustments in the calculation of the average contribution salary. </w:t>
      </w:r>
      <w:r w:rsidR="005F4684" w:rsidRPr="00ED05DB">
        <w:t>T</w:t>
      </w:r>
      <w:r w:rsidR="001F28AE" w:rsidRPr="00ED05DB">
        <w:t xml:space="preserve">he savings in 2017 were estimated at </w:t>
      </w:r>
      <w:r w:rsidR="005F4684" w:rsidRPr="00ED05DB">
        <w:t xml:space="preserve">EUR </w:t>
      </w:r>
      <w:r w:rsidR="001F28AE" w:rsidRPr="00ED05DB">
        <w:t>2,7 million euro, 5,2 million euro in 2018, 5,3 million euro in 2019.</w:t>
      </w:r>
    </w:p>
    <w:p w14:paraId="7E565364" w14:textId="1E66CCC4" w:rsidR="00EC1473" w:rsidRPr="00ED05DB" w:rsidRDefault="001F28AE" w:rsidP="001F28AE">
      <w:pPr>
        <w:pStyle w:val="ListBullet"/>
        <w:jc w:val="both"/>
      </w:pPr>
      <w:r w:rsidRPr="00ED05DB">
        <w:t xml:space="preserve">To improve the procedures for the delivery and issuance </w:t>
      </w:r>
      <w:r w:rsidR="009F441B">
        <w:t>for</w:t>
      </w:r>
      <w:r w:rsidRPr="00ED05DB">
        <w:t xml:space="preserve"> </w:t>
      </w:r>
      <w:r w:rsidRPr="009F441B">
        <w:rPr>
          <w:b/>
          <w:bCs/>
        </w:rPr>
        <w:t>paper documents provided in procedural law</w:t>
      </w:r>
      <w:r w:rsidRPr="00ED05DB">
        <w:t>, the Ministry of Justice was tasked with drafting amendments to the regulatory acts. The amendments resulted in the withdrawal of recorded mail messages through legal proceedings, including electronic mail or online notification. This resulted in savings of 396 418 euro.</w:t>
      </w:r>
    </w:p>
    <w:tbl>
      <w:tblPr>
        <w:tblStyle w:val="TipTable"/>
        <w:tblW w:w="5000" w:type="pct"/>
        <w:tblLook w:val="04A0" w:firstRow="1" w:lastRow="0" w:firstColumn="1" w:lastColumn="0" w:noHBand="0" w:noVBand="1"/>
        <w:tblDescription w:val="Layout table"/>
      </w:tblPr>
      <w:tblGrid>
        <w:gridCol w:w="577"/>
        <w:gridCol w:w="8783"/>
      </w:tblGrid>
      <w:tr w:rsidR="00181B28" w14:paraId="1FF8AE20"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42E58F8A" w14:textId="77777777" w:rsidR="00181B28" w:rsidRDefault="00181B28" w:rsidP="006170E1">
            <w:r>
              <w:rPr>
                <w:noProof/>
                <w:lang w:eastAsia="en-US"/>
              </w:rPr>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C06BE8" w14:textId="042797B5" w:rsidR="00181B28" w:rsidRPr="00181B28" w:rsidRDefault="001F28AE"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1F28AE">
              <w:rPr>
                <w:b/>
                <w:bCs/>
                <w:i w:val="0"/>
                <w:iCs w:val="0"/>
                <w:sz w:val="18"/>
                <w:szCs w:val="20"/>
              </w:rPr>
              <w:t>Horizontal analysis of individual types of expenditure</w:t>
            </w:r>
          </w:p>
        </w:tc>
      </w:tr>
    </w:tbl>
    <w:p w14:paraId="3370FD0F" w14:textId="692E5077" w:rsidR="001F28AE" w:rsidRDefault="001F28AE" w:rsidP="001F28AE">
      <w:pPr>
        <w:pStyle w:val="ListBullet"/>
        <w:jc w:val="both"/>
      </w:pPr>
      <w:bookmarkStart w:id="2" w:name="_Hlk98852075"/>
      <w:r>
        <w:t xml:space="preserve">An analysis has been carried out regarding the costs of </w:t>
      </w:r>
      <w:r w:rsidRPr="009F441B">
        <w:rPr>
          <w:b/>
          <w:bCs/>
        </w:rPr>
        <w:t>fuel and heating</w:t>
      </w:r>
      <w:r>
        <w:t xml:space="preserve"> in line with market prices. As a result, from 2017 the Ministry of Economics has been tasked with publishing assumptions on fuel (petroleum), gas and electricity price forecasts or a reference to forecasts from international institutions that ministries and other central state institutions can use to prepare budget requests for the medium term.</w:t>
      </w:r>
    </w:p>
    <w:p w14:paraId="62E2C015" w14:textId="26BDEDEA" w:rsidR="00FE72E1" w:rsidRDefault="00387F63" w:rsidP="00387F63">
      <w:pPr>
        <w:pStyle w:val="ListBullet"/>
        <w:jc w:val="both"/>
      </w:pPr>
      <w:r>
        <w:t xml:space="preserve">It has been found that analyzing the </w:t>
      </w:r>
      <w:r w:rsidRPr="009F441B">
        <w:rPr>
          <w:b/>
          <w:bCs/>
        </w:rPr>
        <w:t>representation expenses</w:t>
      </w:r>
      <w:r>
        <w:t xml:space="preserve"> of ministries, a </w:t>
      </w:r>
      <w:r>
        <w:t>common</w:t>
      </w:r>
      <w:r>
        <w:t xml:space="preserve"> level of these expenses cannot be determined</w:t>
      </w:r>
      <w:r>
        <w:t xml:space="preserve"> for ministries</w:t>
      </w:r>
      <w:r>
        <w:t>, thereby planning representation expenses the Ministry of Finance call on to apply the Guidelines for the provision of administrative and image-building measures by a public administration institution.</w:t>
      </w:r>
      <w:bookmarkEnd w:id="2"/>
    </w:p>
    <w:tbl>
      <w:tblPr>
        <w:tblStyle w:val="TipTable"/>
        <w:tblW w:w="5000" w:type="pct"/>
        <w:tblLook w:val="04A0" w:firstRow="1" w:lastRow="0" w:firstColumn="1" w:lastColumn="0" w:noHBand="0" w:noVBand="1"/>
        <w:tblDescription w:val="Layout table"/>
      </w:tblPr>
      <w:tblGrid>
        <w:gridCol w:w="577"/>
        <w:gridCol w:w="8783"/>
      </w:tblGrid>
      <w:tr w:rsidR="001F28AE" w14:paraId="50FCD663" w14:textId="77777777" w:rsidTr="00C61A8B">
        <w:tc>
          <w:tcPr>
            <w:cnfStyle w:val="001000000000" w:firstRow="0" w:lastRow="0" w:firstColumn="1" w:lastColumn="0" w:oddVBand="0" w:evenVBand="0" w:oddHBand="0" w:evenHBand="0" w:firstRowFirstColumn="0" w:firstRowLastColumn="0" w:lastRowFirstColumn="0" w:lastRowLastColumn="0"/>
            <w:tcW w:w="308" w:type="pct"/>
          </w:tcPr>
          <w:p w14:paraId="21A610F6" w14:textId="77777777" w:rsidR="001F28AE" w:rsidRDefault="001F28AE" w:rsidP="00C61A8B">
            <w:r>
              <w:rPr>
                <w:noProof/>
                <w:lang w:eastAsia="en-US"/>
              </w:rPr>
              <mc:AlternateContent>
                <mc:Choice Requires="wpg">
                  <w:drawing>
                    <wp:inline distT="0" distB="0" distL="0" distR="0" wp14:anchorId="0EB977B3" wp14:editId="7C31B86F">
                      <wp:extent cx="141605" cy="141605"/>
                      <wp:effectExtent l="0" t="0" r="0" b="0"/>
                      <wp:docPr id="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 name="Rectangle 1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4"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823079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MMkg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Mc42Tp/qs3WF+9wIoGzQX3W0jY9nb/RPhgb7Tt9BKXwtE8W&#10;wAgCgQN1XjUHhsoEHnfoMDlhGTISOLGyDKEInFqBactJaGwq9cH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OfK4wySCAAAYSgAAA4AAAAAAAAAAAAAAAAALgIAAGRycy9lMm9Eb2MueG1sUEsBAi0AFAAG&#10;AAgAAAAhAAXiDD3ZAAAAAwEAAA8AAAAAAAAAAAAAAAAA7AoAAGRycy9kb3ducmV2LnhtbFBLBQYA&#10;AAAABAAEAPMAAADyCwAAAAA=&#10;">
                      <v:rect id="Rectangle 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pUwQAAANsAAAAPAAAAZHJzL2Rvd25yZXYueG1sRE9Li8Iw&#10;EL4v+B/CLHhb0xXR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AXg6lT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E57D17" w14:textId="4ACEABA5" w:rsidR="001F28AE" w:rsidRPr="00181B28" w:rsidRDefault="001F28AE" w:rsidP="00C61A8B">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1F28AE">
              <w:rPr>
                <w:b/>
                <w:bCs/>
                <w:i w:val="0"/>
                <w:iCs w:val="0"/>
                <w:sz w:val="18"/>
                <w:szCs w:val="20"/>
              </w:rPr>
              <w:t>Options for implementing the zero-budget principle</w:t>
            </w:r>
          </w:p>
        </w:tc>
      </w:tr>
    </w:tbl>
    <w:p w14:paraId="02340B67" w14:textId="77777777" w:rsidR="001F28AE" w:rsidRDefault="001F28AE" w:rsidP="001F28AE">
      <w:pPr>
        <w:pStyle w:val="ListBullet"/>
        <w:numPr>
          <w:ilvl w:val="0"/>
          <w:numId w:val="0"/>
        </w:numPr>
        <w:ind w:left="432"/>
        <w:jc w:val="both"/>
        <w:rPr>
          <w:i/>
          <w:iCs/>
          <w:sz w:val="16"/>
          <w:szCs w:val="16"/>
        </w:rPr>
      </w:pPr>
    </w:p>
    <w:p w14:paraId="09C12017" w14:textId="0483D58D" w:rsidR="001F28AE" w:rsidRDefault="001F28AE" w:rsidP="001F28AE">
      <w:pPr>
        <w:pStyle w:val="ListBullet"/>
      </w:pPr>
      <w:r w:rsidRPr="001F28AE">
        <w:lastRenderedPageBreak/>
        <w:t xml:space="preserve">An analysis of the budget units budget </w:t>
      </w:r>
      <w:proofErr w:type="spellStart"/>
      <w:r w:rsidRPr="001F28AE">
        <w:t>programmes</w:t>
      </w:r>
      <w:proofErr w:type="spellEnd"/>
      <w:r w:rsidRPr="001F28AE">
        <w:t xml:space="preserve"> was carried out in order to find out which state budget components are planned in accordance with the zero-budget principle. The following classic features of the zero budget in Latvian case were determined:</w:t>
      </w:r>
    </w:p>
    <w:p w14:paraId="3A96B79F" w14:textId="77777777" w:rsidR="001F28AE" w:rsidRDefault="001F28AE" w:rsidP="001F28AE">
      <w:pPr>
        <w:pStyle w:val="ListBullet"/>
        <w:numPr>
          <w:ilvl w:val="0"/>
          <w:numId w:val="0"/>
        </w:numPr>
        <w:ind w:left="432"/>
      </w:pPr>
      <w:r>
        <w:t>•</w:t>
      </w:r>
      <w:r>
        <w:tab/>
        <w:t>Expenditure arises from payment schedules;</w:t>
      </w:r>
    </w:p>
    <w:p w14:paraId="430F16D8" w14:textId="77777777" w:rsidR="001F28AE" w:rsidRDefault="001F28AE" w:rsidP="001F28AE">
      <w:pPr>
        <w:pStyle w:val="ListBullet"/>
        <w:numPr>
          <w:ilvl w:val="0"/>
          <w:numId w:val="0"/>
        </w:numPr>
        <w:ind w:left="432"/>
      </w:pPr>
      <w:r>
        <w:t>•</w:t>
      </w:r>
      <w:r>
        <w:tab/>
        <w:t>Expenditure depends on the number of beneficiaries / amount of costs;</w:t>
      </w:r>
    </w:p>
    <w:p w14:paraId="34EC2C45" w14:textId="77777777" w:rsidR="001F28AE" w:rsidRDefault="001F28AE" w:rsidP="001F28AE">
      <w:pPr>
        <w:pStyle w:val="ListBullet"/>
        <w:numPr>
          <w:ilvl w:val="0"/>
          <w:numId w:val="0"/>
        </w:numPr>
        <w:ind w:left="432"/>
      </w:pPr>
      <w:r>
        <w:t>•</w:t>
      </w:r>
      <w:r>
        <w:tab/>
        <w:t>Expenditure is intended for the projects financing;</w:t>
      </w:r>
    </w:p>
    <w:p w14:paraId="7954B5BF" w14:textId="266307F9" w:rsidR="001F28AE" w:rsidRDefault="001F28AE" w:rsidP="001F28AE">
      <w:pPr>
        <w:pStyle w:val="ListBullet"/>
        <w:numPr>
          <w:ilvl w:val="0"/>
          <w:numId w:val="0"/>
        </w:numPr>
        <w:ind w:left="432"/>
      </w:pPr>
      <w:r>
        <w:t>•</w:t>
      </w:r>
      <w:r>
        <w:tab/>
        <w:t>Other cases where the amount of expenditure is formed annually from the zero cycle or there is no inheritance of expenditure.</w:t>
      </w:r>
    </w:p>
    <w:p w14:paraId="4035B2C0" w14:textId="39962265" w:rsidR="001F28AE" w:rsidRPr="001F28AE" w:rsidRDefault="001F28AE" w:rsidP="001F28AE">
      <w:pPr>
        <w:pStyle w:val="ListBullet"/>
        <w:numPr>
          <w:ilvl w:val="0"/>
          <w:numId w:val="0"/>
        </w:numPr>
        <w:ind w:left="432"/>
      </w:pPr>
      <w:r w:rsidRPr="001F28AE">
        <w:t>The implementation of the principle of “zero-based budgeting” for individual pilot projects – state reimbursed medicines and materials and the management of public libraries – was launched in 2017.</w:t>
      </w:r>
    </w:p>
    <w:tbl>
      <w:tblPr>
        <w:tblStyle w:val="TipTable"/>
        <w:tblW w:w="5000" w:type="pct"/>
        <w:tblLook w:val="04A0" w:firstRow="1" w:lastRow="0" w:firstColumn="1" w:lastColumn="0" w:noHBand="0" w:noVBand="1"/>
        <w:tblDescription w:val="Layout table"/>
      </w:tblPr>
      <w:tblGrid>
        <w:gridCol w:w="577"/>
        <w:gridCol w:w="8783"/>
      </w:tblGrid>
      <w:tr w:rsidR="001F28AE" w14:paraId="614C1704" w14:textId="77777777" w:rsidTr="00C61A8B">
        <w:tc>
          <w:tcPr>
            <w:cnfStyle w:val="001000000000" w:firstRow="0" w:lastRow="0" w:firstColumn="1" w:lastColumn="0" w:oddVBand="0" w:evenVBand="0" w:oddHBand="0" w:evenHBand="0" w:firstRowFirstColumn="0" w:firstRowLastColumn="0" w:lastRowFirstColumn="0" w:lastRowLastColumn="0"/>
            <w:tcW w:w="308" w:type="pct"/>
          </w:tcPr>
          <w:p w14:paraId="4900C23F" w14:textId="77777777" w:rsidR="001F28AE" w:rsidRDefault="001F28AE" w:rsidP="00C61A8B">
            <w:r>
              <w:rPr>
                <w:noProof/>
                <w:lang w:eastAsia="en-US"/>
              </w:rPr>
              <mc:AlternateContent>
                <mc:Choice Requires="wpg">
                  <w:drawing>
                    <wp:inline distT="0" distB="0" distL="0" distR="0" wp14:anchorId="3F1BD4E3" wp14:editId="29C2D98A">
                      <wp:extent cx="141605" cy="141605"/>
                      <wp:effectExtent l="0" t="0" r="0" b="0"/>
                      <wp:docPr id="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05AAD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J5kw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yh3J5kwgAAGEoAAAOAAAAAAAAAAAAAAAAAC4CAABkcnMvZTJvRG9jLnhtbFBLAQItABQA&#10;BgAIAAAAIQAF4gw92QAAAAMBAAAPAAAAAAAAAAAAAAAAAO0KAABkcnMvZG93bnJldi54bWxQSwUG&#10;AAAAAAQABADzAAAA8wsAAAAA&#10;">
                      <v:rect id="Rectangle 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28CCF8" w14:textId="1EB09A39" w:rsidR="001F28AE" w:rsidRPr="00181B28" w:rsidRDefault="001F28AE" w:rsidP="00C61A8B">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387F63">
              <w:rPr>
                <w:b/>
                <w:bCs/>
                <w:i w:val="0"/>
                <w:iCs w:val="0"/>
                <w:sz w:val="18"/>
                <w:szCs w:val="20"/>
              </w:rPr>
              <w:t xml:space="preserve">Detailed </w:t>
            </w:r>
            <w:r w:rsidR="00387F63" w:rsidRPr="00387F63">
              <w:rPr>
                <w:b/>
                <w:bCs/>
                <w:i w:val="0"/>
                <w:iCs w:val="0"/>
                <w:sz w:val="18"/>
                <w:szCs w:val="20"/>
              </w:rPr>
              <w:t>assessment</w:t>
            </w:r>
            <w:r w:rsidRPr="00387F63">
              <w:rPr>
                <w:b/>
                <w:bCs/>
                <w:i w:val="0"/>
                <w:iCs w:val="0"/>
                <w:sz w:val="18"/>
                <w:szCs w:val="20"/>
              </w:rPr>
              <w:t xml:space="preserve"> of priority sectors</w:t>
            </w:r>
            <w:r w:rsidRPr="001F28AE">
              <w:rPr>
                <w:b/>
                <w:bCs/>
                <w:i w:val="0"/>
                <w:iCs w:val="0"/>
                <w:sz w:val="18"/>
                <w:szCs w:val="20"/>
              </w:rPr>
              <w:t xml:space="preserve">  </w:t>
            </w:r>
            <w:r w:rsidR="009F441B">
              <w:rPr>
                <w:b/>
                <w:bCs/>
                <w:i w:val="0"/>
                <w:iCs w:val="0"/>
                <w:sz w:val="18"/>
                <w:szCs w:val="20"/>
              </w:rPr>
              <w:t>(Health and Education)</w:t>
            </w:r>
          </w:p>
        </w:tc>
      </w:tr>
    </w:tbl>
    <w:p w14:paraId="1F90823A" w14:textId="77777777" w:rsidR="00FE72E1" w:rsidRPr="00C618A3" w:rsidRDefault="00FE72E1" w:rsidP="00C618A3">
      <w:pPr>
        <w:pStyle w:val="ListBullet"/>
        <w:numPr>
          <w:ilvl w:val="0"/>
          <w:numId w:val="0"/>
        </w:numPr>
        <w:ind w:left="432"/>
        <w:jc w:val="both"/>
        <w:rPr>
          <w:i/>
          <w:iCs/>
          <w:sz w:val="16"/>
          <w:szCs w:val="16"/>
        </w:rPr>
      </w:pPr>
    </w:p>
    <w:p w14:paraId="0B78D1AD" w14:textId="5ED09810" w:rsidR="00823EA4" w:rsidRPr="009F441B" w:rsidRDefault="00823EA4" w:rsidP="00823EA4">
      <w:pPr>
        <w:pStyle w:val="ListBullet"/>
        <w:rPr>
          <w:b/>
          <w:bCs/>
        </w:rPr>
      </w:pPr>
      <w:r w:rsidRPr="009F441B">
        <w:rPr>
          <w:b/>
          <w:bCs/>
        </w:rPr>
        <w:t>Health sector</w:t>
      </w:r>
    </w:p>
    <w:p w14:paraId="1BB5EFCE" w14:textId="77777777" w:rsidR="00823EA4" w:rsidRDefault="00823EA4" w:rsidP="00823EA4">
      <w:pPr>
        <w:pStyle w:val="ListBullet"/>
        <w:numPr>
          <w:ilvl w:val="0"/>
          <w:numId w:val="0"/>
        </w:numPr>
        <w:ind w:left="144"/>
        <w:jc w:val="both"/>
      </w:pPr>
      <w:r>
        <w:t>The health sector analyses the link between spent funding and its main indicators in the following areas:</w:t>
      </w:r>
    </w:p>
    <w:p w14:paraId="2DBD677C" w14:textId="77777777" w:rsidR="00823EA4" w:rsidRDefault="00823EA4" w:rsidP="00823EA4">
      <w:pPr>
        <w:pStyle w:val="ListBullet"/>
        <w:numPr>
          <w:ilvl w:val="0"/>
          <w:numId w:val="0"/>
        </w:numPr>
        <w:ind w:left="432"/>
        <w:jc w:val="both"/>
      </w:pPr>
      <w:r>
        <w:t>• Stational healthcare (tariff and quota opacity, hospital funding, medical equipment load);</w:t>
      </w:r>
    </w:p>
    <w:p w14:paraId="5637DBFC" w14:textId="77777777" w:rsidR="00823EA4" w:rsidRDefault="00823EA4" w:rsidP="00823EA4">
      <w:pPr>
        <w:pStyle w:val="ListBullet"/>
        <w:numPr>
          <w:ilvl w:val="0"/>
          <w:numId w:val="0"/>
        </w:numPr>
        <w:ind w:left="432"/>
        <w:jc w:val="both"/>
      </w:pPr>
      <w:r>
        <w:t>• Ambulatory healthcare (financing of family doctors, medical equipment load, differences in tariff policy, addition to list of reimbursed medicine with cheaper analogue).</w:t>
      </w:r>
    </w:p>
    <w:p w14:paraId="37FF2784" w14:textId="77777777" w:rsidR="00823EA4" w:rsidRDefault="00823EA4" w:rsidP="009F441B">
      <w:pPr>
        <w:pStyle w:val="ListBullet"/>
        <w:numPr>
          <w:ilvl w:val="0"/>
          <w:numId w:val="0"/>
        </w:numPr>
        <w:ind w:left="432" w:hanging="288"/>
        <w:jc w:val="both"/>
      </w:pPr>
      <w:r>
        <w:t>The result of tasks that have been assigned to the Ministry of Health to arrange health sector:</w:t>
      </w:r>
    </w:p>
    <w:p w14:paraId="529BCC0B" w14:textId="77777777" w:rsidR="00823EA4" w:rsidRDefault="00823EA4" w:rsidP="00823EA4">
      <w:pPr>
        <w:pStyle w:val="ListBullet"/>
        <w:numPr>
          <w:ilvl w:val="0"/>
          <w:numId w:val="0"/>
        </w:numPr>
        <w:ind w:left="432"/>
        <w:jc w:val="both"/>
      </w:pPr>
      <w:r>
        <w:t>1. The Ministry of Health developed proposals for structural reforms to the health system using additional funding. They resulted in a reduction of lines for secondary ambulatory health services by 25% in 2017, by 50% in 2018 and 2019;</w:t>
      </w:r>
    </w:p>
    <w:p w14:paraId="3DEF9AB6" w14:textId="77777777" w:rsidR="00823EA4" w:rsidRDefault="00823EA4" w:rsidP="00823EA4">
      <w:pPr>
        <w:pStyle w:val="ListBullet"/>
        <w:numPr>
          <w:ilvl w:val="0"/>
          <w:numId w:val="0"/>
        </w:numPr>
        <w:ind w:left="432"/>
        <w:jc w:val="both"/>
      </w:pPr>
      <w:r>
        <w:t>2. The Ministry of Health developed a range of medical institutions, dividing hospitals into four levels;</w:t>
      </w:r>
    </w:p>
    <w:p w14:paraId="2C0F145B" w14:textId="64F93696" w:rsidR="00823EA4" w:rsidRDefault="00823EA4" w:rsidP="00823EA4">
      <w:pPr>
        <w:pStyle w:val="ListBullet"/>
        <w:numPr>
          <w:ilvl w:val="0"/>
          <w:numId w:val="0"/>
        </w:numPr>
        <w:ind w:left="432"/>
        <w:jc w:val="both"/>
      </w:pPr>
      <w:r>
        <w:t xml:space="preserve">3. The Ministry of Health developed a strategy for the </w:t>
      </w:r>
      <w:r w:rsidR="009F441B">
        <w:t>reorganization</w:t>
      </w:r>
      <w:r>
        <w:t xml:space="preserve"> of subordinated institutions;</w:t>
      </w:r>
    </w:p>
    <w:p w14:paraId="598CB189" w14:textId="77777777" w:rsidR="00823EA4" w:rsidRDefault="00823EA4" w:rsidP="00823EA4">
      <w:pPr>
        <w:pStyle w:val="ListBullet"/>
        <w:numPr>
          <w:ilvl w:val="0"/>
          <w:numId w:val="0"/>
        </w:numPr>
        <w:ind w:left="432"/>
        <w:jc w:val="both"/>
      </w:pPr>
      <w:r>
        <w:t>4. Revised radiology tariffs, reviewing the values of equipment included in the manipulation tariff calculations, which resulted in a reduction of depreciation cost of equipment and a reduction in radiology rates;</w:t>
      </w:r>
    </w:p>
    <w:p w14:paraId="0583C3BE" w14:textId="4571A739" w:rsidR="00823EA4" w:rsidRDefault="00823EA4" w:rsidP="00823EA4">
      <w:pPr>
        <w:pStyle w:val="ListBullet"/>
        <w:numPr>
          <w:ilvl w:val="0"/>
          <w:numId w:val="0"/>
        </w:numPr>
        <w:ind w:left="432"/>
        <w:jc w:val="both"/>
      </w:pPr>
      <w:r>
        <w:t xml:space="preserve">5. </w:t>
      </w:r>
      <w:r w:rsidR="009F441B">
        <w:t>To</w:t>
      </w:r>
      <w:r>
        <w:t xml:space="preserve"> ensure the transparency of the healthcare budget, the Ministry of Health budget </w:t>
      </w:r>
      <w:proofErr w:type="spellStart"/>
      <w:r>
        <w:t>subprogramme</w:t>
      </w:r>
      <w:proofErr w:type="spellEnd"/>
      <w:r>
        <w:t xml:space="preserve"> 33.01.00 “Medicine” was eliminated and its funding divided into the</w:t>
      </w:r>
      <w:r w:rsidR="009F441B">
        <w:t xml:space="preserve"> six</w:t>
      </w:r>
      <w:r>
        <w:t xml:space="preserve"> </w:t>
      </w:r>
      <w:proofErr w:type="spellStart"/>
      <w:r>
        <w:t>subprogrammes</w:t>
      </w:r>
      <w:proofErr w:type="spellEnd"/>
      <w:r w:rsidR="009F441B">
        <w:t>.</w:t>
      </w:r>
    </w:p>
    <w:p w14:paraId="6FC05785" w14:textId="2943D844" w:rsidR="00823EA4" w:rsidRPr="009F441B" w:rsidRDefault="00823EA4" w:rsidP="00823EA4">
      <w:pPr>
        <w:pStyle w:val="ListBullet"/>
        <w:jc w:val="both"/>
        <w:rPr>
          <w:b/>
          <w:bCs/>
        </w:rPr>
      </w:pPr>
      <w:r w:rsidRPr="009F441B">
        <w:rPr>
          <w:b/>
          <w:bCs/>
        </w:rPr>
        <w:t>Education sector</w:t>
      </w:r>
    </w:p>
    <w:p w14:paraId="4888C4B5" w14:textId="77777777" w:rsidR="00823EA4" w:rsidRDefault="00823EA4" w:rsidP="009F441B">
      <w:pPr>
        <w:pStyle w:val="ListBullet"/>
        <w:numPr>
          <w:ilvl w:val="0"/>
          <w:numId w:val="0"/>
        </w:numPr>
        <w:ind w:left="144"/>
      </w:pPr>
      <w:r>
        <w:t>The education sector analyses the linkage between spent funding and its main indicators in the following areas:</w:t>
      </w:r>
    </w:p>
    <w:p w14:paraId="41EF3469" w14:textId="77777777" w:rsidR="00823EA4" w:rsidRDefault="00823EA4" w:rsidP="00823EA4">
      <w:pPr>
        <w:pStyle w:val="ListBullet"/>
        <w:numPr>
          <w:ilvl w:val="0"/>
          <w:numId w:val="0"/>
        </w:numPr>
        <w:ind w:left="432"/>
      </w:pPr>
      <w:r>
        <w:t>• State budget earmarked grants to local governments (number of educators, workloads, number of students);</w:t>
      </w:r>
    </w:p>
    <w:p w14:paraId="10BA8620" w14:textId="77777777" w:rsidR="00823EA4" w:rsidRDefault="00823EA4" w:rsidP="00823EA4">
      <w:pPr>
        <w:pStyle w:val="ListBullet"/>
        <w:numPr>
          <w:ilvl w:val="0"/>
          <w:numId w:val="0"/>
        </w:numPr>
        <w:ind w:left="432"/>
      </w:pPr>
      <w:r>
        <w:t>• State budget expenditure for general education;</w:t>
      </w:r>
    </w:p>
    <w:p w14:paraId="5EB83544" w14:textId="77777777" w:rsidR="00823EA4" w:rsidRDefault="00823EA4" w:rsidP="00823EA4">
      <w:pPr>
        <w:pStyle w:val="ListBullet"/>
        <w:numPr>
          <w:ilvl w:val="0"/>
          <w:numId w:val="0"/>
        </w:numPr>
        <w:ind w:left="432"/>
      </w:pPr>
      <w:r>
        <w:t>• State budget expenditure for vocational education training institutions (number of students and pedagogical staff);</w:t>
      </w:r>
    </w:p>
    <w:p w14:paraId="5BE06205" w14:textId="77777777" w:rsidR="00823EA4" w:rsidRDefault="00823EA4" w:rsidP="00823EA4">
      <w:pPr>
        <w:pStyle w:val="ListBullet"/>
        <w:numPr>
          <w:ilvl w:val="0"/>
          <w:numId w:val="0"/>
        </w:numPr>
        <w:ind w:left="432"/>
      </w:pPr>
      <w:r>
        <w:t xml:space="preserve">• State budget expenditure for higher education (number of students and academic staff, number of budget places, duplication of study </w:t>
      </w:r>
      <w:proofErr w:type="spellStart"/>
      <w:r>
        <w:t>programmes</w:t>
      </w:r>
      <w:proofErr w:type="spellEnd"/>
      <w:r>
        <w:t>).</w:t>
      </w:r>
    </w:p>
    <w:p w14:paraId="2ACC70F0" w14:textId="368A5D3A" w:rsidR="00823EA4" w:rsidRPr="001F28AE" w:rsidRDefault="00823EA4" w:rsidP="00823EA4">
      <w:pPr>
        <w:pStyle w:val="ListBullet"/>
        <w:numPr>
          <w:ilvl w:val="0"/>
          <w:numId w:val="0"/>
        </w:numPr>
        <w:ind w:left="144"/>
        <w:jc w:val="both"/>
        <w:rPr>
          <w:highlight w:val="yellow"/>
        </w:rPr>
      </w:pPr>
      <w:r>
        <w:t>To organize the financing model of boarding schools, special pre-school education institutions, special boarding schools, development and rehabilitation centers registered in the Register of Educational Institutions, the Ministry of Education and Science in 2017 intended to cover the maintenance costs for local government special pre-school education institutions at 30% of the State budget financial resources.</w:t>
      </w:r>
    </w:p>
    <w:p w14:paraId="1C789164" w14:textId="3DDDED29" w:rsidR="00C618A3" w:rsidRPr="00C618A3" w:rsidRDefault="00C618A3" w:rsidP="00C618A3">
      <w:pPr>
        <w:pStyle w:val="ListBullet"/>
        <w:numPr>
          <w:ilvl w:val="0"/>
          <w:numId w:val="0"/>
        </w:numPr>
        <w:ind w:left="432"/>
      </w:pPr>
    </w:p>
    <w:p w14:paraId="4F81D56D" w14:textId="05E00FF2" w:rsidR="00181B28" w:rsidRPr="00C618A3" w:rsidRDefault="00181B28" w:rsidP="00C618A3">
      <w:pPr>
        <w:rPr>
          <w:i/>
          <w:iCs/>
          <w:sz w:val="16"/>
          <w:szCs w:val="16"/>
        </w:rPr>
      </w:pPr>
    </w:p>
    <w:sectPr w:rsidR="00181B28" w:rsidRPr="00C618A3">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A024" w14:textId="77777777" w:rsidR="00021950" w:rsidRDefault="00021950">
      <w:pPr>
        <w:spacing w:after="0" w:line="240" w:lineRule="auto"/>
      </w:pPr>
      <w:r>
        <w:separator/>
      </w:r>
    </w:p>
  </w:endnote>
  <w:endnote w:type="continuationSeparator" w:id="0">
    <w:p w14:paraId="5EFA355D" w14:textId="77777777" w:rsidR="00021950" w:rsidRDefault="0002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8A0"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EE31" w14:textId="77777777" w:rsidR="00021950" w:rsidRDefault="00021950">
      <w:pPr>
        <w:spacing w:after="0" w:line="240" w:lineRule="auto"/>
      </w:pPr>
      <w:r>
        <w:separator/>
      </w:r>
    </w:p>
  </w:footnote>
  <w:footnote w:type="continuationSeparator" w:id="0">
    <w:p w14:paraId="36ACE5B8" w14:textId="77777777" w:rsidR="00021950" w:rsidRDefault="0002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0A0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4"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5"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4"/>
  </w:num>
  <w:num w:numId="3">
    <w:abstractNumId w:val="14"/>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21950"/>
    <w:rsid w:val="00083B37"/>
    <w:rsid w:val="000A0612"/>
    <w:rsid w:val="000A537B"/>
    <w:rsid w:val="001452CC"/>
    <w:rsid w:val="00181B28"/>
    <w:rsid w:val="001A728E"/>
    <w:rsid w:val="001E042A"/>
    <w:rsid w:val="001F28AE"/>
    <w:rsid w:val="00225505"/>
    <w:rsid w:val="002633C0"/>
    <w:rsid w:val="003312ED"/>
    <w:rsid w:val="00335B30"/>
    <w:rsid w:val="00387F63"/>
    <w:rsid w:val="003B79D3"/>
    <w:rsid w:val="003F6D9B"/>
    <w:rsid w:val="004018C1"/>
    <w:rsid w:val="00425A6A"/>
    <w:rsid w:val="004727F4"/>
    <w:rsid w:val="004A0A8D"/>
    <w:rsid w:val="0053781E"/>
    <w:rsid w:val="00547143"/>
    <w:rsid w:val="005544FF"/>
    <w:rsid w:val="00575B92"/>
    <w:rsid w:val="00584A20"/>
    <w:rsid w:val="005D4DC9"/>
    <w:rsid w:val="005F4684"/>
    <w:rsid w:val="005F7999"/>
    <w:rsid w:val="0062309A"/>
    <w:rsid w:val="00626EDA"/>
    <w:rsid w:val="0066448F"/>
    <w:rsid w:val="006B4B6C"/>
    <w:rsid w:val="006D7FF8"/>
    <w:rsid w:val="006E096F"/>
    <w:rsid w:val="00704472"/>
    <w:rsid w:val="00741D9E"/>
    <w:rsid w:val="00791457"/>
    <w:rsid w:val="007F372E"/>
    <w:rsid w:val="00816F9E"/>
    <w:rsid w:val="00823EA4"/>
    <w:rsid w:val="008B632F"/>
    <w:rsid w:val="008D5E06"/>
    <w:rsid w:val="008D6D77"/>
    <w:rsid w:val="00931DD4"/>
    <w:rsid w:val="00954BFF"/>
    <w:rsid w:val="00965C2F"/>
    <w:rsid w:val="009A70EE"/>
    <w:rsid w:val="009F441B"/>
    <w:rsid w:val="009F4DFB"/>
    <w:rsid w:val="00A034AA"/>
    <w:rsid w:val="00A84D83"/>
    <w:rsid w:val="00A867DC"/>
    <w:rsid w:val="00A94E1B"/>
    <w:rsid w:val="00AA316B"/>
    <w:rsid w:val="00B338EA"/>
    <w:rsid w:val="00BB450C"/>
    <w:rsid w:val="00BC1FD2"/>
    <w:rsid w:val="00BC2AF5"/>
    <w:rsid w:val="00C0187B"/>
    <w:rsid w:val="00C520A5"/>
    <w:rsid w:val="00C618A3"/>
    <w:rsid w:val="00C92C41"/>
    <w:rsid w:val="00D21974"/>
    <w:rsid w:val="00D516E4"/>
    <w:rsid w:val="00D57E3E"/>
    <w:rsid w:val="00D72128"/>
    <w:rsid w:val="00DB24CB"/>
    <w:rsid w:val="00DF5013"/>
    <w:rsid w:val="00E07D1C"/>
    <w:rsid w:val="00E36373"/>
    <w:rsid w:val="00E9640A"/>
    <w:rsid w:val="00EC1473"/>
    <w:rsid w:val="00ED05DB"/>
    <w:rsid w:val="00F1586E"/>
    <w:rsid w:val="00F3481D"/>
    <w:rsid w:val="00FD5AF0"/>
    <w:rsid w:val="00FE061E"/>
    <w:rsid w:val="00FE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2F"/>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379</TotalTime>
  <Pages>3</Pages>
  <Words>5701</Words>
  <Characters>3250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Māra Aļļēna</cp:lastModifiedBy>
  <cp:revision>4</cp:revision>
  <dcterms:created xsi:type="dcterms:W3CDTF">2022-03-14T12:04:00Z</dcterms:created>
  <dcterms:modified xsi:type="dcterms:W3CDTF">2022-04-01T07:58:00Z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