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55C42" w14:textId="77777777" w:rsidR="00EF71DA" w:rsidRPr="000E31F9" w:rsidRDefault="000E31F9" w:rsidP="00EF71DA">
      <w:pPr>
        <w:ind w:firstLine="360"/>
        <w:jc w:val="right"/>
        <w:rPr>
          <w:rFonts w:ascii="Times New Roman" w:hAnsi="Times New Roman" w:cs="Times New Roman"/>
          <w:sz w:val="28"/>
          <w:szCs w:val="28"/>
        </w:rPr>
      </w:pPr>
      <w:r>
        <w:rPr>
          <w:rFonts w:ascii="Times New Roman" w:hAnsi="Times New Roman"/>
          <w:sz w:val="28"/>
        </w:rPr>
        <w:t xml:space="preserve">Cabinet </w:t>
      </w:r>
      <w:r w:rsidR="00EF71DA">
        <w:rPr>
          <w:rFonts w:ascii="Times New Roman" w:hAnsi="Times New Roman"/>
          <w:sz w:val="28"/>
        </w:rPr>
        <w:t>Order No. 72</w:t>
      </w:r>
    </w:p>
    <w:p w14:paraId="5984FC14" w14:textId="0EBE0388" w:rsidR="000E31F9" w:rsidRPr="000E31F9" w:rsidRDefault="00EF71DA" w:rsidP="00EF71DA">
      <w:pPr>
        <w:ind w:firstLine="360"/>
        <w:jc w:val="right"/>
        <w:rPr>
          <w:rFonts w:ascii="Times New Roman" w:hAnsi="Times New Roman" w:cs="Times New Roman"/>
          <w:sz w:val="28"/>
          <w:szCs w:val="28"/>
        </w:rPr>
      </w:pPr>
      <w:r>
        <w:rPr>
          <w:rFonts w:ascii="Times New Roman" w:hAnsi="Times New Roman" w:cs="Times New Roman"/>
          <w:sz w:val="28"/>
          <w:szCs w:val="28"/>
        </w:rPr>
        <w:t xml:space="preserve">Adopted </w:t>
      </w:r>
      <w:r w:rsidR="000E31F9">
        <w:rPr>
          <w:rFonts w:ascii="Times New Roman" w:hAnsi="Times New Roman"/>
          <w:sz w:val="28"/>
        </w:rPr>
        <w:t>25 January 2024</w:t>
      </w:r>
    </w:p>
    <w:p w14:paraId="3F3E65C8" w14:textId="77777777" w:rsidR="00AE14E4" w:rsidRPr="000E31F9" w:rsidRDefault="00AE14E4" w:rsidP="008631EE">
      <w:pPr>
        <w:rPr>
          <w:rFonts w:ascii="Times New Roman" w:hAnsi="Times New Roman" w:cs="Times New Roman"/>
        </w:rPr>
      </w:pPr>
    </w:p>
    <w:p w14:paraId="5AD39D81" w14:textId="77777777" w:rsidR="009C57A1" w:rsidRPr="008631EE" w:rsidRDefault="009C57A1" w:rsidP="008631EE">
      <w:pPr>
        <w:rPr>
          <w:rFonts w:ascii="Times New Roman" w:hAnsi="Times New Roman" w:cs="Times New Roman"/>
        </w:rPr>
      </w:pPr>
    </w:p>
    <w:p w14:paraId="6A5FCA33" w14:textId="77777777" w:rsidR="009C57A1" w:rsidRPr="008631EE" w:rsidRDefault="009C57A1" w:rsidP="008631EE">
      <w:pPr>
        <w:rPr>
          <w:rFonts w:ascii="Times New Roman" w:hAnsi="Times New Roman" w:cs="Times New Roman"/>
        </w:rPr>
      </w:pPr>
    </w:p>
    <w:p w14:paraId="720B02A1" w14:textId="77777777" w:rsidR="009C57A1" w:rsidRDefault="009C57A1" w:rsidP="008631EE">
      <w:pPr>
        <w:rPr>
          <w:rFonts w:ascii="Times New Roman" w:hAnsi="Times New Roman" w:cs="Times New Roman"/>
        </w:rPr>
      </w:pPr>
    </w:p>
    <w:p w14:paraId="71C23B80" w14:textId="77777777" w:rsidR="008631EE" w:rsidRDefault="008631EE" w:rsidP="008631EE">
      <w:pPr>
        <w:rPr>
          <w:rFonts w:ascii="Times New Roman" w:hAnsi="Times New Roman" w:cs="Times New Roman"/>
        </w:rPr>
      </w:pPr>
    </w:p>
    <w:p w14:paraId="76B66B6A" w14:textId="77777777" w:rsidR="008631EE" w:rsidRDefault="008631EE" w:rsidP="008631EE">
      <w:pPr>
        <w:rPr>
          <w:rFonts w:ascii="Times New Roman" w:hAnsi="Times New Roman" w:cs="Times New Roman"/>
        </w:rPr>
      </w:pPr>
    </w:p>
    <w:p w14:paraId="7293F5A8" w14:textId="77777777" w:rsidR="008631EE" w:rsidRDefault="008631EE" w:rsidP="008631EE">
      <w:pPr>
        <w:rPr>
          <w:rFonts w:ascii="Times New Roman" w:hAnsi="Times New Roman" w:cs="Times New Roman"/>
        </w:rPr>
      </w:pPr>
    </w:p>
    <w:p w14:paraId="1CF9C4CA" w14:textId="77777777" w:rsidR="008631EE" w:rsidRDefault="008631EE" w:rsidP="008631EE">
      <w:pPr>
        <w:rPr>
          <w:rFonts w:ascii="Times New Roman" w:hAnsi="Times New Roman" w:cs="Times New Roman"/>
        </w:rPr>
      </w:pPr>
    </w:p>
    <w:p w14:paraId="3DCA55B0" w14:textId="77777777" w:rsidR="008631EE" w:rsidRDefault="008631EE" w:rsidP="008631EE">
      <w:pPr>
        <w:rPr>
          <w:rFonts w:ascii="Times New Roman" w:hAnsi="Times New Roman" w:cs="Times New Roman"/>
        </w:rPr>
      </w:pPr>
    </w:p>
    <w:p w14:paraId="193384D7" w14:textId="77777777" w:rsidR="008631EE" w:rsidRDefault="008631EE" w:rsidP="008631EE">
      <w:pPr>
        <w:rPr>
          <w:rFonts w:ascii="Times New Roman" w:hAnsi="Times New Roman" w:cs="Times New Roman"/>
        </w:rPr>
      </w:pPr>
    </w:p>
    <w:p w14:paraId="7534322A" w14:textId="77777777" w:rsidR="008631EE" w:rsidRDefault="008631EE" w:rsidP="008631EE">
      <w:pPr>
        <w:rPr>
          <w:rFonts w:ascii="Times New Roman" w:hAnsi="Times New Roman" w:cs="Times New Roman"/>
        </w:rPr>
      </w:pPr>
    </w:p>
    <w:p w14:paraId="2C3ED4FF" w14:textId="77777777" w:rsidR="008631EE" w:rsidRDefault="008631EE" w:rsidP="008631EE">
      <w:pPr>
        <w:rPr>
          <w:rFonts w:ascii="Times New Roman" w:hAnsi="Times New Roman" w:cs="Times New Roman"/>
        </w:rPr>
      </w:pPr>
    </w:p>
    <w:p w14:paraId="5A6BFA71" w14:textId="77777777" w:rsidR="008631EE" w:rsidRPr="008631EE" w:rsidRDefault="008631EE" w:rsidP="008631EE">
      <w:pPr>
        <w:rPr>
          <w:rFonts w:ascii="Times New Roman" w:hAnsi="Times New Roman" w:cs="Times New Roman"/>
        </w:rPr>
      </w:pPr>
    </w:p>
    <w:p w14:paraId="1FB13605" w14:textId="77777777" w:rsidR="009C57A1" w:rsidRPr="008631EE" w:rsidRDefault="009C57A1" w:rsidP="008631EE">
      <w:pPr>
        <w:rPr>
          <w:rFonts w:ascii="Times New Roman" w:hAnsi="Times New Roman" w:cs="Times New Roman"/>
        </w:rPr>
      </w:pPr>
    </w:p>
    <w:p w14:paraId="730AAE01" w14:textId="77777777" w:rsidR="009C57A1" w:rsidRPr="008631EE" w:rsidRDefault="009C57A1" w:rsidP="008631EE">
      <w:pPr>
        <w:rPr>
          <w:rFonts w:ascii="Times New Roman" w:hAnsi="Times New Roman" w:cs="Times New Roman"/>
        </w:rPr>
      </w:pPr>
    </w:p>
    <w:p w14:paraId="6A511AD2" w14:textId="6E28FFBF" w:rsidR="00AE14E4" w:rsidRPr="00CE7235" w:rsidRDefault="009C57A1" w:rsidP="008631EE">
      <w:pPr>
        <w:jc w:val="center"/>
        <w:rPr>
          <w:rFonts w:ascii="Times New Roman" w:hAnsi="Times New Roman" w:cs="Times New Roman"/>
          <w:b/>
          <w:bCs/>
          <w:sz w:val="32"/>
          <w:szCs w:val="32"/>
        </w:rPr>
      </w:pPr>
      <w:r>
        <w:rPr>
          <w:rFonts w:ascii="Times New Roman" w:hAnsi="Times New Roman"/>
          <w:b/>
          <w:sz w:val="32"/>
          <w:shd w:val="clear" w:color="auto" w:fill="FFFFFF"/>
        </w:rPr>
        <w:t>Shadow Economy Restriction Plan for 2024–2027</w:t>
      </w:r>
    </w:p>
    <w:p w14:paraId="29BFED69" w14:textId="77777777" w:rsidR="008631EE" w:rsidRDefault="008631EE" w:rsidP="008631EE">
      <w:pPr>
        <w:jc w:val="center"/>
        <w:rPr>
          <w:rFonts w:ascii="Times New Roman" w:hAnsi="Times New Roman" w:cs="Times New Roman"/>
          <w:sz w:val="24"/>
          <w:szCs w:val="24"/>
        </w:rPr>
      </w:pPr>
    </w:p>
    <w:p w14:paraId="685B60DE" w14:textId="77777777" w:rsidR="008631EE" w:rsidRDefault="008631EE" w:rsidP="008631EE">
      <w:pPr>
        <w:jc w:val="center"/>
        <w:rPr>
          <w:rFonts w:ascii="Times New Roman" w:hAnsi="Times New Roman" w:cs="Times New Roman"/>
          <w:sz w:val="24"/>
          <w:szCs w:val="24"/>
        </w:rPr>
      </w:pPr>
    </w:p>
    <w:p w14:paraId="5D092402" w14:textId="77777777" w:rsidR="008631EE" w:rsidRDefault="008631EE" w:rsidP="008631EE">
      <w:pPr>
        <w:jc w:val="center"/>
        <w:rPr>
          <w:rFonts w:ascii="Times New Roman" w:hAnsi="Times New Roman" w:cs="Times New Roman"/>
          <w:sz w:val="24"/>
          <w:szCs w:val="24"/>
        </w:rPr>
      </w:pPr>
    </w:p>
    <w:p w14:paraId="09A7E5DA" w14:textId="77777777" w:rsidR="008631EE" w:rsidRDefault="008631EE" w:rsidP="008631EE">
      <w:pPr>
        <w:jc w:val="center"/>
        <w:rPr>
          <w:rFonts w:ascii="Times New Roman" w:hAnsi="Times New Roman" w:cs="Times New Roman"/>
          <w:sz w:val="24"/>
          <w:szCs w:val="24"/>
        </w:rPr>
      </w:pPr>
    </w:p>
    <w:p w14:paraId="1BBB7CAD" w14:textId="77777777" w:rsidR="008631EE" w:rsidRDefault="008631EE" w:rsidP="008631EE">
      <w:pPr>
        <w:jc w:val="center"/>
        <w:rPr>
          <w:rFonts w:ascii="Times New Roman" w:hAnsi="Times New Roman" w:cs="Times New Roman"/>
          <w:sz w:val="24"/>
          <w:szCs w:val="24"/>
        </w:rPr>
      </w:pPr>
    </w:p>
    <w:p w14:paraId="686280AB" w14:textId="77777777" w:rsidR="008631EE" w:rsidRDefault="008631EE" w:rsidP="008631EE">
      <w:pPr>
        <w:jc w:val="center"/>
        <w:rPr>
          <w:rFonts w:ascii="Times New Roman" w:hAnsi="Times New Roman" w:cs="Times New Roman"/>
          <w:sz w:val="24"/>
          <w:szCs w:val="24"/>
        </w:rPr>
      </w:pPr>
    </w:p>
    <w:p w14:paraId="5DFDA3C3" w14:textId="77777777" w:rsidR="008631EE" w:rsidRDefault="008631EE" w:rsidP="008631EE">
      <w:pPr>
        <w:jc w:val="center"/>
        <w:rPr>
          <w:rFonts w:ascii="Times New Roman" w:hAnsi="Times New Roman" w:cs="Times New Roman"/>
          <w:sz w:val="24"/>
          <w:szCs w:val="24"/>
        </w:rPr>
      </w:pPr>
    </w:p>
    <w:p w14:paraId="64FBAE56" w14:textId="77777777" w:rsidR="008631EE" w:rsidRDefault="008631EE" w:rsidP="008631EE">
      <w:pPr>
        <w:jc w:val="center"/>
        <w:rPr>
          <w:rFonts w:ascii="Times New Roman" w:hAnsi="Times New Roman" w:cs="Times New Roman"/>
          <w:sz w:val="24"/>
          <w:szCs w:val="24"/>
        </w:rPr>
      </w:pPr>
    </w:p>
    <w:p w14:paraId="31275730" w14:textId="77777777" w:rsidR="008631EE" w:rsidRDefault="008631EE" w:rsidP="008631EE">
      <w:pPr>
        <w:jc w:val="center"/>
        <w:rPr>
          <w:rFonts w:ascii="Times New Roman" w:hAnsi="Times New Roman" w:cs="Times New Roman"/>
          <w:sz w:val="24"/>
          <w:szCs w:val="24"/>
        </w:rPr>
      </w:pPr>
    </w:p>
    <w:p w14:paraId="77959E29" w14:textId="77777777" w:rsidR="008631EE" w:rsidRDefault="008631EE" w:rsidP="008631EE">
      <w:pPr>
        <w:jc w:val="center"/>
        <w:rPr>
          <w:rFonts w:ascii="Times New Roman" w:hAnsi="Times New Roman" w:cs="Times New Roman"/>
          <w:sz w:val="24"/>
          <w:szCs w:val="24"/>
        </w:rPr>
      </w:pPr>
    </w:p>
    <w:p w14:paraId="209C10D7" w14:textId="77777777" w:rsidR="008631EE" w:rsidRDefault="008631EE" w:rsidP="008631EE">
      <w:pPr>
        <w:jc w:val="center"/>
        <w:rPr>
          <w:rFonts w:ascii="Times New Roman" w:hAnsi="Times New Roman" w:cs="Times New Roman"/>
          <w:sz w:val="24"/>
          <w:szCs w:val="24"/>
        </w:rPr>
      </w:pPr>
    </w:p>
    <w:p w14:paraId="6B412BAC" w14:textId="77777777" w:rsidR="008631EE" w:rsidRDefault="008631EE" w:rsidP="008631EE">
      <w:pPr>
        <w:jc w:val="center"/>
        <w:rPr>
          <w:rFonts w:ascii="Times New Roman" w:hAnsi="Times New Roman" w:cs="Times New Roman"/>
          <w:sz w:val="24"/>
          <w:szCs w:val="24"/>
        </w:rPr>
      </w:pPr>
    </w:p>
    <w:p w14:paraId="208DEE11" w14:textId="77777777" w:rsidR="008631EE" w:rsidRDefault="008631EE" w:rsidP="008631EE">
      <w:pPr>
        <w:jc w:val="center"/>
        <w:rPr>
          <w:rFonts w:ascii="Times New Roman" w:hAnsi="Times New Roman" w:cs="Times New Roman"/>
          <w:sz w:val="24"/>
          <w:szCs w:val="24"/>
        </w:rPr>
      </w:pPr>
    </w:p>
    <w:p w14:paraId="20C49016" w14:textId="77777777" w:rsidR="008631EE" w:rsidRDefault="008631EE" w:rsidP="008631EE">
      <w:pPr>
        <w:jc w:val="center"/>
        <w:rPr>
          <w:rFonts w:ascii="Times New Roman" w:hAnsi="Times New Roman" w:cs="Times New Roman"/>
          <w:sz w:val="24"/>
          <w:szCs w:val="24"/>
        </w:rPr>
      </w:pPr>
    </w:p>
    <w:p w14:paraId="1C95106B" w14:textId="77777777" w:rsidR="008631EE" w:rsidRDefault="008631EE" w:rsidP="008631EE">
      <w:pPr>
        <w:jc w:val="center"/>
        <w:rPr>
          <w:rFonts w:ascii="Times New Roman" w:hAnsi="Times New Roman" w:cs="Times New Roman"/>
          <w:sz w:val="24"/>
          <w:szCs w:val="24"/>
        </w:rPr>
      </w:pPr>
    </w:p>
    <w:p w14:paraId="27B073F8" w14:textId="77777777" w:rsidR="008631EE" w:rsidRDefault="008631EE" w:rsidP="008631EE">
      <w:pPr>
        <w:jc w:val="center"/>
        <w:rPr>
          <w:rFonts w:ascii="Times New Roman" w:hAnsi="Times New Roman" w:cs="Times New Roman"/>
          <w:sz w:val="24"/>
          <w:szCs w:val="24"/>
        </w:rPr>
      </w:pPr>
    </w:p>
    <w:p w14:paraId="22565A7C" w14:textId="77777777" w:rsidR="008631EE" w:rsidRDefault="008631EE" w:rsidP="008631EE">
      <w:pPr>
        <w:jc w:val="center"/>
        <w:rPr>
          <w:rFonts w:ascii="Times New Roman" w:hAnsi="Times New Roman" w:cs="Times New Roman"/>
          <w:sz w:val="24"/>
          <w:szCs w:val="24"/>
        </w:rPr>
      </w:pPr>
    </w:p>
    <w:p w14:paraId="77DCA7CB" w14:textId="77777777" w:rsidR="008631EE" w:rsidRDefault="008631EE" w:rsidP="008631EE">
      <w:pPr>
        <w:jc w:val="center"/>
        <w:rPr>
          <w:rFonts w:ascii="Times New Roman" w:hAnsi="Times New Roman" w:cs="Times New Roman"/>
          <w:sz w:val="24"/>
          <w:szCs w:val="24"/>
        </w:rPr>
      </w:pPr>
    </w:p>
    <w:p w14:paraId="09C1EA40" w14:textId="77777777" w:rsidR="008631EE" w:rsidRDefault="008631EE" w:rsidP="008631EE">
      <w:pPr>
        <w:jc w:val="center"/>
        <w:rPr>
          <w:rFonts w:ascii="Times New Roman" w:hAnsi="Times New Roman" w:cs="Times New Roman"/>
          <w:sz w:val="24"/>
          <w:szCs w:val="24"/>
        </w:rPr>
      </w:pPr>
    </w:p>
    <w:p w14:paraId="2A9F28FA" w14:textId="77777777" w:rsidR="008631EE" w:rsidRDefault="008631EE" w:rsidP="008631EE">
      <w:pPr>
        <w:jc w:val="center"/>
        <w:rPr>
          <w:rFonts w:ascii="Times New Roman" w:hAnsi="Times New Roman" w:cs="Times New Roman"/>
          <w:sz w:val="24"/>
          <w:szCs w:val="24"/>
        </w:rPr>
      </w:pPr>
    </w:p>
    <w:p w14:paraId="023DCB74" w14:textId="77777777" w:rsidR="008631EE" w:rsidRDefault="008631EE" w:rsidP="008631EE">
      <w:pPr>
        <w:jc w:val="center"/>
        <w:rPr>
          <w:rFonts w:ascii="Times New Roman" w:hAnsi="Times New Roman" w:cs="Times New Roman"/>
          <w:sz w:val="24"/>
          <w:szCs w:val="24"/>
        </w:rPr>
      </w:pPr>
    </w:p>
    <w:p w14:paraId="43E993AF" w14:textId="77777777" w:rsidR="008631EE" w:rsidRDefault="008631EE" w:rsidP="008631EE">
      <w:pPr>
        <w:jc w:val="center"/>
        <w:rPr>
          <w:rFonts w:ascii="Times New Roman" w:hAnsi="Times New Roman" w:cs="Times New Roman"/>
          <w:sz w:val="24"/>
          <w:szCs w:val="24"/>
        </w:rPr>
      </w:pPr>
    </w:p>
    <w:p w14:paraId="34EC931D" w14:textId="77777777" w:rsidR="008631EE" w:rsidRDefault="008631EE" w:rsidP="008631EE">
      <w:pPr>
        <w:jc w:val="center"/>
        <w:rPr>
          <w:rFonts w:ascii="Times New Roman" w:hAnsi="Times New Roman" w:cs="Times New Roman"/>
          <w:sz w:val="24"/>
          <w:szCs w:val="24"/>
        </w:rPr>
      </w:pPr>
    </w:p>
    <w:p w14:paraId="5F85DB22" w14:textId="77777777" w:rsidR="008631EE" w:rsidRDefault="008631EE" w:rsidP="008631EE">
      <w:pPr>
        <w:jc w:val="center"/>
        <w:rPr>
          <w:rFonts w:ascii="Times New Roman" w:hAnsi="Times New Roman" w:cs="Times New Roman"/>
          <w:sz w:val="24"/>
          <w:szCs w:val="24"/>
        </w:rPr>
      </w:pPr>
    </w:p>
    <w:p w14:paraId="55C25EA4" w14:textId="77777777" w:rsidR="008631EE" w:rsidRDefault="008631EE" w:rsidP="008631EE">
      <w:pPr>
        <w:jc w:val="center"/>
        <w:rPr>
          <w:rFonts w:ascii="Times New Roman" w:hAnsi="Times New Roman" w:cs="Times New Roman"/>
          <w:sz w:val="24"/>
          <w:szCs w:val="24"/>
        </w:rPr>
      </w:pPr>
    </w:p>
    <w:p w14:paraId="7C558802" w14:textId="77777777" w:rsidR="008631EE" w:rsidRDefault="008631EE" w:rsidP="008631EE">
      <w:pPr>
        <w:jc w:val="center"/>
        <w:rPr>
          <w:rFonts w:ascii="Times New Roman" w:hAnsi="Times New Roman" w:cs="Times New Roman"/>
          <w:sz w:val="24"/>
          <w:szCs w:val="24"/>
        </w:rPr>
      </w:pPr>
    </w:p>
    <w:p w14:paraId="212E0AA1" w14:textId="77777777" w:rsidR="008631EE" w:rsidRDefault="008631EE" w:rsidP="008631EE">
      <w:pPr>
        <w:jc w:val="center"/>
        <w:rPr>
          <w:rFonts w:ascii="Times New Roman" w:hAnsi="Times New Roman" w:cs="Times New Roman"/>
          <w:sz w:val="24"/>
          <w:szCs w:val="24"/>
        </w:rPr>
      </w:pPr>
    </w:p>
    <w:p w14:paraId="57501C81" w14:textId="77777777" w:rsidR="00A37C63" w:rsidRDefault="00A37C63" w:rsidP="008631EE">
      <w:pPr>
        <w:jc w:val="center"/>
        <w:rPr>
          <w:rFonts w:ascii="Times New Roman" w:hAnsi="Times New Roman" w:cs="Times New Roman"/>
          <w:sz w:val="24"/>
          <w:szCs w:val="24"/>
        </w:rPr>
      </w:pPr>
    </w:p>
    <w:p w14:paraId="56749813" w14:textId="77777777" w:rsidR="00A37C63" w:rsidRDefault="00A37C63" w:rsidP="008631EE">
      <w:pPr>
        <w:jc w:val="center"/>
        <w:rPr>
          <w:rFonts w:ascii="Times New Roman" w:hAnsi="Times New Roman" w:cs="Times New Roman"/>
          <w:sz w:val="24"/>
          <w:szCs w:val="24"/>
        </w:rPr>
      </w:pPr>
    </w:p>
    <w:p w14:paraId="711812E7" w14:textId="77777777" w:rsidR="001154CC" w:rsidRDefault="001154CC" w:rsidP="008631EE">
      <w:pPr>
        <w:jc w:val="center"/>
        <w:rPr>
          <w:rFonts w:ascii="Times New Roman" w:hAnsi="Times New Roman" w:cs="Times New Roman"/>
          <w:sz w:val="24"/>
          <w:szCs w:val="24"/>
        </w:rPr>
      </w:pPr>
    </w:p>
    <w:p w14:paraId="08E00305" w14:textId="77777777" w:rsidR="001154CC" w:rsidRPr="008631EE" w:rsidRDefault="001154CC" w:rsidP="008631EE">
      <w:pPr>
        <w:jc w:val="center"/>
        <w:rPr>
          <w:rFonts w:ascii="Times New Roman" w:hAnsi="Times New Roman" w:cs="Times New Roman"/>
          <w:sz w:val="24"/>
          <w:szCs w:val="24"/>
        </w:rPr>
      </w:pPr>
    </w:p>
    <w:p w14:paraId="06C40D13" w14:textId="77777777" w:rsidR="008631EE" w:rsidRPr="008631EE" w:rsidRDefault="008631EE" w:rsidP="008631EE">
      <w:pPr>
        <w:jc w:val="center"/>
        <w:rPr>
          <w:rFonts w:ascii="Times New Roman" w:hAnsi="Times New Roman" w:cs="Times New Roman"/>
          <w:sz w:val="24"/>
          <w:szCs w:val="24"/>
        </w:rPr>
      </w:pPr>
    </w:p>
    <w:p w14:paraId="5264478D" w14:textId="52C8149C" w:rsidR="00AE14E4" w:rsidRPr="008631EE" w:rsidRDefault="00BC458B" w:rsidP="00A37C63">
      <w:pPr>
        <w:ind w:left="-142"/>
        <w:jc w:val="center"/>
        <w:rPr>
          <w:rFonts w:ascii="Times New Roman" w:hAnsi="Times New Roman" w:cs="Times New Roman"/>
          <w:sz w:val="24"/>
          <w:szCs w:val="24"/>
        </w:rPr>
      </w:pPr>
      <w:r>
        <w:rPr>
          <w:rFonts w:ascii="Times New Roman" w:hAnsi="Times New Roman"/>
          <w:sz w:val="24"/>
        </w:rPr>
        <w:t>RIGA</w:t>
      </w:r>
    </w:p>
    <w:p w14:paraId="3E5B3E8E" w14:textId="4303A10C" w:rsidR="009C57A1" w:rsidRPr="008631EE" w:rsidRDefault="009C57A1" w:rsidP="00A37C63">
      <w:pPr>
        <w:ind w:left="-142"/>
        <w:jc w:val="center"/>
        <w:rPr>
          <w:rFonts w:ascii="Times New Roman" w:eastAsia="Times New Roman" w:hAnsi="Times New Roman" w:cs="Times New Roman"/>
          <w:b/>
          <w:bCs/>
          <w:kern w:val="0"/>
          <w:sz w:val="24"/>
          <w:szCs w:val="24"/>
          <w14:ligatures w14:val="none"/>
        </w:rPr>
      </w:pPr>
      <w:r>
        <w:rPr>
          <w:rFonts w:ascii="Times New Roman" w:hAnsi="Times New Roman"/>
          <w:sz w:val="24"/>
        </w:rPr>
        <w:t>2023</w:t>
      </w:r>
      <w:r>
        <w:rPr>
          <w:rFonts w:ascii="Times New Roman" w:hAnsi="Times New Roman"/>
          <w:sz w:val="24"/>
        </w:rPr>
        <w:br w:type="page"/>
      </w:r>
    </w:p>
    <w:p w14:paraId="47CE9248" w14:textId="626B6270" w:rsidR="00DE3052" w:rsidRPr="00FA5A4A" w:rsidRDefault="004230D7" w:rsidP="00FA5A4A">
      <w:pPr>
        <w:rPr>
          <w:rFonts w:ascii="Times New Roman" w:hAnsi="Times New Roman" w:cs="Times New Roman"/>
          <w:b/>
          <w:bCs/>
          <w:color w:val="2F5496" w:themeColor="accent1" w:themeShade="BF"/>
          <w:sz w:val="28"/>
          <w:szCs w:val="28"/>
        </w:rPr>
      </w:pPr>
      <w:r>
        <w:rPr>
          <w:rFonts w:ascii="Times New Roman" w:hAnsi="Times New Roman"/>
          <w:b/>
          <w:color w:val="2F5496" w:themeColor="accent1" w:themeShade="BF"/>
          <w:sz w:val="28"/>
        </w:rPr>
        <w:t>Abbreviations and terminology</w:t>
      </w:r>
    </w:p>
    <w:p w14:paraId="342A57C8" w14:textId="77777777" w:rsidR="006519B4" w:rsidRPr="00DE3052" w:rsidRDefault="006519B4" w:rsidP="006519B4">
      <w:pPr>
        <w:rPr>
          <w:rFonts w:ascii="Times New Roman" w:eastAsia="Century Gothic" w:hAnsi="Times New Roman" w:cs="Times New Roman"/>
          <w:kern w:val="0"/>
          <w:sz w:val="24"/>
          <w:szCs w:val="24"/>
          <w:lang w:val="lv"/>
          <w14:ligatures w14:val="none"/>
        </w:rPr>
      </w:pPr>
    </w:p>
    <w:p w14:paraId="57765046" w14:textId="77777777" w:rsidR="006519B4" w:rsidRDefault="006519B4" w:rsidP="006519B4">
      <w:pPr>
        <w:spacing w:after="80"/>
        <w:jc w:val="both"/>
        <w:rPr>
          <w:rFonts w:ascii="Times New Roman" w:eastAsia="Times New Roman" w:hAnsi="Times New Roman" w:cs="Times New Roman"/>
          <w:kern w:val="0"/>
          <w:sz w:val="20"/>
          <w:szCs w:val="20"/>
          <w14:ligatures w14:val="none"/>
        </w:rPr>
        <w:sectPr w:rsidR="006519B4" w:rsidSect="00351EAB">
          <w:footerReference w:type="default" r:id="rId8"/>
          <w:type w:val="continuous"/>
          <w:pgSz w:w="11906" w:h="16838"/>
          <w:pgMar w:top="1134" w:right="1133" w:bottom="993" w:left="1800" w:header="708" w:footer="708" w:gutter="0"/>
          <w:cols w:space="708"/>
          <w:titlePg/>
          <w:docGrid w:linePitch="360"/>
        </w:sectPr>
      </w:pPr>
    </w:p>
    <w:p w14:paraId="70F2653E"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MTI – medical treatment institutions</w:t>
      </w:r>
    </w:p>
    <w:p w14:paraId="1E22F73C"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CIS – Construction Information System</w:t>
      </w:r>
    </w:p>
    <w:p w14:paraId="3E736814"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SCCB – State Construction Control Bureau</w:t>
      </w:r>
    </w:p>
    <w:p w14:paraId="6C6C9257"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B2B – international term for business-to-business, a situation where a commercial transaction is conducted between one business and another</w:t>
      </w:r>
    </w:p>
    <w:p w14:paraId="1C3713F6"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RTSD — Road Traffic Safety Directorate</w:t>
      </w:r>
    </w:p>
    <w:p w14:paraId="08057DB1"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DAGR – Data Dissemination and Management Platform</w:t>
      </w:r>
    </w:p>
    <w:p w14:paraId="55B3A10D"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RoE – report of employer</w:t>
      </w:r>
    </w:p>
    <w:p w14:paraId="673660F0" w14:textId="1A00B07E"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DSI – Data State Inspectorate</w:t>
      </w:r>
    </w:p>
    <w:p w14:paraId="2C31C2A3"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EDLUS – electronic working time recording system</w:t>
      </w:r>
    </w:p>
    <w:p w14:paraId="0C04ACD4"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EC – European Commission</w:t>
      </w:r>
    </w:p>
    <w:p w14:paraId="2A66EAAD"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MoE – Ministry of Economics</w:t>
      </w:r>
    </w:p>
    <w:p w14:paraId="4945C863"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EU – European Union</w:t>
      </w:r>
    </w:p>
    <w:p w14:paraId="0D53812B" w14:textId="50310A5A" w:rsidR="00084CFF" w:rsidRPr="00B15491" w:rsidRDefault="00084CFF"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FIU – Financial Intelligence Unit of Latvia</w:t>
      </w:r>
    </w:p>
    <w:p w14:paraId="15255A21"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MoF – Ministry of Finance</w:t>
      </w:r>
    </w:p>
    <w:p w14:paraId="44832E10" w14:textId="77290B52" w:rsidR="00CE7235" w:rsidRDefault="00CE7235" w:rsidP="00CC5A9D">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MoI – Ministry of the Interior</w:t>
      </w:r>
    </w:p>
    <w:p w14:paraId="00C4FFD4" w14:textId="2327AF77" w:rsidR="00CC5A9D" w:rsidRDefault="00CC5A9D" w:rsidP="00CC5A9D">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MoI IC – Information Centre of the Ministry of the Interior</w:t>
      </w:r>
    </w:p>
    <w:p w14:paraId="598898E8"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PIT – personal income tax</w:t>
      </w:r>
    </w:p>
    <w:p w14:paraId="685EF450"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GDP – gross domestic product</w:t>
      </w:r>
    </w:p>
    <w:p w14:paraId="1DCFA0D1"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IUB – Procurement Monitoring Bureau</w:t>
      </w:r>
    </w:p>
    <w:p w14:paraId="41594027"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MoES – Ministry of Education and Science</w:t>
      </w:r>
    </w:p>
    <w:p w14:paraId="17FEE3EC"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LMA – Latvian Medical Association</w:t>
      </w:r>
    </w:p>
    <w:p w14:paraId="287AA0B7"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UPOMPL – Union of Professional Organisations of Medical Practitioners of Latvia</w:t>
      </w:r>
    </w:p>
    <w:p w14:paraId="1A4C8541" w14:textId="05F9D59B" w:rsidR="00333F3D" w:rsidRPr="00333F3D" w:rsidRDefault="00333F3D" w:rsidP="00333F3D">
      <w:pPr>
        <w:spacing w:after="80"/>
        <w:rPr>
          <w:rFonts w:ascii="Times New Roman" w:eastAsia="Times New Roman" w:hAnsi="Times New Roman" w:cs="Times New Roman"/>
          <w:kern w:val="0"/>
          <w:sz w:val="20"/>
          <w:szCs w:val="20"/>
          <w14:ligatures w14:val="none"/>
        </w:rPr>
      </w:pPr>
      <w:r>
        <w:rPr>
          <w:rFonts w:ascii="Times New Roman" w:hAnsi="Times New Roman"/>
          <w:sz w:val="20"/>
        </w:rPr>
        <w:t>LIA – Latvian Insurers Association</w:t>
      </w:r>
    </w:p>
    <w:p w14:paraId="1F913492" w14:textId="12A3359D" w:rsidR="00064B10" w:rsidRPr="00064B10" w:rsidRDefault="00064B10" w:rsidP="006519B4">
      <w:pPr>
        <w:spacing w:after="80"/>
        <w:jc w:val="both"/>
        <w:rPr>
          <w:rFonts w:ascii="Times New Roman" w:eastAsia="Times New Roman" w:hAnsi="Times New Roman" w:cs="Times New Roman"/>
          <w:kern w:val="0"/>
          <w:sz w:val="16"/>
          <w:szCs w:val="16"/>
          <w14:ligatures w14:val="none"/>
        </w:rPr>
      </w:pPr>
      <w:r>
        <w:rPr>
          <w:rFonts w:ascii="Times New Roman" w:hAnsi="Times New Roman"/>
          <w:color w:val="000000" w:themeColor="text1"/>
          <w:sz w:val="20"/>
        </w:rPr>
        <w:t>BoL – Latvijas Banka (Bank of Latvia)</w:t>
      </w:r>
    </w:p>
    <w:p w14:paraId="03744701" w14:textId="163F9058"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LBAS – Free Trade Union Confederation of Latvia</w:t>
      </w:r>
    </w:p>
    <w:p w14:paraId="7B83DF15" w14:textId="23A9236C" w:rsidR="00CE24FD" w:rsidRDefault="00CE24FD"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LBNA – Latvian Construction Industry Trade Union</w:t>
      </w:r>
    </w:p>
    <w:p w14:paraId="71E28F60" w14:textId="14EFBA67" w:rsidR="00C6299B" w:rsidRDefault="00C6299B"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LBP – Construction Council of Latvia</w:t>
      </w:r>
    </w:p>
    <w:p w14:paraId="447B9E96" w14:textId="6CC50F93" w:rsidR="005254E0" w:rsidRDefault="005254E0"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LBPA – Latvian Association of Structural Engineers</w:t>
      </w:r>
    </w:p>
    <w:p w14:paraId="1ED49F85"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LDDK – Employers’ Confederation of Latvia</w:t>
      </w:r>
    </w:p>
    <w:p w14:paraId="5DF886F5"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LIAA– Investment and Development Agency of Latvia</w:t>
      </w:r>
    </w:p>
    <w:p w14:paraId="225E5673"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LKKA – Latvian Association of Beauticians and Cosmetologists</w:t>
      </w:r>
    </w:p>
    <w:p w14:paraId="18272D68"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MoW – Ministry of Welfare</w:t>
      </w:r>
    </w:p>
    <w:p w14:paraId="3205A807"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LPOT – Latvian Network of Patient Organizations</w:t>
      </w:r>
    </w:p>
    <w:p w14:paraId="1E0BE5B1"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LALRG – Latvian Association of Local and Regional Governments</w:t>
      </w:r>
    </w:p>
    <w:p w14:paraId="49778646"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LSSA – Latvian Association of Beauty Specialists</w:t>
      </w:r>
    </w:p>
    <w:p w14:paraId="6486C3F1" w14:textId="42BB89BA" w:rsidR="00CE7235" w:rsidRDefault="00CE7235"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LCCI – Latvian Chamber of Commerce and Industry</w:t>
      </w:r>
    </w:p>
    <w:p w14:paraId="6CF5669E" w14:textId="0B5F5D30" w:rsidR="00A92998" w:rsidRDefault="006519B4" w:rsidP="006519B4">
      <w:pPr>
        <w:spacing w:after="80"/>
        <w:jc w:val="both"/>
        <w:rPr>
          <w:highlight w:val="yellow"/>
        </w:rPr>
      </w:pPr>
      <w:r>
        <w:rPr>
          <w:rFonts w:ascii="Times New Roman" w:hAnsi="Times New Roman"/>
          <w:sz w:val="20"/>
        </w:rPr>
        <w:t>LVSADA – Trade Union of Health and Social Care Employees of Latvia</w:t>
      </w:r>
      <w:r>
        <w:rPr>
          <w:highlight w:val="yellow"/>
        </w:rPr>
        <w:t xml:space="preserve"> </w:t>
      </w:r>
    </w:p>
    <w:p w14:paraId="09671682" w14:textId="1231E785" w:rsidR="006519B4" w:rsidRPr="00B15491" w:rsidRDefault="00A92998"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LDA – Latvian Dental Association</w:t>
      </w:r>
    </w:p>
    <w:p w14:paraId="52D71BFE"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Cabinet – Cabinet of Ministers</w:t>
      </w:r>
    </w:p>
    <w:p w14:paraId="0BBD4C96" w14:textId="5D6C0E3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NHS – National Health Service</w:t>
      </w:r>
    </w:p>
    <w:p w14:paraId="4B6DCDD6" w14:textId="32F3CF3E" w:rsidR="00A92998" w:rsidRDefault="00A92998"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NGO – non-governmental organisations</w:t>
      </w:r>
    </w:p>
    <w:p w14:paraId="782FDDE5" w14:textId="5C166D3A"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OECD – Organisation for Economic Cooperation and Development</w:t>
      </w:r>
    </w:p>
    <w:p w14:paraId="5F609E5D"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POS – point of sale, card and contactless payment terminals</w:t>
      </w:r>
    </w:p>
    <w:p w14:paraId="18A83F83" w14:textId="0712510C"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CRPC – Consumer Rights Protection Centre</w:t>
      </w:r>
    </w:p>
    <w:p w14:paraId="09994362"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VAT – value added tax</w:t>
      </w:r>
    </w:p>
    <w:p w14:paraId="57BAC251"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MoT – Ministry of Transport</w:t>
      </w:r>
    </w:p>
    <w:p w14:paraId="32BD94B6"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SPKC – Centre for Disease Prevention and Control</w:t>
      </w:r>
    </w:p>
    <w:p w14:paraId="2DFEEA8D"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MoJ – Ministry of Justice</w:t>
      </w:r>
    </w:p>
    <w:p w14:paraId="6640CF9D"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HEA – Healthcare Employers’ Association</w:t>
      </w:r>
    </w:p>
    <w:p w14:paraId="5F69A93A"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MoEPRD – Ministry of Environmental Protection and Regional Development</w:t>
      </w:r>
    </w:p>
    <w:p w14:paraId="738E0530"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VEDLUDB – Unified Electronic Working Time Recording Database</w:t>
      </w:r>
    </w:p>
    <w:p w14:paraId="2A69EA97"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HI – Health Inspectorate</w:t>
      </w:r>
    </w:p>
    <w:p w14:paraId="3C5968EA"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SRS – State Revenue Service</w:t>
      </w:r>
    </w:p>
    <w:p w14:paraId="4D1AAC7A"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SRS IS – Information System of the State Revenue Service</w:t>
      </w:r>
    </w:p>
    <w:p w14:paraId="1357AB80"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MoH – Ministry of Health</w:t>
      </w:r>
    </w:p>
    <w:p w14:paraId="255B058C" w14:textId="77777777" w:rsidR="006519B4" w:rsidRPr="00B15491"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SP – State Police</w:t>
      </w:r>
    </w:p>
    <w:p w14:paraId="2FF0A09B"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SRDA – State Regional Development Agency</w:t>
      </w:r>
    </w:p>
    <w:p w14:paraId="3D4E1E7E" w14:textId="77777777"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SBG – State Border Guard</w:t>
      </w:r>
    </w:p>
    <w:p w14:paraId="78F4ACD9" w14:textId="7D22D3E5" w:rsidR="006519B4" w:rsidRDefault="006519B4"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MSSIC – Mandatory State social insurance contributions</w:t>
      </w:r>
    </w:p>
    <w:p w14:paraId="6CF1C56F" w14:textId="05CC2D80" w:rsidR="00A928AA" w:rsidRDefault="00A928AA" w:rsidP="006519B4">
      <w:pPr>
        <w:spacing w:after="80"/>
        <w:jc w:val="both"/>
        <w:rPr>
          <w:rFonts w:ascii="Times New Roman" w:eastAsia="Times New Roman" w:hAnsi="Times New Roman" w:cs="Times New Roman"/>
          <w:kern w:val="0"/>
          <w:sz w:val="20"/>
          <w:szCs w:val="20"/>
          <w14:ligatures w14:val="none"/>
        </w:rPr>
      </w:pPr>
      <w:r>
        <w:rPr>
          <w:rFonts w:ascii="Times New Roman" w:hAnsi="Times New Roman"/>
          <w:sz w:val="20"/>
        </w:rPr>
        <w:t>SES – State Environmental Service</w:t>
      </w:r>
    </w:p>
    <w:p w14:paraId="32B59CE5" w14:textId="704FE90B" w:rsidR="00A92998" w:rsidRPr="00B15491" w:rsidRDefault="00A92998" w:rsidP="006519B4">
      <w:pPr>
        <w:spacing w:after="80"/>
        <w:jc w:val="both"/>
        <w:rPr>
          <w:rFonts w:ascii="Times New Roman" w:eastAsia="Times New Roman" w:hAnsi="Times New Roman" w:cs="Times New Roman"/>
          <w:kern w:val="0"/>
          <w:sz w:val="20"/>
          <w:szCs w:val="20"/>
          <w14:ligatures w14:val="none"/>
        </w:rPr>
      </w:pPr>
      <w:r>
        <w:rPr>
          <w:highlight w:val="yellow"/>
        </w:rPr>
        <w:t xml:space="preserve"> </w:t>
      </w:r>
    </w:p>
    <w:p w14:paraId="5D98024E" w14:textId="77777777" w:rsidR="006519B4" w:rsidRDefault="006519B4" w:rsidP="006519B4">
      <w:pPr>
        <w:rPr>
          <w:sz w:val="24"/>
          <w:szCs w:val="24"/>
        </w:rPr>
      </w:pPr>
    </w:p>
    <w:p w14:paraId="2B9D65BF" w14:textId="77777777" w:rsidR="006519B4" w:rsidRDefault="006519B4" w:rsidP="006519B4">
      <w:pPr>
        <w:rPr>
          <w:sz w:val="24"/>
          <w:szCs w:val="24"/>
        </w:rPr>
      </w:pPr>
    </w:p>
    <w:p w14:paraId="50550A15" w14:textId="77777777" w:rsidR="006519B4" w:rsidRDefault="006519B4" w:rsidP="006519B4">
      <w:pPr>
        <w:rPr>
          <w:sz w:val="24"/>
          <w:szCs w:val="24"/>
        </w:rPr>
      </w:pPr>
    </w:p>
    <w:p w14:paraId="69709C39" w14:textId="77777777" w:rsidR="006519B4" w:rsidRDefault="006519B4" w:rsidP="006519B4">
      <w:pPr>
        <w:rPr>
          <w:sz w:val="24"/>
          <w:szCs w:val="24"/>
        </w:rPr>
      </w:pPr>
    </w:p>
    <w:p w14:paraId="20261352" w14:textId="77777777" w:rsidR="006519B4" w:rsidRDefault="006519B4" w:rsidP="006519B4">
      <w:pPr>
        <w:rPr>
          <w:sz w:val="24"/>
          <w:szCs w:val="24"/>
        </w:rPr>
      </w:pPr>
    </w:p>
    <w:p w14:paraId="6FBFF7BE" w14:textId="77777777" w:rsidR="006519B4" w:rsidRDefault="006519B4" w:rsidP="006519B4">
      <w:pPr>
        <w:rPr>
          <w:sz w:val="24"/>
          <w:szCs w:val="24"/>
        </w:rPr>
      </w:pPr>
    </w:p>
    <w:p w14:paraId="329034C0" w14:textId="77777777" w:rsidR="006519B4" w:rsidRDefault="006519B4" w:rsidP="006519B4">
      <w:pPr>
        <w:rPr>
          <w:sz w:val="24"/>
          <w:szCs w:val="24"/>
        </w:rPr>
      </w:pPr>
    </w:p>
    <w:p w14:paraId="614485FC" w14:textId="77777777" w:rsidR="006519B4" w:rsidRDefault="006519B4" w:rsidP="006519B4">
      <w:pPr>
        <w:rPr>
          <w:sz w:val="24"/>
          <w:szCs w:val="24"/>
        </w:rPr>
      </w:pPr>
    </w:p>
    <w:p w14:paraId="333C95EF" w14:textId="77777777" w:rsidR="006519B4" w:rsidRDefault="006519B4" w:rsidP="006519B4">
      <w:pPr>
        <w:rPr>
          <w:sz w:val="24"/>
          <w:szCs w:val="24"/>
        </w:rPr>
      </w:pPr>
    </w:p>
    <w:p w14:paraId="466E3EB9" w14:textId="77777777" w:rsidR="00A37C63" w:rsidRDefault="00A37C63">
      <w:pPr>
        <w:rPr>
          <w:sz w:val="24"/>
          <w:szCs w:val="24"/>
        </w:rPr>
        <w:sectPr w:rsidR="00A37C63" w:rsidSect="00351EAB">
          <w:type w:val="continuous"/>
          <w:pgSz w:w="11906" w:h="16838"/>
          <w:pgMar w:top="1134" w:right="1133" w:bottom="993" w:left="1800" w:header="708" w:footer="708" w:gutter="0"/>
          <w:cols w:num="2" w:space="708"/>
          <w:titlePg/>
          <w:docGrid w:linePitch="360"/>
        </w:sectPr>
      </w:pPr>
    </w:p>
    <w:p w14:paraId="04E9D3A3" w14:textId="209BED85" w:rsidR="001154CC" w:rsidRPr="000B316C" w:rsidRDefault="001154CC" w:rsidP="00FA5A4A">
      <w:pPr>
        <w:rPr>
          <w:rFonts w:ascii="Times New Roman" w:hAnsi="Times New Roman" w:cs="Times New Roman"/>
          <w:b/>
          <w:bCs/>
          <w:color w:val="2F5496" w:themeColor="accent1" w:themeShade="BF"/>
          <w:sz w:val="28"/>
          <w:szCs w:val="28"/>
        </w:rPr>
      </w:pPr>
      <w:r>
        <w:rPr>
          <w:rFonts w:ascii="Times New Roman" w:hAnsi="Times New Roman"/>
          <w:b/>
          <w:color w:val="2F5496" w:themeColor="accent1" w:themeShade="BF"/>
          <w:sz w:val="28"/>
        </w:rPr>
        <w:t>Contents</w:t>
      </w:r>
    </w:p>
    <w:sdt>
      <w:sdtPr>
        <w:rPr>
          <w:rFonts w:asciiTheme="minorHAnsi" w:eastAsiaTheme="minorHAnsi" w:hAnsiTheme="minorHAnsi" w:cstheme="minorBidi"/>
          <w:color w:val="auto"/>
          <w:kern w:val="2"/>
          <w:sz w:val="22"/>
          <w:szCs w:val="22"/>
          <w14:ligatures w14:val="standardContextual"/>
        </w:rPr>
        <w:id w:val="1473633495"/>
        <w:docPartObj>
          <w:docPartGallery w:val="Table of Contents"/>
          <w:docPartUnique/>
        </w:docPartObj>
      </w:sdtPr>
      <w:sdtEndPr>
        <w:rPr>
          <w:b/>
          <w:bCs/>
          <w:noProof/>
        </w:rPr>
      </w:sdtEndPr>
      <w:sdtContent>
        <w:p w14:paraId="7D3BC5AF" w14:textId="350FD9DD" w:rsidR="00165AD7" w:rsidRPr="00B4259D" w:rsidRDefault="00165AD7">
          <w:pPr>
            <w:pStyle w:val="TOCHeading"/>
            <w:rPr>
              <w:rFonts w:ascii="Times New Roman" w:hAnsi="Times New Roman" w:cs="Times New Roman"/>
              <w:sz w:val="24"/>
              <w:szCs w:val="24"/>
            </w:rPr>
          </w:pPr>
        </w:p>
        <w:p w14:paraId="3A3DA314" w14:textId="37075F49" w:rsidR="00B4259D" w:rsidRPr="00B4259D" w:rsidRDefault="00165AD7">
          <w:pPr>
            <w:pStyle w:val="TOC1"/>
            <w:rPr>
              <w:rFonts w:ascii="Times New Roman" w:eastAsiaTheme="minorEastAsia" w:hAnsi="Times New Roman" w:cs="Times New Roman"/>
              <w:noProof/>
              <w:sz w:val="24"/>
              <w:szCs w:val="24"/>
              <w:lang w:val="lv-LV" w:eastAsia="lv-LV"/>
            </w:rPr>
          </w:pPr>
          <w:r w:rsidRPr="00B4259D">
            <w:rPr>
              <w:rFonts w:ascii="Times New Roman" w:hAnsi="Times New Roman" w:cs="Times New Roman"/>
              <w:sz w:val="24"/>
              <w:szCs w:val="24"/>
            </w:rPr>
            <w:fldChar w:fldCharType="begin"/>
          </w:r>
          <w:r w:rsidRPr="00B4259D">
            <w:rPr>
              <w:rFonts w:ascii="Times New Roman" w:hAnsi="Times New Roman" w:cs="Times New Roman"/>
              <w:sz w:val="24"/>
              <w:szCs w:val="24"/>
            </w:rPr>
            <w:instrText xml:space="preserve"> TOC \o "1-3" \h \z \u </w:instrText>
          </w:r>
          <w:r w:rsidRPr="00B4259D">
            <w:rPr>
              <w:rFonts w:ascii="Times New Roman" w:hAnsi="Times New Roman" w:cs="Times New Roman"/>
              <w:sz w:val="24"/>
              <w:szCs w:val="24"/>
            </w:rPr>
            <w:fldChar w:fldCharType="separate"/>
          </w:r>
          <w:hyperlink w:anchor="_Toc166237499" w:history="1">
            <w:r w:rsidR="00B4259D" w:rsidRPr="00B4259D">
              <w:rPr>
                <w:rStyle w:val="Hyperlink"/>
                <w:rFonts w:ascii="Times New Roman" w:hAnsi="Times New Roman" w:cs="Times New Roman"/>
                <w:noProof/>
                <w:sz w:val="24"/>
                <w:szCs w:val="24"/>
              </w:rPr>
              <w:t>1. Summary</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_Toc166237499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4</w:t>
            </w:r>
            <w:r w:rsidR="00B4259D" w:rsidRPr="00B4259D">
              <w:rPr>
                <w:rFonts w:ascii="Times New Roman" w:hAnsi="Times New Roman" w:cs="Times New Roman"/>
                <w:noProof/>
                <w:webHidden/>
                <w:sz w:val="24"/>
                <w:szCs w:val="24"/>
              </w:rPr>
              <w:fldChar w:fldCharType="end"/>
            </w:r>
          </w:hyperlink>
        </w:p>
        <w:p w14:paraId="69A6084F" w14:textId="2090C8B5" w:rsidR="00B4259D" w:rsidRPr="00B4259D" w:rsidRDefault="00B307F3">
          <w:pPr>
            <w:pStyle w:val="TOC1"/>
            <w:rPr>
              <w:rFonts w:ascii="Times New Roman" w:eastAsiaTheme="minorEastAsia" w:hAnsi="Times New Roman" w:cs="Times New Roman"/>
              <w:noProof/>
              <w:sz w:val="24"/>
              <w:szCs w:val="24"/>
              <w:lang w:val="lv-LV" w:eastAsia="lv-LV"/>
            </w:rPr>
          </w:pPr>
          <w:hyperlink w:anchor="_Toc166237500" w:history="1">
            <w:r w:rsidR="00B4259D" w:rsidRPr="00B4259D">
              <w:rPr>
                <w:rStyle w:val="Hyperlink"/>
                <w:rFonts w:ascii="Times New Roman" w:hAnsi="Times New Roman" w:cs="Times New Roman"/>
                <w:noProof/>
                <w:sz w:val="24"/>
                <w:szCs w:val="24"/>
              </w:rPr>
              <w:t>2. Background</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_Toc166237500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6</w:t>
            </w:r>
            <w:r w:rsidR="00B4259D" w:rsidRPr="00B4259D">
              <w:rPr>
                <w:rFonts w:ascii="Times New Roman" w:hAnsi="Times New Roman" w:cs="Times New Roman"/>
                <w:noProof/>
                <w:webHidden/>
                <w:sz w:val="24"/>
                <w:szCs w:val="24"/>
              </w:rPr>
              <w:fldChar w:fldCharType="end"/>
            </w:r>
          </w:hyperlink>
        </w:p>
        <w:p w14:paraId="2199BAEF" w14:textId="5F3B156D" w:rsidR="00B4259D" w:rsidRPr="00B4259D" w:rsidRDefault="00B307F3">
          <w:pPr>
            <w:pStyle w:val="TOC2"/>
            <w:tabs>
              <w:tab w:val="right" w:leader="dot" w:pos="9913"/>
            </w:tabs>
            <w:rPr>
              <w:rFonts w:ascii="Times New Roman" w:eastAsiaTheme="minorEastAsia" w:hAnsi="Times New Roman" w:cs="Times New Roman"/>
              <w:noProof/>
              <w:sz w:val="24"/>
              <w:szCs w:val="24"/>
              <w:lang w:val="lv-LV" w:eastAsia="lv-LV"/>
            </w:rPr>
          </w:pPr>
          <w:hyperlink w:anchor="_Toc166237501" w:history="1">
            <w:r w:rsidR="00B4259D" w:rsidRPr="00B4259D">
              <w:rPr>
                <w:rStyle w:val="Hyperlink"/>
                <w:rFonts w:ascii="Times New Roman" w:hAnsi="Times New Roman" w:cs="Times New Roman"/>
                <w:noProof/>
                <w:sz w:val="24"/>
                <w:szCs w:val="24"/>
              </w:rPr>
              <w:t>2.1. Concept of the shadow economy, motivation of participants and the related risks</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_Toc166237501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6</w:t>
            </w:r>
            <w:r w:rsidR="00B4259D" w:rsidRPr="00B4259D">
              <w:rPr>
                <w:rFonts w:ascii="Times New Roman" w:hAnsi="Times New Roman" w:cs="Times New Roman"/>
                <w:noProof/>
                <w:webHidden/>
                <w:sz w:val="24"/>
                <w:szCs w:val="24"/>
              </w:rPr>
              <w:fldChar w:fldCharType="end"/>
            </w:r>
          </w:hyperlink>
        </w:p>
        <w:p w14:paraId="21A51C72" w14:textId="3ED38441" w:rsidR="00B4259D" w:rsidRPr="00B4259D" w:rsidRDefault="00B307F3">
          <w:pPr>
            <w:pStyle w:val="TOC2"/>
            <w:tabs>
              <w:tab w:val="right" w:leader="dot" w:pos="9913"/>
            </w:tabs>
            <w:rPr>
              <w:rFonts w:ascii="Times New Roman" w:eastAsiaTheme="minorEastAsia" w:hAnsi="Times New Roman" w:cs="Times New Roman"/>
              <w:noProof/>
              <w:sz w:val="24"/>
              <w:szCs w:val="24"/>
              <w:lang w:val="lv-LV" w:eastAsia="lv-LV"/>
            </w:rPr>
          </w:pPr>
          <w:hyperlink w:anchor="_Toc166237502" w:history="1">
            <w:r w:rsidR="00B4259D" w:rsidRPr="00B4259D">
              <w:rPr>
                <w:rStyle w:val="Hyperlink"/>
                <w:rFonts w:ascii="Times New Roman" w:hAnsi="Times New Roman" w:cs="Times New Roman"/>
                <w:noProof/>
                <w:sz w:val="24"/>
                <w:szCs w:val="24"/>
              </w:rPr>
              <w:t>2.2. Estimate of the size of the shadow economy</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_Toc166237502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15</w:t>
            </w:r>
            <w:r w:rsidR="00B4259D" w:rsidRPr="00B4259D">
              <w:rPr>
                <w:rFonts w:ascii="Times New Roman" w:hAnsi="Times New Roman" w:cs="Times New Roman"/>
                <w:noProof/>
                <w:webHidden/>
                <w:sz w:val="24"/>
                <w:szCs w:val="24"/>
              </w:rPr>
              <w:fldChar w:fldCharType="end"/>
            </w:r>
          </w:hyperlink>
        </w:p>
        <w:p w14:paraId="56410F0A" w14:textId="59289687" w:rsidR="00B4259D" w:rsidRPr="00B4259D" w:rsidRDefault="00B307F3">
          <w:pPr>
            <w:pStyle w:val="TOC2"/>
            <w:tabs>
              <w:tab w:val="right" w:leader="dot" w:pos="9913"/>
            </w:tabs>
            <w:rPr>
              <w:rFonts w:ascii="Times New Roman" w:eastAsiaTheme="minorEastAsia" w:hAnsi="Times New Roman" w:cs="Times New Roman"/>
              <w:noProof/>
              <w:sz w:val="24"/>
              <w:szCs w:val="24"/>
              <w:lang w:val="lv-LV" w:eastAsia="lv-LV"/>
            </w:rPr>
          </w:pPr>
          <w:hyperlink w:anchor="_Toc166237503" w:history="1">
            <w:r w:rsidR="00B4259D" w:rsidRPr="00B4259D">
              <w:rPr>
                <w:rStyle w:val="Hyperlink"/>
                <w:rFonts w:ascii="Times New Roman" w:hAnsi="Times New Roman" w:cs="Times New Roman"/>
                <w:noProof/>
                <w:sz w:val="24"/>
                <w:szCs w:val="24"/>
              </w:rPr>
              <w:t>2.3. Scenarios and measures for reducing the shadow economy</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_Toc166237503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22</w:t>
            </w:r>
            <w:r w:rsidR="00B4259D" w:rsidRPr="00B4259D">
              <w:rPr>
                <w:rFonts w:ascii="Times New Roman" w:hAnsi="Times New Roman" w:cs="Times New Roman"/>
                <w:noProof/>
                <w:webHidden/>
                <w:sz w:val="24"/>
                <w:szCs w:val="24"/>
              </w:rPr>
              <w:fldChar w:fldCharType="end"/>
            </w:r>
          </w:hyperlink>
        </w:p>
        <w:p w14:paraId="18EAD35E" w14:textId="12DFEB2B" w:rsidR="00B4259D" w:rsidRPr="00B4259D" w:rsidRDefault="00B307F3">
          <w:pPr>
            <w:pStyle w:val="TOC1"/>
            <w:rPr>
              <w:rFonts w:ascii="Times New Roman" w:eastAsiaTheme="minorEastAsia" w:hAnsi="Times New Roman" w:cs="Times New Roman"/>
              <w:noProof/>
              <w:sz w:val="24"/>
              <w:szCs w:val="24"/>
              <w:lang w:val="lv-LV" w:eastAsia="lv-LV"/>
            </w:rPr>
          </w:pPr>
          <w:hyperlink w:anchor="_Toc166237504" w:history="1">
            <w:r w:rsidR="00B4259D" w:rsidRPr="00B4259D">
              <w:rPr>
                <w:rStyle w:val="Hyperlink"/>
                <w:rFonts w:ascii="Times New Roman" w:hAnsi="Times New Roman" w:cs="Times New Roman"/>
                <w:noProof/>
                <w:sz w:val="24"/>
                <w:szCs w:val="24"/>
              </w:rPr>
              <w:t>3. Aim and Courses of Action of the Plan</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_Toc166237504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27</w:t>
            </w:r>
            <w:r w:rsidR="00B4259D" w:rsidRPr="00B4259D">
              <w:rPr>
                <w:rFonts w:ascii="Times New Roman" w:hAnsi="Times New Roman" w:cs="Times New Roman"/>
                <w:noProof/>
                <w:webHidden/>
                <w:sz w:val="24"/>
                <w:szCs w:val="24"/>
              </w:rPr>
              <w:fldChar w:fldCharType="end"/>
            </w:r>
          </w:hyperlink>
        </w:p>
        <w:p w14:paraId="03BB83BC" w14:textId="4F8390B0" w:rsidR="00B4259D" w:rsidRPr="00B4259D" w:rsidRDefault="00B307F3">
          <w:pPr>
            <w:pStyle w:val="TOC1"/>
            <w:rPr>
              <w:rFonts w:ascii="Times New Roman" w:eastAsiaTheme="minorEastAsia" w:hAnsi="Times New Roman" w:cs="Times New Roman"/>
              <w:noProof/>
              <w:sz w:val="24"/>
              <w:szCs w:val="24"/>
              <w:lang w:val="lv-LV" w:eastAsia="lv-LV"/>
            </w:rPr>
          </w:pPr>
          <w:hyperlink w:anchor="_Toc166237505" w:history="1">
            <w:r w:rsidR="00B4259D" w:rsidRPr="00B4259D">
              <w:rPr>
                <w:rStyle w:val="Hyperlink"/>
                <w:rFonts w:ascii="Times New Roman" w:hAnsi="Times New Roman" w:cs="Times New Roman"/>
                <w:noProof/>
                <w:sz w:val="24"/>
                <w:szCs w:val="24"/>
              </w:rPr>
              <w:t>4. Shadow Economy Restriction Plan for 2024–2027</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_Toc166237505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28</w:t>
            </w:r>
            <w:r w:rsidR="00B4259D" w:rsidRPr="00B4259D">
              <w:rPr>
                <w:rFonts w:ascii="Times New Roman" w:hAnsi="Times New Roman" w:cs="Times New Roman"/>
                <w:noProof/>
                <w:webHidden/>
                <w:sz w:val="24"/>
                <w:szCs w:val="24"/>
              </w:rPr>
              <w:fldChar w:fldCharType="end"/>
            </w:r>
          </w:hyperlink>
        </w:p>
        <w:p w14:paraId="4BB97AD1" w14:textId="50EE63EF" w:rsidR="00B4259D" w:rsidRPr="00B4259D" w:rsidRDefault="00B307F3">
          <w:pPr>
            <w:pStyle w:val="TOC1"/>
            <w:rPr>
              <w:rFonts w:ascii="Times New Roman" w:eastAsiaTheme="minorEastAsia" w:hAnsi="Times New Roman" w:cs="Times New Roman"/>
              <w:noProof/>
              <w:sz w:val="24"/>
              <w:szCs w:val="24"/>
              <w:lang w:val="lv-LV" w:eastAsia="lv-LV"/>
            </w:rPr>
          </w:pPr>
          <w:hyperlink w:anchor="_Toc166237506" w:history="1">
            <w:r w:rsidR="00B4259D" w:rsidRPr="00B4259D">
              <w:rPr>
                <w:rStyle w:val="Hyperlink"/>
                <w:rFonts w:ascii="Times New Roman" w:hAnsi="Times New Roman" w:cs="Times New Roman"/>
                <w:noProof/>
                <w:sz w:val="24"/>
                <w:szCs w:val="24"/>
              </w:rPr>
              <w:t>5. Resultative Indicators of the Plan</w:t>
            </w:r>
            <w:r w:rsidR="00B4259D" w:rsidRPr="00B4259D">
              <w:rPr>
                <w:rFonts w:ascii="Times New Roman" w:hAnsi="Times New Roman" w:cs="Times New Roman"/>
                <w:noProof/>
                <w:webHidden/>
                <w:sz w:val="24"/>
                <w:szCs w:val="24"/>
              </w:rPr>
              <w:tab/>
            </w:r>
            <w:r w:rsidR="00B4259D" w:rsidRPr="00B4259D">
              <w:rPr>
                <w:rFonts w:ascii="Times New Roman" w:hAnsi="Times New Roman" w:cs="Times New Roman"/>
                <w:noProof/>
                <w:webHidden/>
                <w:sz w:val="24"/>
                <w:szCs w:val="24"/>
              </w:rPr>
              <w:fldChar w:fldCharType="begin"/>
            </w:r>
            <w:r w:rsidR="00B4259D" w:rsidRPr="00B4259D">
              <w:rPr>
                <w:rFonts w:ascii="Times New Roman" w:hAnsi="Times New Roman" w:cs="Times New Roman"/>
                <w:noProof/>
                <w:webHidden/>
                <w:sz w:val="24"/>
                <w:szCs w:val="24"/>
              </w:rPr>
              <w:instrText xml:space="preserve"> PAGEREF _Toc166237506 \h </w:instrText>
            </w:r>
            <w:r w:rsidR="00B4259D" w:rsidRPr="00B4259D">
              <w:rPr>
                <w:rFonts w:ascii="Times New Roman" w:hAnsi="Times New Roman" w:cs="Times New Roman"/>
                <w:noProof/>
                <w:webHidden/>
                <w:sz w:val="24"/>
                <w:szCs w:val="24"/>
              </w:rPr>
            </w:r>
            <w:r w:rsidR="00B4259D" w:rsidRPr="00B4259D">
              <w:rPr>
                <w:rFonts w:ascii="Times New Roman" w:hAnsi="Times New Roman" w:cs="Times New Roman"/>
                <w:noProof/>
                <w:webHidden/>
                <w:sz w:val="24"/>
                <w:szCs w:val="24"/>
              </w:rPr>
              <w:fldChar w:fldCharType="separate"/>
            </w:r>
            <w:r w:rsidR="00B4259D" w:rsidRPr="00B4259D">
              <w:rPr>
                <w:rFonts w:ascii="Times New Roman" w:hAnsi="Times New Roman" w:cs="Times New Roman"/>
                <w:noProof/>
                <w:webHidden/>
                <w:sz w:val="24"/>
                <w:szCs w:val="24"/>
              </w:rPr>
              <w:t>45</w:t>
            </w:r>
            <w:r w:rsidR="00B4259D" w:rsidRPr="00B4259D">
              <w:rPr>
                <w:rFonts w:ascii="Times New Roman" w:hAnsi="Times New Roman" w:cs="Times New Roman"/>
                <w:noProof/>
                <w:webHidden/>
                <w:sz w:val="24"/>
                <w:szCs w:val="24"/>
              </w:rPr>
              <w:fldChar w:fldCharType="end"/>
            </w:r>
          </w:hyperlink>
        </w:p>
        <w:p w14:paraId="791BD590" w14:textId="25A9949F" w:rsidR="00165AD7" w:rsidRDefault="00165AD7" w:rsidP="00165AD7">
          <w:pPr>
            <w:tabs>
              <w:tab w:val="right" w:leader="dot" w:pos="9072"/>
            </w:tabs>
          </w:pPr>
          <w:r w:rsidRPr="00B4259D">
            <w:rPr>
              <w:rFonts w:ascii="Times New Roman" w:hAnsi="Times New Roman" w:cs="Times New Roman"/>
              <w:b/>
              <w:sz w:val="24"/>
              <w:szCs w:val="24"/>
            </w:rPr>
            <w:fldChar w:fldCharType="end"/>
          </w:r>
        </w:p>
      </w:sdtContent>
    </w:sdt>
    <w:p w14:paraId="5CA7FFC7" w14:textId="77777777" w:rsidR="00A37C63" w:rsidRDefault="00A37C63">
      <w:pPr>
        <w:rPr>
          <w:rFonts w:ascii="Times New Roman" w:eastAsiaTheme="majorEastAsia" w:hAnsi="Times New Roman" w:cstheme="majorBidi"/>
          <w:b/>
          <w:color w:val="2F5496" w:themeColor="accent1" w:themeShade="BF"/>
          <w:sz w:val="28"/>
          <w:szCs w:val="32"/>
        </w:rPr>
      </w:pPr>
      <w:r>
        <w:br w:type="page"/>
      </w:r>
    </w:p>
    <w:p w14:paraId="7C270B5B" w14:textId="66AED82C" w:rsidR="003157BE" w:rsidRPr="008400F3" w:rsidRDefault="003157BE" w:rsidP="008400F3">
      <w:pPr>
        <w:pStyle w:val="Style4"/>
      </w:pPr>
      <w:bookmarkStart w:id="0" w:name="_Toc166237499"/>
      <w:r>
        <w:t>1. Summary</w:t>
      </w:r>
      <w:bookmarkEnd w:id="0"/>
    </w:p>
    <w:p w14:paraId="00436573" w14:textId="77777777" w:rsidR="00F60DA1" w:rsidRPr="00C2315A" w:rsidRDefault="00F60DA1" w:rsidP="00F60DA1">
      <w:pPr>
        <w:tabs>
          <w:tab w:val="left" w:pos="993"/>
        </w:tabs>
        <w:jc w:val="both"/>
        <w:rPr>
          <w:rFonts w:ascii="Times New Roman" w:hAnsi="Times New Roman" w:cs="Times New Roman"/>
          <w:sz w:val="20"/>
          <w:szCs w:val="20"/>
        </w:rPr>
      </w:pPr>
    </w:p>
    <w:p w14:paraId="1E07BC77" w14:textId="6FA68F6A" w:rsidR="005E6A36" w:rsidRPr="00720725" w:rsidRDefault="00F60DA1" w:rsidP="00C2315A">
      <w:pPr>
        <w:jc w:val="both"/>
        <w:rPr>
          <w:rFonts w:ascii="Times New Roman" w:hAnsi="Times New Roman" w:cs="Times New Roman"/>
          <w:sz w:val="24"/>
          <w:szCs w:val="24"/>
          <w:shd w:val="clear" w:color="auto" w:fill="FFFFFF"/>
        </w:rPr>
      </w:pPr>
      <w:r>
        <w:tab/>
      </w:r>
      <w:r>
        <w:rPr>
          <w:rFonts w:ascii="Times New Roman" w:hAnsi="Times New Roman"/>
          <w:sz w:val="24"/>
          <w:shd w:val="clear" w:color="auto" w:fill="FFFFFF"/>
        </w:rPr>
        <w:t xml:space="preserve">The Shadow Economy Restriction Plan for 2024–2027 (hereinafter – the plan) is a medium-term policy planning document </w:t>
      </w:r>
      <w:r>
        <w:rPr>
          <w:rFonts w:ascii="Times New Roman" w:hAnsi="Times New Roman"/>
          <w:sz w:val="24"/>
        </w:rPr>
        <w:t xml:space="preserve">which prioritises the reduction of shadow economy </w:t>
      </w:r>
      <w:r>
        <w:rPr>
          <w:rFonts w:ascii="Times New Roman" w:hAnsi="Times New Roman"/>
          <w:sz w:val="24"/>
          <w:shd w:val="clear" w:color="auto" w:fill="FFFFFF"/>
        </w:rPr>
        <w:t>for the next four years</w:t>
      </w:r>
      <w:r>
        <w:rPr>
          <w:rFonts w:ascii="Times New Roman" w:hAnsi="Times New Roman"/>
          <w:sz w:val="24"/>
        </w:rPr>
        <w:t xml:space="preserve"> by implementing </w:t>
      </w:r>
      <w:r>
        <w:rPr>
          <w:rFonts w:ascii="Times New Roman" w:hAnsi="Times New Roman"/>
          <w:sz w:val="24"/>
          <w:shd w:val="clear" w:color="auto" w:fill="FFFFFF"/>
        </w:rPr>
        <w:t>both horizontal measures and targeted measures in specific economic sectors through close cooperation with sectoral ministries and representatives of non-governmental organisations.</w:t>
      </w:r>
    </w:p>
    <w:p w14:paraId="1A58C752" w14:textId="472BDC3F" w:rsidR="00505A35" w:rsidRPr="00720725" w:rsidRDefault="00BF075C" w:rsidP="00C2315A">
      <w:pPr>
        <w:tabs>
          <w:tab w:val="left" w:pos="993"/>
        </w:tabs>
        <w:ind w:firstLine="709"/>
        <w:jc w:val="both"/>
        <w:rPr>
          <w:rFonts w:ascii="Times New Roman" w:hAnsi="Times New Roman" w:cs="Times New Roman"/>
          <w:sz w:val="24"/>
          <w:szCs w:val="24"/>
          <w:shd w:val="clear" w:color="auto" w:fill="FFFFFF"/>
        </w:rPr>
      </w:pPr>
      <w:r>
        <w:rPr>
          <w:rFonts w:ascii="Times New Roman" w:hAnsi="Times New Roman"/>
          <w:sz w:val="24"/>
        </w:rPr>
        <w:t xml:space="preserve">Cabinet Order No. 178 of </w:t>
      </w:r>
      <w:bookmarkStart w:id="1" w:name="_Hlk132789612"/>
      <w:r>
        <w:rPr>
          <w:rFonts w:ascii="Times New Roman" w:hAnsi="Times New Roman"/>
          <w:sz w:val="24"/>
        </w:rPr>
        <w:t>30 March 2023</w:t>
      </w:r>
      <w:bookmarkEnd w:id="1"/>
      <w:r>
        <w:rPr>
          <w:rFonts w:ascii="Times New Roman" w:hAnsi="Times New Roman"/>
          <w:sz w:val="24"/>
        </w:rPr>
        <w:t xml:space="preserve">, On the Development of the Shadow Economy Restriction Plan for </w:t>
      </w:r>
      <w:r>
        <w:rPr>
          <w:rFonts w:ascii="Times New Roman" w:hAnsi="Times New Roman"/>
          <w:sz w:val="24"/>
          <w:shd w:val="clear" w:color="auto" w:fill="FFFFFF"/>
        </w:rPr>
        <w:t>2023–2025</w:t>
      </w:r>
      <w:r>
        <w:rPr>
          <w:rFonts w:ascii="Times New Roman" w:hAnsi="Times New Roman"/>
          <w:sz w:val="24"/>
        </w:rPr>
        <w:t>,</w:t>
      </w:r>
      <w:r w:rsidR="00E92E3F" w:rsidRPr="00720725">
        <w:rPr>
          <w:rStyle w:val="FootnoteReference"/>
          <w:rFonts w:ascii="Times New Roman" w:eastAsia="Calibri" w:hAnsi="Times New Roman" w:cs="Times New Roman"/>
          <w:kern w:val="0"/>
          <w:sz w:val="24"/>
          <w:szCs w:val="24"/>
          <w:lang w:eastAsia="lv-LV"/>
        </w:rPr>
        <w:footnoteReference w:id="2"/>
      </w:r>
      <w:r>
        <w:rPr>
          <w:rFonts w:ascii="Times New Roman" w:hAnsi="Times New Roman"/>
          <w:sz w:val="24"/>
        </w:rPr>
        <w:t xml:space="preserve"> identifies the following three </w:t>
      </w:r>
      <w:r>
        <w:rPr>
          <w:rFonts w:ascii="Times New Roman" w:hAnsi="Times New Roman"/>
          <w:sz w:val="24"/>
          <w:shd w:val="clear" w:color="auto" w:fill="FFFFFF"/>
        </w:rPr>
        <w:t xml:space="preserve">priority sectors of the </w:t>
      </w:r>
      <w:r w:rsidR="0063273E">
        <w:rPr>
          <w:rFonts w:ascii="Times New Roman" w:hAnsi="Times New Roman"/>
          <w:sz w:val="24"/>
          <w:shd w:val="clear" w:color="auto" w:fill="FFFFFF"/>
        </w:rPr>
        <w:t xml:space="preserve">national </w:t>
      </w:r>
      <w:r>
        <w:rPr>
          <w:rFonts w:ascii="Times New Roman" w:hAnsi="Times New Roman"/>
          <w:sz w:val="24"/>
          <w:shd w:val="clear" w:color="auto" w:fill="FFFFFF"/>
        </w:rPr>
        <w:t>economy</w:t>
      </w:r>
      <w:r w:rsidR="00FD7C37">
        <w:rPr>
          <w:rFonts w:ascii="Times New Roman" w:hAnsi="Times New Roman"/>
          <w:sz w:val="24"/>
          <w:shd w:val="clear" w:color="auto" w:fill="FFFFFF"/>
        </w:rPr>
        <w:t xml:space="preserve"> </w:t>
      </w:r>
      <w:r>
        <w:rPr>
          <w:rFonts w:ascii="Times New Roman" w:hAnsi="Times New Roman"/>
          <w:sz w:val="24"/>
        </w:rPr>
        <w:t>for the reduction of the shadow economy</w:t>
      </w:r>
      <w:r>
        <w:rPr>
          <w:rFonts w:ascii="Times New Roman" w:hAnsi="Times New Roman"/>
          <w:sz w:val="24"/>
          <w:shd w:val="clear" w:color="auto" w:fill="FFFFFF"/>
        </w:rPr>
        <w:t>:</w:t>
      </w:r>
    </w:p>
    <w:p w14:paraId="5507A2E7" w14:textId="20D78530" w:rsidR="00505A35" w:rsidRPr="00720725" w:rsidRDefault="00505A35" w:rsidP="00C2315A">
      <w:pPr>
        <w:pStyle w:val="ListParagraph"/>
        <w:numPr>
          <w:ilvl w:val="0"/>
          <w:numId w:val="2"/>
        </w:numPr>
        <w:ind w:left="1077" w:hanging="357"/>
        <w:jc w:val="both"/>
        <w:rPr>
          <w:rFonts w:ascii="Times New Roman" w:hAnsi="Times New Roman" w:cs="Times New Roman"/>
          <w:sz w:val="24"/>
          <w:szCs w:val="24"/>
          <w:shd w:val="clear" w:color="auto" w:fill="FFFFFF"/>
        </w:rPr>
      </w:pPr>
      <w:r>
        <w:rPr>
          <w:rFonts w:ascii="Times New Roman" w:hAnsi="Times New Roman"/>
          <w:sz w:val="24"/>
        </w:rPr>
        <w:t xml:space="preserve">construction – building construction, civil engineering, specialised construction activities; </w:t>
      </w:r>
    </w:p>
    <w:p w14:paraId="4BC1249A" w14:textId="32ECE0DE" w:rsidR="00505A35" w:rsidRPr="00720725" w:rsidRDefault="00505A35" w:rsidP="00C2315A">
      <w:pPr>
        <w:pStyle w:val="ListParagraph"/>
        <w:numPr>
          <w:ilvl w:val="0"/>
          <w:numId w:val="2"/>
        </w:numPr>
        <w:ind w:left="1077" w:hanging="357"/>
        <w:jc w:val="both"/>
        <w:rPr>
          <w:rFonts w:ascii="Times New Roman" w:hAnsi="Times New Roman" w:cs="Times New Roman"/>
          <w:sz w:val="24"/>
          <w:szCs w:val="24"/>
          <w:shd w:val="clear" w:color="auto" w:fill="FFFFFF"/>
        </w:rPr>
      </w:pPr>
      <w:r>
        <w:rPr>
          <w:rFonts w:ascii="Times New Roman" w:hAnsi="Times New Roman"/>
          <w:sz w:val="24"/>
        </w:rPr>
        <w:t xml:space="preserve">human health and social work activities – health protection; </w:t>
      </w:r>
    </w:p>
    <w:p w14:paraId="602F3E25" w14:textId="0F61ED37" w:rsidR="00505A35" w:rsidRPr="00720725" w:rsidRDefault="00505A35" w:rsidP="00C2315A">
      <w:pPr>
        <w:pStyle w:val="ListParagraph"/>
        <w:numPr>
          <w:ilvl w:val="0"/>
          <w:numId w:val="2"/>
        </w:numPr>
        <w:ind w:left="1077" w:hanging="357"/>
        <w:jc w:val="both"/>
        <w:rPr>
          <w:rFonts w:ascii="Times New Roman" w:hAnsi="Times New Roman" w:cs="Times New Roman"/>
          <w:sz w:val="24"/>
          <w:szCs w:val="24"/>
          <w:shd w:val="clear" w:color="auto" w:fill="FFFFFF"/>
        </w:rPr>
      </w:pPr>
      <w:r>
        <w:rPr>
          <w:rFonts w:ascii="Times New Roman" w:hAnsi="Times New Roman"/>
          <w:sz w:val="24"/>
        </w:rPr>
        <w:t>wholesale and retail trade relating to the use of cash mutual transactions and the availability and disclosure of information to public authorities.</w:t>
      </w:r>
    </w:p>
    <w:p w14:paraId="07D0E678" w14:textId="28AE3758" w:rsidR="00413536" w:rsidRPr="00E95532" w:rsidRDefault="00505A35" w:rsidP="00E95532">
      <w:pPr>
        <w:ind w:firstLine="709"/>
        <w:jc w:val="both"/>
        <w:rPr>
          <w:rFonts w:ascii="Times New Roman" w:hAnsi="Times New Roman"/>
          <w:sz w:val="24"/>
          <w:shd w:val="clear" w:color="auto" w:fill="FFFFFF"/>
        </w:rPr>
      </w:pPr>
      <w:r>
        <w:rPr>
          <w:rFonts w:ascii="Times New Roman" w:hAnsi="Times New Roman"/>
          <w:sz w:val="24"/>
        </w:rPr>
        <w:tab/>
        <w:t xml:space="preserve">The Cabinet Order </w:t>
      </w:r>
      <w:r>
        <w:rPr>
          <w:rFonts w:ascii="Times New Roman" w:hAnsi="Times New Roman"/>
          <w:sz w:val="24"/>
          <w:shd w:val="clear" w:color="auto" w:fill="FFFFFF"/>
        </w:rPr>
        <w:t>strengthened the governance model of the plan, stating that the development, implementation and monitoring of the measures of the plan in a specific sector shall be the responsibility of the relevant sectoral ministry. Therefore</w:t>
      </w:r>
      <w:r>
        <w:rPr>
          <w:rFonts w:ascii="Times New Roman" w:hAnsi="Times New Roman"/>
          <w:sz w:val="24"/>
        </w:rPr>
        <w:t>, four working groups were set up</w:t>
      </w:r>
      <w:r w:rsidR="00FD7C37">
        <w:rPr>
          <w:rFonts w:ascii="Times New Roman" w:hAnsi="Times New Roman"/>
          <w:sz w:val="24"/>
        </w:rPr>
        <w:t xml:space="preserve"> </w:t>
      </w:r>
      <w:r>
        <w:rPr>
          <w:rFonts w:ascii="Times New Roman" w:hAnsi="Times New Roman"/>
          <w:sz w:val="24"/>
          <w:shd w:val="clear" w:color="auto" w:fill="FFFFFF"/>
        </w:rPr>
        <w:t xml:space="preserve">to draft proposals for the </w:t>
      </w:r>
      <w:r w:rsidR="00CE1DE0">
        <w:rPr>
          <w:rFonts w:ascii="Times New Roman" w:hAnsi="Times New Roman"/>
          <w:sz w:val="24"/>
          <w:shd w:val="clear" w:color="auto" w:fill="FFFFFF"/>
        </w:rPr>
        <w:t>Shadow Economy Restriction Plan for 2024–2027</w:t>
      </w:r>
      <w:r>
        <w:rPr>
          <w:rFonts w:ascii="Times New Roman" w:hAnsi="Times New Roman"/>
          <w:sz w:val="24"/>
          <w:shd w:val="clear" w:color="auto" w:fill="FFFFFF"/>
        </w:rPr>
        <w:t xml:space="preserve"> (hereinafter – the plan)</w:t>
      </w:r>
      <w:r>
        <w:rPr>
          <w:rFonts w:ascii="Times New Roman" w:hAnsi="Times New Roman"/>
          <w:sz w:val="24"/>
        </w:rPr>
        <w:t>:</w:t>
      </w:r>
    </w:p>
    <w:p w14:paraId="7426337A" w14:textId="25394E1A" w:rsidR="00413536" w:rsidRPr="00720725" w:rsidRDefault="00413536" w:rsidP="00C2315A">
      <w:pPr>
        <w:numPr>
          <w:ilvl w:val="0"/>
          <w:numId w:val="1"/>
        </w:numPr>
        <w:ind w:left="1134" w:hanging="357"/>
        <w:jc w:val="both"/>
        <w:rPr>
          <w:rFonts w:ascii="Times New Roman" w:eastAsia="Times New Roman" w:hAnsi="Times New Roman" w:cs="Times New Roman"/>
          <w:kern w:val="0"/>
          <w:sz w:val="24"/>
          <w:szCs w:val="24"/>
          <w14:ligatures w14:val="none"/>
        </w:rPr>
      </w:pPr>
      <w:r>
        <w:rPr>
          <w:rFonts w:ascii="Times New Roman" w:hAnsi="Times New Roman"/>
          <w:sz w:val="24"/>
        </w:rPr>
        <w:t>on the use of cash in mutual transactions (MoF);</w:t>
      </w:r>
    </w:p>
    <w:p w14:paraId="7891BDC3" w14:textId="67C20DFF" w:rsidR="00413536" w:rsidRPr="00720725" w:rsidRDefault="00413536" w:rsidP="00C2315A">
      <w:pPr>
        <w:numPr>
          <w:ilvl w:val="0"/>
          <w:numId w:val="1"/>
        </w:numPr>
        <w:ind w:left="1134" w:hanging="357"/>
        <w:jc w:val="both"/>
        <w:rPr>
          <w:rFonts w:ascii="Times New Roman" w:eastAsia="Times New Roman" w:hAnsi="Times New Roman" w:cs="Times New Roman"/>
          <w:kern w:val="0"/>
          <w:sz w:val="24"/>
          <w:szCs w:val="24"/>
          <w14:ligatures w14:val="none"/>
        </w:rPr>
      </w:pPr>
      <w:r>
        <w:rPr>
          <w:rFonts w:ascii="Times New Roman" w:hAnsi="Times New Roman"/>
          <w:sz w:val="24"/>
        </w:rPr>
        <w:t>on the exchange of information and data between public authorities (MoF);</w:t>
      </w:r>
    </w:p>
    <w:p w14:paraId="0A29D828" w14:textId="11F86DDD" w:rsidR="00413536" w:rsidRPr="00720725" w:rsidRDefault="00413536" w:rsidP="00C2315A">
      <w:pPr>
        <w:numPr>
          <w:ilvl w:val="0"/>
          <w:numId w:val="1"/>
        </w:numPr>
        <w:ind w:left="1134" w:hanging="357"/>
        <w:jc w:val="both"/>
        <w:rPr>
          <w:rFonts w:ascii="Times New Roman" w:eastAsia="Times New Roman" w:hAnsi="Times New Roman" w:cs="Times New Roman"/>
          <w:kern w:val="0"/>
          <w:sz w:val="24"/>
          <w:szCs w:val="24"/>
          <w14:ligatures w14:val="none"/>
        </w:rPr>
      </w:pPr>
      <w:r>
        <w:rPr>
          <w:rFonts w:ascii="Times New Roman" w:hAnsi="Times New Roman"/>
          <w:sz w:val="24"/>
        </w:rPr>
        <w:t>on improvement of the policy and regulatory framework in the construction sector, i.e. specialised construction activities, building construction and civil engineering (MoE);</w:t>
      </w:r>
    </w:p>
    <w:p w14:paraId="025622D1" w14:textId="6A015BF0" w:rsidR="00413536" w:rsidRPr="00720725" w:rsidRDefault="00F60DA1" w:rsidP="00C2315A">
      <w:pPr>
        <w:numPr>
          <w:ilvl w:val="0"/>
          <w:numId w:val="1"/>
        </w:numPr>
        <w:ind w:left="1134" w:hanging="357"/>
        <w:contextualSpacing/>
        <w:jc w:val="both"/>
        <w:rPr>
          <w:rFonts w:ascii="Times New Roman" w:eastAsia="Times New Roman" w:hAnsi="Times New Roman" w:cs="Times New Roman"/>
          <w:kern w:val="0"/>
          <w:sz w:val="24"/>
          <w:szCs w:val="24"/>
          <w14:ligatures w14:val="none"/>
        </w:rPr>
      </w:pPr>
      <w:r>
        <w:rPr>
          <w:rFonts w:ascii="Times New Roman" w:hAnsi="Times New Roman"/>
          <w:sz w:val="24"/>
        </w:rPr>
        <w:t>on improvement of the policy and regulatory framework in the health protection and also beauty care sectors (MoH).</w:t>
      </w:r>
    </w:p>
    <w:p w14:paraId="187FFC69" w14:textId="098CDA15" w:rsidR="00D73BFC" w:rsidRPr="00720725" w:rsidRDefault="00F60DA1" w:rsidP="00C2315A">
      <w:pPr>
        <w:ind w:firstLine="720"/>
        <w:jc w:val="both"/>
        <w:rPr>
          <w:rFonts w:ascii="Times New Roman" w:hAnsi="Times New Roman" w:cs="Times New Roman"/>
          <w:sz w:val="24"/>
          <w:szCs w:val="24"/>
          <w:shd w:val="clear" w:color="auto" w:fill="FFFFFF"/>
        </w:rPr>
      </w:pPr>
      <w:r>
        <w:rPr>
          <w:rFonts w:ascii="Times New Roman" w:hAnsi="Times New Roman"/>
          <w:sz w:val="24"/>
          <w:shd w:val="clear" w:color="auto" w:fill="FFFFFF"/>
        </w:rPr>
        <w:t>Representatives of the MoE, MoH, MoEPRD, the Ministry of the Interior, MoT, MoES, MoW, SRS, BoL, LDDK, LCCI, the Foreign Investors Council in Latvia, the Corruption Prevention and Combating Bureau, and also more than 30 sectoral associations were involved in the work of the working groups.</w:t>
      </w:r>
      <w:r>
        <w:rPr>
          <w:rFonts w:ascii="Times New Roman" w:hAnsi="Times New Roman"/>
          <w:sz w:val="24"/>
        </w:rPr>
        <w:t xml:space="preserve"> </w:t>
      </w:r>
      <w:r>
        <w:rPr>
          <w:rFonts w:ascii="Times New Roman" w:hAnsi="Times New Roman"/>
          <w:sz w:val="24"/>
          <w:shd w:val="clear" w:color="auto" w:fill="FFFFFF"/>
        </w:rPr>
        <w:t>In the period from April to May 2023</w:t>
      </w:r>
      <w:r>
        <w:rPr>
          <w:rFonts w:ascii="Times New Roman" w:hAnsi="Times New Roman"/>
          <w:sz w:val="24"/>
        </w:rPr>
        <w:t xml:space="preserve">, four working groups developed a total of more than 50 proposals for the measures of the draft plan, </w:t>
      </w:r>
      <w:r>
        <w:rPr>
          <w:rFonts w:ascii="Times New Roman" w:hAnsi="Times New Roman"/>
          <w:sz w:val="24"/>
          <w:shd w:val="clear" w:color="auto" w:fill="FFFFFF"/>
        </w:rPr>
        <w:t>outlining the main courses of action and the resultative indicators to be achieved.</w:t>
      </w:r>
    </w:p>
    <w:p w14:paraId="5CA5DD69" w14:textId="7FC21D56" w:rsidR="00317C74" w:rsidRPr="00720725" w:rsidRDefault="00464B4D" w:rsidP="00C2315A">
      <w:pPr>
        <w:ind w:firstLine="709"/>
        <w:jc w:val="both"/>
        <w:rPr>
          <w:rFonts w:ascii="Times New Roman" w:hAnsi="Times New Roman" w:cs="Times New Roman"/>
          <w:sz w:val="24"/>
          <w:szCs w:val="24"/>
          <w:shd w:val="clear" w:color="auto" w:fill="FFFFFF"/>
        </w:rPr>
      </w:pPr>
      <w:r>
        <w:rPr>
          <w:rFonts w:ascii="Times New Roman" w:hAnsi="Times New Roman"/>
          <w:sz w:val="24"/>
        </w:rPr>
        <w:tab/>
        <w:t xml:space="preserve">In accordance with the Cabinet Order, </w:t>
      </w:r>
      <w:r>
        <w:rPr>
          <w:rFonts w:ascii="Times New Roman" w:hAnsi="Times New Roman"/>
          <w:sz w:val="24"/>
          <w:shd w:val="clear" w:color="auto" w:fill="FFFFFF"/>
        </w:rPr>
        <w:t>at the end of May</w:t>
      </w:r>
      <w:r>
        <w:rPr>
          <w:rFonts w:ascii="Times New Roman" w:hAnsi="Times New Roman"/>
          <w:sz w:val="24"/>
        </w:rPr>
        <w:t xml:space="preserve">, the MoE and MoH </w:t>
      </w:r>
      <w:r>
        <w:rPr>
          <w:rFonts w:ascii="Times New Roman" w:hAnsi="Times New Roman"/>
          <w:sz w:val="24"/>
          <w:shd w:val="clear" w:color="auto" w:fill="FFFFFF"/>
        </w:rPr>
        <w:t xml:space="preserve">informed of the conclusions of the working groups, providing </w:t>
      </w:r>
      <w:r>
        <w:rPr>
          <w:rFonts w:ascii="Times New Roman" w:hAnsi="Times New Roman"/>
          <w:sz w:val="24"/>
        </w:rPr>
        <w:t>the draft plan</w:t>
      </w:r>
      <w:r>
        <w:rPr>
          <w:rFonts w:ascii="Times New Roman" w:hAnsi="Times New Roman"/>
          <w:sz w:val="24"/>
          <w:shd w:val="clear" w:color="auto" w:fill="FFFFFF"/>
        </w:rPr>
        <w:t xml:space="preserve"> </w:t>
      </w:r>
      <w:r>
        <w:rPr>
          <w:rFonts w:ascii="Times New Roman" w:hAnsi="Times New Roman"/>
          <w:sz w:val="24"/>
        </w:rPr>
        <w:t>with proposals for measures to improve the policy and legal framework of a specific economic sector</w:t>
      </w:r>
      <w:r>
        <w:rPr>
          <w:rFonts w:ascii="Times New Roman" w:hAnsi="Times New Roman"/>
          <w:sz w:val="24"/>
          <w:shd w:val="clear" w:color="auto" w:fill="FFFFFF"/>
        </w:rPr>
        <w:t xml:space="preserve"> and further actions to curb the shadow economy in a specific sector.</w:t>
      </w:r>
      <w:r>
        <w:rPr>
          <w:rFonts w:ascii="Times New Roman" w:hAnsi="Times New Roman"/>
          <w:sz w:val="24"/>
        </w:rPr>
        <w:t xml:space="preserve"> In addition, the Ministry of Finance, when developing the shadow economy restriction plan for the next period, emphasised communication with sectoral ministries and </w:t>
      </w:r>
      <w:r>
        <w:rPr>
          <w:rFonts w:ascii="Times New Roman" w:hAnsi="Times New Roman"/>
          <w:sz w:val="24"/>
          <w:shd w:val="clear" w:color="auto" w:fill="FFFFFF"/>
        </w:rPr>
        <w:t>representatives</w:t>
      </w:r>
      <w:r w:rsidR="00EF110E">
        <w:rPr>
          <w:rFonts w:ascii="Times New Roman" w:hAnsi="Times New Roman"/>
          <w:sz w:val="24"/>
          <w:shd w:val="clear" w:color="auto" w:fill="FFFFFF"/>
        </w:rPr>
        <w:t xml:space="preserve"> </w:t>
      </w:r>
      <w:r>
        <w:rPr>
          <w:rFonts w:ascii="Times New Roman" w:hAnsi="Times New Roman"/>
          <w:sz w:val="24"/>
        </w:rPr>
        <w:t xml:space="preserve">of the non-governmental sector </w:t>
      </w:r>
      <w:r>
        <w:rPr>
          <w:rFonts w:ascii="Times New Roman" w:hAnsi="Times New Roman"/>
          <w:sz w:val="24"/>
          <w:shd w:val="clear" w:color="auto" w:fill="FFFFFF"/>
        </w:rPr>
        <w:t xml:space="preserve">to identify measures that would both reduce the shadow economy and improve the business environment in priority sectors, reducing distortions of competition. </w:t>
      </w:r>
    </w:p>
    <w:p w14:paraId="08E3C519" w14:textId="359C777B" w:rsidR="007A5251" w:rsidRPr="00720725" w:rsidRDefault="007A5251" w:rsidP="00C2315A">
      <w:pPr>
        <w:ind w:firstLine="709"/>
        <w:jc w:val="both"/>
        <w:rPr>
          <w:rFonts w:ascii="Times New Roman" w:eastAsia="Calibri" w:hAnsi="Times New Roman" w:cs="Times New Roman"/>
          <w:kern w:val="0"/>
          <w:sz w:val="24"/>
          <w:szCs w:val="24"/>
          <w14:ligatures w14:val="none"/>
        </w:rPr>
      </w:pPr>
      <w:r>
        <w:rPr>
          <w:rFonts w:ascii="Times New Roman" w:hAnsi="Times New Roman"/>
          <w:sz w:val="24"/>
          <w:shd w:val="clear" w:color="auto" w:fill="FFFFFF"/>
        </w:rPr>
        <w:t>The plan includes measures that are aimed at reducing the risk of the shadow economy</w:t>
      </w:r>
      <w:r>
        <w:rPr>
          <w:rFonts w:ascii="Times New Roman" w:hAnsi="Times New Roman"/>
          <w:sz w:val="24"/>
        </w:rPr>
        <w:t xml:space="preserve"> in a</w:t>
      </w:r>
      <w:r w:rsidR="003A5082">
        <w:rPr>
          <w:rFonts w:ascii="Times New Roman" w:hAnsi="Times New Roman"/>
          <w:sz w:val="24"/>
        </w:rPr>
        <w:t> </w:t>
      </w:r>
      <w:r>
        <w:rPr>
          <w:rFonts w:ascii="Times New Roman" w:hAnsi="Times New Roman"/>
          <w:sz w:val="24"/>
        </w:rPr>
        <w:t xml:space="preserve">specific sector and also provides an estimate of the potential fiscal impact on the State budget from implementing the measures. </w:t>
      </w:r>
    </w:p>
    <w:p w14:paraId="0B68252D" w14:textId="24EF1091" w:rsidR="0077652F" w:rsidRDefault="00720725" w:rsidP="00364849">
      <w:pPr>
        <w:ind w:firstLine="709"/>
        <w:jc w:val="both"/>
        <w:rPr>
          <w:rFonts w:ascii="Times New Roman" w:eastAsia="Calibri" w:hAnsi="Times New Roman" w:cs="Times New Roman"/>
          <w:color w:val="000000" w:themeColor="text1"/>
          <w:kern w:val="0"/>
          <w:sz w:val="24"/>
          <w:szCs w:val="24"/>
          <w14:ligatures w14:val="none"/>
        </w:rPr>
      </w:pPr>
      <w:r>
        <w:rPr>
          <w:rFonts w:ascii="Times New Roman" w:hAnsi="Times New Roman"/>
          <w:sz w:val="24"/>
          <w:shd w:val="clear" w:color="auto" w:fill="FFFFFF"/>
        </w:rPr>
        <w:tab/>
      </w:r>
      <w:r>
        <w:rPr>
          <w:rFonts w:ascii="Times New Roman" w:hAnsi="Times New Roman"/>
          <w:color w:val="000000" w:themeColor="text1"/>
          <w:sz w:val="24"/>
          <w:shd w:val="clear" w:color="auto" w:fill="FFFFFF"/>
        </w:rPr>
        <w:t xml:space="preserve">Developing </w:t>
      </w:r>
      <w:r>
        <w:rPr>
          <w:rFonts w:ascii="Times New Roman" w:hAnsi="Times New Roman"/>
          <w:color w:val="000000" w:themeColor="text1"/>
          <w:sz w:val="24"/>
        </w:rPr>
        <w:t>Cabinet Order No. 178</w:t>
      </w:r>
      <w:r w:rsidR="00D83764">
        <w:rPr>
          <w:rFonts w:ascii="Times New Roman" w:hAnsi="Times New Roman"/>
          <w:color w:val="000000" w:themeColor="text1"/>
          <w:sz w:val="24"/>
        </w:rPr>
        <w:t xml:space="preserve"> </w:t>
      </w:r>
      <w:r>
        <w:rPr>
          <w:rFonts w:ascii="Times New Roman" w:hAnsi="Times New Roman"/>
          <w:sz w:val="24"/>
        </w:rPr>
        <w:t>of 30 March 2023, On the Development of the Shadow Economy Restriction Plan for</w:t>
      </w:r>
      <w:r>
        <w:rPr>
          <w:rFonts w:ascii="Times New Roman" w:hAnsi="Times New Roman"/>
          <w:color w:val="000000" w:themeColor="text1"/>
          <w:sz w:val="24"/>
        </w:rPr>
        <w:t xml:space="preserve"> </w:t>
      </w:r>
      <w:r>
        <w:rPr>
          <w:rFonts w:ascii="Times New Roman" w:hAnsi="Times New Roman"/>
          <w:color w:val="000000" w:themeColor="text1"/>
          <w:sz w:val="24"/>
          <w:shd w:val="clear" w:color="auto" w:fill="FFFFFF"/>
        </w:rPr>
        <w:t>2023–2025, it was initially planned to develop a plan for a three-year period. During the process of developing the courses of action of the plan</w:t>
      </w:r>
      <w:r>
        <w:rPr>
          <w:rFonts w:ascii="Times New Roman" w:hAnsi="Times New Roman"/>
          <w:color w:val="000000" w:themeColor="text1"/>
          <w:sz w:val="24"/>
        </w:rPr>
        <w:t xml:space="preserve">, the implementation period was adjusted, thus ensuring </w:t>
      </w:r>
      <w:r>
        <w:rPr>
          <w:rFonts w:ascii="Times New Roman" w:hAnsi="Times New Roman"/>
          <w:color w:val="000000" w:themeColor="text1"/>
          <w:sz w:val="24"/>
          <w:shd w:val="clear" w:color="auto" w:fill="FFFFFF"/>
        </w:rPr>
        <w:t xml:space="preserve">consistency </w:t>
      </w:r>
      <w:r>
        <w:rPr>
          <w:rFonts w:ascii="Times New Roman" w:hAnsi="Times New Roman"/>
          <w:color w:val="000000" w:themeColor="text1"/>
          <w:sz w:val="24"/>
        </w:rPr>
        <w:t xml:space="preserve">with the Tax Policy Guidelines by setting a </w:t>
      </w:r>
      <w:r>
        <w:rPr>
          <w:rFonts w:ascii="Times New Roman" w:hAnsi="Times New Roman"/>
          <w:color w:val="000000" w:themeColor="text1"/>
          <w:sz w:val="24"/>
          <w:shd w:val="clear" w:color="auto" w:fill="FFFFFF"/>
        </w:rPr>
        <w:t>four-year period, i.e.</w:t>
      </w:r>
      <w:r>
        <w:rPr>
          <w:rFonts w:ascii="Times New Roman" w:hAnsi="Times New Roman"/>
          <w:color w:val="000000" w:themeColor="text1"/>
          <w:sz w:val="24"/>
        </w:rPr>
        <w:t xml:space="preserve"> </w:t>
      </w:r>
      <w:r>
        <w:rPr>
          <w:rFonts w:ascii="Times New Roman" w:hAnsi="Times New Roman"/>
          <w:color w:val="000000" w:themeColor="text1"/>
          <w:sz w:val="24"/>
          <w:shd w:val="clear" w:color="auto" w:fill="FFFFFF"/>
        </w:rPr>
        <w:t>from 2024 to 2027.</w:t>
      </w:r>
      <w:r>
        <w:rPr>
          <w:rFonts w:ascii="Times New Roman" w:hAnsi="Times New Roman"/>
          <w:color w:val="000000" w:themeColor="text1"/>
          <w:sz w:val="24"/>
        </w:rPr>
        <w:t xml:space="preserve"> </w:t>
      </w:r>
    </w:p>
    <w:p w14:paraId="7E595A81" w14:textId="150CF5F1" w:rsidR="0077652F" w:rsidRDefault="0077652F" w:rsidP="00364849">
      <w:pPr>
        <w:ind w:firstLine="709"/>
        <w:jc w:val="both"/>
        <w:rPr>
          <w:rFonts w:ascii="Times New Roman" w:eastAsia="Calibri" w:hAnsi="Times New Roman" w:cs="Times New Roman"/>
          <w:color w:val="000000" w:themeColor="text1"/>
          <w:kern w:val="0"/>
          <w:sz w:val="24"/>
          <w:szCs w:val="24"/>
          <w14:ligatures w14:val="none"/>
        </w:rPr>
      </w:pPr>
      <w:r>
        <w:rPr>
          <w:rFonts w:ascii="Times New Roman" w:hAnsi="Times New Roman"/>
          <w:color w:val="000000" w:themeColor="text1"/>
          <w:sz w:val="24"/>
        </w:rPr>
        <w:t xml:space="preserve">Tax policy </w:t>
      </w:r>
      <w:r>
        <w:rPr>
          <w:rFonts w:ascii="Times New Roman" w:hAnsi="Times New Roman"/>
          <w:sz w:val="24"/>
        </w:rPr>
        <w:t xml:space="preserve">is an essential prerequisite for a favourable business environment. </w:t>
      </w:r>
      <w:r w:rsidR="00466133">
        <w:rPr>
          <w:rFonts w:ascii="Times New Roman" w:hAnsi="Times New Roman"/>
          <w:sz w:val="24"/>
        </w:rPr>
        <w:t>Furthermore</w:t>
      </w:r>
      <w:r>
        <w:rPr>
          <w:rFonts w:ascii="Times New Roman" w:hAnsi="Times New Roman"/>
          <w:sz w:val="24"/>
        </w:rPr>
        <w:t>, an</w:t>
      </w:r>
      <w:r w:rsidR="00466133">
        <w:rPr>
          <w:rFonts w:ascii="Times New Roman" w:hAnsi="Times New Roman"/>
          <w:sz w:val="24"/>
        </w:rPr>
        <w:t> </w:t>
      </w:r>
      <w:r>
        <w:rPr>
          <w:rFonts w:ascii="Times New Roman" w:hAnsi="Times New Roman"/>
          <w:sz w:val="24"/>
        </w:rPr>
        <w:t>attractive business environment is a key instrument for reducing the shadow economy</w:t>
      </w:r>
      <w:r>
        <w:rPr>
          <w:rFonts w:ascii="Times New Roman" w:hAnsi="Times New Roman"/>
          <w:color w:val="000000" w:themeColor="text1"/>
          <w:sz w:val="24"/>
        </w:rPr>
        <w:t xml:space="preserve">. </w:t>
      </w:r>
      <w:r>
        <w:rPr>
          <w:rFonts w:ascii="Times New Roman" w:hAnsi="Times New Roman"/>
          <w:sz w:val="24"/>
        </w:rPr>
        <w:t xml:space="preserve">At the same time, </w:t>
      </w:r>
      <w:r>
        <w:rPr>
          <w:rFonts w:ascii="Times New Roman" w:hAnsi="Times New Roman"/>
          <w:color w:val="000000" w:themeColor="text1"/>
          <w:sz w:val="24"/>
        </w:rPr>
        <w:t xml:space="preserve">shadow economy participants create unfair competition that has a negative impact on </w:t>
      </w:r>
      <w:r>
        <w:rPr>
          <w:rFonts w:ascii="Times New Roman" w:hAnsi="Times New Roman"/>
          <w:sz w:val="24"/>
        </w:rPr>
        <w:t>the business environment.</w:t>
      </w:r>
      <w:r>
        <w:rPr>
          <w:rFonts w:ascii="Times New Roman" w:hAnsi="Times New Roman"/>
          <w:color w:val="000000" w:themeColor="text1"/>
          <w:sz w:val="24"/>
        </w:rPr>
        <w:t xml:space="preserve"> The relevant processes are therefore interrelated.</w:t>
      </w:r>
    </w:p>
    <w:p w14:paraId="4F5676AC" w14:textId="25EB4893" w:rsidR="00720725" w:rsidRPr="00720725" w:rsidRDefault="00C018AF" w:rsidP="00C2315A">
      <w:pPr>
        <w:ind w:firstLine="709"/>
        <w:jc w:val="both"/>
        <w:rPr>
          <w:rFonts w:ascii="Times New Roman" w:hAnsi="Times New Roman" w:cs="Times New Roman"/>
          <w:color w:val="000000" w:themeColor="text1"/>
          <w:sz w:val="24"/>
          <w:szCs w:val="24"/>
          <w:shd w:val="clear" w:color="auto" w:fill="FFFFFF"/>
        </w:rPr>
      </w:pPr>
      <w:r>
        <w:rPr>
          <w:rFonts w:ascii="Times New Roman" w:hAnsi="Times New Roman"/>
          <w:sz w:val="24"/>
          <w:shd w:val="clear" w:color="auto" w:fill="FFFFFF"/>
        </w:rPr>
        <w:t xml:space="preserve">The draft plan has been discussed and agreed with sectoral ministries, SRS, IUB and sectoral associations. </w:t>
      </w:r>
      <w:r>
        <w:rPr>
          <w:rFonts w:ascii="Times New Roman" w:hAnsi="Times New Roman"/>
          <w:sz w:val="24"/>
        </w:rPr>
        <w:t xml:space="preserve">A number of proposals for the measures of the plan identified in the working groups have been submitted for evaluation and discussion to the </w:t>
      </w:r>
      <w:bookmarkStart w:id="2" w:name="_Hlk140839132"/>
      <w:r>
        <w:rPr>
          <w:rFonts w:ascii="Times New Roman" w:hAnsi="Times New Roman"/>
          <w:sz w:val="24"/>
        </w:rPr>
        <w:t>working group</w:t>
      </w:r>
      <w:bookmarkEnd w:id="2"/>
      <w:r>
        <w:t xml:space="preserve"> </w:t>
      </w:r>
      <w:r>
        <w:rPr>
          <w:rFonts w:ascii="Times New Roman" w:hAnsi="Times New Roman"/>
          <w:sz w:val="24"/>
        </w:rPr>
        <w:t xml:space="preserve">which is developing the Tax Policy Guidelines for </w:t>
      </w:r>
      <w:r>
        <w:rPr>
          <w:rFonts w:ascii="Times New Roman" w:hAnsi="Times New Roman"/>
          <w:sz w:val="24"/>
          <w:shd w:val="clear" w:color="auto" w:fill="FFFFFF"/>
        </w:rPr>
        <w:t>2024–2027</w:t>
      </w:r>
      <w:r>
        <w:rPr>
          <w:rFonts w:ascii="Times New Roman" w:hAnsi="Times New Roman"/>
          <w:sz w:val="24"/>
        </w:rPr>
        <w:t xml:space="preserve">. It should be noted that the plan includes </w:t>
      </w:r>
      <w:r>
        <w:rPr>
          <w:rFonts w:ascii="Times New Roman" w:hAnsi="Times New Roman"/>
          <w:color w:val="000000" w:themeColor="text1"/>
          <w:sz w:val="24"/>
        </w:rPr>
        <w:t>specifically designed</w:t>
      </w:r>
      <w:r>
        <w:rPr>
          <w:rFonts w:ascii="Times New Roman" w:hAnsi="Times New Roman"/>
          <w:color w:val="FF0000"/>
          <w:sz w:val="24"/>
        </w:rPr>
        <w:t xml:space="preserve"> </w:t>
      </w:r>
      <w:r>
        <w:rPr>
          <w:rFonts w:ascii="Times New Roman" w:hAnsi="Times New Roman"/>
          <w:sz w:val="24"/>
          <w:shd w:val="clear" w:color="auto" w:fill="FFFFFF"/>
        </w:rPr>
        <w:t xml:space="preserve">measures to mitigate the risk of the shadow economy that will </w:t>
      </w:r>
      <w:r>
        <w:rPr>
          <w:rFonts w:ascii="Times New Roman" w:hAnsi="Times New Roman"/>
          <w:sz w:val="24"/>
        </w:rPr>
        <w:t xml:space="preserve">not duplicate </w:t>
      </w:r>
      <w:r w:rsidR="00654841">
        <w:rPr>
          <w:rFonts w:ascii="Times New Roman" w:hAnsi="Times New Roman"/>
          <w:sz w:val="24"/>
        </w:rPr>
        <w:t xml:space="preserve">with </w:t>
      </w:r>
      <w:r>
        <w:rPr>
          <w:rFonts w:ascii="Times New Roman" w:hAnsi="Times New Roman"/>
          <w:sz w:val="24"/>
        </w:rPr>
        <w:t xml:space="preserve">the </w:t>
      </w:r>
      <w:r>
        <w:rPr>
          <w:rFonts w:ascii="Times New Roman" w:hAnsi="Times New Roman"/>
          <w:color w:val="000000" w:themeColor="text1"/>
          <w:sz w:val="24"/>
        </w:rPr>
        <w:t xml:space="preserve">tasks included in the Tax Policy Guidelines and development planning documents of other authorities, and also tax administration, operational and supervision measures included in the SRS work plan. </w:t>
      </w:r>
    </w:p>
    <w:p w14:paraId="11091D78" w14:textId="3A7B05CE" w:rsidR="009D02F8" w:rsidRDefault="00C2315A" w:rsidP="00C2315A">
      <w:pPr>
        <w:ind w:firstLine="709"/>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hd w:val="clear" w:color="auto" w:fill="FFFFFF"/>
        </w:rPr>
        <w:t xml:space="preserve">The SRS will continue its work </w:t>
      </w:r>
      <w:r w:rsidR="003706D0">
        <w:rPr>
          <w:rFonts w:ascii="Times New Roman" w:hAnsi="Times New Roman"/>
          <w:color w:val="000000" w:themeColor="text1"/>
          <w:sz w:val="24"/>
          <w:shd w:val="clear" w:color="auto" w:fill="FFFFFF"/>
        </w:rPr>
        <w:t>to improve</w:t>
      </w:r>
      <w:r>
        <w:rPr>
          <w:rFonts w:ascii="Times New Roman" w:hAnsi="Times New Roman"/>
          <w:color w:val="000000" w:themeColor="text1"/>
          <w:sz w:val="24"/>
          <w:shd w:val="clear" w:color="auto" w:fill="FFFFFF"/>
        </w:rPr>
        <w:t xml:space="preserve"> the efficiency of the service provision process, implementing a new approach to tax administration, i.e. tax control, by introducing smart solutions to support the workflow of the control process as laid down in the SRS internal action plans.</w:t>
      </w:r>
    </w:p>
    <w:p w14:paraId="64BD109B" w14:textId="30342CE7" w:rsidR="0085726E" w:rsidRDefault="0085726E" w:rsidP="001004AE">
      <w:pPr>
        <w:ind w:firstLine="709"/>
        <w:jc w:val="both"/>
        <w:rPr>
          <w:rFonts w:ascii="Times New Roman" w:hAnsi="Times New Roman" w:cs="Times New Roman"/>
          <w:color w:val="000000" w:themeColor="text1"/>
          <w:sz w:val="24"/>
          <w:szCs w:val="24"/>
          <w:shd w:val="clear" w:color="auto" w:fill="FFFFFF"/>
        </w:rPr>
      </w:pPr>
      <w:bookmarkStart w:id="3" w:name="_Hlk149216025"/>
      <w:r>
        <w:rPr>
          <w:rFonts w:ascii="Times New Roman" w:hAnsi="Times New Roman"/>
          <w:color w:val="000000" w:themeColor="text1"/>
          <w:sz w:val="24"/>
          <w:shd w:val="clear" w:color="auto" w:fill="FFFFFF"/>
        </w:rPr>
        <w:t>In addition, within the framework of the courses of action set out in the plan, measures are being taken to improve sectoral policies and the regulatory framework to reduce the shadow economy, improve the business environment and promote voluntary compliance with tax obligations. The plan includes measures that provide for the use of taxpayer rating in public procurements, restrictions on the circulation of cash, promoting the use of non-cash transactions, identification of opportunities to improve the personal income tax return, strengthening of data analytics in the construction, health and beauty care sectors, improvement of information and data exchange, public education and other measures to improve the competitiveness of businesses.</w:t>
      </w:r>
    </w:p>
    <w:bookmarkEnd w:id="3"/>
    <w:p w14:paraId="3B2AB3DD" w14:textId="77777777" w:rsidR="00734C40" w:rsidRDefault="00734C40" w:rsidP="0085726E">
      <w:pPr>
        <w:ind w:firstLine="709"/>
        <w:jc w:val="both"/>
        <w:rPr>
          <w:rFonts w:ascii="Times New Roman" w:hAnsi="Times New Roman" w:cs="Times New Roman"/>
          <w:color w:val="000000" w:themeColor="text1"/>
          <w:sz w:val="24"/>
          <w:szCs w:val="24"/>
          <w:shd w:val="clear" w:color="auto" w:fill="FFFFFF"/>
        </w:rPr>
      </w:pPr>
    </w:p>
    <w:p w14:paraId="597A9D6A" w14:textId="77777777" w:rsidR="00734C40" w:rsidRDefault="00734C40" w:rsidP="0085726E">
      <w:pPr>
        <w:ind w:firstLine="709"/>
        <w:jc w:val="both"/>
        <w:rPr>
          <w:rFonts w:ascii="Times New Roman" w:hAnsi="Times New Roman" w:cs="Times New Roman"/>
          <w:color w:val="000000" w:themeColor="text1"/>
          <w:sz w:val="24"/>
          <w:szCs w:val="24"/>
          <w:shd w:val="clear" w:color="auto" w:fill="FFFFFF"/>
        </w:rPr>
      </w:pPr>
    </w:p>
    <w:p w14:paraId="779D4830" w14:textId="77777777" w:rsidR="00734C40" w:rsidRDefault="00734C40" w:rsidP="0085726E">
      <w:pPr>
        <w:ind w:firstLine="709"/>
        <w:jc w:val="both"/>
        <w:rPr>
          <w:rFonts w:ascii="Times New Roman" w:hAnsi="Times New Roman" w:cs="Times New Roman"/>
          <w:color w:val="000000" w:themeColor="text1"/>
          <w:sz w:val="24"/>
          <w:szCs w:val="24"/>
          <w:shd w:val="clear" w:color="auto" w:fill="FFFFFF"/>
        </w:rPr>
      </w:pPr>
    </w:p>
    <w:p w14:paraId="795CE2D4" w14:textId="77777777" w:rsidR="00734C40" w:rsidRPr="0085726E" w:rsidRDefault="00734C40" w:rsidP="0085726E">
      <w:pPr>
        <w:ind w:firstLine="709"/>
        <w:jc w:val="both"/>
        <w:rPr>
          <w:rFonts w:ascii="Times New Roman" w:hAnsi="Times New Roman" w:cs="Times New Roman"/>
          <w:color w:val="000000" w:themeColor="text1"/>
          <w:sz w:val="24"/>
          <w:szCs w:val="24"/>
          <w:shd w:val="clear" w:color="auto" w:fill="FFFFFF"/>
        </w:rPr>
      </w:pPr>
    </w:p>
    <w:p w14:paraId="7ABA061F" w14:textId="6151F68C" w:rsidR="00167700" w:rsidRPr="000F62D0" w:rsidRDefault="00167700" w:rsidP="00C2315A">
      <w:pPr>
        <w:ind w:firstLine="709"/>
        <w:jc w:val="both"/>
        <w:rPr>
          <w:rFonts w:ascii="Times New Roman" w:hAnsi="Times New Roman" w:cs="Times New Roman"/>
          <w:color w:val="000000" w:themeColor="text1"/>
          <w:sz w:val="24"/>
          <w:szCs w:val="24"/>
          <w:shd w:val="clear" w:color="auto" w:fill="FFFFFF"/>
        </w:rPr>
      </w:pPr>
      <w:r>
        <w:br w:type="page"/>
      </w:r>
    </w:p>
    <w:p w14:paraId="1EDAF6E7" w14:textId="279AFA36" w:rsidR="00BB28C1" w:rsidRPr="00165AD7" w:rsidRDefault="00BB28C1" w:rsidP="00165AD7">
      <w:pPr>
        <w:pStyle w:val="Style4"/>
      </w:pPr>
      <w:bookmarkStart w:id="4" w:name="_Toc166237500"/>
      <w:r>
        <w:t>2. Background</w:t>
      </w:r>
      <w:bookmarkEnd w:id="4"/>
    </w:p>
    <w:p w14:paraId="513EB0E4" w14:textId="77777777" w:rsidR="00BB28C1" w:rsidRPr="003E2C97" w:rsidRDefault="00BB28C1" w:rsidP="00714039">
      <w:pPr>
        <w:tabs>
          <w:tab w:val="left" w:pos="993"/>
        </w:tabs>
        <w:jc w:val="both"/>
        <w:rPr>
          <w:rFonts w:ascii="Times New Roman" w:hAnsi="Times New Roman" w:cs="Times New Roman"/>
          <w:sz w:val="24"/>
          <w:szCs w:val="24"/>
        </w:rPr>
      </w:pPr>
    </w:p>
    <w:p w14:paraId="1220C827" w14:textId="5531B50F" w:rsidR="00FF07C1" w:rsidRPr="007756A9" w:rsidRDefault="00FF07C1" w:rsidP="007756A9">
      <w:pPr>
        <w:pStyle w:val="Heading2"/>
        <w:rPr>
          <w:rFonts w:ascii="Times New Roman" w:hAnsi="Times New Roman" w:cs="Times New Roman"/>
        </w:rPr>
      </w:pPr>
      <w:bookmarkStart w:id="5" w:name="_Toc166237501"/>
      <w:r>
        <w:rPr>
          <w:rFonts w:ascii="Times New Roman" w:hAnsi="Times New Roman"/>
        </w:rPr>
        <w:t>2.1. Concept of the shadow economy, motivation of participants and the related risks</w:t>
      </w:r>
      <w:bookmarkEnd w:id="5"/>
      <w:r>
        <w:rPr>
          <w:rFonts w:ascii="Times New Roman" w:hAnsi="Times New Roman"/>
        </w:rPr>
        <w:t xml:space="preserve"> </w:t>
      </w:r>
    </w:p>
    <w:p w14:paraId="2F4241A0" w14:textId="77777777" w:rsidR="00001652" w:rsidRDefault="00001652" w:rsidP="00487D69">
      <w:pPr>
        <w:ind w:firstLine="720"/>
        <w:jc w:val="both"/>
        <w:rPr>
          <w:rFonts w:ascii="Times New Roman" w:hAnsi="Times New Roman" w:cs="Times New Roman"/>
          <w:color w:val="000000" w:themeColor="text1"/>
          <w:sz w:val="24"/>
          <w:szCs w:val="24"/>
        </w:rPr>
      </w:pPr>
    </w:p>
    <w:p w14:paraId="52160719" w14:textId="61EB6E3F" w:rsidR="0042583C" w:rsidRDefault="0035263D" w:rsidP="00487D69">
      <w:pPr>
        <w:ind w:firstLine="720"/>
        <w:jc w:val="both"/>
        <w:rPr>
          <w:rFonts w:ascii="Times New Roman" w:eastAsia="Calibri" w:hAnsi="Times New Roman" w:cs="Times New Roman"/>
          <w:color w:val="000000"/>
          <w:kern w:val="0"/>
          <w:sz w:val="24"/>
          <w:szCs w:val="24"/>
          <w14:ligatures w14:val="none"/>
        </w:rPr>
      </w:pPr>
      <w:r>
        <w:rPr>
          <w:rFonts w:ascii="Times New Roman" w:hAnsi="Times New Roman"/>
          <w:color w:val="000000" w:themeColor="text1"/>
          <w:sz w:val="24"/>
        </w:rPr>
        <w:t xml:space="preserve">The shadow economy is a </w:t>
      </w:r>
      <w:r>
        <w:rPr>
          <w:rFonts w:ascii="Times New Roman" w:hAnsi="Times New Roman"/>
          <w:b/>
          <w:color w:val="000000" w:themeColor="text1"/>
          <w:sz w:val="24"/>
        </w:rPr>
        <w:t>term</w:t>
      </w:r>
      <w:r>
        <w:rPr>
          <w:rFonts w:ascii="Times New Roman" w:hAnsi="Times New Roman"/>
          <w:color w:val="000000" w:themeColor="text1"/>
          <w:sz w:val="24"/>
        </w:rPr>
        <w:t xml:space="preserve"> used by various scholars and organisations to describe the part of the informal economy where taxes are not paid according to national tax regulations. Given that there are several methodologies for measuring the shadow economy, there are also different definitions of the shadow economy. For example</w:t>
      </w:r>
      <w:r>
        <w:rPr>
          <w:rFonts w:ascii="Times New Roman" w:hAnsi="Times New Roman"/>
          <w:sz w:val="24"/>
        </w:rPr>
        <w:t>, according to the definition by the Organisation for Economic Cooperation and Development (OECD), the shadow economy consists of economic activities, whether legal or illegal, which are required by law to be fully reported to the tax administration but which are not reported and which therefore go untaxed unlike activities which are so reported</w:t>
      </w:r>
      <w:r>
        <w:rPr>
          <w:rFonts w:ascii="Times New Roman" w:hAnsi="Times New Roman"/>
          <w:color w:val="000000"/>
          <w:sz w:val="24"/>
        </w:rPr>
        <w:t>.</w:t>
      </w:r>
      <w:r w:rsidR="0042583C" w:rsidRPr="0042583C">
        <w:rPr>
          <w:rFonts w:ascii="Times New Roman" w:eastAsia="Calibri" w:hAnsi="Times New Roman" w:cs="Times New Roman"/>
          <w:color w:val="000000"/>
          <w:kern w:val="0"/>
          <w:sz w:val="24"/>
          <w:szCs w:val="24"/>
          <w:vertAlign w:val="superscript"/>
        </w:rPr>
        <w:footnoteReference w:id="3"/>
      </w:r>
    </w:p>
    <w:p w14:paraId="42762A31" w14:textId="2FE733A0" w:rsidR="00B91457" w:rsidRPr="00A5534F" w:rsidRDefault="00A5534F" w:rsidP="00487D69">
      <w:pPr>
        <w:ind w:firstLine="720"/>
        <w:jc w:val="both"/>
        <w:rPr>
          <w:rFonts w:ascii="Times New Roman" w:eastAsia="Calibri" w:hAnsi="Times New Roman" w:cs="Times New Roman"/>
          <w:color w:val="000000" w:themeColor="text1"/>
          <w:kern w:val="0"/>
          <w:sz w:val="24"/>
          <w:szCs w:val="24"/>
          <w:highlight w:val="yellow"/>
          <w14:ligatures w14:val="none"/>
        </w:rPr>
      </w:pPr>
      <w:r>
        <w:rPr>
          <w:rFonts w:ascii="Times New Roman" w:hAnsi="Times New Roman"/>
          <w:color w:val="000000" w:themeColor="text1"/>
          <w:sz w:val="24"/>
        </w:rPr>
        <w:t>Austrian Professor F. Schneider uses the following definition in his research to measure the size of the shadow economy: the shadow economy includes all economic activities which are hidden from official authorities for monetary, regulatory, and institutional reasons. Monetary reasons include avoiding paying taxes and all social security contributions, regulatory reasons include avoiding governmental bureaucracy or the burden of regulatory framework, while institutional reasons include corruption law, the quality of political institutions and weak rule of law. The shadow economy reflects mostly legal economic and productive activities that, if recorded, would contribute to national GDP.</w:t>
      </w:r>
      <w:r w:rsidR="00B91457" w:rsidRPr="00A5534F">
        <w:rPr>
          <w:rStyle w:val="FootnoteReference"/>
          <w:rFonts w:ascii="Times New Roman" w:eastAsia="Calibri" w:hAnsi="Times New Roman" w:cs="Times New Roman"/>
          <w:color w:val="000000" w:themeColor="text1"/>
          <w:kern w:val="0"/>
          <w:sz w:val="24"/>
          <w:szCs w:val="24"/>
        </w:rPr>
        <w:footnoteReference w:id="4"/>
      </w:r>
      <w:r>
        <w:rPr>
          <w:rFonts w:ascii="Times New Roman" w:hAnsi="Times New Roman"/>
          <w:color w:val="000000" w:themeColor="text1"/>
          <w:sz w:val="24"/>
          <w:highlight w:val="yellow"/>
        </w:rPr>
        <w:t xml:space="preserve"> </w:t>
      </w:r>
    </w:p>
    <w:p w14:paraId="73EC4899" w14:textId="01DACB6C" w:rsidR="0035263D" w:rsidRPr="00A5534F" w:rsidRDefault="00F1140E" w:rsidP="00487D69">
      <w:pPr>
        <w:ind w:firstLine="720"/>
        <w:jc w:val="both"/>
        <w:rPr>
          <w:rFonts w:ascii="Times New Roman" w:eastAsia="Calibri" w:hAnsi="Times New Roman" w:cs="Times New Roman"/>
          <w:color w:val="000000" w:themeColor="text1"/>
          <w:kern w:val="0"/>
          <w:sz w:val="24"/>
          <w:szCs w:val="24"/>
          <w14:ligatures w14:val="none"/>
        </w:rPr>
      </w:pPr>
      <w:r>
        <w:rPr>
          <w:rFonts w:ascii="Times New Roman" w:hAnsi="Times New Roman"/>
          <w:color w:val="000000" w:themeColor="text1"/>
          <w:sz w:val="24"/>
        </w:rPr>
        <w:t>The shadow economy is ‘the gross domestic product that is not recorded in official statistics because of non-declaration and (or) incomplete declaration’ and ‘the production of legal or illegal goods and services that are not included in the official GDP’.</w:t>
      </w:r>
      <w:r w:rsidR="00D27AEC" w:rsidRPr="00A5534F">
        <w:rPr>
          <w:rStyle w:val="FootnoteReference"/>
          <w:rFonts w:ascii="Times New Roman" w:eastAsia="Calibri" w:hAnsi="Times New Roman" w:cs="Times New Roman"/>
          <w:color w:val="000000" w:themeColor="text1"/>
          <w:kern w:val="0"/>
          <w:sz w:val="24"/>
          <w:szCs w:val="24"/>
        </w:rPr>
        <w:footnoteReference w:id="5"/>
      </w:r>
      <w:r>
        <w:rPr>
          <w:rFonts w:ascii="Times New Roman" w:hAnsi="Times New Roman"/>
          <w:color w:val="000000" w:themeColor="text1"/>
          <w:sz w:val="24"/>
          <w:highlight w:val="yellow"/>
        </w:rPr>
        <w:t xml:space="preserve"> </w:t>
      </w:r>
    </w:p>
    <w:p w14:paraId="42714D6C" w14:textId="4B6B3ACF" w:rsidR="00F127CB" w:rsidRPr="00A5534F" w:rsidRDefault="0035263D" w:rsidP="00F127C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According to Professor A. Sauka research on the shadow economy index, the components of the shadow economy are ‘envelope wages’, unreported income, illegal employment, bribery and corruption.</w:t>
      </w:r>
      <w:r w:rsidR="00165AD7" w:rsidRPr="00A5534F">
        <w:rPr>
          <w:rStyle w:val="FootnoteReference"/>
          <w:rFonts w:ascii="Times New Roman" w:hAnsi="Times New Roman" w:cs="Times New Roman"/>
          <w:color w:val="000000" w:themeColor="text1"/>
          <w:sz w:val="24"/>
          <w:szCs w:val="24"/>
        </w:rPr>
        <w:footnoteReference w:id="6"/>
      </w:r>
      <w:r>
        <w:rPr>
          <w:rFonts w:ascii="Times New Roman" w:hAnsi="Times New Roman"/>
          <w:color w:val="000000" w:themeColor="text1"/>
          <w:sz w:val="24"/>
        </w:rPr>
        <w:t xml:space="preserve"> </w:t>
      </w:r>
    </w:p>
    <w:p w14:paraId="76825743" w14:textId="3648E5C4" w:rsidR="000F1815" w:rsidRPr="00A5534F" w:rsidRDefault="0035263D" w:rsidP="00F127C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shadow economy carries with it </w:t>
      </w:r>
      <w:r>
        <w:rPr>
          <w:rFonts w:ascii="Times New Roman" w:hAnsi="Times New Roman"/>
          <w:b/>
          <w:bCs/>
          <w:color w:val="000000" w:themeColor="text1"/>
          <w:sz w:val="24"/>
        </w:rPr>
        <w:t>numerous risks</w:t>
      </w:r>
      <w:r>
        <w:rPr>
          <w:rFonts w:ascii="Times New Roman" w:hAnsi="Times New Roman"/>
          <w:color w:val="000000" w:themeColor="text1"/>
          <w:sz w:val="24"/>
        </w:rPr>
        <w:t>. It encourages unfair competition, distorts the market and leaves a negative impact on tax collection. Businesses that pay little or no tax are able to increase their current assets and save on expenses by paying ‘envelope wages’. This lowers the prime cost of goods and services, squeezing fully taxed goods and services out of the market.</w:t>
      </w:r>
      <w:r>
        <w:rPr>
          <w:rStyle w:val="FootnoteReference"/>
          <w:rFonts w:ascii="Times New Roman" w:hAnsi="Times New Roman"/>
          <w:color w:val="000000" w:themeColor="text1"/>
          <w:sz w:val="24"/>
        </w:rPr>
        <w:t xml:space="preserve"> </w:t>
      </w:r>
      <w:r w:rsidR="002B6678" w:rsidRPr="00A5534F">
        <w:rPr>
          <w:rStyle w:val="FootnoteReference"/>
          <w:rFonts w:ascii="Times New Roman" w:hAnsi="Times New Roman" w:cs="Times New Roman"/>
          <w:color w:val="000000" w:themeColor="text1"/>
          <w:sz w:val="24"/>
          <w:szCs w:val="24"/>
        </w:rPr>
        <w:footnoteReference w:id="7"/>
      </w:r>
      <w:r>
        <w:rPr>
          <w:rFonts w:ascii="Times New Roman" w:hAnsi="Times New Roman"/>
          <w:color w:val="000000" w:themeColor="text1"/>
          <w:sz w:val="24"/>
        </w:rPr>
        <w:t xml:space="preserve"> At the same time, people who receive ‘envelope wages’ are exposed to social security, occupational safety and social insurance risks. ‘Envelope wages’ not only have a negative effect on social security contributions of employees, but also prevent the receipt of the State-guaranteed replacement income upon retirement, disability, loss of a family supporter, illness, during the period of maternity leave, when losing a job and also in case of an accident at work or an occupational disease. </w:t>
      </w:r>
    </w:p>
    <w:p w14:paraId="38B06B2D" w14:textId="75166089" w:rsidR="0035263D" w:rsidRDefault="00D16F3C" w:rsidP="00487D69">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Consequently, the shadow economy delays national economic growth, has a negative effect on tax collection and reduces national budget revenues. This reduces the amount of public funding that can be used to improve public welfare and quality of life, develop infrastructure and services that would create the conditions for more economically active businesses and expansion in production. </w:t>
      </w:r>
    </w:p>
    <w:p w14:paraId="3FFCEA1D" w14:textId="43D1C861" w:rsidR="00212E8E" w:rsidRDefault="00550331" w:rsidP="00D13AD5">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At the same time, economists recognise that it is impossible to eliminate the shadow economy completely as it is a natural phenomenon under certain conditions and also serves a social function. For example, in difficult economic times, businesses tend to partially or fully shift their activities to the shadow economy, putting their (short-term) interests above the (mostly long-term) interests of society. Similarly, individuals in difficult financial situations engage in the shadow economy by failing to pay labour taxes, thus depriving themselves of future social guarantees and reducing the social budget revenues that serve the common public interest. At the same time, participation in the shadow economy can be caused by low tax morale, i.e. targeted and principled tax evasion unrelated to financial hardship.</w:t>
      </w:r>
    </w:p>
    <w:p w14:paraId="157EABB8" w14:textId="77777777" w:rsidR="000B554F" w:rsidRDefault="000B554F" w:rsidP="000B554F">
      <w:pPr>
        <w:jc w:val="both"/>
        <w:rPr>
          <w:rFonts w:ascii="Times New Roman" w:hAnsi="Times New Roman" w:cs="Times New Roman"/>
          <w:color w:val="000000" w:themeColor="text1"/>
          <w:sz w:val="24"/>
          <w:szCs w:val="24"/>
        </w:rPr>
      </w:pPr>
    </w:p>
    <w:p w14:paraId="710D7BB4" w14:textId="06174464" w:rsidR="000B554F" w:rsidRPr="00525CB6" w:rsidRDefault="00532BBA" w:rsidP="004056CD">
      <w:pPr>
        <w:rPr>
          <w:rFonts w:ascii="Times New Roman" w:hAnsi="Times New Roman" w:cs="Times New Roman"/>
          <w:b/>
          <w:bCs/>
          <w:i/>
          <w:iCs/>
          <w:sz w:val="24"/>
          <w:szCs w:val="24"/>
          <w:u w:val="single"/>
        </w:rPr>
      </w:pPr>
      <w:r>
        <w:rPr>
          <w:rFonts w:ascii="Times New Roman" w:hAnsi="Times New Roman"/>
          <w:b/>
          <w:i/>
          <w:sz w:val="24"/>
          <w:u w:val="single"/>
        </w:rPr>
        <w:t xml:space="preserve">Motivation for involvement in the shadow economy </w:t>
      </w:r>
    </w:p>
    <w:p w14:paraId="22F3857F" w14:textId="77777777" w:rsidR="004056CD" w:rsidRPr="00487D69" w:rsidRDefault="004056CD" w:rsidP="004056CD">
      <w:pPr>
        <w:rPr>
          <w:rFonts w:ascii="Times New Roman" w:hAnsi="Times New Roman" w:cs="Times New Roman"/>
          <w:color w:val="000000" w:themeColor="text1"/>
          <w:sz w:val="24"/>
          <w:szCs w:val="24"/>
          <w:u w:val="single"/>
        </w:rPr>
      </w:pPr>
    </w:p>
    <w:p w14:paraId="6DD5389D" w14:textId="735291A5" w:rsidR="00525CB6" w:rsidRDefault="0035263D" w:rsidP="00802EA4">
      <w:pPr>
        <w:ind w:firstLine="567"/>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Tax evaders who engage in the shadow economy can be divided into non-tax payers, partial tax payers, those who operate outside the scope of the SRS supervision and those who engage in illegal activities. Often, employees themselves want to receive ‘envelope wages’ as a way of avoiding various obligations, such as the payment of </w:t>
      </w:r>
      <w:r>
        <w:rPr>
          <w:rFonts w:ascii="Times New Roman" w:hAnsi="Times New Roman"/>
          <w:b/>
          <w:color w:val="000000" w:themeColor="text1"/>
          <w:sz w:val="24"/>
        </w:rPr>
        <w:t>child maintenance</w:t>
      </w:r>
      <w:r>
        <w:rPr>
          <w:rFonts w:ascii="Times New Roman" w:hAnsi="Times New Roman"/>
          <w:color w:val="000000" w:themeColor="text1"/>
          <w:sz w:val="24"/>
        </w:rPr>
        <w:t xml:space="preserve">. Each group of taxpayers is likely to have its own motivations for tax evasion. </w:t>
      </w:r>
    </w:p>
    <w:p w14:paraId="654D494C" w14:textId="62843BD9" w:rsidR="00550331" w:rsidRPr="008C3974" w:rsidRDefault="00550331" w:rsidP="00550331">
      <w:pPr>
        <w:ind w:firstLine="567"/>
        <w:jc w:val="both"/>
        <w:rPr>
          <w:rFonts w:ascii="Times New Roman" w:eastAsia="Times New Roman" w:hAnsi="Times New Roman" w:cs="Times New Roman"/>
          <w:kern w:val="0"/>
          <w:sz w:val="24"/>
          <w:szCs w:val="24"/>
          <w14:ligatures w14:val="none"/>
        </w:rPr>
      </w:pPr>
      <w:r>
        <w:rPr>
          <w:rFonts w:ascii="Times New Roman" w:hAnsi="Times New Roman"/>
          <w:sz w:val="24"/>
        </w:rPr>
        <w:t>The study by the European Parliament Committee on Fiscal Affairs</w:t>
      </w:r>
      <w:r>
        <w:rPr>
          <w:rStyle w:val="FootnoteReference"/>
          <w:rFonts w:ascii="Times New Roman" w:eastAsia="Times New Roman" w:hAnsi="Times New Roman" w:cs="Times New Roman"/>
          <w:kern w:val="0"/>
          <w:sz w:val="24"/>
          <w:szCs w:val="24"/>
          <w:lang w:eastAsia="lv-LV"/>
        </w:rPr>
        <w:footnoteReference w:id="8"/>
      </w:r>
      <w:r>
        <w:rPr>
          <w:rFonts w:ascii="Times New Roman" w:hAnsi="Times New Roman"/>
          <w:sz w:val="24"/>
        </w:rPr>
        <w:t xml:space="preserve"> mentions eight main hypotheses on </w:t>
      </w:r>
      <w:r>
        <w:rPr>
          <w:rFonts w:ascii="Times New Roman" w:hAnsi="Times New Roman"/>
          <w:b/>
          <w:bCs/>
          <w:sz w:val="24"/>
        </w:rPr>
        <w:t>the dr</w:t>
      </w:r>
      <w:r>
        <w:rPr>
          <w:rFonts w:ascii="Times New Roman" w:hAnsi="Times New Roman"/>
          <w:b/>
          <w:sz w:val="24"/>
        </w:rPr>
        <w:t>iving forc</w:t>
      </w:r>
      <w:r>
        <w:rPr>
          <w:rFonts w:ascii="Times New Roman" w:hAnsi="Times New Roman"/>
          <w:b/>
          <w:bCs/>
          <w:sz w:val="24"/>
        </w:rPr>
        <w:t>es of the shadow economy and t</w:t>
      </w:r>
      <w:r>
        <w:rPr>
          <w:rFonts w:ascii="Times New Roman" w:hAnsi="Times New Roman"/>
          <w:b/>
          <w:sz w:val="24"/>
        </w:rPr>
        <w:t>heir causal links</w:t>
      </w:r>
      <w:r>
        <w:rPr>
          <w:rFonts w:ascii="Times New Roman" w:hAnsi="Times New Roman"/>
          <w:sz w:val="24"/>
        </w:rPr>
        <w:t xml:space="preserve"> in the OECD countries that stimulate involvement in the shadow economy: </w:t>
      </w:r>
    </w:p>
    <w:p w14:paraId="6101D9C0" w14:textId="77777777" w:rsidR="00550331" w:rsidRPr="008C3974"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high tax burdens increase the shadow economy; </w:t>
      </w:r>
    </w:p>
    <w:p w14:paraId="1F0B7F3B" w14:textId="729C623C" w:rsidR="00550331" w:rsidRPr="008C3974" w:rsidRDefault="006D1673"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excessive government regulation; </w:t>
      </w:r>
    </w:p>
    <w:p w14:paraId="33901B71" w14:textId="77777777" w:rsidR="006D1673"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poor quality of services by public authorities;</w:t>
      </w:r>
    </w:p>
    <w:p w14:paraId="6CBD7DE5" w14:textId="77777777" w:rsidR="006D1673"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b/>
          <w:sz w:val="24"/>
        </w:rPr>
        <w:t>low tax morale</w:t>
      </w:r>
      <w:r>
        <w:rPr>
          <w:rFonts w:ascii="Times New Roman" w:hAnsi="Times New Roman"/>
          <w:sz w:val="24"/>
        </w:rPr>
        <w:t>;</w:t>
      </w:r>
    </w:p>
    <w:p w14:paraId="6545F757" w14:textId="54FAEB1E" w:rsidR="00550331" w:rsidRPr="008C3974"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high unemployment rate;</w:t>
      </w:r>
    </w:p>
    <w:p w14:paraId="482EB55F" w14:textId="4356434A" w:rsidR="00550331" w:rsidRPr="008C3974"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high self-employment rate; </w:t>
      </w:r>
    </w:p>
    <w:p w14:paraId="42F0E583" w14:textId="5CB09848" w:rsidR="00550331" w:rsidRPr="008C3974" w:rsidRDefault="00550331"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low GDP per capita in the country; </w:t>
      </w:r>
    </w:p>
    <w:p w14:paraId="2EA1B0ED" w14:textId="22BFAE67" w:rsidR="00550331" w:rsidRPr="008C3974" w:rsidRDefault="004056CD" w:rsidP="009E3BF6">
      <w:pPr>
        <w:pStyle w:val="ListParagraph"/>
        <w:numPr>
          <w:ilvl w:val="0"/>
          <w:numId w:val="5"/>
        </w:numPr>
        <w:ind w:left="851" w:hanging="218"/>
        <w:jc w:val="both"/>
        <w:rPr>
          <w:rFonts w:ascii="Times New Roman" w:eastAsia="Times New Roman" w:hAnsi="Times New Roman" w:cs="Times New Roman"/>
          <w:kern w:val="0"/>
          <w:sz w:val="24"/>
          <w:szCs w:val="24"/>
          <w14:ligatures w14:val="none"/>
        </w:rPr>
      </w:pPr>
      <w:r>
        <w:rPr>
          <w:rFonts w:ascii="Times New Roman" w:hAnsi="Times New Roman"/>
          <w:sz w:val="24"/>
        </w:rPr>
        <w:t>low levels of freedom.</w:t>
      </w:r>
    </w:p>
    <w:p w14:paraId="0C0D41E0" w14:textId="4A0FA4F0" w:rsidR="00550331" w:rsidRPr="00333F3D" w:rsidRDefault="00067495" w:rsidP="00381F1E">
      <w:pPr>
        <w:ind w:firstLine="720"/>
        <w:jc w:val="both"/>
        <w:rPr>
          <w:rFonts w:ascii="Times New Roman" w:hAnsi="Times New Roman" w:cs="Times New Roman"/>
          <w:color w:val="000000" w:themeColor="text1"/>
          <w:sz w:val="24"/>
          <w:szCs w:val="24"/>
        </w:rPr>
      </w:pPr>
      <w:bookmarkStart w:id="6" w:name="_Hlk140839870"/>
      <w:r>
        <w:rPr>
          <w:rFonts w:ascii="Times New Roman" w:hAnsi="Times New Roman"/>
          <w:color w:val="000000" w:themeColor="text1"/>
          <w:sz w:val="24"/>
        </w:rPr>
        <w:t xml:space="preserve">It is crucial for each country to identify the reasons why </w:t>
      </w:r>
      <w:r>
        <w:rPr>
          <w:rFonts w:ascii="Times New Roman" w:hAnsi="Times New Roman"/>
          <w:b/>
          <w:color w:val="000000" w:themeColor="text1"/>
          <w:sz w:val="24"/>
        </w:rPr>
        <w:t>taxpayers lose their motivation to pay taxes</w:t>
      </w:r>
      <w:r>
        <w:rPr>
          <w:rFonts w:ascii="Times New Roman" w:hAnsi="Times New Roman"/>
          <w:color w:val="000000" w:themeColor="text1"/>
          <w:sz w:val="24"/>
        </w:rPr>
        <w:t xml:space="preserve"> by defining strategies and measures to tackle the causes of tax evasion for each target group. </w:t>
      </w:r>
      <w:bookmarkEnd w:id="6"/>
      <w:r>
        <w:rPr>
          <w:rFonts w:ascii="Times New Roman" w:hAnsi="Times New Roman"/>
          <w:color w:val="000000" w:themeColor="text1"/>
          <w:sz w:val="24"/>
        </w:rPr>
        <w:t xml:space="preserve">Causes can vary from country to country, and even within the same country, over time and throughout history. The studies by the Inter-American Center of Tax Administrations (CIAT) point out a number of </w:t>
      </w:r>
      <w:r>
        <w:rPr>
          <w:rFonts w:ascii="Times New Roman" w:hAnsi="Times New Roman"/>
          <w:b/>
          <w:color w:val="000000" w:themeColor="text1"/>
          <w:sz w:val="24"/>
        </w:rPr>
        <w:t>reasons</w:t>
      </w:r>
      <w:r>
        <w:rPr>
          <w:rFonts w:ascii="Times New Roman" w:hAnsi="Times New Roman"/>
          <w:color w:val="000000" w:themeColor="text1"/>
          <w:sz w:val="24"/>
        </w:rPr>
        <w:t xml:space="preserve"> for tax evasion that reduce the motivation to pay taxes:</w:t>
      </w:r>
    </w:p>
    <w:p w14:paraId="73A4F6AE" w14:textId="37677A36" w:rsidR="00550331" w:rsidRPr="00A4781C"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inconsistency in political decisions and lack of trust in the government;</w:t>
      </w:r>
    </w:p>
    <w:p w14:paraId="1A9855EB" w14:textId="77777777" w:rsidR="00550331" w:rsidRPr="00E97A9B"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structure of the national tax system;</w:t>
      </w:r>
    </w:p>
    <w:p w14:paraId="6124D0A4" w14:textId="77777777" w:rsidR="00550331" w:rsidRPr="00A4781C"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low efficiency of tax administrations;</w:t>
      </w:r>
    </w:p>
    <w:p w14:paraId="5C650D3A" w14:textId="77777777" w:rsidR="00550331"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unfair tax policies;</w:t>
      </w:r>
    </w:p>
    <w:p w14:paraId="2BB94842" w14:textId="77777777" w:rsidR="00550331" w:rsidRPr="00E97A9B"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tax burden and high rates;</w:t>
      </w:r>
    </w:p>
    <w:p w14:paraId="7E15CBD0" w14:textId="77777777" w:rsidR="00550331" w:rsidRPr="00E97A9B"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lack of simplicity and accuracy in tax legislation;</w:t>
      </w:r>
    </w:p>
    <w:p w14:paraId="2538E17A" w14:textId="77777777" w:rsidR="00550331" w:rsidRPr="00E97A9B"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different tax regimes with different tax burdens;</w:t>
      </w:r>
    </w:p>
    <w:p w14:paraId="122EC2FD" w14:textId="77777777" w:rsidR="00550331" w:rsidRPr="00E97A9B"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possibility to violate statutory provisions without greater risks;</w:t>
      </w:r>
    </w:p>
    <w:p w14:paraId="26FB2A32" w14:textId="77777777" w:rsidR="00550331"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poor quality of public goods and services (infrastructure, social protection);</w:t>
      </w:r>
    </w:p>
    <w:p w14:paraId="0C8E822E" w14:textId="77777777" w:rsidR="00550331"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trade barriers;</w:t>
      </w:r>
    </w:p>
    <w:p w14:paraId="5F4E6523" w14:textId="77777777" w:rsidR="00550331" w:rsidRPr="007859FC"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low level of education of the population;</w:t>
      </w:r>
    </w:p>
    <w:p w14:paraId="5D8AE92C" w14:textId="16889B89" w:rsidR="00550331" w:rsidRPr="00A4781C"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lack of awareness about the use of tax resources;</w:t>
      </w:r>
    </w:p>
    <w:p w14:paraId="352027AF" w14:textId="72A76D6B" w:rsidR="00550331" w:rsidRDefault="00550331" w:rsidP="009E3BF6">
      <w:pPr>
        <w:pStyle w:val="ListParagraph"/>
        <w:numPr>
          <w:ilvl w:val="0"/>
          <w:numId w:val="6"/>
        </w:numPr>
        <w:ind w:left="851"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lack of tax integrity of the population, etc.</w:t>
      </w:r>
      <w:r w:rsidR="00F1257D">
        <w:rPr>
          <w:rStyle w:val="FootnoteReference"/>
          <w:rFonts w:ascii="Times New Roman" w:hAnsi="Times New Roman" w:cs="Times New Roman"/>
          <w:color w:val="000000" w:themeColor="text1"/>
          <w:sz w:val="24"/>
          <w:szCs w:val="24"/>
        </w:rPr>
        <w:footnoteReference w:id="9"/>
      </w:r>
    </w:p>
    <w:p w14:paraId="2D9F313A" w14:textId="0E8F4072" w:rsidR="00550331" w:rsidRDefault="00550331" w:rsidP="00550331">
      <w:pPr>
        <w:ind w:firstLine="709"/>
        <w:jc w:val="both"/>
        <w:rPr>
          <w:rFonts w:ascii="Times New Roman" w:hAnsi="Times New Roman" w:cs="Times New Roman"/>
          <w:sz w:val="24"/>
          <w:szCs w:val="24"/>
        </w:rPr>
      </w:pPr>
      <w:r>
        <w:rPr>
          <w:rFonts w:ascii="Times New Roman" w:hAnsi="Times New Roman"/>
          <w:sz w:val="24"/>
        </w:rPr>
        <w:t>Successful restriction of the shadow economy requires the implementation of comprehensive and carefully designed policies, focusing on the determinants that are most important for improving the business environment. Such measures may vary from reducing regulatory and administrative burdens, promoting transparency and improving government efficiency to improving tax compliance, automating procedures and promoting electronic payments.</w:t>
      </w:r>
    </w:p>
    <w:p w14:paraId="4379D305" w14:textId="77777777" w:rsidR="00487D69" w:rsidRDefault="00487D69" w:rsidP="00381F1E">
      <w:pPr>
        <w:jc w:val="both"/>
        <w:rPr>
          <w:rFonts w:ascii="Times New Roman" w:hAnsi="Times New Roman" w:cs="Times New Roman"/>
          <w:b/>
          <w:bCs/>
          <w:i/>
          <w:iCs/>
          <w:sz w:val="24"/>
          <w:szCs w:val="24"/>
          <w:u w:val="single"/>
        </w:rPr>
      </w:pPr>
    </w:p>
    <w:p w14:paraId="3E8CE06B" w14:textId="18EAAE98" w:rsidR="005E613F" w:rsidRPr="00381F1E" w:rsidRDefault="005E613F" w:rsidP="00381F1E">
      <w:pPr>
        <w:jc w:val="both"/>
        <w:rPr>
          <w:rFonts w:ascii="Times New Roman" w:hAnsi="Times New Roman" w:cs="Times New Roman"/>
          <w:b/>
          <w:bCs/>
          <w:i/>
          <w:iCs/>
          <w:sz w:val="24"/>
          <w:szCs w:val="24"/>
          <w:u w:val="single"/>
        </w:rPr>
      </w:pPr>
      <w:r>
        <w:rPr>
          <w:rFonts w:ascii="Times New Roman" w:hAnsi="Times New Roman"/>
          <w:b/>
          <w:i/>
          <w:sz w:val="24"/>
          <w:u w:val="single"/>
        </w:rPr>
        <w:t>Tax morale</w:t>
      </w:r>
    </w:p>
    <w:p w14:paraId="34C15742" w14:textId="77777777" w:rsidR="005E613F" w:rsidRDefault="005E613F" w:rsidP="007424AA">
      <w:pPr>
        <w:ind w:firstLine="709"/>
        <w:jc w:val="both"/>
        <w:rPr>
          <w:rFonts w:ascii="Times New Roman" w:hAnsi="Times New Roman" w:cs="Times New Roman"/>
          <w:sz w:val="24"/>
          <w:szCs w:val="24"/>
        </w:rPr>
      </w:pPr>
    </w:p>
    <w:p w14:paraId="7B56018F" w14:textId="566695B9" w:rsidR="00E52234" w:rsidRDefault="00617A6E" w:rsidP="00E52234">
      <w:pPr>
        <w:ind w:firstLine="709"/>
        <w:jc w:val="both"/>
        <w:rPr>
          <w:rFonts w:ascii="Times New Roman" w:hAnsi="Times New Roman" w:cs="Times New Roman"/>
          <w:sz w:val="24"/>
          <w:szCs w:val="24"/>
        </w:rPr>
      </w:pPr>
      <w:r>
        <w:rPr>
          <w:rFonts w:ascii="Times New Roman" w:hAnsi="Times New Roman"/>
          <w:sz w:val="24"/>
        </w:rPr>
        <w:t>Tax morale measures taxpayer perceptions and attitudes towards paying and evading taxes and also indicates to the intrinsic motivation to pay taxes.</w:t>
      </w:r>
      <w:r w:rsidR="00A25456">
        <w:rPr>
          <w:rStyle w:val="FootnoteReference"/>
          <w:rFonts w:ascii="Times New Roman" w:hAnsi="Times New Roman" w:cs="Times New Roman"/>
          <w:sz w:val="24"/>
          <w:szCs w:val="24"/>
        </w:rPr>
        <w:footnoteReference w:id="10"/>
      </w:r>
      <w:r>
        <w:rPr>
          <w:rFonts w:ascii="Times New Roman" w:hAnsi="Times New Roman"/>
          <w:sz w:val="24"/>
        </w:rPr>
        <w:t xml:space="preserve"> This is an important aspect of the tax system as most tax administrations rely on the honesty of taxpayers. Therefore, in building a sustainable tax culture, it is important to focus on tax morale that would contribute to raising voluntary tax compliance. </w:t>
      </w:r>
    </w:p>
    <w:p w14:paraId="6382546F" w14:textId="19DC70A8" w:rsidR="000A252D" w:rsidRDefault="006658B4" w:rsidP="001904DB">
      <w:pPr>
        <w:ind w:firstLine="709"/>
        <w:jc w:val="both"/>
        <w:rPr>
          <w:rFonts w:ascii="Times New Roman" w:hAnsi="Times New Roman" w:cs="Times New Roman"/>
          <w:sz w:val="28"/>
          <w:szCs w:val="28"/>
        </w:rPr>
      </w:pPr>
      <w:r>
        <w:rPr>
          <w:rFonts w:ascii="Times New Roman" w:hAnsi="Times New Roman"/>
          <w:sz w:val="24"/>
        </w:rPr>
        <w:t>The research by both prof. A. Sauka and prof. F. Schneider suggests that tax evasion cannot be explained solely by so-called rational choice, i.e. that involvement in tax evasion by individuals is explained by the potential benefits of tax evasion as opposed to the likelihood of being caught and the level of penalties imposed. On the contrary, it is considered that the existence of low tax morale has a</w:t>
      </w:r>
      <w:r w:rsidR="00541B0C">
        <w:rPr>
          <w:rFonts w:ascii="Times New Roman" w:hAnsi="Times New Roman"/>
          <w:sz w:val="24"/>
        </w:rPr>
        <w:t> </w:t>
      </w:r>
      <w:r>
        <w:rPr>
          <w:rFonts w:ascii="Times New Roman" w:hAnsi="Times New Roman"/>
          <w:sz w:val="24"/>
        </w:rPr>
        <w:t>major role in explaining why the shadow economy in some countries is higher than rational choice can explain.</w:t>
      </w:r>
      <w:r w:rsidR="0057531A">
        <w:rPr>
          <w:rStyle w:val="FootnoteReference"/>
          <w:rFonts w:ascii="Times New Roman" w:hAnsi="Times New Roman" w:cs="Times New Roman"/>
          <w:sz w:val="28"/>
          <w:szCs w:val="28"/>
        </w:rPr>
        <w:footnoteReference w:id="11"/>
      </w:r>
      <w:r>
        <w:rPr>
          <w:rFonts w:ascii="Times New Roman" w:hAnsi="Times New Roman"/>
          <w:sz w:val="24"/>
        </w:rPr>
        <w:t xml:space="preserve"> In this context, it should be stressed that the external environment has an important influence on the formation of tax morale, i.e. the attitude of entrepreneurs towards the fairness of the tax system, the way in which the money paid in taxes is used, the prestige of the government in the eyes of entrepreneurs.</w:t>
      </w:r>
    </w:p>
    <w:p w14:paraId="1C90E1D4" w14:textId="2F4569AC" w:rsidR="00B73A8B" w:rsidRDefault="00B73A8B" w:rsidP="00E40B27">
      <w:pPr>
        <w:ind w:firstLine="709"/>
        <w:jc w:val="both"/>
        <w:rPr>
          <w:rFonts w:ascii="Times New Roman" w:hAnsi="Times New Roman" w:cs="Times New Roman"/>
          <w:sz w:val="24"/>
          <w:szCs w:val="24"/>
        </w:rPr>
      </w:pPr>
      <w:r>
        <w:rPr>
          <w:rFonts w:ascii="Times New Roman" w:hAnsi="Times New Roman"/>
          <w:sz w:val="24"/>
        </w:rPr>
        <w:t>Tax morale is related to the following factors:</w:t>
      </w:r>
    </w:p>
    <w:p w14:paraId="24DE4C63" w14:textId="0799A670" w:rsidR="00B73A8B" w:rsidRDefault="00B73A8B" w:rsidP="00381F1E">
      <w:pPr>
        <w:pStyle w:val="ListParagraph"/>
        <w:numPr>
          <w:ilvl w:val="0"/>
          <w:numId w:val="6"/>
        </w:numPr>
        <w:ind w:left="993" w:hanging="219"/>
        <w:jc w:val="both"/>
        <w:rPr>
          <w:rFonts w:ascii="Times New Roman" w:hAnsi="Times New Roman" w:cs="Times New Roman"/>
          <w:sz w:val="24"/>
          <w:szCs w:val="24"/>
        </w:rPr>
      </w:pPr>
      <w:r>
        <w:rPr>
          <w:rFonts w:ascii="Times New Roman" w:hAnsi="Times New Roman"/>
          <w:sz w:val="24"/>
        </w:rPr>
        <w:t xml:space="preserve">financial indicators – satisfaction with income, national economic situation, income distribution and market economic performance; </w:t>
      </w:r>
    </w:p>
    <w:p w14:paraId="01D0E71E" w14:textId="2CC9ADA3" w:rsidR="00B73A8B" w:rsidRDefault="00B73A8B" w:rsidP="00381F1E">
      <w:pPr>
        <w:pStyle w:val="ListParagraph"/>
        <w:numPr>
          <w:ilvl w:val="0"/>
          <w:numId w:val="6"/>
        </w:numPr>
        <w:ind w:left="993" w:hanging="219"/>
        <w:jc w:val="both"/>
        <w:rPr>
          <w:rFonts w:ascii="Times New Roman" w:hAnsi="Times New Roman" w:cs="Times New Roman"/>
          <w:sz w:val="24"/>
          <w:szCs w:val="24"/>
        </w:rPr>
      </w:pPr>
      <w:r>
        <w:rPr>
          <w:rFonts w:ascii="Times New Roman" w:hAnsi="Times New Roman"/>
          <w:sz w:val="24"/>
        </w:rPr>
        <w:t>political indicators – satisfaction with democracy, trust in the government;</w:t>
      </w:r>
    </w:p>
    <w:p w14:paraId="192588CF" w14:textId="3B1E0976" w:rsidR="00B73A8B" w:rsidRPr="00381F1E" w:rsidRDefault="00B73A8B" w:rsidP="00381F1E">
      <w:pPr>
        <w:pStyle w:val="ListParagraph"/>
        <w:numPr>
          <w:ilvl w:val="0"/>
          <w:numId w:val="6"/>
        </w:numPr>
        <w:ind w:left="993" w:hanging="219"/>
        <w:jc w:val="both"/>
        <w:rPr>
          <w:rFonts w:ascii="Times New Roman" w:hAnsi="Times New Roman" w:cs="Times New Roman"/>
          <w:sz w:val="24"/>
          <w:szCs w:val="24"/>
        </w:rPr>
      </w:pPr>
      <w:r>
        <w:rPr>
          <w:rFonts w:ascii="Times New Roman" w:hAnsi="Times New Roman"/>
          <w:sz w:val="24"/>
        </w:rPr>
        <w:t>demographics – age, gender, education.</w:t>
      </w:r>
    </w:p>
    <w:p w14:paraId="1B6C6EBD" w14:textId="4D0655B6" w:rsidR="00A626C2" w:rsidRDefault="00E40B27" w:rsidP="00E40B27">
      <w:pPr>
        <w:ind w:firstLine="709"/>
        <w:jc w:val="both"/>
        <w:rPr>
          <w:rFonts w:ascii="Times New Roman" w:hAnsi="Times New Roman" w:cs="Times New Roman"/>
          <w:sz w:val="24"/>
          <w:szCs w:val="24"/>
        </w:rPr>
      </w:pPr>
      <w:r>
        <w:rPr>
          <w:rFonts w:ascii="Times New Roman" w:hAnsi="Times New Roman"/>
          <w:sz w:val="24"/>
        </w:rPr>
        <w:t>Countries with high GDP, effective social protection and transparent use of public funds have higher tax morale. However, such factors as high inflation, income inequality, high tax rates, corruption and low trust in public authorities have a negative impact on tax morale. The results of the research by prof. A. Sauka show that merchants with low tax morale believe that fraud and tax evasion are perfectly justified and engage in the shadow economy up to 57.3 per cent of the time</w:t>
      </w:r>
      <w:r w:rsidR="00593A49">
        <w:rPr>
          <w:rStyle w:val="FootnoteReference"/>
          <w:rFonts w:ascii="Times New Roman" w:hAnsi="Times New Roman" w:cs="Times New Roman"/>
          <w:sz w:val="24"/>
          <w:szCs w:val="24"/>
        </w:rPr>
        <w:footnoteReference w:id="12"/>
      </w:r>
      <w:r>
        <w:rPr>
          <w:rFonts w:ascii="Times New Roman" w:hAnsi="Times New Roman"/>
          <w:sz w:val="24"/>
        </w:rPr>
        <w:t>, because seeing others evading taxes in society makes evasion seem rational and justified. This is why tax evasion is used by merchants as a self-defence mechanism. Low tax morale is associated with higher levels of tax evasion, lower tax compliance, higher levels of the shadow economy, more undeclared labour and a higher risk of ‘envelope wages’.</w:t>
      </w:r>
    </w:p>
    <w:p w14:paraId="18D203F3" w14:textId="63F672BF" w:rsidR="00D1037F" w:rsidRDefault="00D1037F" w:rsidP="00E40B27">
      <w:pPr>
        <w:ind w:firstLine="709"/>
        <w:jc w:val="both"/>
        <w:rPr>
          <w:rFonts w:ascii="Times New Roman" w:hAnsi="Times New Roman" w:cs="Times New Roman"/>
          <w:sz w:val="24"/>
          <w:szCs w:val="24"/>
        </w:rPr>
      </w:pPr>
      <w:r>
        <w:rPr>
          <w:rFonts w:ascii="Times New Roman" w:hAnsi="Times New Roman"/>
          <w:sz w:val="24"/>
        </w:rPr>
        <w:t xml:space="preserve">These findings show that achieving a significant change in the prevalence of the shadow economy is a challenging task, namely, it is necessary to change the mindset of a large part of society, in particular with regard to the usefulness of paying taxes. Although policy programmes that fundamentally change public thinking are likely to be more complex and difficult to implement and also more time-consuming than quick-fix tax policy solutions, such as tax incentives, tax control or penalty policies, tax legislation, the results of the research suggest that they could be the most effective way to significantly reduce the size of the shadow economy in Latvia. </w:t>
      </w:r>
    </w:p>
    <w:p w14:paraId="7004C7DA" w14:textId="26701A80" w:rsidR="00653704" w:rsidRPr="00653704" w:rsidRDefault="002256EC" w:rsidP="00653704">
      <w:pPr>
        <w:ind w:firstLine="709"/>
        <w:jc w:val="both"/>
        <w:rPr>
          <w:rFonts w:ascii="Times New Roman" w:hAnsi="Times New Roman" w:cs="Times New Roman"/>
          <w:sz w:val="24"/>
          <w:szCs w:val="24"/>
        </w:rPr>
      </w:pPr>
      <w:r>
        <w:rPr>
          <w:rFonts w:ascii="Times New Roman" w:hAnsi="Times New Roman"/>
          <w:sz w:val="24"/>
        </w:rPr>
        <w:t>The report of science-based policy recommendations by prof. A. Sauka identifies the main factors influencing the size of the shadow economy and ‘envelope wages’:</w:t>
      </w:r>
    </w:p>
    <w:p w14:paraId="3541FE7E" w14:textId="6D45575E" w:rsidR="00653704" w:rsidRPr="00653704" w:rsidRDefault="00653704" w:rsidP="00653704">
      <w:pPr>
        <w:ind w:firstLine="709"/>
        <w:jc w:val="both"/>
        <w:rPr>
          <w:rFonts w:ascii="Times New Roman" w:hAnsi="Times New Roman" w:cs="Times New Roman"/>
          <w:sz w:val="24"/>
          <w:szCs w:val="24"/>
        </w:rPr>
      </w:pPr>
      <w:r>
        <w:rPr>
          <w:rFonts w:ascii="Times New Roman" w:hAnsi="Times New Roman"/>
          <w:sz w:val="24"/>
        </w:rPr>
        <w:t>1. trust of businesses and individuals in different authorities and satisfaction with public services;</w:t>
      </w:r>
    </w:p>
    <w:p w14:paraId="3FCCFDA5" w14:textId="77777777" w:rsidR="00653704" w:rsidRPr="00653704" w:rsidRDefault="00653704" w:rsidP="00653704">
      <w:pPr>
        <w:ind w:firstLine="709"/>
        <w:jc w:val="both"/>
        <w:rPr>
          <w:rFonts w:ascii="Times New Roman" w:hAnsi="Times New Roman" w:cs="Times New Roman"/>
          <w:sz w:val="24"/>
          <w:szCs w:val="24"/>
        </w:rPr>
      </w:pPr>
      <w:r>
        <w:rPr>
          <w:rFonts w:ascii="Times New Roman" w:hAnsi="Times New Roman"/>
          <w:sz w:val="24"/>
        </w:rPr>
        <w:t>2. likelihood of being caught and proportionality of penalties when engaging in the shadow economy activities;</w:t>
      </w:r>
    </w:p>
    <w:p w14:paraId="362B7391" w14:textId="77777777" w:rsidR="00653704" w:rsidRPr="00653704" w:rsidRDefault="00653704" w:rsidP="00653704">
      <w:pPr>
        <w:ind w:firstLine="709"/>
        <w:jc w:val="both"/>
        <w:rPr>
          <w:rFonts w:ascii="Times New Roman" w:hAnsi="Times New Roman" w:cs="Times New Roman"/>
          <w:sz w:val="24"/>
          <w:szCs w:val="24"/>
        </w:rPr>
      </w:pPr>
      <w:r>
        <w:rPr>
          <w:rFonts w:ascii="Times New Roman" w:hAnsi="Times New Roman"/>
          <w:sz w:val="24"/>
        </w:rPr>
        <w:t>3. tax policy;</w:t>
      </w:r>
    </w:p>
    <w:p w14:paraId="3BFD463C" w14:textId="77777777" w:rsidR="00653704" w:rsidRPr="00653704" w:rsidRDefault="00653704" w:rsidP="00653704">
      <w:pPr>
        <w:ind w:firstLine="709"/>
        <w:jc w:val="both"/>
        <w:rPr>
          <w:rFonts w:ascii="Times New Roman" w:hAnsi="Times New Roman" w:cs="Times New Roman"/>
          <w:sz w:val="24"/>
          <w:szCs w:val="24"/>
        </w:rPr>
      </w:pPr>
      <w:r>
        <w:rPr>
          <w:rFonts w:ascii="Times New Roman" w:hAnsi="Times New Roman"/>
          <w:sz w:val="24"/>
        </w:rPr>
        <w:t>4. tax morale;</w:t>
      </w:r>
    </w:p>
    <w:p w14:paraId="440F1319" w14:textId="09EE5D40" w:rsidR="00653704" w:rsidRDefault="00653704" w:rsidP="00653704">
      <w:pPr>
        <w:ind w:firstLine="709"/>
        <w:jc w:val="both"/>
        <w:rPr>
          <w:rFonts w:ascii="Times New Roman" w:hAnsi="Times New Roman" w:cs="Times New Roman"/>
          <w:sz w:val="24"/>
          <w:szCs w:val="24"/>
        </w:rPr>
      </w:pPr>
      <w:r>
        <w:rPr>
          <w:rFonts w:ascii="Times New Roman" w:hAnsi="Times New Roman"/>
          <w:sz w:val="24"/>
        </w:rPr>
        <w:t xml:space="preserve">5. reasons relating to specific industries and businesses: determinant factors for envelope wages, including administrative burden. </w:t>
      </w:r>
    </w:p>
    <w:p w14:paraId="06587226" w14:textId="1F6DD1EC" w:rsidR="00214C5C" w:rsidRDefault="00D34F0E" w:rsidP="001904DB">
      <w:pPr>
        <w:ind w:firstLine="709"/>
        <w:jc w:val="both"/>
        <w:rPr>
          <w:rFonts w:ascii="Times New Roman" w:hAnsi="Times New Roman" w:cs="Times New Roman"/>
          <w:sz w:val="24"/>
          <w:szCs w:val="24"/>
        </w:rPr>
      </w:pPr>
      <w:r>
        <w:rPr>
          <w:rFonts w:ascii="Times New Roman" w:hAnsi="Times New Roman"/>
          <w:noProof/>
          <w:sz w:val="24"/>
          <w:lang w:val="lv-LV" w:eastAsia="zh-CN"/>
        </w:rPr>
        <mc:AlternateContent>
          <mc:Choice Requires="wps">
            <w:drawing>
              <wp:anchor distT="0" distB="0" distL="114300" distR="114300" simplePos="0" relativeHeight="251686912" behindDoc="0" locked="0" layoutInCell="1" allowOverlap="1" wp14:anchorId="304195CC" wp14:editId="4A670194">
                <wp:simplePos x="0" y="0"/>
                <wp:positionH relativeFrom="margin">
                  <wp:posOffset>2449830</wp:posOffset>
                </wp:positionH>
                <wp:positionV relativeFrom="paragraph">
                  <wp:posOffset>169545</wp:posOffset>
                </wp:positionV>
                <wp:extent cx="853440" cy="304800"/>
                <wp:effectExtent l="0" t="0" r="3810" b="0"/>
                <wp:wrapNone/>
                <wp:docPr id="12" name="Text Box 12"/>
                <wp:cNvGraphicFramePr/>
                <a:graphic xmlns:a="http://schemas.openxmlformats.org/drawingml/2006/main">
                  <a:graphicData uri="http://schemas.microsoft.com/office/word/2010/wordprocessingShape">
                    <wps:wsp>
                      <wps:cNvSpPr txBox="1"/>
                      <wps:spPr>
                        <a:xfrm>
                          <a:off x="0" y="0"/>
                          <a:ext cx="853440" cy="3048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35032" w14:textId="04B7BFFE" w:rsidR="00D34F0E" w:rsidRPr="00D34F0E" w:rsidRDefault="00D34F0E" w:rsidP="00D34F0E">
                            <w:pPr>
                              <w:jc w:val="center"/>
                              <w:rPr>
                                <w:b/>
                                <w:bCs/>
                                <w:color w:val="262626" w:themeColor="text1" w:themeTint="D9"/>
                                <w:sz w:val="28"/>
                                <w:szCs w:val="28"/>
                                <w:lang w:val="lv-LV"/>
                              </w:rPr>
                            </w:pPr>
                            <w:r w:rsidRPr="00D34F0E">
                              <w:rPr>
                                <w:b/>
                                <w:bCs/>
                                <w:color w:val="262626" w:themeColor="text1" w:themeTint="D9"/>
                                <w:sz w:val="28"/>
                                <w:szCs w:val="28"/>
                                <w:lang w:val="lv-LV"/>
                              </w:rPr>
                              <w:t>LATVIA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195CC" id="_x0000_t202" coordsize="21600,21600" o:spt="202" path="m,l,21600r21600,l21600,xe">
                <v:stroke joinstyle="miter"/>
                <v:path gradientshapeok="t" o:connecttype="rect"/>
              </v:shapetype>
              <v:shape id="Text Box 12" o:spid="_x0000_s1026" type="#_x0000_t202" style="position:absolute;left:0;text-align:left;margin-left:192.9pt;margin-top:13.35pt;width:67.2pt;height:24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" fillcolor="#d8d8d8 [2732]" stroked="f" strokeweight=".5pt">
                <v:textbox>
                  <w:txbxContent>
                    <w:p w14:paraId="24735032" w14:textId="04B7BFFE" w:rsidR="00D34F0E" w:rsidRPr="00D34F0E" w:rsidRDefault="00D34F0E" w:rsidP="00D34F0E">
                      <w:pPr>
                        <w:jc w:val="center"/>
                        <w:rPr>
                          <w:b/>
                          <w:bCs/>
                          <w:color w:val="262626" w:themeColor="text1" w:themeTint="D9"/>
                          <w:sz w:val="28"/>
                          <w:szCs w:val="28"/>
                          <w:lang w:val="lv-LV"/>
                        </w:rPr>
                      </w:pPr>
                      <w:r w:rsidRPr="00D34F0E">
                        <w:rPr>
                          <w:b/>
                          <w:bCs/>
                          <w:color w:val="262626" w:themeColor="text1" w:themeTint="D9"/>
                          <w:sz w:val="28"/>
                          <w:szCs w:val="28"/>
                          <w:lang w:val="lv-LV"/>
                        </w:rPr>
                        <w:t>LATVIA</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84864" behindDoc="0" locked="0" layoutInCell="1" allowOverlap="1" wp14:anchorId="25677A12" wp14:editId="1E5A28EA">
                <wp:simplePos x="0" y="0"/>
                <wp:positionH relativeFrom="column">
                  <wp:posOffset>1154430</wp:posOffset>
                </wp:positionH>
                <wp:positionV relativeFrom="paragraph">
                  <wp:posOffset>687705</wp:posOffset>
                </wp:positionV>
                <wp:extent cx="1104900" cy="304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04900" cy="304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4ED91" w14:textId="29EB5E9F" w:rsidR="00D34F0E" w:rsidRPr="00D34F0E" w:rsidRDefault="00D34F0E" w:rsidP="00D34F0E">
                            <w:pPr>
                              <w:jc w:val="center"/>
                              <w:rPr>
                                <w:b/>
                                <w:bCs/>
                                <w:sz w:val="14"/>
                                <w:szCs w:val="14"/>
                                <w:lang w:val="lv-LV"/>
                              </w:rPr>
                            </w:pPr>
                            <w:r w:rsidRPr="00D34F0E">
                              <w:rPr>
                                <w:b/>
                                <w:bCs/>
                                <w:sz w:val="14"/>
                                <w:szCs w:val="14"/>
                                <w:lang w:val="lv-LV"/>
                              </w:rPr>
                              <w:t>Public trust in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77A12" id="Text Box 11" o:spid="_x0000_s1027" type="#_x0000_t202" style="position:absolute;left:0;text-align:left;margin-left:90.9pt;margin-top:54.15pt;width:87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" fillcolor="white [3212]" stroked="f" strokeweight=".5pt">
                <v:textbox>
                  <w:txbxContent>
                    <w:p w14:paraId="13C4ED91" w14:textId="29EB5E9F" w:rsidR="00D34F0E" w:rsidRPr="00D34F0E" w:rsidRDefault="00D34F0E" w:rsidP="00D34F0E">
                      <w:pPr>
                        <w:jc w:val="center"/>
                        <w:rPr>
                          <w:b/>
                          <w:bCs/>
                          <w:sz w:val="14"/>
                          <w:szCs w:val="14"/>
                          <w:lang w:val="lv-LV"/>
                        </w:rPr>
                      </w:pPr>
                      <w:r w:rsidRPr="00D34F0E">
                        <w:rPr>
                          <w:b/>
                          <w:bCs/>
                          <w:sz w:val="14"/>
                          <w:szCs w:val="14"/>
                          <w:lang w:val="lv-LV"/>
                        </w:rPr>
                        <w:t>Public trust in government</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82816" behindDoc="0" locked="0" layoutInCell="1" allowOverlap="1" wp14:anchorId="4BFE399D" wp14:editId="66E32DD6">
                <wp:simplePos x="0" y="0"/>
                <wp:positionH relativeFrom="column">
                  <wp:posOffset>1918335</wp:posOffset>
                </wp:positionH>
                <wp:positionV relativeFrom="paragraph">
                  <wp:posOffset>1881505</wp:posOffset>
                </wp:positionV>
                <wp:extent cx="38862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88620" cy="3048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1CF67" w14:textId="77777777" w:rsidR="00D34F0E" w:rsidRPr="00D34F0E" w:rsidRDefault="00D34F0E" w:rsidP="00D34F0E">
                            <w:pPr>
                              <w:rPr>
                                <w:sz w:val="14"/>
                                <w:szCs w:val="14"/>
                                <w:lang w:val="lv-LV"/>
                              </w:rPr>
                            </w:pPr>
                            <w:r w:rsidRPr="00D34F0E">
                              <w:rPr>
                                <w:sz w:val="14"/>
                                <w:szCs w:val="14"/>
                                <w:lang w:val="lv-LV"/>
                              </w:rPr>
                              <w:t>Have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E399D" id="Text Box 10" o:spid="_x0000_s1028" type="#_x0000_t202" style="position:absolute;left:0;text-align:left;margin-left:151.05pt;margin-top:148.15pt;width:30.6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" fillcolor="#d8d8d8 [2732]" stroked="f" strokeweight=".5pt">
                <v:textbox>
                  <w:txbxContent>
                    <w:p w14:paraId="5741CF67" w14:textId="77777777" w:rsidR="00D34F0E" w:rsidRPr="00D34F0E" w:rsidRDefault="00D34F0E" w:rsidP="00D34F0E">
                      <w:pPr>
                        <w:rPr>
                          <w:sz w:val="14"/>
                          <w:szCs w:val="14"/>
                          <w:lang w:val="lv-LV"/>
                        </w:rPr>
                      </w:pPr>
                      <w:r w:rsidRPr="00D34F0E">
                        <w:rPr>
                          <w:sz w:val="14"/>
                          <w:szCs w:val="14"/>
                          <w:lang w:val="lv-LV"/>
                        </w:rPr>
                        <w:t>Have trust</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80768" behindDoc="0" locked="0" layoutInCell="1" allowOverlap="1" wp14:anchorId="4DA538B8" wp14:editId="1D4C321B">
                <wp:simplePos x="0" y="0"/>
                <wp:positionH relativeFrom="column">
                  <wp:posOffset>1826895</wp:posOffset>
                </wp:positionH>
                <wp:positionV relativeFrom="paragraph">
                  <wp:posOffset>1370965</wp:posOffset>
                </wp:positionV>
                <wp:extent cx="487680" cy="304800"/>
                <wp:effectExtent l="0" t="0" r="7620" b="0"/>
                <wp:wrapNone/>
                <wp:docPr id="9" name="Text Box 9"/>
                <wp:cNvGraphicFramePr/>
                <a:graphic xmlns:a="http://schemas.openxmlformats.org/drawingml/2006/main">
                  <a:graphicData uri="http://schemas.microsoft.com/office/word/2010/wordprocessingShape">
                    <wps:wsp>
                      <wps:cNvSpPr txBox="1"/>
                      <wps:spPr>
                        <a:xfrm>
                          <a:off x="0" y="0"/>
                          <a:ext cx="487680" cy="3048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CB3C1E" w14:textId="77777777" w:rsidR="00D34F0E" w:rsidRPr="00D34F0E" w:rsidRDefault="00D34F0E" w:rsidP="00D34F0E">
                            <w:pPr>
                              <w:rPr>
                                <w:sz w:val="14"/>
                                <w:szCs w:val="14"/>
                                <w:lang w:val="lv-LV"/>
                              </w:rPr>
                            </w:pPr>
                            <w:r>
                              <w:rPr>
                                <w:sz w:val="14"/>
                                <w:szCs w:val="14"/>
                                <w:lang w:val="lv-LV"/>
                              </w:rPr>
                              <w:t>Neutral attitude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38B8" id="Text Box 9" o:spid="_x0000_s1029" type="#_x0000_t202" style="position:absolute;left:0;text-align:left;margin-left:143.85pt;margin-top:107.95pt;width:38.4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" fillcolor="#d8d8d8 [2732]" stroked="f" strokeweight=".5pt">
                <v:textbox>
                  <w:txbxContent>
                    <w:p w14:paraId="00CB3C1E" w14:textId="77777777" w:rsidR="00D34F0E" w:rsidRPr="00D34F0E" w:rsidRDefault="00D34F0E" w:rsidP="00D34F0E">
                      <w:pPr>
                        <w:rPr>
                          <w:sz w:val="14"/>
                          <w:szCs w:val="14"/>
                          <w:lang w:val="lv-LV"/>
                        </w:rPr>
                      </w:pPr>
                      <w:r>
                        <w:rPr>
                          <w:sz w:val="14"/>
                          <w:szCs w:val="14"/>
                          <w:lang w:val="lv-LV"/>
                        </w:rPr>
                        <w:t>Neutral attitude</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78720" behindDoc="0" locked="0" layoutInCell="1" allowOverlap="1" wp14:anchorId="2EE89C33" wp14:editId="1DA21817">
                <wp:simplePos x="0" y="0"/>
                <wp:positionH relativeFrom="margin">
                  <wp:align>center</wp:align>
                </wp:positionH>
                <wp:positionV relativeFrom="paragraph">
                  <wp:posOffset>1668145</wp:posOffset>
                </wp:positionV>
                <wp:extent cx="487680" cy="205740"/>
                <wp:effectExtent l="0" t="0" r="7620" b="3810"/>
                <wp:wrapNone/>
                <wp:docPr id="8" name="Text Box 8"/>
                <wp:cNvGraphicFramePr/>
                <a:graphic xmlns:a="http://schemas.openxmlformats.org/drawingml/2006/main">
                  <a:graphicData uri="http://schemas.microsoft.com/office/word/2010/wordprocessingShape">
                    <wps:wsp>
                      <wps:cNvSpPr txBox="1"/>
                      <wps:spPr>
                        <a:xfrm>
                          <a:off x="0" y="0"/>
                          <a:ext cx="487680" cy="20574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96450" w14:textId="77777777" w:rsidR="00D34F0E" w:rsidRPr="00D34F0E" w:rsidRDefault="00D34F0E" w:rsidP="00D34F0E">
                            <w:pPr>
                              <w:rPr>
                                <w:sz w:val="14"/>
                                <w:szCs w:val="14"/>
                                <w:lang w:val="lv-LV"/>
                              </w:rPr>
                            </w:pPr>
                            <w:r>
                              <w:rPr>
                                <w:sz w:val="14"/>
                                <w:szCs w:val="14"/>
                                <w:lang w:val="lv-LV"/>
                              </w:rPr>
                              <w:t>No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89C33" id="Text Box 8" o:spid="_x0000_s1030" type="#_x0000_t202" style="position:absolute;left:0;text-align:left;margin-left:0;margin-top:131.35pt;width:38.4pt;height:16.2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" fillcolor="#d8d8d8 [2732]" stroked="f" strokeweight=".5pt">
                <v:textbox>
                  <w:txbxContent>
                    <w:p w14:paraId="59F96450" w14:textId="77777777" w:rsidR="00D34F0E" w:rsidRPr="00D34F0E" w:rsidRDefault="00D34F0E" w:rsidP="00D34F0E">
                      <w:pPr>
                        <w:rPr>
                          <w:sz w:val="14"/>
                          <w:szCs w:val="14"/>
                          <w:lang w:val="lv-LV"/>
                        </w:rPr>
                      </w:pPr>
                      <w:r>
                        <w:rPr>
                          <w:sz w:val="14"/>
                          <w:szCs w:val="14"/>
                          <w:lang w:val="lv-LV"/>
                        </w:rPr>
                        <w:t>No trust</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72576" behindDoc="0" locked="0" layoutInCell="1" allowOverlap="1" wp14:anchorId="299224F0" wp14:editId="3CEB9479">
                <wp:simplePos x="0" y="0"/>
                <wp:positionH relativeFrom="column">
                  <wp:posOffset>1131570</wp:posOffset>
                </wp:positionH>
                <wp:positionV relativeFrom="paragraph">
                  <wp:posOffset>1784985</wp:posOffset>
                </wp:positionV>
                <wp:extent cx="487680" cy="17526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487680" cy="17526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A1D07" w14:textId="6ED71611" w:rsidR="00D34F0E" w:rsidRPr="00D34F0E" w:rsidRDefault="00D34F0E" w:rsidP="00D34F0E">
                            <w:pPr>
                              <w:rPr>
                                <w:sz w:val="14"/>
                                <w:szCs w:val="14"/>
                                <w:lang w:val="lv-LV"/>
                              </w:rPr>
                            </w:pPr>
                            <w:r>
                              <w:rPr>
                                <w:sz w:val="14"/>
                                <w:szCs w:val="14"/>
                                <w:lang w:val="lv-LV"/>
                              </w:rPr>
                              <w:t>No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224F0" id="Text Box 4" o:spid="_x0000_s1031" type="#_x0000_t202" style="position:absolute;left:0;text-align:left;margin-left:89.1pt;margin-top:140.55pt;width:38.4pt;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" fillcolor="#f2f2f2 [3052]" stroked="f" strokeweight=".5pt">
                <v:textbox>
                  <w:txbxContent>
                    <w:p w14:paraId="780A1D07" w14:textId="6ED71611" w:rsidR="00D34F0E" w:rsidRPr="00D34F0E" w:rsidRDefault="00D34F0E" w:rsidP="00D34F0E">
                      <w:pPr>
                        <w:rPr>
                          <w:sz w:val="14"/>
                          <w:szCs w:val="14"/>
                          <w:lang w:val="lv-LV"/>
                        </w:rPr>
                      </w:pPr>
                      <w:r>
                        <w:rPr>
                          <w:sz w:val="14"/>
                          <w:szCs w:val="14"/>
                          <w:lang w:val="lv-LV"/>
                        </w:rPr>
                        <w:t>No trust</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70528" behindDoc="0" locked="0" layoutInCell="1" allowOverlap="1" wp14:anchorId="61B94DA9" wp14:editId="61C96DB6">
                <wp:simplePos x="0" y="0"/>
                <wp:positionH relativeFrom="column">
                  <wp:posOffset>1040130</wp:posOffset>
                </wp:positionH>
                <wp:positionV relativeFrom="paragraph">
                  <wp:posOffset>1327785</wp:posOffset>
                </wp:positionV>
                <wp:extent cx="487680" cy="304800"/>
                <wp:effectExtent l="0" t="0" r="7620" b="0"/>
                <wp:wrapNone/>
                <wp:docPr id="3" name="Text Box 3"/>
                <wp:cNvGraphicFramePr/>
                <a:graphic xmlns:a="http://schemas.openxmlformats.org/drawingml/2006/main">
                  <a:graphicData uri="http://schemas.microsoft.com/office/word/2010/wordprocessingShape">
                    <wps:wsp>
                      <wps:cNvSpPr txBox="1"/>
                      <wps:spPr>
                        <a:xfrm>
                          <a:off x="0" y="0"/>
                          <a:ext cx="487680" cy="3048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BE445" w14:textId="17709E77" w:rsidR="00D34F0E" w:rsidRPr="00D34F0E" w:rsidRDefault="00D34F0E" w:rsidP="00D34F0E">
                            <w:pPr>
                              <w:rPr>
                                <w:sz w:val="14"/>
                                <w:szCs w:val="14"/>
                                <w:lang w:val="lv-LV"/>
                              </w:rPr>
                            </w:pPr>
                            <w:r>
                              <w:rPr>
                                <w:sz w:val="14"/>
                                <w:szCs w:val="14"/>
                                <w:lang w:val="lv-LV"/>
                              </w:rPr>
                              <w:t>Neutral attitude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94DA9" id="Text Box 3" o:spid="_x0000_s1032" type="#_x0000_t202" style="position:absolute;left:0;text-align:left;margin-left:81.9pt;margin-top:104.55pt;width:38.4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" fillcolor="#f2f2f2 [3052]" stroked="f" strokeweight=".5pt">
                <v:textbox>
                  <w:txbxContent>
                    <w:p w14:paraId="7E8BE445" w14:textId="17709E77" w:rsidR="00D34F0E" w:rsidRPr="00D34F0E" w:rsidRDefault="00D34F0E" w:rsidP="00D34F0E">
                      <w:pPr>
                        <w:rPr>
                          <w:sz w:val="14"/>
                          <w:szCs w:val="14"/>
                          <w:lang w:val="lv-LV"/>
                        </w:rPr>
                      </w:pPr>
                      <w:r>
                        <w:rPr>
                          <w:sz w:val="14"/>
                          <w:szCs w:val="14"/>
                          <w:lang w:val="lv-LV"/>
                        </w:rPr>
                        <w:t>Neutral attitude</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68480" behindDoc="0" locked="0" layoutInCell="1" allowOverlap="1" wp14:anchorId="43A02B4F" wp14:editId="1D123C56">
                <wp:simplePos x="0" y="0"/>
                <wp:positionH relativeFrom="column">
                  <wp:posOffset>34290</wp:posOffset>
                </wp:positionH>
                <wp:positionV relativeFrom="paragraph">
                  <wp:posOffset>1678305</wp:posOffset>
                </wp:positionV>
                <wp:extent cx="38862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88620" cy="30480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23ACF" w14:textId="2E6BC8D1" w:rsidR="00D34F0E" w:rsidRPr="00D34F0E" w:rsidRDefault="00D34F0E">
                            <w:pPr>
                              <w:rPr>
                                <w:sz w:val="14"/>
                                <w:szCs w:val="14"/>
                                <w:lang w:val="lv-LV"/>
                              </w:rPr>
                            </w:pPr>
                            <w:r w:rsidRPr="00D34F0E">
                              <w:rPr>
                                <w:sz w:val="14"/>
                                <w:szCs w:val="14"/>
                                <w:lang w:val="lv-LV"/>
                              </w:rPr>
                              <w:t>Have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02B4F" id="Text Box 2" o:spid="_x0000_s1033" type="#_x0000_t202" style="position:absolute;left:0;text-align:left;margin-left:2.7pt;margin-top:132.15pt;width:30.6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" fillcolor="#f2f2f2 [3052]" stroked="f" strokeweight=".5pt">
                <v:textbox>
                  <w:txbxContent>
                    <w:p w14:paraId="6B223ACF" w14:textId="2E6BC8D1" w:rsidR="00D34F0E" w:rsidRPr="00D34F0E" w:rsidRDefault="00D34F0E">
                      <w:pPr>
                        <w:rPr>
                          <w:sz w:val="14"/>
                          <w:szCs w:val="14"/>
                          <w:lang w:val="lv-LV"/>
                        </w:rPr>
                      </w:pPr>
                      <w:r w:rsidRPr="00D34F0E">
                        <w:rPr>
                          <w:sz w:val="14"/>
                          <w:szCs w:val="14"/>
                          <w:lang w:val="lv-LV"/>
                        </w:rPr>
                        <w:t>Have trust</w:t>
                      </w:r>
                    </w:p>
                  </w:txbxContent>
                </v:textbox>
              </v:shape>
            </w:pict>
          </mc:Fallback>
        </mc:AlternateContent>
      </w:r>
      <w:r w:rsidR="005D40B6">
        <w:rPr>
          <w:rFonts w:ascii="Times New Roman" w:hAnsi="Times New Roman"/>
          <w:noProof/>
          <w:sz w:val="24"/>
          <w:lang w:val="lv-LV" w:eastAsia="zh-CN"/>
        </w:rPr>
        <w:drawing>
          <wp:anchor distT="0" distB="0" distL="114300" distR="114300" simplePos="0" relativeHeight="251661312" behindDoc="0" locked="0" layoutInCell="1" allowOverlap="1" wp14:anchorId="644DE277" wp14:editId="48B287EF">
            <wp:simplePos x="0" y="0"/>
            <wp:positionH relativeFrom="column">
              <wp:posOffset>1905</wp:posOffset>
            </wp:positionH>
            <wp:positionV relativeFrom="paragraph">
              <wp:posOffset>49530</wp:posOffset>
            </wp:positionV>
            <wp:extent cx="3395273" cy="2202511"/>
            <wp:effectExtent l="0" t="0" r="0" b="7620"/>
            <wp:wrapSquare wrapText="bothSides"/>
            <wp:docPr id="814560283" name="Picture 1" descr="A diagram of a graph and 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60283" name="Picture 1" descr="A diagram of a graph and a diagram of a graph&#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95273" cy="2202511"/>
                    </a:xfrm>
                    <a:prstGeom prst="rect">
                      <a:avLst/>
                    </a:prstGeom>
                  </pic:spPr>
                </pic:pic>
              </a:graphicData>
            </a:graphic>
          </wp:anchor>
        </w:drawing>
      </w:r>
      <w:r w:rsidR="005D40B6">
        <w:rPr>
          <w:rFonts w:ascii="Times New Roman" w:hAnsi="Times New Roman"/>
          <w:sz w:val="24"/>
        </w:rPr>
        <w:t>In addition, the OECD concludes in the research that one of the most important factors influencing tax morale is trust in the government, parliament, courts, tax administration, public officials, politicians, the president and political parties. A survey on public trust in public authorities conducted by the OECD in 2022 shows that only 24.5 per cent of the Latvian population trusts the government that is significantly lower than the OECD average (41 per cent)</w:t>
      </w:r>
      <w:r w:rsidR="00D94C76">
        <w:rPr>
          <w:rStyle w:val="FootnoteReference"/>
          <w:rFonts w:ascii="Times New Roman" w:hAnsi="Times New Roman" w:cs="Times New Roman"/>
          <w:sz w:val="24"/>
          <w:szCs w:val="24"/>
        </w:rPr>
        <w:footnoteReference w:id="13"/>
      </w:r>
      <w:r w:rsidR="005D40B6">
        <w:rPr>
          <w:rFonts w:ascii="Times New Roman" w:hAnsi="Times New Roman"/>
          <w:sz w:val="24"/>
        </w:rPr>
        <w:t xml:space="preserve">. </w:t>
      </w:r>
    </w:p>
    <w:p w14:paraId="7B98CB2A" w14:textId="67DE1FF1" w:rsidR="002C377B" w:rsidRDefault="00D34F0E" w:rsidP="00554C72">
      <w:pPr>
        <w:ind w:firstLine="709"/>
        <w:jc w:val="both"/>
        <w:rPr>
          <w:rFonts w:ascii="Times New Roman" w:hAnsi="Times New Roman" w:cs="Times New Roman"/>
          <w:color w:val="000000" w:themeColor="text1"/>
          <w:sz w:val="24"/>
          <w:szCs w:val="24"/>
        </w:rPr>
      </w:pPr>
      <w:r>
        <w:rPr>
          <w:rFonts w:ascii="Times New Roman" w:hAnsi="Times New Roman"/>
          <w:noProof/>
          <w:sz w:val="24"/>
          <w:lang w:val="lv-LV" w:eastAsia="zh-CN"/>
        </w:rPr>
        <mc:AlternateContent>
          <mc:Choice Requires="wps">
            <w:drawing>
              <wp:anchor distT="0" distB="0" distL="114300" distR="114300" simplePos="0" relativeHeight="251676672" behindDoc="0" locked="0" layoutInCell="1" allowOverlap="1" wp14:anchorId="67754FF9" wp14:editId="370794DE">
                <wp:simplePos x="0" y="0"/>
                <wp:positionH relativeFrom="column">
                  <wp:posOffset>2945130</wp:posOffset>
                </wp:positionH>
                <wp:positionV relativeFrom="paragraph">
                  <wp:posOffset>24765</wp:posOffset>
                </wp:positionV>
                <wp:extent cx="457200" cy="304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200" cy="3048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06D78" w14:textId="77777777" w:rsidR="00D34F0E" w:rsidRPr="00D34F0E" w:rsidRDefault="00D34F0E" w:rsidP="00D34F0E">
                            <w:pPr>
                              <w:rPr>
                                <w:sz w:val="14"/>
                                <w:szCs w:val="14"/>
                                <w:lang w:val="lv-LV"/>
                              </w:rPr>
                            </w:pPr>
                            <w:r>
                              <w:rPr>
                                <w:sz w:val="14"/>
                                <w:szCs w:val="14"/>
                                <w:lang w:val="lv-LV"/>
                              </w:rPr>
                              <w:t>Do not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54FF9" id="Text Box 6" o:spid="_x0000_s1034" type="#_x0000_t202" style="position:absolute;left:0;text-align:left;margin-left:231.9pt;margin-top:1.95pt;width:36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" fillcolor="#d8d8d8 [2732]" stroked="f" strokeweight=".5pt">
                <v:textbox>
                  <w:txbxContent>
                    <w:p w14:paraId="18906D78" w14:textId="77777777" w:rsidR="00D34F0E" w:rsidRPr="00D34F0E" w:rsidRDefault="00D34F0E" w:rsidP="00D34F0E">
                      <w:pPr>
                        <w:rPr>
                          <w:sz w:val="14"/>
                          <w:szCs w:val="14"/>
                          <w:lang w:val="lv-LV"/>
                        </w:rPr>
                      </w:pPr>
                      <w:r>
                        <w:rPr>
                          <w:sz w:val="14"/>
                          <w:szCs w:val="14"/>
                          <w:lang w:val="lv-LV"/>
                        </w:rPr>
                        <w:t>Do not know</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674624" behindDoc="0" locked="0" layoutInCell="1" allowOverlap="1" wp14:anchorId="4518569F" wp14:editId="64F6081B">
                <wp:simplePos x="0" y="0"/>
                <wp:positionH relativeFrom="column">
                  <wp:posOffset>796290</wp:posOffset>
                </wp:positionH>
                <wp:positionV relativeFrom="paragraph">
                  <wp:posOffset>207645</wp:posOffset>
                </wp:positionV>
                <wp:extent cx="716280" cy="175260"/>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716280" cy="17526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C097D" w14:textId="17B129B2" w:rsidR="00D34F0E" w:rsidRPr="00D34F0E" w:rsidRDefault="00D34F0E" w:rsidP="00D34F0E">
                            <w:pPr>
                              <w:rPr>
                                <w:sz w:val="14"/>
                                <w:szCs w:val="14"/>
                                <w:lang w:val="lv-LV"/>
                              </w:rPr>
                            </w:pPr>
                            <w:r>
                              <w:rPr>
                                <w:sz w:val="14"/>
                                <w:szCs w:val="14"/>
                                <w:lang w:val="lv-LV"/>
                              </w:rPr>
                              <w:t>Do not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8569F" id="Text Box 5" o:spid="_x0000_s1035" type="#_x0000_t202" style="position:absolute;left:0;text-align:left;margin-left:62.7pt;margin-top:16.35pt;width:56.4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" fillcolor="#f2f2f2 [3052]" stroked="f" strokeweight=".5pt">
                <v:textbox>
                  <w:txbxContent>
                    <w:p w14:paraId="0E9C097D" w14:textId="17B129B2" w:rsidR="00D34F0E" w:rsidRPr="00D34F0E" w:rsidRDefault="00D34F0E" w:rsidP="00D34F0E">
                      <w:pPr>
                        <w:rPr>
                          <w:sz w:val="14"/>
                          <w:szCs w:val="14"/>
                          <w:lang w:val="lv-LV"/>
                        </w:rPr>
                      </w:pPr>
                      <w:r>
                        <w:rPr>
                          <w:sz w:val="14"/>
                          <w:szCs w:val="14"/>
                          <w:lang w:val="lv-LV"/>
                        </w:rPr>
                        <w:t>Do not know</w:t>
                      </w:r>
                    </w:p>
                  </w:txbxContent>
                </v:textbox>
              </v:shape>
            </w:pict>
          </mc:Fallback>
        </mc:AlternateContent>
      </w:r>
      <w:r w:rsidR="005E613F">
        <w:rPr>
          <w:rFonts w:ascii="Times New Roman" w:hAnsi="Times New Roman"/>
          <w:sz w:val="24"/>
        </w:rPr>
        <w:t xml:space="preserve">Within the scope of the national research programme “Reduction of the Hidden Economy for Ensuring Sustainable Economic Development”, prof. A. Saulītis in his report on the involvement of the Latvian population in the shadow economy emphasises the importance of the tax morale aspect. </w:t>
      </w:r>
      <w:r w:rsidR="005E613F">
        <w:rPr>
          <w:rFonts w:ascii="Times New Roman" w:hAnsi="Times New Roman"/>
          <w:color w:val="000000" w:themeColor="text1"/>
          <w:sz w:val="24"/>
        </w:rPr>
        <w:t>The research on the involvement of the population in the shadow economy concluded that tax evasion and the shadow economy are linked to three key factors:</w:t>
      </w:r>
    </w:p>
    <w:p w14:paraId="2FB6F2DC" w14:textId="77777777" w:rsidR="002C377B" w:rsidRPr="0080338A" w:rsidRDefault="002C377B" w:rsidP="00554C72">
      <w:pPr>
        <w:pStyle w:val="ListParagraph"/>
        <w:numPr>
          <w:ilvl w:val="0"/>
          <w:numId w:val="4"/>
        </w:numPr>
        <w:ind w:left="993" w:hanging="284"/>
        <w:jc w:val="both"/>
        <w:rPr>
          <w:rFonts w:ascii="Times New Roman" w:hAnsi="Times New Roman" w:cs="Times New Roman"/>
          <w:color w:val="000000" w:themeColor="text1"/>
          <w:sz w:val="24"/>
          <w:szCs w:val="24"/>
        </w:rPr>
      </w:pPr>
      <w:r>
        <w:rPr>
          <w:rFonts w:ascii="Times New Roman" w:hAnsi="Times New Roman"/>
          <w:i/>
          <w:color w:val="000000" w:themeColor="text1"/>
          <w:sz w:val="24"/>
        </w:rPr>
        <w:t>structural factors</w:t>
      </w:r>
      <w:r>
        <w:rPr>
          <w:rFonts w:ascii="Times New Roman" w:hAnsi="Times New Roman"/>
          <w:color w:val="000000" w:themeColor="text1"/>
          <w:sz w:val="24"/>
        </w:rPr>
        <w:t> – tax system and regulatory framework. This includes the effectiveness of tax administration, i.e. the level of fines and the likelihood of being fined, the incidence of corruption and the quality of public services;</w:t>
      </w:r>
    </w:p>
    <w:p w14:paraId="188FAB48" w14:textId="77777777" w:rsidR="002C377B" w:rsidRPr="00525CB6" w:rsidRDefault="002C377B" w:rsidP="00554C72">
      <w:pPr>
        <w:pStyle w:val="ListParagraph"/>
        <w:numPr>
          <w:ilvl w:val="0"/>
          <w:numId w:val="4"/>
        </w:numPr>
        <w:ind w:left="993" w:hanging="284"/>
        <w:jc w:val="both"/>
        <w:rPr>
          <w:rFonts w:ascii="Times New Roman" w:hAnsi="Times New Roman" w:cs="Times New Roman"/>
          <w:color w:val="000000" w:themeColor="text1"/>
          <w:sz w:val="24"/>
          <w:szCs w:val="24"/>
        </w:rPr>
      </w:pPr>
      <w:r>
        <w:rPr>
          <w:rFonts w:ascii="Times New Roman" w:hAnsi="Times New Roman"/>
          <w:i/>
          <w:color w:val="000000" w:themeColor="text1"/>
          <w:sz w:val="24"/>
        </w:rPr>
        <w:t>payment factors</w:t>
      </w:r>
      <w:r>
        <w:rPr>
          <w:rFonts w:ascii="Times New Roman" w:hAnsi="Times New Roman"/>
          <w:color w:val="000000" w:themeColor="text1"/>
          <w:sz w:val="24"/>
        </w:rPr>
        <w:t> – the availability of goods and services and the difference in costs between the formal and informal economies, as well as purchase anonymity, security, etc.;</w:t>
      </w:r>
    </w:p>
    <w:p w14:paraId="5AAA95F6" w14:textId="77777777" w:rsidR="002C377B" w:rsidRPr="00525CB6" w:rsidRDefault="002C377B" w:rsidP="00554C72">
      <w:pPr>
        <w:pStyle w:val="ListParagraph"/>
        <w:numPr>
          <w:ilvl w:val="0"/>
          <w:numId w:val="4"/>
        </w:numPr>
        <w:ind w:left="993" w:hanging="284"/>
        <w:jc w:val="both"/>
        <w:rPr>
          <w:rFonts w:ascii="Times New Roman" w:hAnsi="Times New Roman" w:cs="Times New Roman"/>
          <w:color w:val="000000" w:themeColor="text1"/>
          <w:sz w:val="24"/>
          <w:szCs w:val="24"/>
        </w:rPr>
      </w:pPr>
      <w:r>
        <w:rPr>
          <w:rFonts w:ascii="Times New Roman" w:hAnsi="Times New Roman"/>
          <w:i/>
          <w:color w:val="000000" w:themeColor="text1"/>
          <w:sz w:val="24"/>
        </w:rPr>
        <w:t xml:space="preserve">historical factors – </w:t>
      </w:r>
      <w:r>
        <w:rPr>
          <w:rFonts w:ascii="Times New Roman" w:hAnsi="Times New Roman"/>
          <w:color w:val="000000" w:themeColor="text1"/>
          <w:sz w:val="24"/>
        </w:rPr>
        <w:t>related to tax morale, identity, the work ethics of tax administrations and broader political and social environments.</w:t>
      </w:r>
      <w:r>
        <w:rPr>
          <w:rStyle w:val="FootnoteReference"/>
          <w:rFonts w:ascii="Times New Roman" w:hAnsi="Times New Roman" w:cs="Times New Roman"/>
          <w:color w:val="000000" w:themeColor="text1"/>
          <w:sz w:val="24"/>
          <w:szCs w:val="24"/>
        </w:rPr>
        <w:footnoteReference w:id="14"/>
      </w:r>
    </w:p>
    <w:p w14:paraId="76FF2CE0" w14:textId="5274A364" w:rsidR="002C377B" w:rsidRDefault="002C377B" w:rsidP="00554C72">
      <w:pPr>
        <w:ind w:firstLine="720"/>
        <w:jc w:val="both"/>
        <w:rPr>
          <w:rFonts w:ascii="Times New Roman" w:hAnsi="Times New Roman" w:cs="Times New Roman"/>
          <w:kern w:val="0"/>
          <w:sz w:val="24"/>
          <w:szCs w:val="24"/>
          <w14:ligatures w14:val="none"/>
        </w:rPr>
      </w:pPr>
      <w:r>
        <w:rPr>
          <w:rFonts w:ascii="Times New Roman" w:hAnsi="Times New Roman"/>
          <w:sz w:val="24"/>
        </w:rPr>
        <w:t xml:space="preserve">When assessing different situations where taxes are not paid in full, the inhabitants of Latvia most frequently condemn tax evasion by companies (paying employees envelope wages or providing a service to another company without paying taxes) and also situations where someone is defrauding social benefits. Tax evasion in general (‘someone evades taxes by not paying or only partially paying the national tax’) is much more favourably viewed, while provision of a service by a private individual to a private individual is the least frowned upon (Figure 1). </w:t>
      </w:r>
      <w:r>
        <w:rPr>
          <w:rFonts w:ascii="Times New Roman" w:hAnsi="Times New Roman"/>
          <w:b/>
          <w:bCs/>
          <w:sz w:val="24"/>
        </w:rPr>
        <w:t xml:space="preserve">It should be highlighted that </w:t>
      </w:r>
      <w:r>
        <w:rPr>
          <w:rFonts w:ascii="Times New Roman" w:hAnsi="Times New Roman"/>
          <w:b/>
          <w:sz w:val="24"/>
        </w:rPr>
        <w:t>overall tax morale is low</w:t>
      </w:r>
      <w:r>
        <w:rPr>
          <w:rFonts w:ascii="Times New Roman" w:hAnsi="Times New Roman"/>
          <w:sz w:val="24"/>
        </w:rPr>
        <w:t>: most respondents did not consider any of the examples of tax evasion mentioned in the survey to be completely unacceptable.</w:t>
      </w:r>
    </w:p>
    <w:p w14:paraId="0079830D" w14:textId="06B9EBE5" w:rsidR="00487D69" w:rsidRPr="00554C72" w:rsidRDefault="00487D69" w:rsidP="00554C72">
      <w:pPr>
        <w:ind w:firstLine="720"/>
        <w:jc w:val="both"/>
        <w:rPr>
          <w:rFonts w:ascii="Times New Roman" w:hAnsi="Times New Roman" w:cs="Times New Roman"/>
          <w:kern w:val="0"/>
          <w:sz w:val="24"/>
          <w:szCs w:val="24"/>
          <w14:ligatures w14:val="none"/>
        </w:rPr>
      </w:pPr>
    </w:p>
    <w:p w14:paraId="06E860DE" w14:textId="5FAD07C5" w:rsidR="002C377B" w:rsidRDefault="00CB68B9" w:rsidP="002C377B">
      <w:pPr>
        <w:rPr>
          <w:kern w:val="0"/>
          <w:sz w:val="24"/>
          <w:szCs w:val="24"/>
          <w14:ligatures w14:val="none"/>
        </w:rPr>
      </w:pPr>
      <w:r>
        <w:rPr>
          <w:rFonts w:ascii="Times New Roman" w:hAnsi="Times New Roman"/>
          <w:noProof/>
          <w:sz w:val="24"/>
          <w:lang w:val="lv-LV" w:eastAsia="zh-CN"/>
        </w:rPr>
        <mc:AlternateContent>
          <mc:Choice Requires="wps">
            <w:drawing>
              <wp:anchor distT="0" distB="0" distL="114300" distR="114300" simplePos="0" relativeHeight="251705344" behindDoc="0" locked="0" layoutInCell="1" allowOverlap="1" wp14:anchorId="1AF9E270" wp14:editId="59174024">
                <wp:simplePos x="0" y="0"/>
                <wp:positionH relativeFrom="margin">
                  <wp:posOffset>5360670</wp:posOffset>
                </wp:positionH>
                <wp:positionV relativeFrom="paragraph">
                  <wp:posOffset>2395220</wp:posOffset>
                </wp:positionV>
                <wp:extent cx="853440" cy="175260"/>
                <wp:effectExtent l="0" t="0" r="3810" b="0"/>
                <wp:wrapNone/>
                <wp:docPr id="21" name="Text Box 21"/>
                <wp:cNvGraphicFramePr/>
                <a:graphic xmlns:a="http://schemas.openxmlformats.org/drawingml/2006/main">
                  <a:graphicData uri="http://schemas.microsoft.com/office/word/2010/wordprocessingShape">
                    <wps:wsp>
                      <wps:cNvSpPr txBox="1"/>
                      <wps:spPr>
                        <a:xfrm>
                          <a:off x="0" y="0"/>
                          <a:ext cx="853440" cy="1752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058A18" w14:textId="77777777" w:rsidR="00CB68B9" w:rsidRPr="00CB68B9" w:rsidRDefault="00CB68B9" w:rsidP="00CB68B9">
                            <w:pPr>
                              <w:rPr>
                                <w:rFonts w:asciiTheme="minorBidi" w:hAnsiTheme="minorBidi"/>
                                <w:sz w:val="14"/>
                                <w:szCs w:val="14"/>
                              </w:rPr>
                            </w:pPr>
                            <w:r w:rsidRPr="00CB68B9">
                              <w:rPr>
                                <w:rFonts w:asciiTheme="minorBidi" w:hAnsiTheme="minorBidi"/>
                                <w:sz w:val="14"/>
                                <w:szCs w:val="14"/>
                              </w:rPr>
                              <w:t>Do not know/NA</w:t>
                            </w:r>
                          </w:p>
                          <w:p w14:paraId="00C098D2" w14:textId="77777777" w:rsidR="00CB68B9" w:rsidRPr="00CB68B9" w:rsidRDefault="00CB68B9" w:rsidP="00CB68B9">
                            <w:pP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9E270" id="Text Box 21" o:spid="_x0000_s1036" type="#_x0000_t202" style="position:absolute;margin-left:422.1pt;margin-top:188.6pt;width:67.2pt;height:13.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" fillcolor="white [3212]" stroked="f" strokeweight=".5pt">
                <v:textbox>
                  <w:txbxContent>
                    <w:p w14:paraId="02058A18" w14:textId="77777777" w:rsidR="00CB68B9" w:rsidRPr="00CB68B9" w:rsidRDefault="00CB68B9" w:rsidP="00CB68B9">
                      <w:pPr>
                        <w:rPr>
                          <w:rFonts w:asciiTheme="minorBidi" w:hAnsiTheme="minorBidi"/>
                          <w:sz w:val="14"/>
                          <w:szCs w:val="14"/>
                        </w:rPr>
                      </w:pPr>
                      <w:r w:rsidRPr="00CB68B9">
                        <w:rPr>
                          <w:rFonts w:asciiTheme="minorBidi" w:hAnsiTheme="minorBidi"/>
                          <w:sz w:val="14"/>
                          <w:szCs w:val="14"/>
                        </w:rPr>
                        <w:t>Do not know/NA</w:t>
                      </w:r>
                    </w:p>
                    <w:p w14:paraId="00C098D2" w14:textId="77777777" w:rsidR="00CB68B9" w:rsidRPr="00CB68B9" w:rsidRDefault="00CB68B9" w:rsidP="00CB68B9">
                      <w:pPr>
                        <w:rPr>
                          <w:rFonts w:asciiTheme="minorBidi" w:hAnsiTheme="minorBidi"/>
                          <w:sz w:val="14"/>
                          <w:szCs w:val="14"/>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03296" behindDoc="0" locked="0" layoutInCell="1" allowOverlap="1" wp14:anchorId="40AF9C37" wp14:editId="0E1371BC">
                <wp:simplePos x="0" y="0"/>
                <wp:positionH relativeFrom="column">
                  <wp:posOffset>4263390</wp:posOffset>
                </wp:positionH>
                <wp:positionV relativeFrom="paragraph">
                  <wp:posOffset>2402840</wp:posOffset>
                </wp:positionV>
                <wp:extent cx="922020" cy="205740"/>
                <wp:effectExtent l="0" t="0" r="0" b="3810"/>
                <wp:wrapNone/>
                <wp:docPr id="20" name="Text Box 20"/>
                <wp:cNvGraphicFramePr/>
                <a:graphic xmlns:a="http://schemas.openxmlformats.org/drawingml/2006/main">
                  <a:graphicData uri="http://schemas.microsoft.com/office/word/2010/wordprocessingShape">
                    <wps:wsp>
                      <wps:cNvSpPr txBox="1"/>
                      <wps:spPr>
                        <a:xfrm>
                          <a:off x="0" y="0"/>
                          <a:ext cx="92202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5DF8C" w14:textId="77777777" w:rsidR="00CB68B9" w:rsidRPr="00CB68B9" w:rsidRDefault="00CB68B9" w:rsidP="00CB68B9">
                            <w:pPr>
                              <w:rPr>
                                <w:rFonts w:asciiTheme="minorBidi" w:hAnsiTheme="minorBidi"/>
                                <w:sz w:val="14"/>
                                <w:szCs w:val="14"/>
                              </w:rPr>
                            </w:pPr>
                            <w:r w:rsidRPr="00CB68B9">
                              <w:rPr>
                                <w:rFonts w:asciiTheme="minorBidi" w:hAnsiTheme="minorBidi"/>
                                <w:sz w:val="14"/>
                                <w:szCs w:val="14"/>
                              </w:rPr>
                              <w:t>Fully acceptable</w:t>
                            </w:r>
                          </w:p>
                          <w:p w14:paraId="3BCD8741" w14:textId="77777777" w:rsidR="00CB68B9" w:rsidRPr="00CB68B9" w:rsidRDefault="00CB68B9" w:rsidP="00CB68B9">
                            <w:pP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F9C37" id="Text Box 20" o:spid="_x0000_s1037" type="#_x0000_t202" style="position:absolute;margin-left:335.7pt;margin-top:189.2pt;width:72.6pt;height:16.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" fillcolor="white [3212]" stroked="f" strokeweight=".5pt">
                <v:textbox>
                  <w:txbxContent>
                    <w:p w14:paraId="5FB5DF8C" w14:textId="77777777" w:rsidR="00CB68B9" w:rsidRPr="00CB68B9" w:rsidRDefault="00CB68B9" w:rsidP="00CB68B9">
                      <w:pPr>
                        <w:rPr>
                          <w:rFonts w:asciiTheme="minorBidi" w:hAnsiTheme="minorBidi"/>
                          <w:sz w:val="14"/>
                          <w:szCs w:val="14"/>
                        </w:rPr>
                      </w:pPr>
                      <w:r w:rsidRPr="00CB68B9">
                        <w:rPr>
                          <w:rFonts w:asciiTheme="minorBidi" w:hAnsiTheme="minorBidi"/>
                          <w:sz w:val="14"/>
                          <w:szCs w:val="14"/>
                        </w:rPr>
                        <w:t>Fully acceptable</w:t>
                      </w:r>
                    </w:p>
                    <w:p w14:paraId="3BCD8741" w14:textId="77777777" w:rsidR="00CB68B9" w:rsidRPr="00CB68B9" w:rsidRDefault="00CB68B9" w:rsidP="00CB68B9">
                      <w:pPr>
                        <w:rPr>
                          <w:rFonts w:asciiTheme="minorBidi" w:hAnsiTheme="minorBidi"/>
                          <w:sz w:val="14"/>
                          <w:szCs w:val="14"/>
                          <w:lang w:val="lv-LV"/>
                        </w:rPr>
                      </w:pP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01248" behindDoc="0" locked="0" layoutInCell="1" allowOverlap="1" wp14:anchorId="5604E6A9" wp14:editId="571A85B3">
                <wp:simplePos x="0" y="0"/>
                <wp:positionH relativeFrom="column">
                  <wp:posOffset>621030</wp:posOffset>
                </wp:positionH>
                <wp:positionV relativeFrom="paragraph">
                  <wp:posOffset>2410460</wp:posOffset>
                </wp:positionV>
                <wp:extent cx="1013460" cy="190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013460" cy="1905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DDA73D" w14:textId="77777777" w:rsidR="00D34F0E" w:rsidRPr="00CB68B9" w:rsidRDefault="00D34F0E" w:rsidP="00D34F0E">
                            <w:pPr>
                              <w:rPr>
                                <w:rFonts w:asciiTheme="minorBidi" w:hAnsiTheme="minorBidi"/>
                                <w:sz w:val="14"/>
                                <w:szCs w:val="14"/>
                              </w:rPr>
                            </w:pPr>
                            <w:r w:rsidRPr="00CB68B9">
                              <w:rPr>
                                <w:rFonts w:asciiTheme="minorBidi" w:hAnsiTheme="minorBidi"/>
                                <w:sz w:val="14"/>
                                <w:szCs w:val="14"/>
                              </w:rPr>
                              <w:t>Fully unacceptable</w:t>
                            </w:r>
                          </w:p>
                          <w:p w14:paraId="2E4AA60C" w14:textId="24542A0B" w:rsidR="00D34F0E" w:rsidRPr="00D34F0E" w:rsidRDefault="00D34F0E" w:rsidP="00D34F0E">
                            <w:pPr>
                              <w:rPr>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4E6A9" id="Text Box 19" o:spid="_x0000_s1038" type="#_x0000_t202" style="position:absolute;margin-left:48.9pt;margin-top:189.8pt;width:79.8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" fillcolor="white [3212]" stroked="f" strokeweight=".5pt">
                <v:textbox>
                  <w:txbxContent>
                    <w:p w14:paraId="4BDDA73D" w14:textId="77777777" w:rsidR="00D34F0E" w:rsidRPr="00CB68B9" w:rsidRDefault="00D34F0E" w:rsidP="00D34F0E">
                      <w:pPr>
                        <w:rPr>
                          <w:rFonts w:asciiTheme="minorBidi" w:hAnsiTheme="minorBidi"/>
                          <w:sz w:val="14"/>
                          <w:szCs w:val="14"/>
                        </w:rPr>
                      </w:pPr>
                      <w:r w:rsidRPr="00CB68B9">
                        <w:rPr>
                          <w:rFonts w:asciiTheme="minorBidi" w:hAnsiTheme="minorBidi"/>
                          <w:sz w:val="14"/>
                          <w:szCs w:val="14"/>
                        </w:rPr>
                        <w:t>Fully unacceptable</w:t>
                      </w:r>
                    </w:p>
                    <w:p w14:paraId="2E4AA60C" w14:textId="24542A0B" w:rsidR="00D34F0E" w:rsidRPr="00D34F0E" w:rsidRDefault="00D34F0E" w:rsidP="00D34F0E">
                      <w:pPr>
                        <w:rPr>
                          <w:sz w:val="14"/>
                          <w:szCs w:val="14"/>
                          <w:lang w:val="lv-LV"/>
                        </w:rPr>
                      </w:pPr>
                    </w:p>
                  </w:txbxContent>
                </v:textbox>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99200" behindDoc="0" locked="0" layoutInCell="1" allowOverlap="1" wp14:anchorId="57D390C5" wp14:editId="3047FDC0">
                <wp:simplePos x="0" y="0"/>
                <wp:positionH relativeFrom="margin">
                  <wp:align>left</wp:align>
                </wp:positionH>
                <wp:positionV relativeFrom="paragraph">
                  <wp:posOffset>1775460</wp:posOffset>
                </wp:positionV>
                <wp:extent cx="3048000" cy="3200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304800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592D9"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company provides services to another company but does not inform the tax or social security authorities of its activities</w:t>
                            </w:r>
                          </w:p>
                          <w:p w14:paraId="7E516782" w14:textId="77777777" w:rsidR="00D34F0E" w:rsidRPr="00D34F0E" w:rsidRDefault="00D34F0E" w:rsidP="00D34F0E">
                            <w:pPr>
                              <w:jc w:val="center"/>
                              <w:rPr>
                                <w:rFonts w:asciiTheme="minorBidi" w:hAnsiTheme="minorBidi"/>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90C5" id="Text Box 18" o:spid="_x0000_s1039" type="#_x0000_t202" style="position:absolute;margin-left:0;margin-top:139.8pt;width:240pt;height:25.2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" fillcolor="white [3212]" stroked="f" strokeweight=".5pt">
                <v:textbox>
                  <w:txbxContent>
                    <w:p w14:paraId="050592D9"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company provides services to another company but does not inform the tax or social security authorities of its activities</w:t>
                      </w:r>
                    </w:p>
                    <w:p w14:paraId="7E516782" w14:textId="77777777" w:rsidR="00D34F0E" w:rsidRPr="00D34F0E" w:rsidRDefault="00D34F0E" w:rsidP="00D34F0E">
                      <w:pPr>
                        <w:jc w:val="center"/>
                        <w:rPr>
                          <w:rFonts w:asciiTheme="minorBidi" w:hAnsiTheme="minorBidi"/>
                          <w:sz w:val="2"/>
                          <w:szCs w:val="2"/>
                        </w:rPr>
                      </w:pPr>
                    </w:p>
                  </w:txbxContent>
                </v:textbox>
                <w10:wrap anchorx="margin"/>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97152" behindDoc="0" locked="0" layoutInCell="1" allowOverlap="1" wp14:anchorId="67A0BFF1" wp14:editId="6F68CDF9">
                <wp:simplePos x="0" y="0"/>
                <wp:positionH relativeFrom="margin">
                  <wp:align>left</wp:align>
                </wp:positionH>
                <wp:positionV relativeFrom="paragraph">
                  <wp:posOffset>1447800</wp:posOffset>
                </wp:positionV>
                <wp:extent cx="3048000" cy="3200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304800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34351"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company provides its services to a private household but does not inform the tax or social security authorities of the fees received</w:t>
                            </w:r>
                          </w:p>
                          <w:p w14:paraId="4971EF0B" w14:textId="77777777" w:rsidR="00D34F0E" w:rsidRPr="00D34F0E" w:rsidRDefault="00D34F0E" w:rsidP="00D34F0E">
                            <w:pPr>
                              <w:jc w:val="center"/>
                              <w:rPr>
                                <w:rFonts w:asciiTheme="minorBidi" w:hAnsiTheme="minorBidi"/>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0BFF1" id="Text Box 17" o:spid="_x0000_s1040" type="#_x0000_t202" style="position:absolute;margin-left:0;margin-top:114pt;width:240pt;height:25.2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" fillcolor="white [3212]" stroked="f" strokeweight=".5pt">
                <v:textbox>
                  <w:txbxContent>
                    <w:p w14:paraId="34934351"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company provides its services to a private household but does not inform the tax or social security authorities of the fees received</w:t>
                      </w:r>
                    </w:p>
                    <w:p w14:paraId="4971EF0B" w14:textId="77777777" w:rsidR="00D34F0E" w:rsidRPr="00D34F0E" w:rsidRDefault="00D34F0E" w:rsidP="00D34F0E">
                      <w:pPr>
                        <w:jc w:val="center"/>
                        <w:rPr>
                          <w:rFonts w:asciiTheme="minorBidi" w:hAnsiTheme="minorBidi"/>
                          <w:sz w:val="2"/>
                          <w:szCs w:val="2"/>
                        </w:rPr>
                      </w:pPr>
                    </w:p>
                  </w:txbxContent>
                </v:textbox>
                <w10:wrap anchorx="margin"/>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95104" behindDoc="0" locked="0" layoutInCell="1" allowOverlap="1" wp14:anchorId="716F7352" wp14:editId="69B9A610">
                <wp:simplePos x="0" y="0"/>
                <wp:positionH relativeFrom="margin">
                  <wp:align>left</wp:align>
                </wp:positionH>
                <wp:positionV relativeFrom="paragraph">
                  <wp:posOffset>1074420</wp:posOffset>
                </wp:positionV>
                <wp:extent cx="3048000" cy="38862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048000" cy="3886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4965B"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private individual is employed in a private household and does not inform the tax or social security authorities of the remuneration he/she receives, even though it should be reported</w:t>
                            </w:r>
                          </w:p>
                          <w:p w14:paraId="4AC35080" w14:textId="77777777" w:rsidR="00D34F0E" w:rsidRPr="00D34F0E" w:rsidRDefault="00D34F0E" w:rsidP="00D34F0E">
                            <w:pPr>
                              <w:jc w:val="center"/>
                              <w:rPr>
                                <w:rFonts w:asciiTheme="minorBidi" w:hAnsiTheme="minorBidi"/>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F7352" id="Text Box 16" o:spid="_x0000_s1041" type="#_x0000_t202" style="position:absolute;margin-left:0;margin-top:84.6pt;width:240pt;height:30.6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" fillcolor="white [3212]" stroked="f" strokeweight=".5pt">
                <v:textbox>
                  <w:txbxContent>
                    <w:p w14:paraId="6C64965B"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A private individual is employed in a private household and does not inform the tax or social security authorities of the remuneration he/she receives, even though it should be reported</w:t>
                      </w:r>
                    </w:p>
                    <w:p w14:paraId="4AC35080" w14:textId="77777777" w:rsidR="00D34F0E" w:rsidRPr="00D34F0E" w:rsidRDefault="00D34F0E" w:rsidP="00D34F0E">
                      <w:pPr>
                        <w:jc w:val="center"/>
                        <w:rPr>
                          <w:rFonts w:asciiTheme="minorBidi" w:hAnsiTheme="minorBidi"/>
                          <w:sz w:val="2"/>
                          <w:szCs w:val="2"/>
                        </w:rPr>
                      </w:pPr>
                    </w:p>
                  </w:txbxContent>
                </v:textbox>
                <w10:wrap anchorx="margin"/>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93056" behindDoc="0" locked="0" layoutInCell="1" allowOverlap="1" wp14:anchorId="07B9F7BF" wp14:editId="215FFE3E">
                <wp:simplePos x="0" y="0"/>
                <wp:positionH relativeFrom="margin">
                  <wp:align>left</wp:align>
                </wp:positionH>
                <wp:positionV relativeFrom="paragraph">
                  <wp:posOffset>726440</wp:posOffset>
                </wp:positionV>
                <wp:extent cx="3048000" cy="3886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048000" cy="3886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5BC553"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Someone receives social benefit payments (unemployment benefit, sickness benefit, etc.) while hiding the actual circumstances that would prevent receipt of such payments</w:t>
                            </w:r>
                          </w:p>
                          <w:p w14:paraId="4014F34F" w14:textId="77777777" w:rsidR="00D34F0E" w:rsidRPr="00D34F0E" w:rsidRDefault="00D34F0E" w:rsidP="00D34F0E">
                            <w:pPr>
                              <w:jc w:val="center"/>
                              <w:rPr>
                                <w:rFonts w:asciiTheme="minorBidi" w:hAnsiTheme="minorBidi"/>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9F7BF" id="Text Box 15" o:spid="_x0000_s1042" type="#_x0000_t202" style="position:absolute;margin-left:0;margin-top:57.2pt;width:240pt;height:30.6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" fillcolor="white [3212]" stroked="f" strokeweight=".5pt">
                <v:textbox>
                  <w:txbxContent>
                    <w:p w14:paraId="225BC553" w14:textId="77777777" w:rsidR="00D34F0E" w:rsidRPr="00D34F0E" w:rsidRDefault="00D34F0E" w:rsidP="00D34F0E">
                      <w:pPr>
                        <w:jc w:val="center"/>
                        <w:rPr>
                          <w:rFonts w:asciiTheme="minorBidi" w:hAnsiTheme="minorBidi"/>
                          <w:sz w:val="14"/>
                          <w:szCs w:val="14"/>
                        </w:rPr>
                      </w:pPr>
                      <w:r w:rsidRPr="00D34F0E">
                        <w:rPr>
                          <w:rFonts w:asciiTheme="minorBidi" w:hAnsiTheme="minorBidi"/>
                          <w:sz w:val="14"/>
                          <w:szCs w:val="14"/>
                        </w:rPr>
                        <w:t>Someone receives social benefit payments (unemployment benefit, sickness benefit, etc.) while hiding the actual circumstances that would prevent receipt of such payments</w:t>
                      </w:r>
                    </w:p>
                    <w:p w14:paraId="4014F34F" w14:textId="77777777" w:rsidR="00D34F0E" w:rsidRPr="00D34F0E" w:rsidRDefault="00D34F0E" w:rsidP="00D34F0E">
                      <w:pPr>
                        <w:jc w:val="center"/>
                        <w:rPr>
                          <w:rFonts w:asciiTheme="minorBidi" w:hAnsiTheme="minorBidi"/>
                          <w:sz w:val="2"/>
                          <w:szCs w:val="2"/>
                        </w:rPr>
                      </w:pPr>
                    </w:p>
                  </w:txbxContent>
                </v:textbox>
                <w10:wrap anchorx="margin"/>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91008" behindDoc="0" locked="0" layoutInCell="1" allowOverlap="1" wp14:anchorId="74A7D240" wp14:editId="7609544A">
                <wp:simplePos x="0" y="0"/>
                <wp:positionH relativeFrom="margin">
                  <wp:posOffset>99060</wp:posOffset>
                </wp:positionH>
                <wp:positionV relativeFrom="paragraph">
                  <wp:posOffset>472440</wp:posOffset>
                </wp:positionV>
                <wp:extent cx="2887980" cy="297180"/>
                <wp:effectExtent l="0" t="0" r="7620" b="7620"/>
                <wp:wrapNone/>
                <wp:docPr id="14" name="Text Box 14"/>
                <wp:cNvGraphicFramePr/>
                <a:graphic xmlns:a="http://schemas.openxmlformats.org/drawingml/2006/main">
                  <a:graphicData uri="http://schemas.microsoft.com/office/word/2010/wordprocessingShape">
                    <wps:wsp>
                      <wps:cNvSpPr txBox="1"/>
                      <wps:spPr>
                        <a:xfrm>
                          <a:off x="0" y="0"/>
                          <a:ext cx="2887980" cy="2971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642B9B" w14:textId="77777777" w:rsidR="00D34F0E" w:rsidRPr="00D34F0E" w:rsidRDefault="00D34F0E" w:rsidP="00D34F0E">
                            <w:pPr>
                              <w:jc w:val="center"/>
                              <w:rPr>
                                <w:rFonts w:ascii="Arial" w:hAnsi="Arial" w:cs="Arial"/>
                                <w:sz w:val="14"/>
                                <w:szCs w:val="14"/>
                              </w:rPr>
                            </w:pPr>
                            <w:r w:rsidRPr="00D34F0E">
                              <w:rPr>
                                <w:rFonts w:ascii="Arial" w:hAnsi="Arial" w:cs="Arial"/>
                                <w:sz w:val="14"/>
                                <w:szCs w:val="14"/>
                              </w:rPr>
                              <w:t>A company hires a private individual, but all or part of the wage is paid in an envelope</w:t>
                            </w:r>
                          </w:p>
                          <w:p w14:paraId="21D5B8BB" w14:textId="77777777" w:rsidR="00D34F0E" w:rsidRPr="00D34F0E" w:rsidRDefault="00D34F0E" w:rsidP="00D34F0E">
                            <w:pPr>
                              <w:jc w:val="center"/>
                              <w:rPr>
                                <w:rFonts w:ascii="Arial" w:hAnsi="Arial" w:cs="Arial"/>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D240" id="Text Box 14" o:spid="_x0000_s1043" type="#_x0000_t202" style="position:absolute;margin-left:7.8pt;margin-top:37.2pt;width:227.4pt;height:23.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" fillcolor="white [3212]" stroked="f" strokeweight=".5pt">
                <v:textbox>
                  <w:txbxContent>
                    <w:p w14:paraId="73642B9B" w14:textId="77777777" w:rsidR="00D34F0E" w:rsidRPr="00D34F0E" w:rsidRDefault="00D34F0E" w:rsidP="00D34F0E">
                      <w:pPr>
                        <w:jc w:val="center"/>
                        <w:rPr>
                          <w:rFonts w:ascii="Arial" w:hAnsi="Arial" w:cs="Arial"/>
                          <w:sz w:val="14"/>
                          <w:szCs w:val="14"/>
                        </w:rPr>
                      </w:pPr>
                      <w:r w:rsidRPr="00D34F0E">
                        <w:rPr>
                          <w:rFonts w:ascii="Arial" w:hAnsi="Arial" w:cs="Arial"/>
                          <w:sz w:val="14"/>
                          <w:szCs w:val="14"/>
                        </w:rPr>
                        <w:t>A company hires a private individual, but all or part of the wage is paid in an envelope</w:t>
                      </w:r>
                    </w:p>
                    <w:p w14:paraId="21D5B8BB" w14:textId="77777777" w:rsidR="00D34F0E" w:rsidRPr="00D34F0E" w:rsidRDefault="00D34F0E" w:rsidP="00D34F0E">
                      <w:pPr>
                        <w:jc w:val="center"/>
                        <w:rPr>
                          <w:rFonts w:ascii="Arial" w:hAnsi="Arial" w:cs="Arial"/>
                          <w:sz w:val="4"/>
                          <w:szCs w:val="4"/>
                        </w:rPr>
                      </w:pPr>
                    </w:p>
                  </w:txbxContent>
                </v:textbox>
                <w10:wrap anchorx="margin"/>
              </v:shape>
            </w:pict>
          </mc:Fallback>
        </mc:AlternateContent>
      </w:r>
      <w:r w:rsidR="00D34F0E">
        <w:rPr>
          <w:rFonts w:ascii="Times New Roman" w:hAnsi="Times New Roman"/>
          <w:noProof/>
          <w:sz w:val="24"/>
          <w:lang w:val="lv-LV" w:eastAsia="zh-CN"/>
        </w:rPr>
        <mc:AlternateContent>
          <mc:Choice Requires="wps">
            <w:drawing>
              <wp:anchor distT="0" distB="0" distL="114300" distR="114300" simplePos="0" relativeHeight="251688960" behindDoc="0" locked="0" layoutInCell="1" allowOverlap="1" wp14:anchorId="77CCCE25" wp14:editId="0F2A72FC">
                <wp:simplePos x="0" y="0"/>
                <wp:positionH relativeFrom="margin">
                  <wp:posOffset>95250</wp:posOffset>
                </wp:positionH>
                <wp:positionV relativeFrom="paragraph">
                  <wp:posOffset>177800</wp:posOffset>
                </wp:positionV>
                <wp:extent cx="2887980" cy="297180"/>
                <wp:effectExtent l="0" t="0" r="7620" b="7620"/>
                <wp:wrapNone/>
                <wp:docPr id="13" name="Text Box 13"/>
                <wp:cNvGraphicFramePr/>
                <a:graphic xmlns:a="http://schemas.openxmlformats.org/drawingml/2006/main">
                  <a:graphicData uri="http://schemas.microsoft.com/office/word/2010/wordprocessingShape">
                    <wps:wsp>
                      <wps:cNvSpPr txBox="1"/>
                      <wps:spPr>
                        <a:xfrm>
                          <a:off x="0" y="0"/>
                          <a:ext cx="2887980" cy="2971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67BE8F" w14:textId="77777777" w:rsidR="00D34F0E" w:rsidRPr="00D34F0E" w:rsidRDefault="00D34F0E" w:rsidP="00D34F0E">
                            <w:pPr>
                              <w:jc w:val="center"/>
                              <w:rPr>
                                <w:rFonts w:ascii="Arial" w:hAnsi="Arial" w:cs="Arial"/>
                                <w:sz w:val="14"/>
                                <w:szCs w:val="14"/>
                              </w:rPr>
                            </w:pPr>
                            <w:r w:rsidRPr="00D34F0E">
                              <w:rPr>
                                <w:rFonts w:ascii="Arial" w:hAnsi="Arial" w:cs="Arial"/>
                                <w:sz w:val="14"/>
                                <w:szCs w:val="14"/>
                              </w:rPr>
                              <w:t>Someone evades taxes by not paying or only partially paying the national taxes</w:t>
                            </w:r>
                          </w:p>
                          <w:p w14:paraId="148237B4" w14:textId="1596E8A5" w:rsidR="00D34F0E" w:rsidRPr="00D34F0E" w:rsidRDefault="00D34F0E" w:rsidP="00D34F0E">
                            <w:pPr>
                              <w:jc w:val="center"/>
                              <w:rPr>
                                <w:rFonts w:ascii="Arial" w:hAnsi="Arial" w:cs="Arial"/>
                                <w:sz w:val="4"/>
                                <w:szCs w:val="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CCE25" id="Text Box 13" o:spid="_x0000_s1044" type="#_x0000_t202" style="position:absolute;margin-left:7.5pt;margin-top:14pt;width:227.4pt;height:23.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" fillcolor="white [3212]" stroked="f" strokeweight=".5pt">
                <v:textbox>
                  <w:txbxContent>
                    <w:p w14:paraId="5967BE8F" w14:textId="77777777" w:rsidR="00D34F0E" w:rsidRPr="00D34F0E" w:rsidRDefault="00D34F0E" w:rsidP="00D34F0E">
                      <w:pPr>
                        <w:jc w:val="center"/>
                        <w:rPr>
                          <w:rFonts w:ascii="Arial" w:hAnsi="Arial" w:cs="Arial"/>
                          <w:sz w:val="14"/>
                          <w:szCs w:val="14"/>
                        </w:rPr>
                      </w:pPr>
                      <w:r w:rsidRPr="00D34F0E">
                        <w:rPr>
                          <w:rFonts w:ascii="Arial" w:hAnsi="Arial" w:cs="Arial"/>
                          <w:sz w:val="14"/>
                          <w:szCs w:val="14"/>
                        </w:rPr>
                        <w:t>Someone evades taxes by not paying or only partially paying the national taxes</w:t>
                      </w:r>
                    </w:p>
                    <w:p w14:paraId="148237B4" w14:textId="1596E8A5" w:rsidR="00D34F0E" w:rsidRPr="00D34F0E" w:rsidRDefault="00D34F0E" w:rsidP="00D34F0E">
                      <w:pPr>
                        <w:jc w:val="center"/>
                        <w:rPr>
                          <w:rFonts w:ascii="Arial" w:hAnsi="Arial" w:cs="Arial"/>
                          <w:sz w:val="4"/>
                          <w:szCs w:val="4"/>
                        </w:rPr>
                      </w:pPr>
                    </w:p>
                  </w:txbxContent>
                </v:textbox>
                <w10:wrap anchorx="margin"/>
              </v:shape>
            </w:pict>
          </mc:Fallback>
        </mc:AlternateContent>
      </w:r>
      <w:r w:rsidR="002C377B">
        <w:rPr>
          <w:noProof/>
          <w:sz w:val="24"/>
          <w:lang w:val="lv-LV" w:eastAsia="zh-CN"/>
        </w:rPr>
        <w:drawing>
          <wp:inline distT="0" distB="0" distL="0" distR="0" wp14:anchorId="67194A1E" wp14:editId="2EB2AB9F">
            <wp:extent cx="6257925" cy="2679065"/>
            <wp:effectExtent l="0" t="0" r="9525" b="698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5439AF" w14:textId="26B76B40" w:rsidR="00554C72" w:rsidRPr="00554C72" w:rsidRDefault="00554C72" w:rsidP="00554C72">
      <w:pPr>
        <w:rPr>
          <w:rFonts w:ascii="Times New Roman" w:hAnsi="Times New Roman" w:cs="Times New Roman"/>
          <w:i/>
          <w:iCs/>
          <w:sz w:val="18"/>
          <w:szCs w:val="18"/>
        </w:rPr>
      </w:pPr>
      <w:r>
        <w:rPr>
          <w:rFonts w:ascii="Times New Roman" w:hAnsi="Times New Roman"/>
          <w:i/>
          <w:sz w:val="18"/>
        </w:rPr>
        <w:t xml:space="preserve">Figure 1. </w:t>
      </w:r>
      <w:r>
        <w:rPr>
          <w:rFonts w:ascii="Times New Roman" w:hAnsi="Times New Roman"/>
          <w:i/>
          <w:color w:val="000000" w:themeColor="text1"/>
          <w:sz w:val="18"/>
        </w:rPr>
        <w:t>Tax morale in Latvia “</w:t>
      </w:r>
      <w:r>
        <w:rPr>
          <w:rFonts w:ascii="Times New Roman" w:hAnsi="Times New Roman"/>
          <w:i/>
          <w:sz w:val="18"/>
        </w:rPr>
        <w:t>To what extent do you consider this behaviour to be acceptable or unacceptable”, survey of 2020.</w:t>
      </w:r>
    </w:p>
    <w:p w14:paraId="27185E17" w14:textId="5EB5AC43" w:rsidR="002C377B" w:rsidRPr="002604B9" w:rsidRDefault="002C377B" w:rsidP="002C377B">
      <w:pPr>
        <w:ind w:firstLine="720"/>
        <w:jc w:val="both"/>
        <w:rPr>
          <w:rFonts w:ascii="Times New Roman" w:hAnsi="Times New Roman" w:cs="Times New Roman"/>
          <w:kern w:val="0"/>
          <w:sz w:val="24"/>
          <w:szCs w:val="24"/>
          <w14:ligatures w14:val="none"/>
        </w:rPr>
      </w:pPr>
      <w:r>
        <w:rPr>
          <w:rFonts w:ascii="Times New Roman" w:hAnsi="Times New Roman"/>
          <w:sz w:val="24"/>
        </w:rPr>
        <w:t>Trust is a set of different beliefs and judgements. In the field of taxation, trust is largely linked to the focus strategies in the work of tax administrations: actions based on mutual respect and understanding, rather than fear of being caught or punitive actions that in turn are linked to strategies to prevent tax collection. The failure of prevention strategies in the context of Latvia is also indicated by the fact that in none of the situations the moral judgement of respondents depends on their perception of the likelihood of being caught for tax evasion.</w:t>
      </w:r>
      <w:r w:rsidR="004F5B80" w:rsidRPr="004F5B80">
        <w:rPr>
          <w:rFonts w:ascii="Times New Roman" w:hAnsi="Times New Roman"/>
          <w:noProof/>
          <w:sz w:val="24"/>
          <w:lang w:val="lv-LV" w:eastAsia="zh-CN"/>
        </w:rPr>
        <w:t xml:space="preserve"> </w:t>
      </w:r>
    </w:p>
    <w:p w14:paraId="291B2484" w14:textId="34F7B044" w:rsidR="002C377B" w:rsidRPr="002604B9" w:rsidRDefault="002C377B" w:rsidP="002C377B">
      <w:pPr>
        <w:ind w:firstLine="720"/>
        <w:jc w:val="both"/>
        <w:rPr>
          <w:rFonts w:ascii="Times New Roman" w:hAnsi="Times New Roman" w:cs="Times New Roman"/>
          <w:kern w:val="0"/>
          <w:sz w:val="24"/>
          <w:szCs w:val="24"/>
          <w14:ligatures w14:val="none"/>
        </w:rPr>
      </w:pPr>
      <w:r>
        <w:rPr>
          <w:rFonts w:ascii="Times New Roman" w:hAnsi="Times New Roman"/>
          <w:sz w:val="24"/>
        </w:rPr>
        <w:t xml:space="preserve">It also matters whether the individual is employed in the shadow economy and in such case tax morale is significantly lower than if the entire wage is earned and all taxes are paid in good faith. This suggests that once an individual is involved in the shadow economy activities, tax morale becomes weaker and such persons much less likely to be drawn into paying taxes. Moreover, the shadow economy is becoming self-sufficient, i.e. goods and services are much more likely to be purchased by those who themselves receive undeclared income. </w:t>
      </w:r>
    </w:p>
    <w:p w14:paraId="22C83BA6" w14:textId="435B20F6" w:rsidR="002604B9" w:rsidRDefault="002C377B" w:rsidP="002604B9">
      <w:pPr>
        <w:ind w:firstLine="709"/>
        <w:jc w:val="both"/>
        <w:rPr>
          <w:rFonts w:ascii="Times New Roman" w:hAnsi="Times New Roman" w:cs="Times New Roman"/>
          <w:kern w:val="0"/>
          <w:sz w:val="24"/>
          <w:szCs w:val="24"/>
          <w14:ligatures w14:val="none"/>
        </w:rPr>
      </w:pPr>
      <w:r>
        <w:rPr>
          <w:rFonts w:ascii="Times New Roman" w:hAnsi="Times New Roman"/>
          <w:sz w:val="24"/>
        </w:rPr>
        <w:t xml:space="preserve">In contrast, Latvia has a part of society that has a relatively high tax morale. These are mostly general taxpayers who consider their tax burden too high. This shows that law-abiding individuals do not regard the payment of taxes as a personal matter, but as a matter of common interest for society as a whole. In other words, also in this case the payment of taxes is mainly linked to focus strategies and historical factors: trust in the SRS. At the same time, inequalities in society make people less willing to pay taxes. </w:t>
      </w:r>
    </w:p>
    <w:p w14:paraId="737BFF21" w14:textId="6CE7E709" w:rsidR="00771DF1" w:rsidRDefault="00771DF1" w:rsidP="007424AA">
      <w:pPr>
        <w:ind w:firstLine="709"/>
        <w:jc w:val="both"/>
        <w:rPr>
          <w:rFonts w:ascii="Times New Roman" w:hAnsi="Times New Roman" w:cs="Times New Roman"/>
          <w:sz w:val="24"/>
          <w:szCs w:val="24"/>
        </w:rPr>
      </w:pPr>
    </w:p>
    <w:p w14:paraId="23D1C1D0" w14:textId="1D36341E" w:rsidR="007424AA" w:rsidRDefault="007424AA" w:rsidP="007424AA">
      <w:pPr>
        <w:ind w:firstLine="709"/>
        <w:jc w:val="both"/>
        <w:rPr>
          <w:rFonts w:ascii="Times New Roman" w:hAnsi="Times New Roman" w:cs="Times New Roman"/>
          <w:color w:val="000000" w:themeColor="text1"/>
          <w:sz w:val="24"/>
          <w:szCs w:val="24"/>
        </w:rPr>
      </w:pPr>
      <w:r>
        <w:rPr>
          <w:rFonts w:ascii="Times New Roman" w:hAnsi="Times New Roman"/>
          <w:sz w:val="24"/>
        </w:rPr>
        <w:t xml:space="preserve">Within the scope of the national research programme “Reduction of the Hidden Economy for Ensuring Sustainable Economic Development”, the results of the survey conducted by prof. A. Sauka show that in Latvia the most common reason that would encourage people to purchase goods or services without a justification document, or without paying all applicable taxes, is a lower price </w:t>
      </w:r>
      <w:r w:rsidR="00F1257D">
        <w:rPr>
          <w:rStyle w:val="FootnoteReference"/>
          <w:rFonts w:ascii="Times New Roman" w:hAnsi="Times New Roman" w:cs="Times New Roman"/>
          <w:sz w:val="24"/>
          <w:szCs w:val="24"/>
        </w:rPr>
        <w:footnoteReference w:id="15"/>
      </w:r>
      <w:r>
        <w:rPr>
          <w:rFonts w:ascii="Times New Roman" w:hAnsi="Times New Roman"/>
          <w:color w:val="000000" w:themeColor="text1"/>
          <w:sz w:val="24"/>
        </w:rPr>
        <w:t xml:space="preserve"> (Figure 3).</w:t>
      </w:r>
    </w:p>
    <w:p w14:paraId="4E6DA242" w14:textId="619E2FD4" w:rsidR="00487D69" w:rsidRDefault="00487D69" w:rsidP="007424AA">
      <w:pPr>
        <w:ind w:firstLine="709"/>
        <w:jc w:val="both"/>
        <w:rPr>
          <w:rFonts w:ascii="Times New Roman" w:hAnsi="Times New Roman" w:cs="Times New Roman"/>
          <w:color w:val="000000" w:themeColor="text1"/>
          <w:sz w:val="24"/>
          <w:szCs w:val="24"/>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4924"/>
      </w:tblGrid>
      <w:tr w:rsidR="005B5C86" w14:paraId="2962A9DE" w14:textId="77777777" w:rsidTr="00624CE3">
        <w:tc>
          <w:tcPr>
            <w:tcW w:w="4999" w:type="dxa"/>
          </w:tcPr>
          <w:p w14:paraId="0378DB9C" w14:textId="3D2218C3" w:rsidR="005B5C86" w:rsidRDefault="006F3AFB" w:rsidP="005B5C86">
            <w:pPr>
              <w:ind w:left="-113"/>
              <w:jc w:val="both"/>
              <w:rPr>
                <w:rFonts w:ascii="Times New Roman" w:hAnsi="Times New Roman" w:cs="Times New Roman"/>
                <w:color w:val="000000" w:themeColor="text1"/>
                <w:sz w:val="24"/>
                <w:szCs w:val="24"/>
              </w:rPr>
            </w:pPr>
            <w:r>
              <w:rPr>
                <w:rFonts w:ascii="Times New Roman" w:hAnsi="Times New Roman"/>
                <w:noProof/>
                <w:sz w:val="24"/>
                <w:lang w:val="lv-LV" w:eastAsia="zh-CN"/>
              </w:rPr>
              <mc:AlternateContent>
                <mc:Choice Requires="wps">
                  <w:drawing>
                    <wp:anchor distT="0" distB="0" distL="114300" distR="114300" simplePos="0" relativeHeight="251736064" behindDoc="0" locked="0" layoutInCell="1" allowOverlap="1" wp14:anchorId="42B7E348" wp14:editId="49819EF0">
                      <wp:simplePos x="0" y="0"/>
                      <wp:positionH relativeFrom="margin">
                        <wp:posOffset>-60960</wp:posOffset>
                      </wp:positionH>
                      <wp:positionV relativeFrom="paragraph">
                        <wp:posOffset>1866900</wp:posOffset>
                      </wp:positionV>
                      <wp:extent cx="1303020" cy="251460"/>
                      <wp:effectExtent l="0" t="0" r="0" b="0"/>
                      <wp:wrapNone/>
                      <wp:docPr id="1027168871" name="Text Box 1027168871"/>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7405F"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Nothing would encourage me</w:t>
                                  </w:r>
                                </w:p>
                                <w:p w14:paraId="2A8D6836"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7E348" id="Text Box 1027168871" o:spid="_x0000_s1045" type="#_x0000_t202" style="position:absolute;left:0;text-align:left;margin-left:-4.8pt;margin-top:147pt;width:102.6pt;height:19.8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" fillcolor="white [3212]" stroked="f" strokeweight=".5pt">
                      <v:textbox>
                        <w:txbxContent>
                          <w:p w14:paraId="2ED7405F"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Nothing would encourage me</w:t>
                            </w:r>
                          </w:p>
                          <w:p w14:paraId="2A8D6836"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31968" behindDoc="0" locked="0" layoutInCell="1" allowOverlap="1" wp14:anchorId="5044F731" wp14:editId="343A036A">
                      <wp:simplePos x="0" y="0"/>
                      <wp:positionH relativeFrom="margin">
                        <wp:posOffset>422910</wp:posOffset>
                      </wp:positionH>
                      <wp:positionV relativeFrom="paragraph">
                        <wp:posOffset>1633220</wp:posOffset>
                      </wp:positionV>
                      <wp:extent cx="822960" cy="205740"/>
                      <wp:effectExtent l="0" t="0" r="0" b="3810"/>
                      <wp:wrapNone/>
                      <wp:docPr id="1027168869" name="Text Box 1027168869"/>
                      <wp:cNvGraphicFramePr/>
                      <a:graphic xmlns:a="http://schemas.openxmlformats.org/drawingml/2006/main">
                        <a:graphicData uri="http://schemas.microsoft.com/office/word/2010/wordprocessingShape">
                          <wps:wsp>
                            <wps:cNvSpPr txBox="1"/>
                            <wps:spPr>
                              <a:xfrm>
                                <a:off x="0" y="0"/>
                                <a:ext cx="82296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98319"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Greater anonymity</w:t>
                                  </w:r>
                                </w:p>
                                <w:p w14:paraId="2AEE37C3" w14:textId="77777777" w:rsidR="006F3AFB" w:rsidRPr="006F3AFB" w:rsidRDefault="006F3AFB" w:rsidP="006F3AFB">
                                  <w:pPr>
                                    <w:jc w:val="right"/>
                                    <w:rPr>
                                      <w:rFonts w:asciiTheme="minorBidi" w:hAnsiTheme="minorBidi"/>
                                      <w:sz w:val="12"/>
                                      <w:szCs w:val="1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4F731" id="Text Box 1027168869" o:spid="_x0000_s1046" type="#_x0000_t202" style="position:absolute;left:0;text-align:left;margin-left:33.3pt;margin-top:128.6pt;width:64.8pt;height:16.2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" fillcolor="white [3212]" stroked="f" strokeweight=".5pt">
                      <v:textbox>
                        <w:txbxContent>
                          <w:p w14:paraId="3A898319"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Greater anonymity</w:t>
                            </w:r>
                          </w:p>
                          <w:p w14:paraId="2AEE37C3" w14:textId="77777777" w:rsidR="006F3AFB" w:rsidRPr="006F3AFB" w:rsidRDefault="006F3AFB" w:rsidP="006F3AFB">
                            <w:pPr>
                              <w:jc w:val="right"/>
                              <w:rPr>
                                <w:rFonts w:asciiTheme="minorBidi" w:hAnsiTheme="minorBidi"/>
                                <w:sz w:val="12"/>
                                <w:szCs w:val="12"/>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29920" behindDoc="0" locked="0" layoutInCell="1" allowOverlap="1" wp14:anchorId="7282583A" wp14:editId="5E46ED05">
                      <wp:simplePos x="0" y="0"/>
                      <wp:positionH relativeFrom="margin">
                        <wp:posOffset>502920</wp:posOffset>
                      </wp:positionH>
                      <wp:positionV relativeFrom="paragraph">
                        <wp:posOffset>2103120</wp:posOffset>
                      </wp:positionV>
                      <wp:extent cx="731520" cy="220980"/>
                      <wp:effectExtent l="0" t="0" r="0" b="7620"/>
                      <wp:wrapNone/>
                      <wp:docPr id="1027168868" name="Text Box 1027168868"/>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B3068"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Faster servicing</w:t>
                                  </w:r>
                                </w:p>
                                <w:p w14:paraId="2AFCEDDC" w14:textId="77777777" w:rsidR="006F3AFB" w:rsidRPr="006F3AFB" w:rsidRDefault="006F3AFB" w:rsidP="006F3AFB">
                                  <w:pPr>
                                    <w:jc w:val="right"/>
                                    <w:rPr>
                                      <w:rFonts w:asciiTheme="minorBidi" w:hAnsiTheme="minorBidi"/>
                                      <w:sz w:val="12"/>
                                      <w:szCs w:val="1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2583A" id="Text Box 1027168868" o:spid="_x0000_s1047" type="#_x0000_t202" style="position:absolute;left:0;text-align:left;margin-left:39.6pt;margin-top:165.6pt;width:57.6pt;height:17.4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" fillcolor="white [3212]" stroked="f" strokeweight=".5pt">
                      <v:textbox>
                        <w:txbxContent>
                          <w:p w14:paraId="627B3068"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Faster servicing</w:t>
                            </w:r>
                          </w:p>
                          <w:p w14:paraId="2AFCEDDC" w14:textId="77777777" w:rsidR="006F3AFB" w:rsidRPr="006F3AFB" w:rsidRDefault="006F3AFB" w:rsidP="006F3AFB">
                            <w:pPr>
                              <w:jc w:val="right"/>
                              <w:rPr>
                                <w:rFonts w:asciiTheme="minorBidi" w:hAnsiTheme="minorBidi"/>
                                <w:sz w:val="12"/>
                                <w:szCs w:val="12"/>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23776" behindDoc="0" locked="0" layoutInCell="1" allowOverlap="1" wp14:anchorId="084E28BC" wp14:editId="45DC9EFC">
                      <wp:simplePos x="0" y="0"/>
                      <wp:positionH relativeFrom="margin">
                        <wp:posOffset>-64770</wp:posOffset>
                      </wp:positionH>
                      <wp:positionV relativeFrom="paragraph">
                        <wp:posOffset>1381760</wp:posOffset>
                      </wp:positionV>
                      <wp:extent cx="1303020" cy="251460"/>
                      <wp:effectExtent l="0" t="0" r="0" b="0"/>
                      <wp:wrapNone/>
                      <wp:docPr id="1027168865" name="Text Box 1027168865"/>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C64B2"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Possibility to help someone who needs money</w:t>
                                  </w:r>
                                </w:p>
                                <w:p w14:paraId="4F67B76A"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E28BC" id="Text Box 1027168865" o:spid="_x0000_s1048" type="#_x0000_t202" style="position:absolute;left:0;text-align:left;margin-left:-5.1pt;margin-top:108.8pt;width:102.6pt;height:19.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" fillcolor="white [3212]" stroked="f" strokeweight=".5pt">
                      <v:textbox>
                        <w:txbxContent>
                          <w:p w14:paraId="632C64B2"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Possibility to help someone who needs money</w:t>
                            </w:r>
                          </w:p>
                          <w:p w14:paraId="4F67B76A"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21728" behindDoc="0" locked="0" layoutInCell="1" allowOverlap="1" wp14:anchorId="3F7345EA" wp14:editId="1FD60AA9">
                      <wp:simplePos x="0" y="0"/>
                      <wp:positionH relativeFrom="margin">
                        <wp:posOffset>502920</wp:posOffset>
                      </wp:positionH>
                      <wp:positionV relativeFrom="paragraph">
                        <wp:posOffset>1188720</wp:posOffset>
                      </wp:positionV>
                      <wp:extent cx="731520" cy="220980"/>
                      <wp:effectExtent l="0" t="0" r="0" b="7620"/>
                      <wp:wrapNone/>
                      <wp:docPr id="1027168864" name="Text Box 1027168864"/>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E90FE8"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Better quality</w:t>
                                  </w:r>
                                </w:p>
                                <w:p w14:paraId="26778341" w14:textId="260B8B3B" w:rsidR="006F3AFB" w:rsidRPr="006F3AFB" w:rsidRDefault="006F3AFB" w:rsidP="006F3AFB">
                                  <w:pPr>
                                    <w:jc w:val="right"/>
                                    <w:rPr>
                                      <w:rFonts w:asciiTheme="minorBidi" w:hAnsiTheme="minorBidi"/>
                                      <w:sz w:val="12"/>
                                      <w:szCs w:val="1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345EA" id="Text Box 1027168864" o:spid="_x0000_s1049" type="#_x0000_t202" style="position:absolute;left:0;text-align:left;margin-left:39.6pt;margin-top:93.6pt;width:57.6pt;height:17.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" fillcolor="white [3212]" stroked="f" strokeweight=".5pt">
                      <v:textbox>
                        <w:txbxContent>
                          <w:p w14:paraId="23E90FE8"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Better quality</w:t>
                            </w:r>
                          </w:p>
                          <w:p w14:paraId="26778341" w14:textId="260B8B3B" w:rsidR="006F3AFB" w:rsidRPr="006F3AFB" w:rsidRDefault="006F3AFB" w:rsidP="006F3AFB">
                            <w:pPr>
                              <w:jc w:val="right"/>
                              <w:rPr>
                                <w:rFonts w:asciiTheme="minorBidi" w:hAnsiTheme="minorBidi"/>
                                <w:sz w:val="12"/>
                                <w:szCs w:val="12"/>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19680" behindDoc="0" locked="0" layoutInCell="1" allowOverlap="1" wp14:anchorId="725705DF" wp14:editId="0A6A0AC3">
                      <wp:simplePos x="0" y="0"/>
                      <wp:positionH relativeFrom="margin">
                        <wp:posOffset>-3810</wp:posOffset>
                      </wp:positionH>
                      <wp:positionV relativeFrom="paragraph">
                        <wp:posOffset>871220</wp:posOffset>
                      </wp:positionV>
                      <wp:extent cx="1257300" cy="3505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257300" cy="3505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0768D"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The goods or services not available on the regulated market or difficult to access</w:t>
                                  </w:r>
                                </w:p>
                                <w:p w14:paraId="3690E481"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05DF" id="Text Box 31" o:spid="_x0000_s1050" type="#_x0000_t202" style="position:absolute;left:0;text-align:left;margin-left:-.3pt;margin-top:68.6pt;width:99pt;height:27.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" fillcolor="white [3212]" stroked="f" strokeweight=".5pt">
                      <v:textbox>
                        <w:txbxContent>
                          <w:p w14:paraId="6FE0768D"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The goods or services not available on the regulated market or difficult to access</w:t>
                            </w:r>
                          </w:p>
                          <w:p w14:paraId="3690E481"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15584" behindDoc="0" locked="0" layoutInCell="1" allowOverlap="1" wp14:anchorId="074B94E0" wp14:editId="2473306D">
                      <wp:simplePos x="0" y="0"/>
                      <wp:positionH relativeFrom="margin">
                        <wp:posOffset>102870</wp:posOffset>
                      </wp:positionH>
                      <wp:positionV relativeFrom="paragraph">
                        <wp:posOffset>650240</wp:posOffset>
                      </wp:positionV>
                      <wp:extent cx="1158240" cy="243840"/>
                      <wp:effectExtent l="0" t="0" r="3810" b="3810"/>
                      <wp:wrapNone/>
                      <wp:docPr id="28" name="Text Box 28"/>
                      <wp:cNvGraphicFramePr/>
                      <a:graphic xmlns:a="http://schemas.openxmlformats.org/drawingml/2006/main">
                        <a:graphicData uri="http://schemas.microsoft.com/office/word/2010/wordprocessingShape">
                          <wps:wsp>
                            <wps:cNvSpPr txBox="1"/>
                            <wps:spPr>
                              <a:xfrm>
                                <a:off x="0" y="0"/>
                                <a:ext cx="1158240" cy="2438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4817"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This was a service between friends, relatives or colleagues</w:t>
                                  </w:r>
                                </w:p>
                                <w:p w14:paraId="5A67C2A5" w14:textId="49673DDE"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B94E0" id="Text Box 28" o:spid="_x0000_s1051" type="#_x0000_t202" style="position:absolute;left:0;text-align:left;margin-left:8.1pt;margin-top:51.2pt;width:91.2pt;height:19.2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" fillcolor="white [3212]" stroked="f" strokeweight=".5pt">
                      <v:textbox>
                        <w:txbxContent>
                          <w:p w14:paraId="18BD4817"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This was a service between friends, relatives or colleagues</w:t>
                            </w:r>
                          </w:p>
                          <w:p w14:paraId="5A67C2A5" w14:textId="49673DDE"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11488" behindDoc="0" locked="0" layoutInCell="1" allowOverlap="1" wp14:anchorId="238468C5" wp14:editId="2BC647F6">
                      <wp:simplePos x="0" y="0"/>
                      <wp:positionH relativeFrom="margin">
                        <wp:posOffset>514350</wp:posOffset>
                      </wp:positionH>
                      <wp:positionV relativeFrom="paragraph">
                        <wp:posOffset>452120</wp:posOffset>
                      </wp:positionV>
                      <wp:extent cx="731520" cy="22098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C1558" w14:textId="709A0D7B" w:rsidR="006F3AFB" w:rsidRPr="006F3AFB" w:rsidRDefault="006F3AFB" w:rsidP="006F3AFB">
                                  <w:pPr>
                                    <w:jc w:val="right"/>
                                    <w:rPr>
                                      <w:rFonts w:asciiTheme="minorBidi" w:hAnsiTheme="minorBidi"/>
                                      <w:sz w:val="12"/>
                                      <w:szCs w:val="12"/>
                                      <w:lang w:val="lv-LV"/>
                                    </w:rPr>
                                  </w:pPr>
                                  <w:r w:rsidRPr="006F3AFB">
                                    <w:rPr>
                                      <w:rFonts w:asciiTheme="minorBidi" w:hAnsiTheme="minorBidi"/>
                                      <w:sz w:val="12"/>
                                      <w:szCs w:val="12"/>
                                      <w:lang w:val="lv-LV"/>
                                    </w:rPr>
                                    <w:t>Lower 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468C5" id="Text Box 26" o:spid="_x0000_s1052" type="#_x0000_t202" style="position:absolute;left:0;text-align:left;margin-left:40.5pt;margin-top:35.6pt;width:57.6pt;height:17.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" fillcolor="white [3212]" stroked="f" strokeweight=".5pt">
                      <v:textbox>
                        <w:txbxContent>
                          <w:p w14:paraId="086C1558" w14:textId="709A0D7B" w:rsidR="006F3AFB" w:rsidRPr="006F3AFB" w:rsidRDefault="006F3AFB" w:rsidP="006F3AFB">
                            <w:pPr>
                              <w:jc w:val="right"/>
                              <w:rPr>
                                <w:rFonts w:asciiTheme="minorBidi" w:hAnsiTheme="minorBidi"/>
                                <w:sz w:val="12"/>
                                <w:szCs w:val="12"/>
                                <w:lang w:val="lv-LV"/>
                              </w:rPr>
                            </w:pPr>
                            <w:r w:rsidRPr="006F3AFB">
                              <w:rPr>
                                <w:rFonts w:asciiTheme="minorBidi" w:hAnsiTheme="minorBidi"/>
                                <w:sz w:val="12"/>
                                <w:szCs w:val="12"/>
                                <w:lang w:val="lv-LV"/>
                              </w:rPr>
                              <w:t>Lower price</w:t>
                            </w:r>
                          </w:p>
                        </w:txbxContent>
                      </v:textbox>
                      <w10:wrap anchorx="margin"/>
                    </v:shape>
                  </w:pict>
                </mc:Fallback>
              </mc:AlternateContent>
            </w:r>
            <w:r w:rsidR="004F5B80">
              <w:rPr>
                <w:rFonts w:ascii="Times New Roman" w:hAnsi="Times New Roman"/>
                <w:noProof/>
                <w:sz w:val="24"/>
                <w:lang w:val="lv-LV" w:eastAsia="zh-CN"/>
              </w:rPr>
              <mc:AlternateContent>
                <mc:Choice Requires="wps">
                  <w:drawing>
                    <wp:anchor distT="0" distB="0" distL="114300" distR="114300" simplePos="0" relativeHeight="251707392" behindDoc="0" locked="0" layoutInCell="1" allowOverlap="1" wp14:anchorId="25D77A9E" wp14:editId="367F27D3">
                      <wp:simplePos x="0" y="0"/>
                      <wp:positionH relativeFrom="margin">
                        <wp:posOffset>133350</wp:posOffset>
                      </wp:positionH>
                      <wp:positionV relativeFrom="paragraph">
                        <wp:posOffset>55880</wp:posOffset>
                      </wp:positionV>
                      <wp:extent cx="2705100" cy="297180"/>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2705100" cy="2971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A87081" w14:textId="77777777" w:rsidR="004F5B80" w:rsidRPr="004F5B80" w:rsidRDefault="004F5B80" w:rsidP="004F5B80">
                                  <w:pPr>
                                    <w:jc w:val="center"/>
                                    <w:rPr>
                                      <w:rFonts w:ascii="Times New Roman" w:hAnsi="Times New Roman" w:cs="Times New Roman"/>
                                      <w:sz w:val="14"/>
                                      <w:szCs w:val="14"/>
                                    </w:rPr>
                                  </w:pPr>
                                  <w:r w:rsidRPr="004F5B80">
                                    <w:rPr>
                                      <w:rFonts w:ascii="Times New Roman" w:hAnsi="Times New Roman" w:cs="Times New Roman"/>
                                      <w:sz w:val="14"/>
                                      <w:szCs w:val="14"/>
                                    </w:rPr>
                                    <w:t>What would encourage you to purchase goods or services without receipt or without paying all stipulated taxes?</w:t>
                                  </w:r>
                                </w:p>
                                <w:p w14:paraId="02CCC0B6" w14:textId="77777777" w:rsidR="004F5B80" w:rsidRPr="004F5B80" w:rsidRDefault="004F5B80" w:rsidP="004F5B80">
                                  <w:pPr>
                                    <w:jc w:val="center"/>
                                    <w:rPr>
                                      <w:rFonts w:asciiTheme="minorBidi" w:hAnsiTheme="min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77A9E" id="Text Box 23" o:spid="_x0000_s1053" type="#_x0000_t202" style="position:absolute;left:0;text-align:left;margin-left:10.5pt;margin-top:4.4pt;width:213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" fillcolor="white [3212]" stroked="f" strokeweight=".5pt">
                      <v:textbox>
                        <w:txbxContent>
                          <w:p w14:paraId="59A87081" w14:textId="77777777" w:rsidR="004F5B80" w:rsidRPr="004F5B80" w:rsidRDefault="004F5B80" w:rsidP="004F5B80">
                            <w:pPr>
                              <w:jc w:val="center"/>
                              <w:rPr>
                                <w:rFonts w:ascii="Times New Roman" w:hAnsi="Times New Roman" w:cs="Times New Roman"/>
                                <w:sz w:val="14"/>
                                <w:szCs w:val="14"/>
                              </w:rPr>
                            </w:pPr>
                            <w:r w:rsidRPr="004F5B80">
                              <w:rPr>
                                <w:rFonts w:ascii="Times New Roman" w:hAnsi="Times New Roman" w:cs="Times New Roman"/>
                                <w:sz w:val="14"/>
                                <w:szCs w:val="14"/>
                              </w:rPr>
                              <w:t>What would encourage you to purchase goods or services without receipt or without paying all stipulated taxes?</w:t>
                            </w:r>
                          </w:p>
                          <w:p w14:paraId="02CCC0B6" w14:textId="77777777" w:rsidR="004F5B80" w:rsidRPr="004F5B80" w:rsidRDefault="004F5B80" w:rsidP="004F5B80">
                            <w:pPr>
                              <w:jc w:val="center"/>
                              <w:rPr>
                                <w:rFonts w:asciiTheme="minorBidi" w:hAnsiTheme="minorBidi"/>
                                <w:sz w:val="14"/>
                                <w:szCs w:val="14"/>
                              </w:rPr>
                            </w:pPr>
                          </w:p>
                        </w:txbxContent>
                      </v:textbox>
                      <w10:wrap anchorx="margin"/>
                    </v:shape>
                  </w:pict>
                </mc:Fallback>
              </mc:AlternateContent>
            </w:r>
            <w:r w:rsidR="005B5C86">
              <w:rPr>
                <w:rFonts w:ascii="Times New Roman" w:hAnsi="Times New Roman"/>
                <w:noProof/>
                <w:color w:val="000000" w:themeColor="text1"/>
                <w:sz w:val="24"/>
                <w:lang w:val="lv-LV" w:eastAsia="zh-CN"/>
              </w:rPr>
              <w:drawing>
                <wp:inline distT="0" distB="0" distL="0" distR="0" wp14:anchorId="132A6462" wp14:editId="7E068CF2">
                  <wp:extent cx="3108960" cy="2504262"/>
                  <wp:effectExtent l="0" t="0" r="0" b="0"/>
                  <wp:docPr id="545827521" name="Picture 54582752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27521" name="Picture 2" descr="A graph with numbers and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7901" cy="2583959"/>
                          </a:xfrm>
                          <a:prstGeom prst="rect">
                            <a:avLst/>
                          </a:prstGeom>
                          <a:noFill/>
                        </pic:spPr>
                      </pic:pic>
                    </a:graphicData>
                  </a:graphic>
                </wp:inline>
              </w:drawing>
            </w:r>
          </w:p>
        </w:tc>
        <w:tc>
          <w:tcPr>
            <w:tcW w:w="4924" w:type="dxa"/>
          </w:tcPr>
          <w:p w14:paraId="4E8D9A3B" w14:textId="0B70D41D" w:rsidR="005B5C86" w:rsidRDefault="006F3AFB" w:rsidP="005B5C86">
            <w:pPr>
              <w:jc w:val="both"/>
              <w:rPr>
                <w:rFonts w:ascii="Times New Roman" w:hAnsi="Times New Roman" w:cs="Times New Roman"/>
                <w:color w:val="000000" w:themeColor="text1"/>
                <w:sz w:val="24"/>
                <w:szCs w:val="24"/>
              </w:rPr>
            </w:pPr>
            <w:r>
              <w:rPr>
                <w:rFonts w:ascii="Times New Roman" w:hAnsi="Times New Roman"/>
                <w:noProof/>
                <w:sz w:val="24"/>
                <w:lang w:val="lv-LV" w:eastAsia="zh-CN"/>
              </w:rPr>
              <mc:AlternateContent>
                <mc:Choice Requires="wps">
                  <w:drawing>
                    <wp:anchor distT="0" distB="0" distL="114300" distR="114300" simplePos="0" relativeHeight="251725824" behindDoc="0" locked="0" layoutInCell="1" allowOverlap="1" wp14:anchorId="0A87B216" wp14:editId="3F09BF54">
                      <wp:simplePos x="0" y="0"/>
                      <wp:positionH relativeFrom="margin">
                        <wp:posOffset>650875</wp:posOffset>
                      </wp:positionH>
                      <wp:positionV relativeFrom="paragraph">
                        <wp:posOffset>1958340</wp:posOffset>
                      </wp:positionV>
                      <wp:extent cx="731520" cy="220980"/>
                      <wp:effectExtent l="0" t="0" r="0" b="7620"/>
                      <wp:wrapNone/>
                      <wp:docPr id="1027168866" name="Text Box 1027168866"/>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34205"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Better quality</w:t>
                                  </w:r>
                                </w:p>
                                <w:p w14:paraId="0AC88379" w14:textId="77777777" w:rsidR="006F3AFB" w:rsidRPr="006F3AFB" w:rsidRDefault="006F3AFB" w:rsidP="006F3AFB">
                                  <w:pPr>
                                    <w:jc w:val="right"/>
                                    <w:rPr>
                                      <w:rFonts w:asciiTheme="minorBidi" w:hAnsiTheme="minorBidi"/>
                                      <w:sz w:val="12"/>
                                      <w:szCs w:val="1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7B216" id="Text Box 1027168866" o:spid="_x0000_s1054" type="#_x0000_t202" style="position:absolute;left:0;text-align:left;margin-left:51.25pt;margin-top:154.2pt;width:57.6pt;height:17.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" fillcolor="white [3212]" stroked="f" strokeweight=".5pt">
                      <v:textbox>
                        <w:txbxContent>
                          <w:p w14:paraId="11C34205"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Better quality</w:t>
                            </w:r>
                          </w:p>
                          <w:p w14:paraId="0AC88379" w14:textId="77777777" w:rsidR="006F3AFB" w:rsidRPr="006F3AFB" w:rsidRDefault="006F3AFB" w:rsidP="006F3AFB">
                            <w:pPr>
                              <w:jc w:val="right"/>
                              <w:rPr>
                                <w:rFonts w:asciiTheme="minorBidi" w:hAnsiTheme="minorBidi"/>
                                <w:sz w:val="12"/>
                                <w:szCs w:val="12"/>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40160" behindDoc="0" locked="0" layoutInCell="1" allowOverlap="1" wp14:anchorId="612C64A2" wp14:editId="5756F1A0">
                      <wp:simplePos x="0" y="0"/>
                      <wp:positionH relativeFrom="margin">
                        <wp:posOffset>29845</wp:posOffset>
                      </wp:positionH>
                      <wp:positionV relativeFrom="paragraph">
                        <wp:posOffset>1648460</wp:posOffset>
                      </wp:positionV>
                      <wp:extent cx="1371600" cy="365760"/>
                      <wp:effectExtent l="0" t="0" r="0" b="0"/>
                      <wp:wrapNone/>
                      <wp:docPr id="1027168873" name="Text Box 1027168873"/>
                      <wp:cNvGraphicFramePr/>
                      <a:graphic xmlns:a="http://schemas.openxmlformats.org/drawingml/2006/main">
                        <a:graphicData uri="http://schemas.microsoft.com/office/word/2010/wordprocessingShape">
                          <wps:wsp>
                            <wps:cNvSpPr txBox="1"/>
                            <wps:spPr>
                              <a:xfrm>
                                <a:off x="0" y="0"/>
                                <a:ext cx="1371600" cy="3657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59B89"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The goods or services not available on the regulated market or difficult to access</w:t>
                                  </w:r>
                                </w:p>
                                <w:p w14:paraId="510CF6DC"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C64A2" id="Text Box 1027168873" o:spid="_x0000_s1055" type="#_x0000_t202" style="position:absolute;left:0;text-align:left;margin-left:2.35pt;margin-top:129.8pt;width:108pt;height:28.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" fillcolor="white [3212]" stroked="f" strokeweight=".5pt">
                      <v:textbox>
                        <w:txbxContent>
                          <w:p w14:paraId="58B59B89"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The goods or services not available on the regulated market or difficult to access</w:t>
                            </w:r>
                          </w:p>
                          <w:p w14:paraId="510CF6DC"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38112" behindDoc="0" locked="0" layoutInCell="1" allowOverlap="1" wp14:anchorId="680DEF5A" wp14:editId="486A4AB8">
                      <wp:simplePos x="0" y="0"/>
                      <wp:positionH relativeFrom="margin">
                        <wp:posOffset>102235</wp:posOffset>
                      </wp:positionH>
                      <wp:positionV relativeFrom="paragraph">
                        <wp:posOffset>1379220</wp:posOffset>
                      </wp:positionV>
                      <wp:extent cx="1303020" cy="251460"/>
                      <wp:effectExtent l="0" t="0" r="0" b="0"/>
                      <wp:wrapNone/>
                      <wp:docPr id="1027168872" name="Text Box 1027168872"/>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E27CF"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It was realised only later that the goods or services were not declared</w:t>
                                  </w:r>
                                </w:p>
                                <w:p w14:paraId="49940B5A"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DEF5A" id="Text Box 1027168872" o:spid="_x0000_s1056" type="#_x0000_t202" style="position:absolute;left:0;text-align:left;margin-left:8.05pt;margin-top:108.6pt;width:102.6pt;height:19.8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" fillcolor="white [3212]" stroked="f" strokeweight=".5pt">
                      <v:textbox>
                        <w:txbxContent>
                          <w:p w14:paraId="6A9E27CF"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It was realised only later that the goods or services were not declared</w:t>
                            </w:r>
                          </w:p>
                          <w:p w14:paraId="49940B5A"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34016" behindDoc="0" locked="0" layoutInCell="1" allowOverlap="1" wp14:anchorId="5A2A3223" wp14:editId="5D25263F">
                      <wp:simplePos x="0" y="0"/>
                      <wp:positionH relativeFrom="margin">
                        <wp:posOffset>86995</wp:posOffset>
                      </wp:positionH>
                      <wp:positionV relativeFrom="paragraph">
                        <wp:posOffset>906780</wp:posOffset>
                      </wp:positionV>
                      <wp:extent cx="1303020" cy="251460"/>
                      <wp:effectExtent l="0" t="0" r="0" b="0"/>
                      <wp:wrapNone/>
                      <wp:docPr id="1027168870" name="Text Box 1027168870"/>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1724E"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Possibility to help someone who needs money</w:t>
                                  </w:r>
                                </w:p>
                                <w:p w14:paraId="359AE018"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A3223" id="Text Box 1027168870" o:spid="_x0000_s1057" type="#_x0000_t202" style="position:absolute;left:0;text-align:left;margin-left:6.85pt;margin-top:71.4pt;width:102.6pt;height:19.8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" fillcolor="white [3212]" stroked="f" strokeweight=".5pt">
                      <v:textbox>
                        <w:txbxContent>
                          <w:p w14:paraId="1E51724E"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Possibility to help someone who needs money</w:t>
                            </w:r>
                          </w:p>
                          <w:p w14:paraId="359AE018"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27872" behindDoc="0" locked="0" layoutInCell="1" allowOverlap="1" wp14:anchorId="63E59614" wp14:editId="02860899">
                      <wp:simplePos x="0" y="0"/>
                      <wp:positionH relativeFrom="margin">
                        <wp:posOffset>658495</wp:posOffset>
                      </wp:positionH>
                      <wp:positionV relativeFrom="paragraph">
                        <wp:posOffset>1165860</wp:posOffset>
                      </wp:positionV>
                      <wp:extent cx="731520" cy="220980"/>
                      <wp:effectExtent l="0" t="0" r="0" b="7620"/>
                      <wp:wrapNone/>
                      <wp:docPr id="1027168867" name="Text Box 1027168867"/>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B058C"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Faster servicing</w:t>
                                  </w:r>
                                </w:p>
                                <w:p w14:paraId="3747469D" w14:textId="77777777" w:rsidR="006F3AFB" w:rsidRPr="006F3AFB" w:rsidRDefault="006F3AFB" w:rsidP="006F3AFB">
                                  <w:pPr>
                                    <w:jc w:val="right"/>
                                    <w:rPr>
                                      <w:rFonts w:asciiTheme="minorBidi" w:hAnsiTheme="minorBidi"/>
                                      <w:sz w:val="12"/>
                                      <w:szCs w:val="1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59614" id="Text Box 1027168867" o:spid="_x0000_s1058" type="#_x0000_t202" style="position:absolute;left:0;text-align:left;margin-left:51.85pt;margin-top:91.8pt;width:57.6pt;height:17.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" fillcolor="white [3212]" stroked="f" strokeweight=".5pt">
                      <v:textbox>
                        <w:txbxContent>
                          <w:p w14:paraId="10DB058C"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Faster servicing</w:t>
                            </w:r>
                          </w:p>
                          <w:p w14:paraId="3747469D" w14:textId="77777777" w:rsidR="006F3AFB" w:rsidRPr="006F3AFB" w:rsidRDefault="006F3AFB" w:rsidP="006F3AFB">
                            <w:pPr>
                              <w:jc w:val="right"/>
                              <w:rPr>
                                <w:rFonts w:asciiTheme="minorBidi" w:hAnsiTheme="minorBidi"/>
                                <w:sz w:val="12"/>
                                <w:szCs w:val="12"/>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17632" behindDoc="0" locked="0" layoutInCell="1" allowOverlap="1" wp14:anchorId="387E0A39" wp14:editId="7FE1DA45">
                      <wp:simplePos x="0" y="0"/>
                      <wp:positionH relativeFrom="margin">
                        <wp:posOffset>235585</wp:posOffset>
                      </wp:positionH>
                      <wp:positionV relativeFrom="paragraph">
                        <wp:posOffset>642620</wp:posOffset>
                      </wp:positionV>
                      <wp:extent cx="1158240" cy="259080"/>
                      <wp:effectExtent l="0" t="0" r="3810" b="7620"/>
                      <wp:wrapNone/>
                      <wp:docPr id="30" name="Text Box 30"/>
                      <wp:cNvGraphicFramePr/>
                      <a:graphic xmlns:a="http://schemas.openxmlformats.org/drawingml/2006/main">
                        <a:graphicData uri="http://schemas.microsoft.com/office/word/2010/wordprocessingShape">
                          <wps:wsp>
                            <wps:cNvSpPr txBox="1"/>
                            <wps:spPr>
                              <a:xfrm>
                                <a:off x="0" y="0"/>
                                <a:ext cx="1158240" cy="2590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E18AD3"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This was a service between friends, relatives or colleagues</w:t>
                                  </w:r>
                                </w:p>
                                <w:p w14:paraId="1997B5D8" w14:textId="77777777" w:rsidR="006F3AFB" w:rsidRPr="006F3AFB" w:rsidRDefault="006F3AFB" w:rsidP="006F3AFB">
                                  <w:pPr>
                                    <w:jc w:val="right"/>
                                    <w:rPr>
                                      <w:rFonts w:asciiTheme="minorBidi" w:hAnsiTheme="minorBidi"/>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E0A39" id="Text Box 30" o:spid="_x0000_s1059" type="#_x0000_t202" style="position:absolute;left:0;text-align:left;margin-left:18.55pt;margin-top:50.6pt;width:91.2pt;height:20.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" fillcolor="white [3212]" stroked="f" strokeweight=".5pt">
                      <v:textbox>
                        <w:txbxContent>
                          <w:p w14:paraId="5AE18AD3" w14:textId="77777777" w:rsidR="006F3AFB" w:rsidRPr="006F3AFB" w:rsidRDefault="006F3AFB" w:rsidP="006F3AFB">
                            <w:pPr>
                              <w:jc w:val="right"/>
                              <w:rPr>
                                <w:rFonts w:ascii="Times New Roman" w:hAnsi="Times New Roman" w:cs="Times New Roman"/>
                                <w:sz w:val="12"/>
                                <w:szCs w:val="12"/>
                              </w:rPr>
                            </w:pPr>
                            <w:r w:rsidRPr="006F3AFB">
                              <w:rPr>
                                <w:rFonts w:ascii="Times New Roman" w:hAnsi="Times New Roman" w:cs="Times New Roman"/>
                                <w:sz w:val="12"/>
                                <w:szCs w:val="12"/>
                              </w:rPr>
                              <w:t>This was a service between friends, relatives or colleagues</w:t>
                            </w:r>
                          </w:p>
                          <w:p w14:paraId="1997B5D8" w14:textId="77777777" w:rsidR="006F3AFB" w:rsidRPr="006F3AFB" w:rsidRDefault="006F3AFB" w:rsidP="006F3AFB">
                            <w:pPr>
                              <w:jc w:val="right"/>
                              <w:rPr>
                                <w:rFonts w:asciiTheme="minorBidi" w:hAnsiTheme="minorBidi"/>
                                <w:sz w:val="12"/>
                                <w:szCs w:val="12"/>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13536" behindDoc="0" locked="0" layoutInCell="1" allowOverlap="1" wp14:anchorId="281C3CF2" wp14:editId="0A8820EC">
                      <wp:simplePos x="0" y="0"/>
                      <wp:positionH relativeFrom="margin">
                        <wp:posOffset>658495</wp:posOffset>
                      </wp:positionH>
                      <wp:positionV relativeFrom="paragraph">
                        <wp:posOffset>396240</wp:posOffset>
                      </wp:positionV>
                      <wp:extent cx="731520" cy="22098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731520" cy="2209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71AF5" w14:textId="77777777" w:rsidR="006F3AFB" w:rsidRPr="006F3AFB" w:rsidRDefault="006F3AFB" w:rsidP="006F3AFB">
                                  <w:pPr>
                                    <w:jc w:val="right"/>
                                    <w:rPr>
                                      <w:rFonts w:asciiTheme="minorBidi" w:hAnsiTheme="minorBidi"/>
                                      <w:sz w:val="12"/>
                                      <w:szCs w:val="12"/>
                                      <w:lang w:val="lv-LV"/>
                                    </w:rPr>
                                  </w:pPr>
                                  <w:r w:rsidRPr="006F3AFB">
                                    <w:rPr>
                                      <w:rFonts w:asciiTheme="minorBidi" w:hAnsiTheme="minorBidi"/>
                                      <w:sz w:val="12"/>
                                      <w:szCs w:val="12"/>
                                      <w:lang w:val="lv-LV"/>
                                    </w:rPr>
                                    <w:t>Lower price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C3CF2" id="Text Box 27" o:spid="_x0000_s1060" type="#_x0000_t202" style="position:absolute;left:0;text-align:left;margin-left:51.85pt;margin-top:31.2pt;width:57.6pt;height:17.4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" fillcolor="white [3212]" stroked="f" strokeweight=".5pt">
                      <v:textbox>
                        <w:txbxContent>
                          <w:p w14:paraId="75D71AF5" w14:textId="77777777" w:rsidR="006F3AFB" w:rsidRPr="006F3AFB" w:rsidRDefault="006F3AFB" w:rsidP="006F3AFB">
                            <w:pPr>
                              <w:jc w:val="right"/>
                              <w:rPr>
                                <w:rFonts w:asciiTheme="minorBidi" w:hAnsiTheme="minorBidi"/>
                                <w:sz w:val="12"/>
                                <w:szCs w:val="12"/>
                                <w:lang w:val="lv-LV"/>
                              </w:rPr>
                            </w:pPr>
                            <w:r w:rsidRPr="006F3AFB">
                              <w:rPr>
                                <w:rFonts w:asciiTheme="minorBidi" w:hAnsiTheme="minorBidi"/>
                                <w:sz w:val="12"/>
                                <w:szCs w:val="12"/>
                                <w:lang w:val="lv-LV"/>
                              </w:rPr>
                              <w:t>Lower price</w:t>
                            </w:r>
                          </w:p>
                        </w:txbxContent>
                      </v:textbox>
                      <w10:wrap anchorx="margin"/>
                    </v:shape>
                  </w:pict>
                </mc:Fallback>
              </mc:AlternateContent>
            </w:r>
            <w:r w:rsidR="004F5B80">
              <w:rPr>
                <w:rFonts w:ascii="Times New Roman" w:hAnsi="Times New Roman"/>
                <w:noProof/>
                <w:sz w:val="24"/>
                <w:lang w:val="lv-LV" w:eastAsia="zh-CN"/>
              </w:rPr>
              <mc:AlternateContent>
                <mc:Choice Requires="wps">
                  <w:drawing>
                    <wp:anchor distT="0" distB="0" distL="114300" distR="114300" simplePos="0" relativeHeight="251709440" behindDoc="0" locked="0" layoutInCell="1" allowOverlap="1" wp14:anchorId="7379111F" wp14:editId="6626F7D0">
                      <wp:simplePos x="0" y="0"/>
                      <wp:positionH relativeFrom="margin">
                        <wp:posOffset>220345</wp:posOffset>
                      </wp:positionH>
                      <wp:positionV relativeFrom="paragraph">
                        <wp:posOffset>40640</wp:posOffset>
                      </wp:positionV>
                      <wp:extent cx="2621280" cy="297180"/>
                      <wp:effectExtent l="0" t="0" r="7620" b="7620"/>
                      <wp:wrapNone/>
                      <wp:docPr id="24" name="Text Box 24"/>
                      <wp:cNvGraphicFramePr/>
                      <a:graphic xmlns:a="http://schemas.openxmlformats.org/drawingml/2006/main">
                        <a:graphicData uri="http://schemas.microsoft.com/office/word/2010/wordprocessingShape">
                          <wps:wsp>
                            <wps:cNvSpPr txBox="1"/>
                            <wps:spPr>
                              <a:xfrm>
                                <a:off x="0" y="0"/>
                                <a:ext cx="2621280" cy="2971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7D9FD" w14:textId="77777777" w:rsidR="004F5B80" w:rsidRPr="004F5B80" w:rsidRDefault="004F5B80" w:rsidP="004F5B80">
                                  <w:pPr>
                                    <w:jc w:val="center"/>
                                    <w:rPr>
                                      <w:rFonts w:ascii="Times New Roman" w:hAnsi="Times New Roman" w:cs="Times New Roman"/>
                                      <w:sz w:val="14"/>
                                      <w:szCs w:val="14"/>
                                    </w:rPr>
                                  </w:pPr>
                                  <w:r w:rsidRPr="004F5B80">
                                    <w:rPr>
                                      <w:rFonts w:ascii="Times New Roman" w:hAnsi="Times New Roman" w:cs="Times New Roman"/>
                                      <w:sz w:val="14"/>
                                      <w:szCs w:val="14"/>
                                    </w:rPr>
                                    <w:t>Why did you purchase these goods or services without declaring the transaction instead of making the purchase on a regular market? (SEVERAL ANSWERS POSSIBLE)</w:t>
                                  </w:r>
                                </w:p>
                                <w:p w14:paraId="068D2886" w14:textId="77777777" w:rsidR="004F5B80" w:rsidRPr="004F5B80" w:rsidRDefault="004F5B80" w:rsidP="004F5B80">
                                  <w:pPr>
                                    <w:jc w:val="center"/>
                                    <w:rPr>
                                      <w:rFonts w:asciiTheme="minorBidi" w:hAnsiTheme="min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9111F" id="Text Box 24" o:spid="_x0000_s1061" type="#_x0000_t202" style="position:absolute;left:0;text-align:left;margin-left:17.35pt;margin-top:3.2pt;width:206.4pt;height:23.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" fillcolor="white [3212]" stroked="f" strokeweight=".5pt">
                      <v:textbox>
                        <w:txbxContent>
                          <w:p w14:paraId="7A57D9FD" w14:textId="77777777" w:rsidR="004F5B80" w:rsidRPr="004F5B80" w:rsidRDefault="004F5B80" w:rsidP="004F5B80">
                            <w:pPr>
                              <w:jc w:val="center"/>
                              <w:rPr>
                                <w:rFonts w:ascii="Times New Roman" w:hAnsi="Times New Roman" w:cs="Times New Roman"/>
                                <w:sz w:val="14"/>
                                <w:szCs w:val="14"/>
                              </w:rPr>
                            </w:pPr>
                            <w:r w:rsidRPr="004F5B80">
                              <w:rPr>
                                <w:rFonts w:ascii="Times New Roman" w:hAnsi="Times New Roman" w:cs="Times New Roman"/>
                                <w:sz w:val="14"/>
                                <w:szCs w:val="14"/>
                              </w:rPr>
                              <w:t>Why did you purchase these goods or services without declaring the transaction instead of making the purchase on a regular market? (SEVERAL ANSWERS POSSIBLE)</w:t>
                            </w:r>
                          </w:p>
                          <w:p w14:paraId="068D2886" w14:textId="77777777" w:rsidR="004F5B80" w:rsidRPr="004F5B80" w:rsidRDefault="004F5B80" w:rsidP="004F5B80">
                            <w:pPr>
                              <w:jc w:val="center"/>
                              <w:rPr>
                                <w:rFonts w:asciiTheme="minorBidi" w:hAnsiTheme="minorBidi"/>
                                <w:sz w:val="14"/>
                                <w:szCs w:val="14"/>
                              </w:rPr>
                            </w:pPr>
                          </w:p>
                        </w:txbxContent>
                      </v:textbox>
                      <w10:wrap anchorx="margin"/>
                    </v:shape>
                  </w:pict>
                </mc:Fallback>
              </mc:AlternateContent>
            </w:r>
            <w:r w:rsidR="005B5C86">
              <w:rPr>
                <w:rFonts w:ascii="Times New Roman" w:hAnsi="Times New Roman"/>
                <w:noProof/>
                <w:color w:val="000000" w:themeColor="text1"/>
                <w:sz w:val="24"/>
                <w:lang w:val="lv-LV" w:eastAsia="zh-CN"/>
              </w:rPr>
              <w:drawing>
                <wp:inline distT="0" distB="0" distL="0" distR="0" wp14:anchorId="7DDEDCF7" wp14:editId="00E9C6E8">
                  <wp:extent cx="2827517" cy="2405322"/>
                  <wp:effectExtent l="19050" t="19050" r="11430" b="14605"/>
                  <wp:docPr id="1027168881" name="Picture 1027168881" descr="A graph with red and grey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68881" name="Picture 1" descr="A graph with red and grey bars&#10;&#10;Description automatically generated"/>
                          <pic:cNvPicPr/>
                        </pic:nvPicPr>
                        <pic:blipFill rotWithShape="1">
                          <a:blip r:embed="rId12"/>
                          <a:srcRect l="-94"/>
                          <a:stretch/>
                        </pic:blipFill>
                        <pic:spPr bwMode="auto">
                          <a:xfrm>
                            <a:off x="0" y="0"/>
                            <a:ext cx="2849908" cy="242437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5B5C86" w:rsidRPr="00A32374" w14:paraId="4795953D" w14:textId="77777777" w:rsidTr="00624CE3">
        <w:tc>
          <w:tcPr>
            <w:tcW w:w="4999" w:type="dxa"/>
          </w:tcPr>
          <w:p w14:paraId="592AB926" w14:textId="5626B0C5" w:rsidR="005B5C86" w:rsidRPr="00A32374" w:rsidRDefault="002604B9" w:rsidP="005B5C86">
            <w:pPr>
              <w:jc w:val="both"/>
              <w:rPr>
                <w:rFonts w:ascii="Times New Roman" w:hAnsi="Times New Roman" w:cs="Times New Roman"/>
                <w:i/>
                <w:iCs/>
                <w:color w:val="000000" w:themeColor="text1"/>
                <w:sz w:val="18"/>
                <w:szCs w:val="18"/>
              </w:rPr>
            </w:pPr>
            <w:r>
              <w:rPr>
                <w:rFonts w:ascii="Times New Roman" w:hAnsi="Times New Roman"/>
                <w:i/>
                <w:color w:val="000000" w:themeColor="text1"/>
                <w:sz w:val="18"/>
              </w:rPr>
              <w:t xml:space="preserve">Figure 2. </w:t>
            </w:r>
            <w:r>
              <w:rPr>
                <w:rFonts w:ascii="Times New Roman" w:hAnsi="Times New Roman"/>
                <w:i/>
                <w:sz w:val="18"/>
              </w:rPr>
              <w:t>Motivation to purchase undeclared goods and services</w:t>
            </w:r>
          </w:p>
        </w:tc>
        <w:tc>
          <w:tcPr>
            <w:tcW w:w="4924" w:type="dxa"/>
          </w:tcPr>
          <w:p w14:paraId="570DCD9B" w14:textId="026FF71C" w:rsidR="005B5C86" w:rsidRPr="00A32374" w:rsidRDefault="002604B9" w:rsidP="005B5C86">
            <w:pPr>
              <w:jc w:val="both"/>
              <w:rPr>
                <w:rFonts w:ascii="Times New Roman" w:hAnsi="Times New Roman" w:cs="Times New Roman"/>
                <w:i/>
                <w:iCs/>
                <w:color w:val="000000" w:themeColor="text1"/>
                <w:sz w:val="18"/>
                <w:szCs w:val="18"/>
              </w:rPr>
            </w:pPr>
            <w:r>
              <w:rPr>
                <w:rFonts w:ascii="Times New Roman" w:hAnsi="Times New Roman"/>
                <w:i/>
                <w:color w:val="000000" w:themeColor="text1"/>
                <w:sz w:val="18"/>
              </w:rPr>
              <w:t xml:space="preserve">Figure 3. EC </w:t>
            </w:r>
            <w:hyperlink r:id="rId13" w:history="1">
              <w:r>
                <w:rPr>
                  <w:rStyle w:val="Hyperlink"/>
                  <w:rFonts w:ascii="Times New Roman" w:hAnsi="Times New Roman"/>
                  <w:i/>
                  <w:sz w:val="18"/>
                </w:rPr>
                <w:t>Special Eurobarometer 498 survey:</w:t>
              </w:r>
            </w:hyperlink>
            <w:hyperlink r:id="rId14" w:history="1">
              <w:r>
                <w:rPr>
                  <w:rStyle w:val="Hyperlink"/>
                  <w:rFonts w:ascii="Times New Roman" w:hAnsi="Times New Roman"/>
                  <w:i/>
                  <w:sz w:val="18"/>
                </w:rPr>
                <w:t xml:space="preserve"> Undeclared work in the EU</w:t>
              </w:r>
            </w:hyperlink>
            <w:r>
              <w:rPr>
                <w:rFonts w:ascii="Times New Roman" w:hAnsi="Times New Roman"/>
                <w:i/>
                <w:sz w:val="18"/>
              </w:rPr>
              <w:t xml:space="preserve"> September 2019</w:t>
            </w:r>
            <w:r>
              <w:rPr>
                <w:rFonts w:ascii="Times New Roman" w:hAnsi="Times New Roman"/>
                <w:i/>
                <w:color w:val="000000" w:themeColor="text1"/>
                <w:sz w:val="18"/>
              </w:rPr>
              <w:t xml:space="preserve"> </w:t>
            </w:r>
          </w:p>
        </w:tc>
      </w:tr>
    </w:tbl>
    <w:p w14:paraId="297F3503" w14:textId="77777777" w:rsidR="00A5534F" w:rsidRDefault="00A5534F" w:rsidP="007424AA">
      <w:pPr>
        <w:ind w:firstLine="720"/>
        <w:jc w:val="both"/>
        <w:rPr>
          <w:rFonts w:ascii="Times New Roman" w:hAnsi="Times New Roman" w:cs="Times New Roman"/>
          <w:color w:val="000000" w:themeColor="text1"/>
          <w:sz w:val="24"/>
          <w:szCs w:val="24"/>
        </w:rPr>
      </w:pPr>
    </w:p>
    <w:p w14:paraId="648158E5" w14:textId="7989CBBE" w:rsidR="00CE0D9B" w:rsidRDefault="00CE0D9B" w:rsidP="00CE0D9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The survey also shows that the majority (39 per cent) believes that it is acceptable not to declare transactions in Latvia between friends, relatives or colleagues. At the same time, according to the survey data, this view is less common in Latvia than in the EU-28 average.</w:t>
      </w:r>
    </w:p>
    <w:p w14:paraId="5D7192DF" w14:textId="77777777" w:rsidR="00986B33" w:rsidRDefault="00986B33" w:rsidP="007424AA">
      <w:pPr>
        <w:ind w:firstLine="720"/>
        <w:jc w:val="both"/>
        <w:rPr>
          <w:rFonts w:ascii="Times New Roman" w:hAnsi="Times New Roman" w:cs="Times New Roman"/>
          <w:color w:val="000000" w:themeColor="text1"/>
          <w:sz w:val="24"/>
          <w:szCs w:val="24"/>
        </w:rPr>
      </w:pPr>
    </w:p>
    <w:p w14:paraId="0187CAA7" w14:textId="77777777" w:rsidR="00986B33" w:rsidRDefault="00986B33" w:rsidP="007424AA">
      <w:pPr>
        <w:ind w:firstLine="720"/>
        <w:jc w:val="both"/>
        <w:rPr>
          <w:rFonts w:ascii="Times New Roman" w:hAnsi="Times New Roman" w:cs="Times New Roman"/>
          <w:color w:val="000000" w:themeColor="text1"/>
          <w:sz w:val="24"/>
          <w:szCs w:val="24"/>
        </w:rPr>
      </w:pPr>
    </w:p>
    <w:p w14:paraId="353EED66" w14:textId="77777777" w:rsidR="00986B33" w:rsidRDefault="00986B33" w:rsidP="007424AA">
      <w:pPr>
        <w:ind w:firstLine="720"/>
        <w:jc w:val="both"/>
        <w:rPr>
          <w:rFonts w:ascii="Times New Roman" w:hAnsi="Times New Roman" w:cs="Times New Roman"/>
          <w:color w:val="000000" w:themeColor="text1"/>
          <w:sz w:val="24"/>
          <w:szCs w:val="24"/>
        </w:rPr>
      </w:pPr>
    </w:p>
    <w:p w14:paraId="35C3A9A9" w14:textId="77777777" w:rsidR="00986B33" w:rsidRDefault="00986B33" w:rsidP="007424AA">
      <w:pPr>
        <w:ind w:firstLine="720"/>
        <w:jc w:val="both"/>
        <w:rPr>
          <w:rFonts w:ascii="Times New Roman" w:hAnsi="Times New Roman" w:cs="Times New Roman"/>
          <w:color w:val="000000" w:themeColor="text1"/>
          <w:sz w:val="24"/>
          <w:szCs w:val="24"/>
        </w:rPr>
      </w:pPr>
    </w:p>
    <w:p w14:paraId="2BFFE770" w14:textId="77777777" w:rsidR="00CE0D9B" w:rsidRDefault="00CE0D9B" w:rsidP="007424AA">
      <w:pPr>
        <w:ind w:firstLine="720"/>
        <w:jc w:val="both"/>
        <w:rPr>
          <w:rFonts w:ascii="Times New Roman" w:hAnsi="Times New Roman" w:cs="Times New Roman"/>
          <w:color w:val="000000" w:themeColor="text1"/>
          <w:sz w:val="24"/>
          <w:szCs w:val="24"/>
        </w:rPr>
      </w:pPr>
    </w:p>
    <w:p w14:paraId="28BF5B63" w14:textId="77777777" w:rsidR="00CE0D9B" w:rsidRDefault="00CE0D9B" w:rsidP="007424AA">
      <w:pPr>
        <w:ind w:firstLine="720"/>
        <w:jc w:val="both"/>
        <w:rPr>
          <w:rFonts w:ascii="Times New Roman" w:hAnsi="Times New Roman" w:cs="Times New Roman"/>
          <w:color w:val="000000" w:themeColor="text1"/>
          <w:sz w:val="24"/>
          <w:szCs w:val="24"/>
        </w:rPr>
      </w:pPr>
    </w:p>
    <w:p w14:paraId="37267317" w14:textId="77777777" w:rsidR="00CE0D9B" w:rsidRDefault="00CE0D9B" w:rsidP="007424AA">
      <w:pPr>
        <w:ind w:firstLine="720"/>
        <w:jc w:val="both"/>
        <w:rPr>
          <w:rFonts w:ascii="Times New Roman" w:hAnsi="Times New Roman" w:cs="Times New Roman"/>
          <w:color w:val="000000" w:themeColor="text1"/>
          <w:sz w:val="24"/>
          <w:szCs w:val="24"/>
        </w:rPr>
      </w:pPr>
    </w:p>
    <w:p w14:paraId="56CFA8D0" w14:textId="77777777" w:rsidR="00CE0D9B" w:rsidRDefault="00CE0D9B" w:rsidP="007424AA">
      <w:pPr>
        <w:ind w:firstLine="720"/>
        <w:jc w:val="both"/>
        <w:rPr>
          <w:rFonts w:ascii="Times New Roman" w:hAnsi="Times New Roman" w:cs="Times New Roman"/>
          <w:color w:val="000000" w:themeColor="text1"/>
          <w:sz w:val="24"/>
          <w:szCs w:val="24"/>
        </w:rPr>
      </w:pPr>
    </w:p>
    <w:p w14:paraId="65807545" w14:textId="2448B504" w:rsidR="007424AA" w:rsidRPr="007424AA" w:rsidRDefault="007424AA" w:rsidP="007424AA">
      <w:pPr>
        <w:rPr>
          <w:kern w:val="0"/>
          <w:sz w:val="24"/>
          <w:szCs w:val="24"/>
          <w14:ligatures w14:val="none"/>
        </w:rPr>
      </w:pPr>
      <w:r>
        <w:rPr>
          <w:noProof/>
          <w:sz w:val="24"/>
          <w:lang w:val="lv-LV" w:eastAsia="zh-CN"/>
        </w:rPr>
        <w:drawing>
          <wp:inline distT="0" distB="0" distL="0" distR="0" wp14:anchorId="0C1FB5F4" wp14:editId="29773177">
            <wp:extent cx="6267450" cy="31051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AE055C1" w14:textId="77F84D67" w:rsidR="00A32374" w:rsidRPr="00A32374" w:rsidRDefault="002604B9" w:rsidP="00A32374">
      <w:pPr>
        <w:jc w:val="both"/>
        <w:rPr>
          <w:rFonts w:ascii="Times New Roman" w:hAnsi="Times New Roman" w:cs="Times New Roman"/>
          <w:i/>
          <w:iCs/>
          <w:kern w:val="0"/>
          <w:sz w:val="18"/>
          <w:szCs w:val="18"/>
          <w14:ligatures w14:val="none"/>
        </w:rPr>
      </w:pPr>
      <w:r>
        <w:rPr>
          <w:rFonts w:ascii="Times New Roman" w:hAnsi="Times New Roman"/>
          <w:i/>
          <w:sz w:val="18"/>
        </w:rPr>
        <w:t>Figure 4. Reasons for providing services in the shadow economy, survey of 2020.</w:t>
      </w:r>
    </w:p>
    <w:p w14:paraId="01577959" w14:textId="77777777" w:rsidR="00A32374" w:rsidRDefault="00A32374" w:rsidP="00227595">
      <w:pPr>
        <w:ind w:firstLine="709"/>
        <w:jc w:val="both"/>
        <w:rPr>
          <w:rFonts w:ascii="Times New Roman" w:hAnsi="Times New Roman" w:cs="Times New Roman"/>
          <w:kern w:val="0"/>
          <w:sz w:val="24"/>
          <w:szCs w:val="24"/>
          <w14:ligatures w14:val="none"/>
        </w:rPr>
      </w:pPr>
    </w:p>
    <w:p w14:paraId="2482DD58" w14:textId="03394CD5" w:rsidR="00227595" w:rsidRDefault="00802EA4" w:rsidP="00227595">
      <w:pPr>
        <w:ind w:firstLine="709"/>
        <w:jc w:val="both"/>
        <w:rPr>
          <w:rFonts w:ascii="Times New Roman" w:hAnsi="Times New Roman" w:cs="Times New Roman"/>
          <w:color w:val="000000" w:themeColor="text1"/>
          <w:sz w:val="24"/>
          <w:szCs w:val="24"/>
        </w:rPr>
      </w:pPr>
      <w:r>
        <w:rPr>
          <w:rFonts w:ascii="Times New Roman" w:hAnsi="Times New Roman"/>
          <w:sz w:val="24"/>
        </w:rPr>
        <w:t xml:space="preserve">In the survey, respondents indicate that the most frequent reason they think people are tempted to work or provide services without paying all or part of their taxes is that taxes and social security contributions are too high. This is followed by a lack of jobs, a </w:t>
      </w:r>
      <w:r>
        <w:rPr>
          <w:rFonts w:ascii="Times New Roman" w:hAnsi="Times New Roman"/>
          <w:color w:val="000000" w:themeColor="text1"/>
          <w:sz w:val="24"/>
        </w:rPr>
        <w:t>lack of trust in the State and its social guarantees, and</w:t>
      </w:r>
      <w:r>
        <w:rPr>
          <w:rFonts w:ascii="Times New Roman" w:hAnsi="Times New Roman"/>
          <w:sz w:val="24"/>
        </w:rPr>
        <w:t xml:space="preserve"> also the existing bureaucracy (Figure 4)</w:t>
      </w:r>
      <w:r>
        <w:rPr>
          <w:rFonts w:ascii="Times New Roman" w:hAnsi="Times New Roman"/>
          <w:color w:val="000000" w:themeColor="text1"/>
          <w:sz w:val="24"/>
        </w:rPr>
        <w:t>.</w:t>
      </w:r>
    </w:p>
    <w:p w14:paraId="603281F4" w14:textId="77777777" w:rsidR="000F62D0" w:rsidRPr="000F62D0" w:rsidRDefault="000F62D0" w:rsidP="000F62D0">
      <w:pPr>
        <w:ind w:firstLine="709"/>
        <w:jc w:val="both"/>
        <w:rPr>
          <w:rFonts w:ascii="Times New Roman" w:hAnsi="Times New Roman" w:cs="Times New Roman"/>
          <w:color w:val="000000" w:themeColor="text1"/>
          <w:sz w:val="24"/>
          <w:szCs w:val="24"/>
        </w:rPr>
      </w:pPr>
      <w:r>
        <w:rPr>
          <w:rFonts w:ascii="Times New Roman" w:hAnsi="Times New Roman"/>
          <w:color w:val="000000" w:themeColor="text1"/>
          <w:sz w:val="24"/>
        </w:rPr>
        <w:t>When defining measures to reduce the size of the shadow economy, it should be borne in mind that whatever measures are implemented to reduce the shadow economy, there will always be individuals operating in the grey sector who will purposefully seek to continue to evade taxes and remain outside the formal economy by changing their behaviour and using other tools and techniques.</w:t>
      </w:r>
    </w:p>
    <w:p w14:paraId="59B00CDD" w14:textId="0871367E" w:rsidR="004A7989" w:rsidRPr="00333F3D" w:rsidRDefault="00965321">
      <w:pPr>
        <w:ind w:firstLine="709"/>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Given that the risk of the shadow economy is closely linked to the principle of tax morale, the involvement of individuals in the shadow economy also exists among high-income individuals with low tax morale. Therefore, keeping the overall welfare of the country in mind, it is necessary to take smart measures to raise tax morale in the country as a whole and among groups of people with different levels of wealth and motivation. </w:t>
      </w:r>
    </w:p>
    <w:p w14:paraId="06693D35" w14:textId="77777777" w:rsidR="009E732B" w:rsidRPr="00487D69" w:rsidRDefault="009E732B" w:rsidP="000B554F">
      <w:pPr>
        <w:jc w:val="both"/>
        <w:rPr>
          <w:rFonts w:ascii="Times New Roman" w:hAnsi="Times New Roman" w:cs="Times New Roman"/>
          <w:color w:val="000000" w:themeColor="text1"/>
          <w:sz w:val="24"/>
          <w:szCs w:val="24"/>
          <w:u w:val="single"/>
        </w:rPr>
      </w:pPr>
    </w:p>
    <w:p w14:paraId="14DABB4B" w14:textId="0ABE133F" w:rsidR="000B554F" w:rsidRDefault="005B4C1F" w:rsidP="000B554F">
      <w:pPr>
        <w:jc w:val="both"/>
        <w:rPr>
          <w:rFonts w:ascii="Times New Roman" w:hAnsi="Times New Roman" w:cs="Times New Roman"/>
          <w:b/>
          <w:bCs/>
          <w:i/>
          <w:iCs/>
          <w:sz w:val="24"/>
          <w:szCs w:val="24"/>
        </w:rPr>
      </w:pPr>
      <w:r>
        <w:rPr>
          <w:rFonts w:ascii="Times New Roman" w:hAnsi="Times New Roman"/>
          <w:b/>
          <w:i/>
          <w:sz w:val="24"/>
          <w:u w:val="single"/>
        </w:rPr>
        <w:t>Correlation between the shadow economy and GDP</w:t>
      </w:r>
    </w:p>
    <w:p w14:paraId="603215B1" w14:textId="48F39F80" w:rsidR="005E7093" w:rsidRDefault="005E7093" w:rsidP="00767B86">
      <w:pPr>
        <w:ind w:firstLine="720"/>
        <w:jc w:val="both"/>
        <w:rPr>
          <w:rFonts w:ascii="Times New Roman" w:hAnsi="Times New Roman" w:cs="Times New Roman"/>
          <w:sz w:val="24"/>
          <w:szCs w:val="24"/>
        </w:rPr>
      </w:pPr>
    </w:p>
    <w:p w14:paraId="1B86CCB5" w14:textId="3E54F6BD" w:rsidR="00767B86" w:rsidRPr="00767B86" w:rsidRDefault="00D30E35" w:rsidP="00767B86">
      <w:pPr>
        <w:ind w:firstLine="720"/>
        <w:jc w:val="both"/>
        <w:rPr>
          <w:rFonts w:ascii="Times New Roman" w:hAnsi="Times New Roman" w:cs="Times New Roman"/>
          <w:sz w:val="24"/>
          <w:szCs w:val="24"/>
        </w:rPr>
      </w:pPr>
      <w:r>
        <w:rPr>
          <w:noProof/>
          <w:lang w:val="lv-LV" w:eastAsia="zh-CN"/>
        </w:rPr>
        <mc:AlternateContent>
          <mc:Choice Requires="wps">
            <w:drawing>
              <wp:anchor distT="0" distB="0" distL="114300" distR="114300" simplePos="0" relativeHeight="251743232" behindDoc="0" locked="0" layoutInCell="1" allowOverlap="1" wp14:anchorId="2F3FE60B" wp14:editId="44CB4857">
                <wp:simplePos x="0" y="0"/>
                <wp:positionH relativeFrom="column">
                  <wp:posOffset>1893570</wp:posOffset>
                </wp:positionH>
                <wp:positionV relativeFrom="paragraph">
                  <wp:posOffset>2167890</wp:posOffset>
                </wp:positionV>
                <wp:extent cx="1760220" cy="228600"/>
                <wp:effectExtent l="0" t="0" r="0" b="0"/>
                <wp:wrapNone/>
                <wp:docPr id="1027168875" name="Text Box 1027168875"/>
                <wp:cNvGraphicFramePr/>
                <a:graphic xmlns:a="http://schemas.openxmlformats.org/drawingml/2006/main">
                  <a:graphicData uri="http://schemas.microsoft.com/office/word/2010/wordprocessingShape">
                    <wps:wsp>
                      <wps:cNvSpPr txBox="1"/>
                      <wps:spPr>
                        <a:xfrm>
                          <a:off x="0" y="0"/>
                          <a:ext cx="176022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3541F" w14:textId="77777777" w:rsidR="00D30E35" w:rsidRPr="00D30E35" w:rsidRDefault="00D30E35" w:rsidP="00D30E35">
                            <w:pPr>
                              <w:ind w:left="-142"/>
                              <w:rPr>
                                <w:rFonts w:ascii="Times New Roman" w:hAnsi="Times New Roman" w:cs="Times New Roman"/>
                                <w:sz w:val="16"/>
                                <w:szCs w:val="16"/>
                              </w:rPr>
                            </w:pPr>
                            <w:r w:rsidRPr="00D30E35">
                              <w:rPr>
                                <w:rFonts w:ascii="Times New Roman" w:hAnsi="Times New Roman" w:cs="Times New Roman"/>
                                <w:sz w:val="16"/>
                                <w:szCs w:val="16"/>
                              </w:rPr>
                              <w:t>Share of the formal economy, % of GDP</w:t>
                            </w:r>
                          </w:p>
                          <w:p w14:paraId="699BAFC6" w14:textId="77777777" w:rsidR="00D30E35" w:rsidRPr="00D30E35" w:rsidRDefault="00D30E35" w:rsidP="00D30E35">
                            <w:pPr>
                              <w:ind w:left="-142"/>
                              <w:rPr>
                                <w:sz w:val="6"/>
                                <w:szCs w:val="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FE60B" id="Text Box 1027168875" o:spid="_x0000_s1062" type="#_x0000_t202" style="position:absolute;left:0;text-align:left;margin-left:149.1pt;margin-top:170.7pt;width:138.6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" fillcolor="white [3201]" stroked="f" strokeweight=".5pt">
                <v:textbox>
                  <w:txbxContent>
                    <w:p w14:paraId="6973541F" w14:textId="77777777" w:rsidR="00D30E35" w:rsidRPr="00D30E35" w:rsidRDefault="00D30E35" w:rsidP="00D30E35">
                      <w:pPr>
                        <w:ind w:left="-142"/>
                        <w:rPr>
                          <w:rFonts w:ascii="Times New Roman" w:hAnsi="Times New Roman" w:cs="Times New Roman"/>
                          <w:sz w:val="16"/>
                          <w:szCs w:val="16"/>
                        </w:rPr>
                      </w:pPr>
                      <w:r w:rsidRPr="00D30E35">
                        <w:rPr>
                          <w:rFonts w:ascii="Times New Roman" w:hAnsi="Times New Roman" w:cs="Times New Roman"/>
                          <w:sz w:val="16"/>
                          <w:szCs w:val="16"/>
                        </w:rPr>
                        <w:t>Share of the formal economy, % of GDP</w:t>
                      </w:r>
                    </w:p>
                    <w:p w14:paraId="699BAFC6" w14:textId="77777777" w:rsidR="00D30E35" w:rsidRPr="00D30E35" w:rsidRDefault="00D30E35" w:rsidP="00D30E35">
                      <w:pPr>
                        <w:ind w:left="-142"/>
                        <w:rPr>
                          <w:sz w:val="6"/>
                          <w:szCs w:val="6"/>
                        </w:rPr>
                      </w:pPr>
                    </w:p>
                  </w:txbxContent>
                </v:textbox>
              </v:shape>
            </w:pict>
          </mc:Fallback>
        </mc:AlternateContent>
      </w:r>
      <w:r>
        <w:rPr>
          <w:noProof/>
          <w:lang w:val="lv-LV" w:eastAsia="zh-CN"/>
        </w:rPr>
        <mc:AlternateContent>
          <mc:Choice Requires="wps">
            <w:drawing>
              <wp:anchor distT="0" distB="0" distL="114300" distR="114300" simplePos="0" relativeHeight="251741184" behindDoc="0" locked="0" layoutInCell="1" allowOverlap="1" wp14:anchorId="7B5ECB72" wp14:editId="2DAB8D4A">
                <wp:simplePos x="0" y="0"/>
                <wp:positionH relativeFrom="column">
                  <wp:posOffset>339090</wp:posOffset>
                </wp:positionH>
                <wp:positionV relativeFrom="paragraph">
                  <wp:posOffset>2167890</wp:posOffset>
                </wp:positionV>
                <wp:extent cx="1264920" cy="213360"/>
                <wp:effectExtent l="0" t="0" r="0" b="0"/>
                <wp:wrapNone/>
                <wp:docPr id="1027168874" name="Text Box 1027168874"/>
                <wp:cNvGraphicFramePr/>
                <a:graphic xmlns:a="http://schemas.openxmlformats.org/drawingml/2006/main">
                  <a:graphicData uri="http://schemas.microsoft.com/office/word/2010/wordprocessingShape">
                    <wps:wsp>
                      <wps:cNvSpPr txBox="1"/>
                      <wps:spPr>
                        <a:xfrm>
                          <a:off x="0" y="0"/>
                          <a:ext cx="1264920"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C7F24" w14:textId="77777777" w:rsidR="00D30E35" w:rsidRPr="00D30E35" w:rsidRDefault="00D30E35" w:rsidP="00D30E35">
                            <w:pPr>
                              <w:rPr>
                                <w:rFonts w:ascii="Times New Roman" w:hAnsi="Times New Roman" w:cs="Times New Roman"/>
                                <w:sz w:val="16"/>
                                <w:szCs w:val="16"/>
                              </w:rPr>
                            </w:pPr>
                            <w:r w:rsidRPr="00D30E35">
                              <w:rPr>
                                <w:rFonts w:ascii="Times New Roman" w:hAnsi="Times New Roman" w:cs="Times New Roman"/>
                                <w:sz w:val="16"/>
                                <w:szCs w:val="16"/>
                              </w:rPr>
                              <w:t>GDP per capita, EUR</w:t>
                            </w:r>
                          </w:p>
                          <w:p w14:paraId="034E5514" w14:textId="77777777" w:rsidR="00D30E35" w:rsidRPr="00D30E35" w:rsidRDefault="00D30E3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ECB72" id="Text Box 1027168874" o:spid="_x0000_s1063" type="#_x0000_t202" style="position:absolute;left:0;text-align:left;margin-left:26.7pt;margin-top:170.7pt;width:99.6pt;height:16.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" fillcolor="white [3201]" stroked="f" strokeweight=".5pt">
                <v:textbox>
                  <w:txbxContent>
                    <w:p w14:paraId="5E3C7F24" w14:textId="77777777" w:rsidR="00D30E35" w:rsidRPr="00D30E35" w:rsidRDefault="00D30E35" w:rsidP="00D30E35">
                      <w:pPr>
                        <w:rPr>
                          <w:rFonts w:ascii="Times New Roman" w:hAnsi="Times New Roman" w:cs="Times New Roman"/>
                          <w:sz w:val="16"/>
                          <w:szCs w:val="16"/>
                        </w:rPr>
                      </w:pPr>
                      <w:r w:rsidRPr="00D30E35">
                        <w:rPr>
                          <w:rFonts w:ascii="Times New Roman" w:hAnsi="Times New Roman" w:cs="Times New Roman"/>
                          <w:sz w:val="16"/>
                          <w:szCs w:val="16"/>
                        </w:rPr>
                        <w:t>GDP per capita, EUR</w:t>
                      </w:r>
                    </w:p>
                    <w:p w14:paraId="034E5514" w14:textId="77777777" w:rsidR="00D30E35" w:rsidRPr="00D30E35" w:rsidRDefault="00D30E35">
                      <w:pPr>
                        <w:rPr>
                          <w:sz w:val="14"/>
                          <w:szCs w:val="14"/>
                        </w:rPr>
                      </w:pPr>
                    </w:p>
                  </w:txbxContent>
                </v:textbox>
              </v:shape>
            </w:pict>
          </mc:Fallback>
        </mc:AlternateContent>
      </w:r>
      <w:r w:rsidR="00CE0D9B">
        <w:rPr>
          <w:noProof/>
          <w:lang w:val="lv-LV" w:eastAsia="zh-CN"/>
        </w:rPr>
        <w:drawing>
          <wp:anchor distT="0" distB="0" distL="114300" distR="114300" simplePos="0" relativeHeight="251657216" behindDoc="0" locked="0" layoutInCell="1" allowOverlap="1" wp14:anchorId="307F708E" wp14:editId="07A4648F">
            <wp:simplePos x="0" y="0"/>
            <wp:positionH relativeFrom="column">
              <wp:posOffset>-50800</wp:posOffset>
            </wp:positionH>
            <wp:positionV relativeFrom="paragraph">
              <wp:posOffset>180340</wp:posOffset>
            </wp:positionV>
            <wp:extent cx="3571240" cy="2286000"/>
            <wp:effectExtent l="0" t="0" r="10160" b="0"/>
            <wp:wrapThrough wrapText="bothSides">
              <wp:wrapPolygon edited="0">
                <wp:start x="0" y="0"/>
                <wp:lineTo x="0" y="21420"/>
                <wp:lineTo x="21546" y="21420"/>
                <wp:lineTo x="21546" y="0"/>
                <wp:lineTo x="0" y="0"/>
              </wp:wrapPolygon>
            </wp:wrapThrough>
            <wp:docPr id="832955480" name="Chart 1">
              <a:extLst xmlns:a="http://schemas.openxmlformats.org/drawingml/2006/main">
                <a:ext uri="{FF2B5EF4-FFF2-40B4-BE49-F238E27FC236}">
                  <a16:creationId xmlns:a16="http://schemas.microsoft.com/office/drawing/2014/main" id="{462AAEF3-9980-49FE-A8C0-AEE2A884E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E0D9B">
        <w:rPr>
          <w:rFonts w:ascii="Times New Roman" w:hAnsi="Times New Roman"/>
          <w:sz w:val="24"/>
        </w:rPr>
        <w:t>Economists recognise that the size of the shadow economy is highly correlated with the development of national economy; therefore, GDP growth is one of the most important driving forces of changes in the scale of the shadow economy. The higher the level of GDP per capita, the higher the welfare, the less prone people are to breaking the law, including tax evasion. This pattern can also be clearly seen in the graph below, depicting GDP per capita</w:t>
      </w:r>
      <w:r w:rsidR="001717E1">
        <w:rPr>
          <w:rStyle w:val="FootnoteReference"/>
          <w:rFonts w:ascii="Times New Roman" w:hAnsi="Times New Roman" w:cs="Times New Roman"/>
          <w:sz w:val="24"/>
          <w:szCs w:val="24"/>
        </w:rPr>
        <w:footnoteReference w:id="16"/>
      </w:r>
      <w:r w:rsidR="00CE0D9B">
        <w:rPr>
          <w:rFonts w:ascii="Times New Roman" w:hAnsi="Times New Roman"/>
          <w:sz w:val="24"/>
        </w:rPr>
        <w:t xml:space="preserve"> and the scale of the </w:t>
      </w:r>
      <w:r w:rsidR="009E01BA">
        <w:rPr>
          <w:rFonts w:ascii="Times New Roman" w:hAnsi="Times New Roman"/>
          <w:sz w:val="24"/>
        </w:rPr>
        <w:t>formal</w:t>
      </w:r>
      <w:r w:rsidR="00CE0D9B">
        <w:rPr>
          <w:rFonts w:ascii="Times New Roman" w:hAnsi="Times New Roman"/>
          <w:sz w:val="24"/>
        </w:rPr>
        <w:t xml:space="preserve"> economy as a percentage of GDP, calculated as the inverse of the share of the shadow economy as a proportion of GDP according to the method of prof. F. Schneider (Figure 5).</w:t>
      </w:r>
    </w:p>
    <w:p w14:paraId="6DB8F118" w14:textId="5371B388" w:rsidR="00863AE5" w:rsidRPr="001717E1" w:rsidRDefault="002604B9" w:rsidP="001717E1">
      <w:pPr>
        <w:jc w:val="both"/>
        <w:rPr>
          <w:rFonts w:ascii="Times New Roman" w:eastAsia="Times New Roman" w:hAnsi="Times New Roman" w:cs="Times New Roman"/>
          <w:i/>
          <w:iCs/>
          <w:kern w:val="0"/>
          <w:sz w:val="20"/>
          <w:szCs w:val="20"/>
          <w14:ligatures w14:val="none"/>
        </w:rPr>
      </w:pPr>
      <w:r>
        <w:rPr>
          <w:rFonts w:ascii="Times New Roman" w:hAnsi="Times New Roman"/>
          <w:i/>
          <w:sz w:val="20"/>
        </w:rPr>
        <w:t>Figure 5. Correlation between gross domestic product per capita</w:t>
      </w:r>
      <w:r w:rsidR="007958DF">
        <w:rPr>
          <w:rFonts w:ascii="Times New Roman" w:hAnsi="Times New Roman"/>
          <w:i/>
          <w:sz w:val="20"/>
        </w:rPr>
        <w:t xml:space="preserve"> </w:t>
      </w:r>
      <w:r w:rsidR="001717E1">
        <w:rPr>
          <w:rFonts w:ascii="Times New Roman" w:hAnsi="Times New Roman"/>
          <w:i/>
          <w:sz w:val="20"/>
        </w:rPr>
        <w:t>and the share of formal economy</w:t>
      </w:r>
    </w:p>
    <w:p w14:paraId="63547E39" w14:textId="77777777" w:rsidR="00863AE5" w:rsidRDefault="00863AE5" w:rsidP="006D0C05">
      <w:pPr>
        <w:ind w:firstLine="720"/>
        <w:jc w:val="both"/>
        <w:rPr>
          <w:rFonts w:ascii="Times New Roman" w:eastAsia="Times New Roman" w:hAnsi="Times New Roman" w:cs="Times New Roman"/>
          <w:kern w:val="0"/>
          <w:sz w:val="24"/>
          <w:szCs w:val="24"/>
          <w:lang w:eastAsia="lv-LV"/>
          <w14:ligatures w14:val="none"/>
        </w:rPr>
      </w:pPr>
    </w:p>
    <w:p w14:paraId="32CFDD8A" w14:textId="3DC63AC2" w:rsidR="006D0C05" w:rsidRDefault="00767B86" w:rsidP="006D0C05">
      <w:pPr>
        <w:ind w:firstLine="720"/>
        <w:jc w:val="both"/>
        <w:rPr>
          <w:rFonts w:ascii="Times New Roman" w:hAnsi="Times New Roman" w:cs="Times New Roman"/>
          <w:sz w:val="24"/>
          <w:szCs w:val="24"/>
        </w:rPr>
      </w:pPr>
      <w:r>
        <w:rPr>
          <w:rFonts w:ascii="Times New Roman" w:hAnsi="Times New Roman"/>
          <w:sz w:val="24"/>
        </w:rPr>
        <w:t>Similarly, the EC study on the scale of the VAT gap in EU Member States</w:t>
      </w:r>
      <w:r w:rsidR="006D0C05">
        <w:rPr>
          <w:rStyle w:val="FootnoteReference"/>
          <w:rFonts w:ascii="Times New Roman" w:eastAsia="Times New Roman" w:hAnsi="Times New Roman" w:cs="Times New Roman"/>
          <w:kern w:val="0"/>
          <w:sz w:val="24"/>
          <w:szCs w:val="24"/>
          <w:lang w:eastAsia="lv-LV"/>
        </w:rPr>
        <w:footnoteReference w:id="17"/>
      </w:r>
      <w:r>
        <w:rPr>
          <w:rFonts w:ascii="Times New Roman" w:hAnsi="Times New Roman"/>
          <w:sz w:val="24"/>
        </w:rPr>
        <w:t xml:space="preserve"> shows a high dependence of the VAT gap on GDP and economic structure. In the report, the EC highlights</w:t>
      </w:r>
      <w:r>
        <w:t xml:space="preserve"> </w:t>
      </w:r>
      <w:r>
        <w:rPr>
          <w:rFonts w:ascii="Times New Roman" w:hAnsi="Times New Roman"/>
          <w:sz w:val="24"/>
        </w:rPr>
        <w:t xml:space="preserve">GDP growth, general government surplus, information technology expenses and the shares of the agricultural and financial sectors in the economy as statistically significant factors. According to the study, </w:t>
      </w:r>
      <w:r>
        <w:rPr>
          <w:rFonts w:ascii="Times New Roman" w:hAnsi="Times New Roman"/>
          <w:b/>
          <w:bCs/>
          <w:sz w:val="24"/>
        </w:rPr>
        <w:t>in order</w:t>
      </w:r>
      <w:r>
        <w:rPr>
          <w:b/>
          <w:bCs/>
        </w:rPr>
        <w:t xml:space="preserve"> </w:t>
      </w:r>
      <w:r>
        <w:rPr>
          <w:rFonts w:ascii="Times New Roman" w:hAnsi="Times New Roman"/>
          <w:b/>
          <w:bCs/>
          <w:sz w:val="24"/>
        </w:rPr>
        <w:t>to redu</w:t>
      </w:r>
      <w:r>
        <w:rPr>
          <w:rFonts w:ascii="Times New Roman" w:hAnsi="Times New Roman"/>
          <w:b/>
          <w:sz w:val="24"/>
        </w:rPr>
        <w:t>ce the</w:t>
      </w:r>
      <w:r>
        <w:rPr>
          <w:rFonts w:ascii="Times New Roman" w:hAnsi="Times New Roman"/>
          <w:sz w:val="24"/>
        </w:rPr>
        <w:t xml:space="preserve"> </w:t>
      </w:r>
      <w:r>
        <w:rPr>
          <w:rFonts w:ascii="Times New Roman" w:hAnsi="Times New Roman"/>
          <w:b/>
          <w:sz w:val="24"/>
        </w:rPr>
        <w:t>VAT gap by one percentage point, GDP would need to increase by three percentage</w:t>
      </w:r>
      <w:r w:rsidR="00676AF1">
        <w:rPr>
          <w:rFonts w:ascii="Times New Roman" w:hAnsi="Times New Roman"/>
          <w:b/>
          <w:sz w:val="24"/>
        </w:rPr>
        <w:t xml:space="preserve"> points</w:t>
      </w:r>
      <w:r>
        <w:rPr>
          <w:rFonts w:ascii="Times New Roman" w:hAnsi="Times New Roman"/>
          <w:sz w:val="24"/>
        </w:rPr>
        <w:t>.</w:t>
      </w:r>
    </w:p>
    <w:p w14:paraId="6B72C641" w14:textId="73A6789F" w:rsidR="006D0C05" w:rsidRDefault="00767B86" w:rsidP="006D0C05">
      <w:pPr>
        <w:ind w:firstLine="720"/>
        <w:jc w:val="both"/>
        <w:rPr>
          <w:rFonts w:ascii="Times New Roman" w:hAnsi="Times New Roman" w:cs="Times New Roman"/>
          <w:sz w:val="24"/>
          <w:szCs w:val="24"/>
        </w:rPr>
      </w:pPr>
      <w:r>
        <w:rPr>
          <w:rFonts w:ascii="Times New Roman" w:hAnsi="Times New Roman"/>
          <w:sz w:val="24"/>
        </w:rPr>
        <w:t>The 12-year VAT gap statistics and the 9-year labour tax gap statistics accumulated by the SRS, which show a high inverse correlation between GDP and the tax gap percentage, also suggest that macroeconomic growth has a significant impact on the size of tax gaps. In fact, changes in the GDP factor can account for 86 per cent up to 94 per cent of the tax gap dynamics (Figures 6–8).</w:t>
      </w:r>
    </w:p>
    <w:p w14:paraId="7899F891" w14:textId="77777777" w:rsidR="00487D69" w:rsidRPr="00050CC5" w:rsidRDefault="00487D69" w:rsidP="006D0C05">
      <w:pPr>
        <w:ind w:firstLine="720"/>
        <w:jc w:val="both"/>
        <w:rPr>
          <w:rFonts w:ascii="Times New Roman" w:hAnsi="Times New Roman" w:cs="Times New Roman"/>
          <w:sz w:val="24"/>
          <w:szCs w:val="24"/>
        </w:rPr>
      </w:pPr>
    </w:p>
    <w:p w14:paraId="2D2CA4A0" w14:textId="77777777" w:rsidR="006D0C05" w:rsidRDefault="006D0C05" w:rsidP="006D0C05">
      <w:pPr>
        <w:jc w:val="both"/>
        <w:rPr>
          <w:rFonts w:ascii="Times New Roman" w:hAnsi="Times New Roman" w:cs="Times New Roman"/>
          <w:sz w:val="24"/>
          <w:szCs w:val="24"/>
        </w:rPr>
      </w:pPr>
      <w:r>
        <w:rPr>
          <w:rFonts w:ascii="Times New Roman" w:hAnsi="Times New Roman"/>
          <w:noProof/>
          <w:sz w:val="24"/>
          <w:lang w:val="lv-LV" w:eastAsia="zh-CN"/>
        </w:rPr>
        <w:drawing>
          <wp:inline distT="0" distB="0" distL="0" distR="0" wp14:anchorId="33E9DA17" wp14:editId="1A5481D5">
            <wp:extent cx="6267450" cy="1266825"/>
            <wp:effectExtent l="0" t="0" r="0" b="9525"/>
            <wp:docPr id="1810118947" name="Chart 1">
              <a:extLst xmlns:a="http://schemas.openxmlformats.org/drawingml/2006/main">
                <a:ext uri="{FF2B5EF4-FFF2-40B4-BE49-F238E27FC236}">
                  <a16:creationId xmlns:a16="http://schemas.microsoft.com/office/drawing/2014/main" id="{005B961C-11CC-E2A0-5DB2-C23E492998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72407F" w14:textId="032C0C9D" w:rsidR="001717E1" w:rsidRDefault="009E1E25" w:rsidP="001717E1">
      <w:pPr>
        <w:jc w:val="both"/>
        <w:rPr>
          <w:rFonts w:ascii="Times New Roman" w:eastAsia="Times New Roman" w:hAnsi="Times New Roman" w:cs="Times New Roman"/>
          <w:i/>
          <w:iCs/>
          <w:kern w:val="0"/>
          <w:sz w:val="20"/>
          <w:szCs w:val="20"/>
          <w14:ligatures w14:val="none"/>
        </w:rPr>
      </w:pPr>
      <w:r>
        <w:rPr>
          <w:rFonts w:ascii="Times New Roman" w:hAnsi="Times New Roman"/>
          <w:i/>
          <w:sz w:val="20"/>
        </w:rPr>
        <w:t>Figure 6. Correlation between VAT gap and GDP</w:t>
      </w:r>
      <w:r>
        <w:rPr>
          <w:rFonts w:ascii="Times New Roman" w:hAnsi="Times New Roman"/>
          <w:i/>
          <w:sz w:val="20"/>
        </w:rPr>
        <w:tab/>
      </w:r>
      <w:r>
        <w:rPr>
          <w:rFonts w:ascii="Times New Roman" w:hAnsi="Times New Roman"/>
          <w:i/>
          <w:sz w:val="20"/>
        </w:rPr>
        <w:tab/>
      </w:r>
      <w:r>
        <w:rPr>
          <w:rFonts w:ascii="Times New Roman" w:hAnsi="Times New Roman"/>
          <w:i/>
          <w:sz w:val="20"/>
        </w:rPr>
        <w:tab/>
        <w:t>Data source: SRS data</w:t>
      </w:r>
    </w:p>
    <w:p w14:paraId="4CDA22D5" w14:textId="77777777" w:rsidR="00487D69" w:rsidRPr="001717E1" w:rsidRDefault="00487D69" w:rsidP="001717E1">
      <w:pPr>
        <w:jc w:val="both"/>
        <w:rPr>
          <w:rFonts w:ascii="Times New Roman" w:eastAsia="Times New Roman" w:hAnsi="Times New Roman" w:cs="Times New Roman"/>
          <w:i/>
          <w:iCs/>
          <w:kern w:val="0"/>
          <w:sz w:val="20"/>
          <w:szCs w:val="20"/>
          <w:lang w:eastAsia="lv-LV"/>
          <w14:ligatures w14:val="none"/>
        </w:rPr>
      </w:pPr>
    </w:p>
    <w:p w14:paraId="24B44F17" w14:textId="77777777" w:rsidR="006D0C05" w:rsidRDefault="006D0C05" w:rsidP="006D0C05">
      <w:pPr>
        <w:jc w:val="both"/>
        <w:rPr>
          <w:rFonts w:ascii="Times New Roman" w:hAnsi="Times New Roman" w:cs="Times New Roman"/>
          <w:sz w:val="24"/>
          <w:szCs w:val="24"/>
        </w:rPr>
      </w:pPr>
      <w:r>
        <w:rPr>
          <w:rFonts w:ascii="Times New Roman" w:hAnsi="Times New Roman"/>
          <w:noProof/>
          <w:sz w:val="24"/>
          <w:lang w:val="lv-LV" w:eastAsia="zh-CN"/>
        </w:rPr>
        <w:drawing>
          <wp:inline distT="0" distB="0" distL="0" distR="0" wp14:anchorId="66C83903" wp14:editId="238B907C">
            <wp:extent cx="6267450" cy="1229360"/>
            <wp:effectExtent l="0" t="0" r="0" b="8890"/>
            <wp:docPr id="1519198305" name="Chart 2">
              <a:extLst xmlns:a="http://schemas.openxmlformats.org/drawingml/2006/main">
                <a:ext uri="{FF2B5EF4-FFF2-40B4-BE49-F238E27FC236}">
                  <a16:creationId xmlns:a16="http://schemas.microsoft.com/office/drawing/2014/main" id="{3D1B04D0-1345-4883-9F36-265C007D1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5E6ED6" w14:textId="06578A73" w:rsidR="00A667A7" w:rsidRPr="001717E1" w:rsidRDefault="009E1E25" w:rsidP="00A667A7">
      <w:pPr>
        <w:jc w:val="both"/>
        <w:rPr>
          <w:rFonts w:ascii="Times New Roman" w:eastAsia="Times New Roman" w:hAnsi="Times New Roman" w:cs="Times New Roman"/>
          <w:i/>
          <w:iCs/>
          <w:kern w:val="0"/>
          <w:sz w:val="20"/>
          <w:szCs w:val="20"/>
          <w14:ligatures w14:val="none"/>
        </w:rPr>
      </w:pPr>
      <w:r>
        <w:rPr>
          <w:rFonts w:ascii="Times New Roman" w:hAnsi="Times New Roman"/>
          <w:i/>
          <w:sz w:val="20"/>
        </w:rPr>
        <w:t>Figure 7. Correlation between PIT gap and GDP</w:t>
      </w:r>
      <w:r>
        <w:rPr>
          <w:rFonts w:ascii="Times New Roman" w:hAnsi="Times New Roman"/>
          <w:i/>
          <w:sz w:val="20"/>
        </w:rPr>
        <w:tab/>
      </w:r>
      <w:r>
        <w:rPr>
          <w:rFonts w:ascii="Times New Roman" w:hAnsi="Times New Roman"/>
          <w:i/>
          <w:sz w:val="20"/>
        </w:rPr>
        <w:tab/>
      </w:r>
      <w:r>
        <w:rPr>
          <w:rFonts w:ascii="Times New Roman" w:hAnsi="Times New Roman"/>
          <w:i/>
          <w:sz w:val="20"/>
        </w:rPr>
        <w:tab/>
        <w:t>Data source: SRS data</w:t>
      </w:r>
    </w:p>
    <w:p w14:paraId="547F9AB2" w14:textId="77777777" w:rsidR="00A667A7" w:rsidRDefault="00A667A7" w:rsidP="006D0C05">
      <w:pPr>
        <w:jc w:val="both"/>
        <w:rPr>
          <w:rFonts w:ascii="Times New Roman" w:hAnsi="Times New Roman" w:cs="Times New Roman"/>
          <w:sz w:val="24"/>
          <w:szCs w:val="24"/>
        </w:rPr>
      </w:pPr>
    </w:p>
    <w:p w14:paraId="344AEB57" w14:textId="77777777" w:rsidR="006D0C05" w:rsidRDefault="006D0C05" w:rsidP="006D0C05">
      <w:pPr>
        <w:jc w:val="both"/>
        <w:rPr>
          <w:rFonts w:ascii="Times New Roman" w:hAnsi="Times New Roman" w:cs="Times New Roman"/>
          <w:sz w:val="24"/>
          <w:szCs w:val="24"/>
        </w:rPr>
      </w:pPr>
      <w:r>
        <w:rPr>
          <w:rFonts w:ascii="Times New Roman" w:hAnsi="Times New Roman"/>
          <w:noProof/>
          <w:sz w:val="24"/>
          <w:lang w:val="lv-LV" w:eastAsia="zh-CN"/>
        </w:rPr>
        <w:drawing>
          <wp:inline distT="0" distB="0" distL="0" distR="0" wp14:anchorId="75C78B6C" wp14:editId="5639DEAF">
            <wp:extent cx="6267450" cy="1311910"/>
            <wp:effectExtent l="0" t="0" r="0" b="2540"/>
            <wp:docPr id="1514353130" name="Chart 3">
              <a:extLst xmlns:a="http://schemas.openxmlformats.org/drawingml/2006/main">
                <a:ext uri="{FF2B5EF4-FFF2-40B4-BE49-F238E27FC236}">
                  <a16:creationId xmlns:a16="http://schemas.microsoft.com/office/drawing/2014/main" id="{C98206D2-90CE-4B0D-AA63-6B19EC68C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08F3F7" w14:textId="0418BC5C" w:rsidR="00A667A7" w:rsidRPr="001717E1" w:rsidRDefault="009E1E25" w:rsidP="00A667A7">
      <w:pPr>
        <w:jc w:val="both"/>
        <w:rPr>
          <w:rFonts w:ascii="Times New Roman" w:eastAsia="Times New Roman" w:hAnsi="Times New Roman" w:cs="Times New Roman"/>
          <w:i/>
          <w:iCs/>
          <w:kern w:val="0"/>
          <w:sz w:val="20"/>
          <w:szCs w:val="20"/>
          <w14:ligatures w14:val="none"/>
        </w:rPr>
      </w:pPr>
      <w:r>
        <w:rPr>
          <w:rFonts w:ascii="Times New Roman" w:hAnsi="Times New Roman"/>
          <w:i/>
          <w:sz w:val="20"/>
        </w:rPr>
        <w:t>Figure 8. Correlation between MSSIC gap and GDP</w:t>
      </w:r>
      <w:r>
        <w:rPr>
          <w:rFonts w:ascii="Times New Roman" w:hAnsi="Times New Roman"/>
          <w:i/>
          <w:sz w:val="20"/>
        </w:rPr>
        <w:tab/>
      </w:r>
      <w:r>
        <w:rPr>
          <w:rFonts w:ascii="Times New Roman" w:hAnsi="Times New Roman"/>
          <w:i/>
          <w:sz w:val="20"/>
        </w:rPr>
        <w:tab/>
      </w:r>
      <w:r>
        <w:rPr>
          <w:rFonts w:ascii="Times New Roman" w:hAnsi="Times New Roman"/>
          <w:i/>
          <w:sz w:val="20"/>
        </w:rPr>
        <w:tab/>
        <w:t>Data source: SRS data</w:t>
      </w:r>
    </w:p>
    <w:p w14:paraId="05D3F86A" w14:textId="77777777" w:rsidR="00767B86" w:rsidRDefault="00767B86" w:rsidP="006D0C05">
      <w:pPr>
        <w:pStyle w:val="NormalWeb"/>
        <w:shd w:val="clear" w:color="auto" w:fill="FFFFFF"/>
        <w:spacing w:before="0" w:beforeAutospacing="0" w:after="0" w:afterAutospacing="0"/>
        <w:ind w:firstLine="720"/>
        <w:jc w:val="both"/>
        <w:rPr>
          <w:sz w:val="16"/>
          <w:szCs w:val="16"/>
        </w:rPr>
      </w:pPr>
    </w:p>
    <w:p w14:paraId="51CA1ACD" w14:textId="77777777" w:rsidR="00487D69" w:rsidRPr="0092320A" w:rsidRDefault="00487D69" w:rsidP="006D0C05">
      <w:pPr>
        <w:pStyle w:val="NormalWeb"/>
        <w:shd w:val="clear" w:color="auto" w:fill="FFFFFF"/>
        <w:spacing w:before="0" w:beforeAutospacing="0" w:after="0" w:afterAutospacing="0"/>
        <w:ind w:firstLine="720"/>
        <w:jc w:val="both"/>
        <w:rPr>
          <w:sz w:val="16"/>
          <w:szCs w:val="16"/>
        </w:rPr>
      </w:pPr>
    </w:p>
    <w:p w14:paraId="7C89381A" w14:textId="623D37AA" w:rsidR="006D0C05" w:rsidRDefault="00736F22" w:rsidP="006D0C05">
      <w:pPr>
        <w:pStyle w:val="NormalWeb"/>
        <w:shd w:val="clear" w:color="auto" w:fill="FFFFFF"/>
        <w:spacing w:before="0" w:beforeAutospacing="0" w:after="0" w:afterAutospacing="0"/>
        <w:ind w:firstLine="720"/>
        <w:jc w:val="both"/>
      </w:pPr>
      <w:r>
        <w:t>Figure 9 below shows the link between the economic situation and the share of the shadow economy in the countries of the European Economic Area, depicting GDP per capita and the size of the shadow economy according to prof. F. Schneider research data. The data show a strong inverse proportional correlation, i.e. the higher the GDP per capita, the lower the share of the shadow economy in the country.</w:t>
      </w:r>
    </w:p>
    <w:p w14:paraId="373A41D8" w14:textId="77777777" w:rsidR="006D0C05" w:rsidRDefault="006D0C05" w:rsidP="006D0C05">
      <w:pPr>
        <w:pStyle w:val="NormalWeb"/>
        <w:shd w:val="clear" w:color="auto" w:fill="FFFFFF"/>
        <w:spacing w:before="0" w:beforeAutospacing="0" w:after="0" w:afterAutospacing="0"/>
        <w:jc w:val="both"/>
      </w:pPr>
      <w:r>
        <w:rPr>
          <w:noProof/>
          <w:lang w:val="lv-LV" w:eastAsia="zh-CN"/>
        </w:rPr>
        <w:drawing>
          <wp:inline distT="0" distB="0" distL="0" distR="0" wp14:anchorId="47B26AD1" wp14:editId="27F37B8C">
            <wp:extent cx="6286500" cy="2438400"/>
            <wp:effectExtent l="0" t="0" r="0" b="0"/>
            <wp:docPr id="1088902278" name="Chart 1">
              <a:extLst xmlns:a="http://schemas.openxmlformats.org/drawingml/2006/main">
                <a:ext uri="{FF2B5EF4-FFF2-40B4-BE49-F238E27FC236}">
                  <a16:creationId xmlns:a16="http://schemas.microsoft.com/office/drawing/2014/main" id="{4AA20134-61C1-A742-79F6-2E091F3C40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1784F3" w14:textId="724EECC7" w:rsidR="003A5E68" w:rsidRDefault="009E1E25" w:rsidP="00A667A7">
      <w:pPr>
        <w:pStyle w:val="NormalWeb"/>
        <w:shd w:val="clear" w:color="auto" w:fill="FFFFFF"/>
        <w:spacing w:before="0" w:beforeAutospacing="0" w:after="0" w:afterAutospacing="0"/>
        <w:jc w:val="both"/>
        <w:rPr>
          <w:i/>
          <w:iCs/>
          <w:sz w:val="20"/>
          <w:szCs w:val="20"/>
        </w:rPr>
      </w:pPr>
      <w:r>
        <w:rPr>
          <w:i/>
          <w:sz w:val="20"/>
        </w:rPr>
        <w:t xml:space="preserve">Figure 9. Correlation between the share of the shadow economy and GDP per capita in 2022. </w:t>
      </w:r>
    </w:p>
    <w:p w14:paraId="28C527DC" w14:textId="08B3B249" w:rsidR="00736F22" w:rsidRDefault="00736F22" w:rsidP="00A667A7">
      <w:pPr>
        <w:pStyle w:val="NormalWeb"/>
        <w:shd w:val="clear" w:color="auto" w:fill="FFFFFF"/>
        <w:spacing w:before="0" w:beforeAutospacing="0" w:after="0" w:afterAutospacing="0"/>
        <w:jc w:val="both"/>
        <w:rPr>
          <w:i/>
          <w:iCs/>
          <w:sz w:val="20"/>
          <w:szCs w:val="20"/>
        </w:rPr>
      </w:pPr>
      <w:r>
        <w:rPr>
          <w:i/>
          <w:sz w:val="20"/>
        </w:rPr>
        <w:t>Developed by the Ministry of Finance on the basis of Eurostat data and F. Schneider research data.</w:t>
      </w:r>
    </w:p>
    <w:p w14:paraId="04D72AA5" w14:textId="77777777" w:rsidR="00A667A7" w:rsidRPr="00A667A7" w:rsidRDefault="00A667A7" w:rsidP="00A667A7">
      <w:pPr>
        <w:pStyle w:val="NormalWeb"/>
        <w:shd w:val="clear" w:color="auto" w:fill="FFFFFF"/>
        <w:spacing w:before="0" w:beforeAutospacing="0" w:after="0" w:afterAutospacing="0"/>
        <w:jc w:val="both"/>
        <w:rPr>
          <w:i/>
          <w:iCs/>
          <w:sz w:val="20"/>
          <w:szCs w:val="20"/>
        </w:rPr>
      </w:pPr>
    </w:p>
    <w:p w14:paraId="2E49CF4D" w14:textId="137F4CF7" w:rsidR="00B460BA" w:rsidRDefault="00736F22" w:rsidP="006D0C05">
      <w:pPr>
        <w:pStyle w:val="NormalWeb"/>
        <w:shd w:val="clear" w:color="auto" w:fill="FFFFFF"/>
        <w:spacing w:before="0" w:beforeAutospacing="0" w:after="0" w:afterAutospacing="0"/>
        <w:ind w:firstLine="720"/>
        <w:jc w:val="both"/>
      </w:pPr>
      <w:r>
        <w:t>As shown in the figure, advanced economies, e.g. Germany, Austria, Luxembourg and Switzerland, have a higher GDP per capita</w:t>
      </w:r>
      <w:r w:rsidR="00B460BA">
        <w:rPr>
          <w:rStyle w:val="FootnoteReference"/>
        </w:rPr>
        <w:footnoteReference w:id="18"/>
      </w:r>
      <w:r>
        <w:t xml:space="preserve"> and a lower shadow economy rate, while such countries as Bulgaria, Croatia, Hungary, Romania have a lower GDP per capita and a relatively high shadow economy rate</w:t>
      </w:r>
      <w:r w:rsidR="00B460BA">
        <w:rPr>
          <w:rStyle w:val="FootnoteReference"/>
        </w:rPr>
        <w:footnoteReference w:id="19"/>
      </w:r>
      <w:r>
        <w:rPr>
          <w:color w:val="000000" w:themeColor="text1"/>
        </w:rPr>
        <w:t>.</w:t>
      </w:r>
    </w:p>
    <w:p w14:paraId="50FCD3CF" w14:textId="56441D04" w:rsidR="006D0C05" w:rsidRDefault="006D0C05" w:rsidP="006D0C05">
      <w:pPr>
        <w:pStyle w:val="NormalWeb"/>
        <w:shd w:val="clear" w:color="auto" w:fill="FFFFFF"/>
        <w:spacing w:before="0" w:beforeAutospacing="0" w:after="0" w:afterAutospacing="0"/>
        <w:ind w:firstLine="720"/>
        <w:jc w:val="both"/>
      </w:pPr>
      <w:r>
        <w:t>GDP per capita shows the material welfare level and purchasing power of the population of the respective country. If people cannot meet their basic needs and have a choice between meeting their basic needs and meeting their tax obligations, the choice will be in favour of personal rather than public interests. The higher value the population of a country can produce, the higher the material welfare of its inhabitants and the greater their interest in contributing to common public needs, including the payment of taxes.</w:t>
      </w:r>
    </w:p>
    <w:p w14:paraId="34BF7835" w14:textId="5F92E3FB" w:rsidR="00736F22" w:rsidRDefault="00736F22" w:rsidP="00736F22">
      <w:pPr>
        <w:pStyle w:val="NormalWeb"/>
        <w:shd w:val="clear" w:color="auto" w:fill="FFFFFF"/>
        <w:spacing w:before="0" w:beforeAutospacing="0" w:after="0" w:afterAutospacing="0"/>
        <w:ind w:firstLine="720"/>
        <w:jc w:val="both"/>
      </w:pPr>
      <w:r>
        <w:t>In accordance with the data of the OECD study conducted in 2022, Figure 10 shows the satisfaction of European citizens with their level of income</w:t>
      </w:r>
      <w:r>
        <w:rPr>
          <w:rStyle w:val="FootnoteReference"/>
        </w:rPr>
        <w:footnoteReference w:id="20"/>
      </w:r>
      <w:r>
        <w:t xml:space="preserve"> and the link with the size of the shadow economy according to F. Schneider research data. </w:t>
      </w:r>
    </w:p>
    <w:p w14:paraId="1CB05BD3" w14:textId="77777777" w:rsidR="00736F22" w:rsidRDefault="00736F22" w:rsidP="006D0C05">
      <w:pPr>
        <w:pStyle w:val="NormalWeb"/>
        <w:shd w:val="clear" w:color="auto" w:fill="FFFFFF"/>
        <w:spacing w:before="0" w:beforeAutospacing="0" w:after="0" w:afterAutospacing="0"/>
        <w:ind w:firstLine="720"/>
        <w:jc w:val="both"/>
      </w:pPr>
    </w:p>
    <w:p w14:paraId="28EFAA7E" w14:textId="77777777" w:rsidR="006D0C05" w:rsidRDefault="006D0C05" w:rsidP="006D0C05">
      <w:pPr>
        <w:jc w:val="both"/>
        <w:rPr>
          <w:rFonts w:ascii="Times New Roman" w:hAnsi="Times New Roman" w:cs="Times New Roman"/>
          <w:sz w:val="24"/>
          <w:szCs w:val="24"/>
        </w:rPr>
      </w:pPr>
      <w:r>
        <w:rPr>
          <w:noProof/>
          <w:lang w:val="lv-LV" w:eastAsia="zh-CN"/>
        </w:rPr>
        <w:drawing>
          <wp:inline distT="0" distB="0" distL="0" distR="0" wp14:anchorId="46A9C720" wp14:editId="4682E2D4">
            <wp:extent cx="6229350" cy="2428875"/>
            <wp:effectExtent l="0" t="0" r="0" b="9525"/>
            <wp:docPr id="780588789" name="Chart 1">
              <a:extLst xmlns:a="http://schemas.openxmlformats.org/drawingml/2006/main">
                <a:ext uri="{FF2B5EF4-FFF2-40B4-BE49-F238E27FC236}">
                  <a16:creationId xmlns:a16="http://schemas.microsoft.com/office/drawing/2014/main" id="{E6B77B7D-9EFB-F9A5-0F8D-D03D04DB9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1C2220" w14:textId="58DE89C6" w:rsidR="003A5E68" w:rsidRDefault="009E1E25" w:rsidP="003A5E68">
      <w:pPr>
        <w:pStyle w:val="NormalWeb"/>
        <w:shd w:val="clear" w:color="auto" w:fill="FFFFFF"/>
        <w:spacing w:before="0" w:beforeAutospacing="0" w:after="0" w:afterAutospacing="0"/>
        <w:jc w:val="both"/>
        <w:rPr>
          <w:i/>
          <w:iCs/>
          <w:sz w:val="20"/>
          <w:szCs w:val="20"/>
        </w:rPr>
      </w:pPr>
      <w:r>
        <w:rPr>
          <w:i/>
          <w:sz w:val="20"/>
        </w:rPr>
        <w:t xml:space="preserve">Figure 10. Correlation between the share of the shadow economy and public satisfaction with the income level in 2022. </w:t>
      </w:r>
    </w:p>
    <w:p w14:paraId="7155E277" w14:textId="3D3D1B9C" w:rsidR="003A5E68" w:rsidRDefault="003A5E68" w:rsidP="003A5E68">
      <w:pPr>
        <w:pStyle w:val="NormalWeb"/>
        <w:shd w:val="clear" w:color="auto" w:fill="FFFFFF"/>
        <w:spacing w:before="0" w:beforeAutospacing="0" w:after="0" w:afterAutospacing="0"/>
        <w:jc w:val="both"/>
        <w:rPr>
          <w:i/>
          <w:iCs/>
          <w:sz w:val="20"/>
          <w:szCs w:val="20"/>
        </w:rPr>
      </w:pPr>
      <w:r>
        <w:rPr>
          <w:i/>
          <w:sz w:val="20"/>
        </w:rPr>
        <w:t>Developed by the Ministry of Finance on the basis of the OECD data and F. Schneider research data.</w:t>
      </w:r>
    </w:p>
    <w:p w14:paraId="73BB0815" w14:textId="77777777" w:rsidR="00736F22" w:rsidRDefault="00736F22" w:rsidP="006D0C05">
      <w:pPr>
        <w:pStyle w:val="NormalWeb"/>
        <w:shd w:val="clear" w:color="auto" w:fill="FFFFFF"/>
        <w:spacing w:before="0" w:beforeAutospacing="0" w:after="0" w:afterAutospacing="0"/>
        <w:ind w:firstLine="720"/>
        <w:jc w:val="both"/>
        <w:rPr>
          <w:color w:val="000000" w:themeColor="text1"/>
        </w:rPr>
      </w:pPr>
    </w:p>
    <w:p w14:paraId="1113FBA6" w14:textId="21A0DEFF" w:rsidR="006D0C05" w:rsidRDefault="00736F22" w:rsidP="3E1C1039">
      <w:pPr>
        <w:pStyle w:val="NormalWeb"/>
        <w:shd w:val="clear" w:color="auto" w:fill="FFFFFF" w:themeFill="background1"/>
        <w:spacing w:before="0" w:beforeAutospacing="0" w:after="0" w:afterAutospacing="0"/>
        <w:ind w:firstLine="720"/>
        <w:jc w:val="both"/>
      </w:pPr>
      <w:r>
        <w:rPr>
          <w:color w:val="000000" w:themeColor="text1"/>
        </w:rPr>
        <w:t>In countries where people have lower income satisfaction levels, there is greater involvement in the shadow economy. Consequently, if a person has sufficient income to meet his or her basic needs, he or she is less likely to engage in tax evasion. Conversely, the lower the level of income satisfaction, the more people are inclined to prioritise their personal short-term interests by avoiding the payment of taxes, rather than complying with the law by fulfilling their tax obligations, and thus also contributing to the financing of common national (public) needs.</w:t>
      </w:r>
    </w:p>
    <w:p w14:paraId="54805A8A" w14:textId="77777777" w:rsidR="00187F59" w:rsidRDefault="00187F59" w:rsidP="3E1C1039">
      <w:pPr>
        <w:pStyle w:val="NormalWeb"/>
        <w:shd w:val="clear" w:color="auto" w:fill="FFFFFF" w:themeFill="background1"/>
        <w:spacing w:before="0" w:beforeAutospacing="0" w:after="0" w:afterAutospacing="0"/>
        <w:ind w:firstLine="720"/>
        <w:jc w:val="both"/>
      </w:pPr>
    </w:p>
    <w:p w14:paraId="4F1C276D" w14:textId="77777777" w:rsidR="00187F59" w:rsidRDefault="00187F59" w:rsidP="00187F59">
      <w:pPr>
        <w:jc w:val="both"/>
        <w:rPr>
          <w:rFonts w:ascii="Times New Roman" w:eastAsia="Times New Roman" w:hAnsi="Times New Roman" w:cs="Times New Roman"/>
          <w:kern w:val="0"/>
          <w:sz w:val="24"/>
          <w:szCs w:val="24"/>
          <w14:ligatures w14:val="none"/>
        </w:rPr>
      </w:pPr>
      <w:r>
        <w:rPr>
          <w:noProof/>
          <w:lang w:val="lv-LV" w:eastAsia="zh-CN"/>
        </w:rPr>
        <w:drawing>
          <wp:inline distT="0" distB="0" distL="0" distR="0" wp14:anchorId="1CE26256" wp14:editId="6C01B7E6">
            <wp:extent cx="6281420" cy="2743200"/>
            <wp:effectExtent l="0" t="0" r="5080" b="0"/>
            <wp:docPr id="1108505838" name="Chart 1">
              <a:extLst xmlns:a="http://schemas.openxmlformats.org/drawingml/2006/main">
                <a:ext uri="{FF2B5EF4-FFF2-40B4-BE49-F238E27FC236}">
                  <a16:creationId xmlns:a16="http://schemas.microsoft.com/office/drawing/2014/main" id="{DD5D324C-1EB0-ED6B-A8FC-24D30F62F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imes New Roman" w:hAnsi="Times New Roman"/>
          <w:sz w:val="24"/>
        </w:rPr>
        <w:t xml:space="preserve"> </w:t>
      </w:r>
    </w:p>
    <w:p w14:paraId="515AC157" w14:textId="6C5857F4" w:rsidR="00187F59" w:rsidRDefault="00187F59" w:rsidP="00187F59">
      <w:pPr>
        <w:pStyle w:val="NormalWeb"/>
        <w:shd w:val="clear" w:color="auto" w:fill="FFFFFF"/>
        <w:spacing w:before="0" w:beforeAutospacing="0" w:after="0" w:afterAutospacing="0"/>
        <w:jc w:val="both"/>
        <w:rPr>
          <w:i/>
          <w:iCs/>
          <w:sz w:val="20"/>
          <w:szCs w:val="20"/>
        </w:rPr>
      </w:pPr>
      <w:r>
        <w:rPr>
          <w:i/>
          <w:sz w:val="20"/>
        </w:rPr>
        <w:t xml:space="preserve">Figure 11. Correlation between the share of the shadow economy and the level of corruption in 2022. </w:t>
      </w:r>
    </w:p>
    <w:p w14:paraId="21B8022C" w14:textId="0BCDE3BE" w:rsidR="00187F59" w:rsidRDefault="00187F59" w:rsidP="00187F59">
      <w:pPr>
        <w:pStyle w:val="NormalWeb"/>
        <w:shd w:val="clear" w:color="auto" w:fill="FFFFFF"/>
        <w:spacing w:before="0" w:beforeAutospacing="0" w:after="0" w:afterAutospacing="0"/>
        <w:jc w:val="both"/>
        <w:rPr>
          <w:i/>
          <w:iCs/>
          <w:sz w:val="20"/>
          <w:szCs w:val="20"/>
        </w:rPr>
      </w:pPr>
      <w:r>
        <w:rPr>
          <w:i/>
          <w:sz w:val="20"/>
        </w:rPr>
        <w:t>Developed by the Ministry of Finance on the basis of DELNA research data and F. Schneider research data.</w:t>
      </w:r>
    </w:p>
    <w:p w14:paraId="19CCF4D4" w14:textId="77777777" w:rsidR="00187F59" w:rsidRDefault="00187F59" w:rsidP="00187F59">
      <w:pPr>
        <w:jc w:val="both"/>
        <w:rPr>
          <w:rFonts w:ascii="Times New Roman" w:eastAsia="Times New Roman" w:hAnsi="Times New Roman" w:cs="Times New Roman"/>
          <w:kern w:val="0"/>
          <w:sz w:val="24"/>
          <w:szCs w:val="24"/>
          <w:lang w:eastAsia="lv-LV"/>
          <w14:ligatures w14:val="none"/>
        </w:rPr>
      </w:pPr>
    </w:p>
    <w:p w14:paraId="13E77125" w14:textId="5FF2A00B" w:rsidR="00187F59" w:rsidRDefault="00187F59" w:rsidP="3E1C1039">
      <w:pPr>
        <w:pStyle w:val="NormalWeb"/>
        <w:shd w:val="clear" w:color="auto" w:fill="FFFFFF" w:themeFill="background1"/>
        <w:spacing w:before="0" w:beforeAutospacing="0" w:after="0" w:afterAutospacing="0"/>
        <w:ind w:firstLine="720"/>
        <w:jc w:val="both"/>
      </w:pPr>
      <w:r>
        <w:rPr>
          <w:color w:val="000000" w:themeColor="text1"/>
        </w:rPr>
        <w:t xml:space="preserve">Another indicator related to the shadow economy </w:t>
      </w:r>
      <w:r>
        <w:t xml:space="preserve">is the perception of the level of </w:t>
      </w:r>
      <w:r>
        <w:rPr>
          <w:color w:val="000000" w:themeColor="text1"/>
        </w:rPr>
        <w:t>corruption</w:t>
      </w:r>
      <w:r>
        <w:t xml:space="preserve"> in </w:t>
      </w:r>
      <w:r>
        <w:rPr>
          <w:color w:val="000000" w:themeColor="text1"/>
        </w:rPr>
        <w:t xml:space="preserve">the country by private sector (Figure 11). The figure shows that such countries as Switzerland, Denmark, Finland, Sweden and Germany have a higher corruption perception index, which could indicate a lower level of corruption and less involvement in the shadow economy. In contrast, such countries as Hungary, Greece and Slovakia have a lower corruption perception index and a higher level of the shadow economy. Widespread corruption is linked, </w:t>
      </w:r>
      <w:r>
        <w:t>among other things</w:t>
      </w:r>
      <w:r>
        <w:rPr>
          <w:color w:val="000000" w:themeColor="text1"/>
        </w:rPr>
        <w:t xml:space="preserve">, to high levels of the shadow economy and low levels of morale. </w:t>
      </w:r>
    </w:p>
    <w:p w14:paraId="66DF1B09" w14:textId="77777777" w:rsidR="00187F59" w:rsidRPr="00E17C8A" w:rsidRDefault="00187F59" w:rsidP="3E1C1039">
      <w:pPr>
        <w:pStyle w:val="NormalWeb"/>
        <w:shd w:val="clear" w:color="auto" w:fill="FFFFFF" w:themeFill="background1"/>
        <w:spacing w:before="0" w:beforeAutospacing="0" w:after="0" w:afterAutospacing="0"/>
        <w:ind w:firstLine="720"/>
        <w:jc w:val="both"/>
        <w:rPr>
          <w:sz w:val="20"/>
          <w:szCs w:val="20"/>
        </w:rPr>
      </w:pPr>
    </w:p>
    <w:p w14:paraId="529174F6" w14:textId="77777777" w:rsidR="007756A9" w:rsidRDefault="007756A9" w:rsidP="007756A9">
      <w:pPr>
        <w:ind w:firstLine="720"/>
        <w:jc w:val="both"/>
        <w:rPr>
          <w:rFonts w:ascii="Times New Roman" w:hAnsi="Times New Roman" w:cs="Times New Roman"/>
          <w:sz w:val="24"/>
          <w:szCs w:val="24"/>
        </w:rPr>
      </w:pPr>
      <w:r>
        <w:rPr>
          <w:rFonts w:ascii="Times New Roman" w:hAnsi="Times New Roman"/>
          <w:sz w:val="24"/>
        </w:rPr>
        <w:t xml:space="preserve">In summary, research shows that </w:t>
      </w:r>
      <w:bookmarkStart w:id="7" w:name="_Hlk149217260"/>
      <w:r>
        <w:rPr>
          <w:rFonts w:ascii="Times New Roman" w:hAnsi="Times New Roman"/>
          <w:sz w:val="24"/>
        </w:rPr>
        <w:t>the creation of a favourable business environment plays a crucial role in reducing the shadow economy that would facilitate an increase in the number of companies that would be competitive in Latvian and foreign markets, increase the volume of exports of Latvian goods and services, improve the quality and creation of products with high added value.</w:t>
      </w:r>
    </w:p>
    <w:p w14:paraId="3B8F892C" w14:textId="77777777" w:rsidR="00487D69" w:rsidRPr="00F266BB" w:rsidRDefault="00487D69" w:rsidP="007756A9">
      <w:pPr>
        <w:ind w:firstLine="720"/>
        <w:jc w:val="both"/>
        <w:rPr>
          <w:rFonts w:ascii="Times New Roman" w:hAnsi="Times New Roman" w:cs="Times New Roman"/>
          <w:sz w:val="24"/>
          <w:szCs w:val="24"/>
        </w:rPr>
      </w:pPr>
    </w:p>
    <w:bookmarkEnd w:id="7"/>
    <w:p w14:paraId="210967B6" w14:textId="2B18C851" w:rsidR="007756A9" w:rsidRDefault="00A10A6B" w:rsidP="00624CE3">
      <w:pPr>
        <w:jc w:val="center"/>
        <w:rPr>
          <w:rFonts w:ascii="Times New Roman" w:hAnsi="Times New Roman" w:cs="Times New Roman"/>
          <w:b/>
          <w:bCs/>
          <w:sz w:val="24"/>
          <w:szCs w:val="24"/>
        </w:rPr>
      </w:pPr>
      <w:r>
        <w:rPr>
          <w:rFonts w:ascii="Times New Roman" w:hAnsi="Times New Roman"/>
          <w:noProof/>
          <w:sz w:val="24"/>
          <w:lang w:val="lv-LV" w:eastAsia="zh-CN"/>
        </w:rPr>
        <mc:AlternateContent>
          <mc:Choice Requires="wps">
            <w:drawing>
              <wp:anchor distT="0" distB="0" distL="114300" distR="114300" simplePos="0" relativeHeight="251752448" behindDoc="0" locked="0" layoutInCell="1" allowOverlap="1" wp14:anchorId="62D7D08C" wp14:editId="3B94C399">
                <wp:simplePos x="0" y="0"/>
                <wp:positionH relativeFrom="column">
                  <wp:posOffset>3935730</wp:posOffset>
                </wp:positionH>
                <wp:positionV relativeFrom="paragraph">
                  <wp:posOffset>36195</wp:posOffset>
                </wp:positionV>
                <wp:extent cx="2407920" cy="1051560"/>
                <wp:effectExtent l="0" t="0" r="0" b="0"/>
                <wp:wrapNone/>
                <wp:docPr id="1027168880" name="Text Box 1027168880"/>
                <wp:cNvGraphicFramePr/>
                <a:graphic xmlns:a="http://schemas.openxmlformats.org/drawingml/2006/main">
                  <a:graphicData uri="http://schemas.microsoft.com/office/word/2010/wordprocessingShape">
                    <wps:wsp>
                      <wps:cNvSpPr txBox="1"/>
                      <wps:spPr>
                        <a:xfrm>
                          <a:off x="0" y="0"/>
                          <a:ext cx="2407920" cy="1051560"/>
                        </a:xfrm>
                        <a:prstGeom prst="round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E2D1F" w14:textId="08B87AFE"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National Development Plan of Latvia for 2021-2027</w:t>
                            </w:r>
                          </w:p>
                          <w:p w14:paraId="7E6F23AC" w14:textId="62DB383D"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Digital Transforamtion Guidelines for 2021-2027</w:t>
                            </w:r>
                          </w:p>
                          <w:p w14:paraId="02CAB10F" w14:textId="77777777"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Corruption Prevention and COmbating Action Plan for 2023-2025</w:t>
                            </w:r>
                          </w:p>
                          <w:p w14:paraId="41A90FFA" w14:textId="5221F8BE"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 xml:space="preserve">Medium-term national tax policy guidelines </w:t>
                            </w:r>
                            <w:r>
                              <w:rPr>
                                <w:rFonts w:asciiTheme="majorBidi" w:hAnsiTheme="majorBidi" w:cstheme="majorBidi"/>
                                <w:b/>
                                <w:bCs/>
                                <w:sz w:val="14"/>
                                <w:szCs w:val="14"/>
                                <w:lang w:val="lv-LV"/>
                              </w:rPr>
                              <w:t>Shadow Economy Restricction Plan for 2024-2027 (draft),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7D08C" id="Text Box 1027168880" o:spid="_x0000_s1064" style="position:absolute;left:0;text-align:left;margin-left:309.9pt;margin-top:2.85pt;width:189.6pt;height:82.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" fillcolor="#f2f2f2 [3052]" stroked="f" strokeweight=".5pt">
                <v:textbox>
                  <w:txbxContent>
                    <w:p w14:paraId="263E2D1F" w14:textId="08B87AFE"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National Development Plan of Latvia for 2021-2027</w:t>
                      </w:r>
                    </w:p>
                    <w:p w14:paraId="7E6F23AC" w14:textId="62DB383D"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Digital Transforamtion Guidelines for 2021-2027</w:t>
                      </w:r>
                    </w:p>
                    <w:p w14:paraId="02CAB10F" w14:textId="77777777" w:rsidR="00A10A6B" w:rsidRPr="00A10A6B" w:rsidRDefault="00A10A6B" w:rsidP="00A10A6B">
                      <w:pPr>
                        <w:pStyle w:val="ListParagraph"/>
                        <w:numPr>
                          <w:ilvl w:val="0"/>
                          <w:numId w:val="35"/>
                        </w:numPr>
                        <w:ind w:left="284"/>
                        <w:rPr>
                          <w:rFonts w:asciiTheme="majorBidi" w:hAnsiTheme="majorBidi" w:cstheme="majorBidi"/>
                          <w:sz w:val="14"/>
                          <w:szCs w:val="14"/>
                        </w:rPr>
                      </w:pPr>
                      <w:r>
                        <w:rPr>
                          <w:rFonts w:asciiTheme="majorBidi" w:hAnsiTheme="majorBidi" w:cstheme="majorBidi"/>
                          <w:sz w:val="14"/>
                          <w:szCs w:val="14"/>
                          <w:lang w:val="lv-LV"/>
                        </w:rPr>
                        <w:t>Corruption Prevention and COmbating Action Plan for 2023-2025</w:t>
                      </w:r>
                    </w:p>
                    <w:p w14:paraId="41A90FFA" w14:textId="5221F8BE"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 xml:space="preserve">Medium-term national tax policy guidelines </w:t>
                      </w:r>
                      <w:r>
                        <w:rPr>
                          <w:rFonts w:asciiTheme="majorBidi" w:hAnsiTheme="majorBidi" w:cstheme="majorBidi"/>
                          <w:b/>
                          <w:bCs/>
                          <w:sz w:val="14"/>
                          <w:szCs w:val="14"/>
                          <w:lang w:val="lv-LV"/>
                        </w:rPr>
                        <w:t>Shadow Economy Restricction Plan for 2024-2027 (draft), etc.</w:t>
                      </w:r>
                    </w:p>
                  </w:txbxContent>
                </v:textbox>
              </v:roundrect>
            </w:pict>
          </mc:Fallback>
        </mc:AlternateContent>
      </w:r>
      <w:r>
        <w:rPr>
          <w:rFonts w:ascii="Times New Roman" w:hAnsi="Times New Roman"/>
          <w:noProof/>
          <w:sz w:val="24"/>
          <w:lang w:val="lv-LV" w:eastAsia="zh-CN"/>
        </w:rPr>
        <mc:AlternateContent>
          <mc:Choice Requires="wps">
            <w:drawing>
              <wp:anchor distT="0" distB="0" distL="114300" distR="114300" simplePos="0" relativeHeight="251750400" behindDoc="0" locked="0" layoutInCell="1" allowOverlap="1" wp14:anchorId="1DE93B2D" wp14:editId="5F889259">
                <wp:simplePos x="0" y="0"/>
                <wp:positionH relativeFrom="column">
                  <wp:posOffset>2990850</wp:posOffset>
                </wp:positionH>
                <wp:positionV relativeFrom="paragraph">
                  <wp:posOffset>280035</wp:posOffset>
                </wp:positionV>
                <wp:extent cx="754380" cy="571500"/>
                <wp:effectExtent l="0" t="0" r="7620" b="0"/>
                <wp:wrapNone/>
                <wp:docPr id="1027168879" name="Text Box 1027168879"/>
                <wp:cNvGraphicFramePr/>
                <a:graphic xmlns:a="http://schemas.openxmlformats.org/drawingml/2006/main">
                  <a:graphicData uri="http://schemas.microsoft.com/office/word/2010/wordprocessingShape">
                    <wps:wsp>
                      <wps:cNvSpPr txBox="1"/>
                      <wps:spPr>
                        <a:xfrm>
                          <a:off x="0" y="0"/>
                          <a:ext cx="754380" cy="57150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1F50A" w14:textId="24A96AD2" w:rsidR="00A10A6B" w:rsidRPr="00A10A6B" w:rsidRDefault="00A10A6B" w:rsidP="00A10A6B">
                            <w:pPr>
                              <w:pStyle w:val="ListParagraph"/>
                              <w:ind w:left="0"/>
                              <w:jc w:val="center"/>
                              <w:rPr>
                                <w:rFonts w:asciiTheme="majorBidi" w:hAnsiTheme="majorBidi" w:cstheme="majorBidi"/>
                                <w:sz w:val="20"/>
                                <w:szCs w:val="20"/>
                                <w:lang w:val="lv-LV"/>
                              </w:rPr>
                            </w:pPr>
                            <w:r>
                              <w:rPr>
                                <w:rFonts w:asciiTheme="majorBidi" w:hAnsiTheme="majorBidi" w:cstheme="majorBidi"/>
                                <w:sz w:val="20"/>
                                <w:szCs w:val="20"/>
                                <w:lang w:val="lv-LV"/>
                              </w:rPr>
                              <w:t>Policy planning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93B2D" id="Text Box 1027168879" o:spid="_x0000_s1065" type="#_x0000_t202" style="position:absolute;left:0;text-align:left;margin-left:235.5pt;margin-top:22.05pt;width:59.4pt;height: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" fillcolor="#d8d8d8 [2732]" stroked="f" strokeweight=".5pt">
                <v:textbox>
                  <w:txbxContent>
                    <w:p w14:paraId="2E91F50A" w14:textId="24A96AD2" w:rsidR="00A10A6B" w:rsidRPr="00A10A6B" w:rsidRDefault="00A10A6B" w:rsidP="00A10A6B">
                      <w:pPr>
                        <w:pStyle w:val="ListParagraph"/>
                        <w:ind w:left="0"/>
                        <w:jc w:val="center"/>
                        <w:rPr>
                          <w:rFonts w:asciiTheme="majorBidi" w:hAnsiTheme="majorBidi" w:cstheme="majorBidi"/>
                          <w:sz w:val="20"/>
                          <w:szCs w:val="20"/>
                          <w:lang w:val="lv-LV"/>
                        </w:rPr>
                      </w:pPr>
                      <w:r>
                        <w:rPr>
                          <w:rFonts w:asciiTheme="majorBidi" w:hAnsiTheme="majorBidi" w:cstheme="majorBidi"/>
                          <w:sz w:val="20"/>
                          <w:szCs w:val="20"/>
                          <w:lang w:val="lv-LV"/>
                        </w:rPr>
                        <w:t>Policy planning documents</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48352" behindDoc="0" locked="0" layoutInCell="1" allowOverlap="1" wp14:anchorId="52B10148" wp14:editId="535D3E66">
                <wp:simplePos x="0" y="0"/>
                <wp:positionH relativeFrom="column">
                  <wp:posOffset>1885950</wp:posOffset>
                </wp:positionH>
                <wp:positionV relativeFrom="paragraph">
                  <wp:posOffset>348615</wp:posOffset>
                </wp:positionV>
                <wp:extent cx="678180" cy="449580"/>
                <wp:effectExtent l="0" t="0" r="26670" b="26670"/>
                <wp:wrapNone/>
                <wp:docPr id="1027168878" name="Text Box 1027168878"/>
                <wp:cNvGraphicFramePr/>
                <a:graphic xmlns:a="http://schemas.openxmlformats.org/drawingml/2006/main">
                  <a:graphicData uri="http://schemas.microsoft.com/office/word/2010/wordprocessingShape">
                    <wps:wsp>
                      <wps:cNvSpPr txBox="1"/>
                      <wps:spPr>
                        <a:xfrm>
                          <a:off x="0" y="0"/>
                          <a:ext cx="678180" cy="44958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903DC1F" w14:textId="64604CD4" w:rsidR="00A10A6B" w:rsidRPr="00A10A6B" w:rsidRDefault="00A10A6B" w:rsidP="00A10A6B">
                            <w:pPr>
                              <w:pStyle w:val="ListParagraph"/>
                              <w:ind w:left="0"/>
                              <w:jc w:val="center"/>
                              <w:rPr>
                                <w:rFonts w:asciiTheme="majorBidi" w:hAnsiTheme="majorBidi" w:cstheme="majorBidi"/>
                                <w:sz w:val="20"/>
                                <w:szCs w:val="20"/>
                                <w:lang w:val="lv-LV"/>
                              </w:rPr>
                            </w:pPr>
                            <w:r>
                              <w:rPr>
                                <w:rFonts w:asciiTheme="majorBidi" w:hAnsiTheme="majorBidi" w:cstheme="majorBidi"/>
                                <w:sz w:val="20"/>
                                <w:szCs w:val="20"/>
                                <w:lang w:val="lv-LV"/>
                              </w:rPr>
                              <w:t>Shadow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0148" id="Text Box 1027168878" o:spid="_x0000_s1066" type="#_x0000_t202" style="position:absolute;left:0;text-align:left;margin-left:148.5pt;margin-top:27.45pt;width:53.4pt;height:35.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" fillcolor="white [3212]" strokecolor="white [3212]" strokeweight=".5pt">
                <v:textbox>
                  <w:txbxContent>
                    <w:p w14:paraId="5903DC1F" w14:textId="64604CD4" w:rsidR="00A10A6B" w:rsidRPr="00A10A6B" w:rsidRDefault="00A10A6B" w:rsidP="00A10A6B">
                      <w:pPr>
                        <w:pStyle w:val="ListParagraph"/>
                        <w:ind w:left="0"/>
                        <w:jc w:val="center"/>
                        <w:rPr>
                          <w:rFonts w:asciiTheme="majorBidi" w:hAnsiTheme="majorBidi" w:cstheme="majorBidi"/>
                          <w:sz w:val="20"/>
                          <w:szCs w:val="20"/>
                          <w:lang w:val="lv-LV"/>
                        </w:rPr>
                      </w:pPr>
                      <w:r>
                        <w:rPr>
                          <w:rFonts w:asciiTheme="majorBidi" w:hAnsiTheme="majorBidi" w:cstheme="majorBidi"/>
                          <w:sz w:val="20"/>
                          <w:szCs w:val="20"/>
                          <w:lang w:val="lv-LV"/>
                        </w:rPr>
                        <w:t>Shadow economy</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46304" behindDoc="0" locked="0" layoutInCell="1" allowOverlap="1" wp14:anchorId="1EE48119" wp14:editId="098BF3D0">
                <wp:simplePos x="0" y="0"/>
                <wp:positionH relativeFrom="column">
                  <wp:posOffset>1154430</wp:posOffset>
                </wp:positionH>
                <wp:positionV relativeFrom="paragraph">
                  <wp:posOffset>432435</wp:posOffset>
                </wp:positionV>
                <wp:extent cx="487680" cy="327660"/>
                <wp:effectExtent l="0" t="0" r="26670" b="15240"/>
                <wp:wrapNone/>
                <wp:docPr id="1027168877" name="Text Box 1027168877"/>
                <wp:cNvGraphicFramePr/>
                <a:graphic xmlns:a="http://schemas.openxmlformats.org/drawingml/2006/main">
                  <a:graphicData uri="http://schemas.microsoft.com/office/word/2010/wordprocessingShape">
                    <wps:wsp>
                      <wps:cNvSpPr txBox="1"/>
                      <wps:spPr>
                        <a:xfrm>
                          <a:off x="0" y="0"/>
                          <a:ext cx="487680" cy="32766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8DC932E" w14:textId="7806858A" w:rsidR="00A10A6B" w:rsidRPr="00A10A6B" w:rsidRDefault="00A10A6B" w:rsidP="00A10A6B">
                            <w:pPr>
                              <w:pStyle w:val="ListParagraph"/>
                              <w:ind w:left="0"/>
                              <w:rPr>
                                <w:rFonts w:asciiTheme="majorBidi" w:hAnsiTheme="majorBidi" w:cstheme="majorBidi"/>
                                <w:sz w:val="20"/>
                                <w:szCs w:val="20"/>
                                <w:lang w:val="lv-LV"/>
                              </w:rPr>
                            </w:pPr>
                            <w:r w:rsidRPr="00A10A6B">
                              <w:rPr>
                                <w:rFonts w:asciiTheme="majorBidi" w:hAnsiTheme="majorBidi" w:cstheme="majorBidi"/>
                                <w:sz w:val="20"/>
                                <w:szCs w:val="20"/>
                                <w:lang w:val="lv-LV"/>
                              </w:rPr>
                              <w:t>GDP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48119" id="Text Box 1027168877" o:spid="_x0000_s1067" type="#_x0000_t202" style="position:absolute;left:0;text-align:left;margin-left:90.9pt;margin-top:34.05pt;width:38.4pt;height:2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" fillcolor="white [3212]" strokecolor="white [3212]" strokeweight=".5pt">
                <v:textbox>
                  <w:txbxContent>
                    <w:p w14:paraId="18DC932E" w14:textId="7806858A" w:rsidR="00A10A6B" w:rsidRPr="00A10A6B" w:rsidRDefault="00A10A6B" w:rsidP="00A10A6B">
                      <w:pPr>
                        <w:pStyle w:val="ListParagraph"/>
                        <w:ind w:left="0"/>
                        <w:rPr>
                          <w:rFonts w:asciiTheme="majorBidi" w:hAnsiTheme="majorBidi" w:cstheme="majorBidi"/>
                          <w:sz w:val="20"/>
                          <w:szCs w:val="20"/>
                          <w:lang w:val="lv-LV"/>
                        </w:rPr>
                      </w:pPr>
                      <w:r w:rsidRPr="00A10A6B">
                        <w:rPr>
                          <w:rFonts w:asciiTheme="majorBidi" w:hAnsiTheme="majorBidi" w:cstheme="majorBidi"/>
                          <w:sz w:val="20"/>
                          <w:szCs w:val="20"/>
                          <w:lang w:val="lv-LV"/>
                        </w:rPr>
                        <w:t>GDP</w:t>
                      </w:r>
                    </w:p>
                  </w:txbxContent>
                </v:textbox>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44256" behindDoc="0" locked="0" layoutInCell="1" allowOverlap="1" wp14:anchorId="0C5A071B" wp14:editId="4B2E45F6">
                <wp:simplePos x="0" y="0"/>
                <wp:positionH relativeFrom="column">
                  <wp:posOffset>26670</wp:posOffset>
                </wp:positionH>
                <wp:positionV relativeFrom="paragraph">
                  <wp:posOffset>59055</wp:posOffset>
                </wp:positionV>
                <wp:extent cx="1043940" cy="990600"/>
                <wp:effectExtent l="0" t="0" r="22860" b="19050"/>
                <wp:wrapNone/>
                <wp:docPr id="1027168876" name="Text Box 1027168876"/>
                <wp:cNvGraphicFramePr/>
                <a:graphic xmlns:a="http://schemas.openxmlformats.org/drawingml/2006/main">
                  <a:graphicData uri="http://schemas.microsoft.com/office/word/2010/wordprocessingShape">
                    <wps:wsp>
                      <wps:cNvSpPr txBox="1"/>
                      <wps:spPr>
                        <a:xfrm>
                          <a:off x="0" y="0"/>
                          <a:ext cx="1043940" cy="990600"/>
                        </a:xfrm>
                        <a:prstGeom prst="round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7EB2B7" w14:textId="7DA0C78E"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Number of economic agents</w:t>
                            </w:r>
                          </w:p>
                          <w:p w14:paraId="0B93C1C1" w14:textId="6EC24B26"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Export capacities</w:t>
                            </w:r>
                          </w:p>
                          <w:p w14:paraId="2EC9DECD" w14:textId="13980998"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Investments</w:t>
                            </w:r>
                          </w:p>
                          <w:p w14:paraId="19BD70AB" w14:textId="72C51B20"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5A071B" id="Text Box 1027168876" o:spid="_x0000_s1068" style="position:absolute;left:0;text-align:left;margin-left:2.1pt;margin-top:4.65pt;width:82.2pt;height:7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" fillcolor="#f2f2f2 [3052]" strokeweight=".5pt">
                <v:textbox>
                  <w:txbxContent>
                    <w:p w14:paraId="467EB2B7" w14:textId="7DA0C78E"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Number of economic agents</w:t>
                      </w:r>
                    </w:p>
                    <w:p w14:paraId="0B93C1C1" w14:textId="6EC24B26"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Export capacities</w:t>
                      </w:r>
                    </w:p>
                    <w:p w14:paraId="2EC9DECD" w14:textId="13980998"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Investments</w:t>
                      </w:r>
                    </w:p>
                    <w:p w14:paraId="19BD70AB" w14:textId="72C51B20" w:rsidR="00A10A6B" w:rsidRPr="00A10A6B" w:rsidRDefault="00A10A6B" w:rsidP="00A10A6B">
                      <w:pPr>
                        <w:pStyle w:val="ListParagraph"/>
                        <w:numPr>
                          <w:ilvl w:val="0"/>
                          <w:numId w:val="35"/>
                        </w:numPr>
                        <w:ind w:left="284"/>
                        <w:rPr>
                          <w:rFonts w:asciiTheme="majorBidi" w:hAnsiTheme="majorBidi" w:cstheme="majorBidi"/>
                          <w:sz w:val="14"/>
                          <w:szCs w:val="14"/>
                        </w:rPr>
                      </w:pPr>
                      <w:r w:rsidRPr="00A10A6B">
                        <w:rPr>
                          <w:rFonts w:asciiTheme="majorBidi" w:hAnsiTheme="majorBidi" w:cstheme="majorBidi"/>
                          <w:sz w:val="14"/>
                          <w:szCs w:val="14"/>
                          <w:lang w:val="lv-LV"/>
                        </w:rPr>
                        <w:t>Etc.</w:t>
                      </w:r>
                    </w:p>
                  </w:txbxContent>
                </v:textbox>
              </v:roundrect>
            </w:pict>
          </mc:Fallback>
        </mc:AlternateContent>
      </w:r>
      <w:r w:rsidR="008A0BDB">
        <w:rPr>
          <w:rFonts w:ascii="Times New Roman" w:hAnsi="Times New Roman"/>
          <w:b/>
          <w:noProof/>
          <w:sz w:val="24"/>
          <w:lang w:val="lv-LV" w:eastAsia="zh-CN"/>
        </w:rPr>
        <w:drawing>
          <wp:inline distT="0" distB="0" distL="0" distR="0" wp14:anchorId="0D0AA112" wp14:editId="4CED39B0">
            <wp:extent cx="6281530" cy="1121702"/>
            <wp:effectExtent l="0" t="0" r="5080" b="2540"/>
            <wp:docPr id="29" name="Picture 28" descr="A white circle with black text&#10;&#10;Description automatically generated">
              <a:extLst xmlns:a="http://schemas.openxmlformats.org/drawingml/2006/main">
                <a:ext uri="{FF2B5EF4-FFF2-40B4-BE49-F238E27FC236}">
                  <a16:creationId xmlns:a16="http://schemas.microsoft.com/office/drawing/2014/main" id="{C7706F05-F35B-A2FC-43ED-3BC634AA85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 white circle with black text&#10;&#10;Description automatically generated">
                      <a:extLst>
                        <a:ext uri="{FF2B5EF4-FFF2-40B4-BE49-F238E27FC236}">
                          <a16:creationId xmlns:a16="http://schemas.microsoft.com/office/drawing/2014/main" id="{C7706F05-F35B-A2FC-43ED-3BC634AA859A}"/>
                        </a:ext>
                      </a:extLst>
                    </pic:cNvPr>
                    <pic:cNvPicPr>
                      <a:picLocks noChangeAspect="1"/>
                    </pic:cNvPicPr>
                  </pic:nvPicPr>
                  <pic:blipFill>
                    <a:blip r:embed="rId23"/>
                    <a:stretch>
                      <a:fillRect/>
                    </a:stretch>
                  </pic:blipFill>
                  <pic:spPr>
                    <a:xfrm>
                      <a:off x="0" y="0"/>
                      <a:ext cx="6315755" cy="1127814"/>
                    </a:xfrm>
                    <a:prstGeom prst="rect">
                      <a:avLst/>
                    </a:prstGeom>
                  </pic:spPr>
                </pic:pic>
              </a:graphicData>
            </a:graphic>
          </wp:inline>
        </w:drawing>
      </w:r>
    </w:p>
    <w:p w14:paraId="2051812A" w14:textId="07ED0656" w:rsidR="00963264" w:rsidRDefault="00963264" w:rsidP="3E1C1039">
      <w:pPr>
        <w:pStyle w:val="NormalWeb"/>
        <w:shd w:val="clear" w:color="auto" w:fill="FFFFFF" w:themeFill="background1"/>
        <w:spacing w:before="0" w:beforeAutospacing="0" w:after="0" w:afterAutospacing="0"/>
        <w:jc w:val="both"/>
        <w:rPr>
          <w:i/>
          <w:iCs/>
          <w:sz w:val="20"/>
          <w:szCs w:val="20"/>
        </w:rPr>
      </w:pPr>
      <w:r>
        <w:rPr>
          <w:i/>
          <w:sz w:val="20"/>
        </w:rPr>
        <w:t>Figure 12. Factors contributing to the shadow economy and correlation thereof with GDP.</w:t>
      </w:r>
    </w:p>
    <w:p w14:paraId="626F8A59" w14:textId="043EB10A" w:rsidR="00A5534F" w:rsidRDefault="00A5534F" w:rsidP="007756A9">
      <w:pPr>
        <w:ind w:firstLine="720"/>
        <w:jc w:val="both"/>
        <w:rPr>
          <w:rFonts w:ascii="Times New Roman" w:hAnsi="Times New Roman" w:cs="Times New Roman"/>
          <w:sz w:val="24"/>
          <w:szCs w:val="24"/>
        </w:rPr>
      </w:pPr>
    </w:p>
    <w:p w14:paraId="2A928FB0" w14:textId="39FB7C1E" w:rsidR="009751A1" w:rsidRDefault="009751A1" w:rsidP="009751A1">
      <w:pPr>
        <w:ind w:firstLine="720"/>
        <w:jc w:val="both"/>
        <w:rPr>
          <w:rFonts w:ascii="Times New Roman" w:hAnsi="Times New Roman" w:cs="Times New Roman"/>
          <w:sz w:val="24"/>
          <w:szCs w:val="24"/>
        </w:rPr>
      </w:pPr>
      <w:bookmarkStart w:id="8" w:name="_Hlk149213371"/>
      <w:r>
        <w:rPr>
          <w:rFonts w:ascii="Times New Roman" w:hAnsi="Times New Roman"/>
          <w:sz w:val="24"/>
        </w:rPr>
        <w:t>Changes in the size of the shadow economy depend significantly on the development of national economy and the factors influencing the business environment. At the same time, targeted</w:t>
      </w:r>
      <w:r>
        <w:rPr>
          <w:rFonts w:ascii="Times New Roman" w:hAnsi="Times New Roman"/>
          <w:b/>
          <w:sz w:val="24"/>
        </w:rPr>
        <w:t xml:space="preserve"> </w:t>
      </w:r>
      <w:r>
        <w:rPr>
          <w:rFonts w:ascii="Times New Roman" w:hAnsi="Times New Roman"/>
          <w:sz w:val="24"/>
        </w:rPr>
        <w:t xml:space="preserve">measures to reduce the shadow economy or discipline, including improving tax morale, reducing regulatory and administrative burdens, improving transparency, promoting tax compliance, automating procedures, introducing electronic payments, etc. also play an important role. </w:t>
      </w:r>
      <w:bookmarkEnd w:id="8"/>
      <w:r>
        <w:rPr>
          <w:rFonts w:ascii="Times New Roman" w:hAnsi="Times New Roman"/>
          <w:sz w:val="24"/>
        </w:rPr>
        <w:t xml:space="preserve">It should be noted that the business environment cannot be fully organised without targeted measures to restrict the shadow economy and consequently the share of the shadow economy cannot be minimised only through economic development. Thus, to improve the attractiveness of the business environment, the measures of the policy planning documents and the measures of the plan to restrict the shadow economy are interrelated and produce a synergy effect (Figure 12). </w:t>
      </w:r>
    </w:p>
    <w:p w14:paraId="3A450099" w14:textId="1DB11BEA" w:rsidR="00305D37" w:rsidRPr="00305D37" w:rsidRDefault="00305D37" w:rsidP="00305D37">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Accordingly, in order to reduce the scale of the shadow economy in the country, it is important to work in parallel on a number of interrelated documents, including the Declaration on the Intended Activities of the Cabinet Chaired by Evika Siliņa (approved on 15 September 2023)</w:t>
      </w:r>
      <w:r w:rsidRPr="00305D37">
        <w:rPr>
          <w:rStyle w:val="FootnoteReference"/>
          <w:rFonts w:ascii="Times New Roman" w:hAnsi="Times New Roman" w:cs="Times New Roman"/>
          <w:color w:val="000000" w:themeColor="text1"/>
          <w:sz w:val="24"/>
          <w:szCs w:val="24"/>
        </w:rPr>
        <w:footnoteReference w:id="21"/>
      </w:r>
      <w:r>
        <w:rPr>
          <w:rFonts w:ascii="Times New Roman" w:hAnsi="Times New Roman"/>
          <w:color w:val="000000" w:themeColor="text1"/>
          <w:sz w:val="24"/>
        </w:rPr>
        <w:t xml:space="preserve"> and the objectives set out therein, namely: </w:t>
      </w:r>
    </w:p>
    <w:p w14:paraId="0434B870" w14:textId="77777777" w:rsidR="00305D37" w:rsidRPr="00305D37" w:rsidRDefault="00305D37" w:rsidP="00487D69">
      <w:pPr>
        <w:pStyle w:val="ListParagraph"/>
        <w:numPr>
          <w:ilvl w:val="0"/>
          <w:numId w:val="18"/>
        </w:numPr>
        <w:ind w:left="709" w:hanging="219"/>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National Development Plan of Latvia for 2021–2027 (approved by the </w:t>
      </w:r>
      <w:r>
        <w:rPr>
          <w:rFonts w:ascii="Times New Roman" w:hAnsi="Times New Roman"/>
          <w:i/>
          <w:iCs/>
          <w:color w:val="000000" w:themeColor="text1"/>
          <w:sz w:val="24"/>
        </w:rPr>
        <w:t>Saeima</w:t>
      </w:r>
      <w:r>
        <w:rPr>
          <w:rFonts w:ascii="Times New Roman" w:hAnsi="Times New Roman"/>
          <w:color w:val="000000" w:themeColor="text1"/>
          <w:sz w:val="24"/>
        </w:rPr>
        <w:t xml:space="preserve"> on 2 July 2020);</w:t>
      </w:r>
    </w:p>
    <w:p w14:paraId="759465C5" w14:textId="77777777" w:rsidR="00305D37" w:rsidRPr="00305D37" w:rsidRDefault="00305D37" w:rsidP="00487D69">
      <w:pPr>
        <w:pStyle w:val="ListParagraph"/>
        <w:numPr>
          <w:ilvl w:val="0"/>
          <w:numId w:val="18"/>
        </w:numPr>
        <w:ind w:left="709" w:hanging="219"/>
        <w:jc w:val="both"/>
        <w:rPr>
          <w:rFonts w:ascii="Times New Roman" w:hAnsi="Times New Roman" w:cs="Times New Roman"/>
          <w:color w:val="000000" w:themeColor="text1"/>
          <w:sz w:val="24"/>
          <w:szCs w:val="24"/>
        </w:rPr>
      </w:pPr>
      <w:r>
        <w:rPr>
          <w:rFonts w:ascii="Times New Roman" w:hAnsi="Times New Roman"/>
          <w:color w:val="000000" w:themeColor="text1"/>
          <w:sz w:val="24"/>
        </w:rPr>
        <w:t>Digital Transformation Guidelines for 2021–2027 (approved by Cabinet Order No. 490 of 7 July 2021);</w:t>
      </w:r>
    </w:p>
    <w:p w14:paraId="59112289" w14:textId="77777777" w:rsidR="00305D37" w:rsidRPr="00305D37" w:rsidRDefault="00305D37" w:rsidP="00487D69">
      <w:pPr>
        <w:pStyle w:val="ListParagraph"/>
        <w:numPr>
          <w:ilvl w:val="0"/>
          <w:numId w:val="18"/>
        </w:numPr>
        <w:ind w:left="709" w:hanging="219"/>
        <w:jc w:val="both"/>
        <w:rPr>
          <w:rFonts w:ascii="Times New Roman" w:hAnsi="Times New Roman" w:cs="Times New Roman"/>
          <w:color w:val="000000" w:themeColor="text1"/>
          <w:sz w:val="24"/>
          <w:szCs w:val="24"/>
        </w:rPr>
      </w:pPr>
      <w:r>
        <w:rPr>
          <w:rFonts w:ascii="Times New Roman" w:hAnsi="Times New Roman"/>
          <w:color w:val="000000" w:themeColor="text1"/>
          <w:sz w:val="24"/>
        </w:rPr>
        <w:t>Corruption Prevention and Combating Action Plan for 2023–2025 (approved by Cabinet Order No. 199 of 11 April 2023);</w:t>
      </w:r>
    </w:p>
    <w:p w14:paraId="0166D83C" w14:textId="1E4B1F3B" w:rsidR="00305D37" w:rsidRPr="00FC3294" w:rsidRDefault="00FC3294" w:rsidP="00487D69">
      <w:pPr>
        <w:pStyle w:val="ListParagraph"/>
        <w:numPr>
          <w:ilvl w:val="0"/>
          <w:numId w:val="18"/>
        </w:numPr>
        <w:ind w:left="709" w:hanging="219"/>
        <w:jc w:val="both"/>
        <w:rPr>
          <w:rFonts w:ascii="Times New Roman" w:hAnsi="Times New Roman" w:cs="Times New Roman"/>
          <w:color w:val="000000" w:themeColor="text1"/>
          <w:sz w:val="24"/>
          <w:szCs w:val="24"/>
        </w:rPr>
      </w:pPr>
      <w:r>
        <w:rPr>
          <w:rFonts w:ascii="Times New Roman" w:hAnsi="Times New Roman"/>
          <w:color w:val="000000"/>
          <w:sz w:val="24"/>
        </w:rPr>
        <w:t>informative report “On Progress in the Development of the National Tax Policy Guidelines for 2024–2027”</w:t>
      </w:r>
      <w:r>
        <w:rPr>
          <w:rFonts w:ascii="Times New Roman" w:hAnsi="Times New Roman"/>
          <w:color w:val="000000" w:themeColor="text1"/>
          <w:sz w:val="24"/>
        </w:rPr>
        <w:t xml:space="preserve"> </w:t>
      </w:r>
      <w:r>
        <w:rPr>
          <w:rFonts w:ascii="Times New Roman" w:hAnsi="Times New Roman"/>
          <w:color w:val="000000"/>
          <w:sz w:val="24"/>
        </w:rPr>
        <w:t>(examined and approved by the Cabinet on 26 September 2023)</w:t>
      </w:r>
      <w:r>
        <w:rPr>
          <w:rFonts w:ascii="Times New Roman" w:hAnsi="Times New Roman"/>
          <w:color w:val="000000" w:themeColor="text1"/>
          <w:sz w:val="24"/>
        </w:rPr>
        <w:t>;</w:t>
      </w:r>
    </w:p>
    <w:p w14:paraId="61822FF1" w14:textId="77777777" w:rsidR="00305D37" w:rsidRPr="00305D37" w:rsidRDefault="00305D37" w:rsidP="00487D69">
      <w:pPr>
        <w:pStyle w:val="ListParagraph"/>
        <w:numPr>
          <w:ilvl w:val="0"/>
          <w:numId w:val="18"/>
        </w:numPr>
        <w:ind w:left="709" w:hanging="219"/>
        <w:jc w:val="both"/>
        <w:rPr>
          <w:rFonts w:ascii="Times New Roman" w:hAnsi="Times New Roman" w:cs="Times New Roman"/>
          <w:color w:val="000000" w:themeColor="text1"/>
          <w:sz w:val="24"/>
          <w:szCs w:val="24"/>
        </w:rPr>
      </w:pPr>
      <w:r>
        <w:rPr>
          <w:rFonts w:ascii="Times New Roman" w:hAnsi="Times New Roman"/>
          <w:color w:val="000000" w:themeColor="text1"/>
          <w:sz w:val="24"/>
        </w:rPr>
        <w:t>Shadow Economy Restriction Plan for 2024–2027 (draft), etc.</w:t>
      </w:r>
    </w:p>
    <w:p w14:paraId="35B2441E" w14:textId="2A5F3C51" w:rsidR="006D0C05" w:rsidRPr="00305D37" w:rsidRDefault="00FF0C52" w:rsidP="00B05BD4">
      <w:pPr>
        <w:ind w:firstLine="720"/>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At the same time, the Shadow Economy Restriction Plan for 2024–2027 does not duplicate</w:t>
      </w:r>
      <w:r w:rsidR="00270136">
        <w:rPr>
          <w:rFonts w:ascii="Times New Roman" w:hAnsi="Times New Roman"/>
          <w:color w:val="000000" w:themeColor="text1"/>
          <w:sz w:val="24"/>
        </w:rPr>
        <w:t xml:space="preserve"> with</w:t>
      </w:r>
      <w:r>
        <w:rPr>
          <w:rFonts w:ascii="Times New Roman" w:hAnsi="Times New Roman"/>
          <w:color w:val="000000" w:themeColor="text1"/>
          <w:sz w:val="24"/>
        </w:rPr>
        <w:t xml:space="preserve"> the tasks included in the Tax Policy Guidelines and development planning documents of other authorities, and also tax administration, operational and supervision measures included in the SRS work plan. </w:t>
      </w:r>
    </w:p>
    <w:p w14:paraId="55201505" w14:textId="77777777" w:rsidR="00CF36A6" w:rsidRDefault="00CF36A6" w:rsidP="006D0C05">
      <w:pPr>
        <w:jc w:val="both"/>
        <w:rPr>
          <w:rFonts w:ascii="Times New Roman" w:eastAsia="Times New Roman" w:hAnsi="Times New Roman" w:cs="Times New Roman"/>
          <w:kern w:val="0"/>
          <w:sz w:val="24"/>
          <w:szCs w:val="24"/>
          <w:lang w:eastAsia="lv-LV"/>
          <w14:ligatures w14:val="none"/>
        </w:rPr>
      </w:pPr>
    </w:p>
    <w:p w14:paraId="46939045" w14:textId="77777777" w:rsidR="00E35EFC" w:rsidRDefault="00E35EFC" w:rsidP="006D0C05">
      <w:pPr>
        <w:jc w:val="both"/>
        <w:rPr>
          <w:rFonts w:ascii="Times New Roman" w:eastAsia="Times New Roman" w:hAnsi="Times New Roman" w:cs="Times New Roman"/>
          <w:kern w:val="0"/>
          <w:sz w:val="24"/>
          <w:szCs w:val="24"/>
          <w:lang w:eastAsia="lv-LV"/>
          <w14:ligatures w14:val="none"/>
        </w:rPr>
      </w:pPr>
    </w:p>
    <w:p w14:paraId="03F9D863" w14:textId="7B91281B" w:rsidR="00B1425B" w:rsidRPr="007756A9" w:rsidRDefault="00B1425B" w:rsidP="007756A9">
      <w:pPr>
        <w:pStyle w:val="Heading2"/>
        <w:rPr>
          <w:rFonts w:ascii="Times New Roman" w:hAnsi="Times New Roman" w:cs="Times New Roman"/>
        </w:rPr>
      </w:pPr>
      <w:bookmarkStart w:id="9" w:name="_Toc166237502"/>
      <w:r>
        <w:rPr>
          <w:rFonts w:ascii="Times New Roman" w:hAnsi="Times New Roman"/>
        </w:rPr>
        <w:t>2.2. Estimate of the size of the shadow economy</w:t>
      </w:r>
      <w:bookmarkEnd w:id="9"/>
    </w:p>
    <w:p w14:paraId="22EF08DC" w14:textId="77777777" w:rsidR="00B1425B" w:rsidRDefault="00B1425B" w:rsidP="00B1425B">
      <w:pPr>
        <w:jc w:val="both"/>
        <w:rPr>
          <w:rFonts w:ascii="Times New Roman" w:hAnsi="Times New Roman" w:cs="Times New Roman"/>
          <w:color w:val="000000" w:themeColor="text1"/>
          <w:sz w:val="24"/>
          <w:szCs w:val="24"/>
        </w:rPr>
      </w:pPr>
    </w:p>
    <w:p w14:paraId="2CA4D917" w14:textId="44073748" w:rsidR="00570326" w:rsidRDefault="00570326" w:rsidP="00D81E33">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Methods for estimating the size of the shadow economy cannot be regarded as unambiguously accurate and comparable. As mentioned above, a number of internationally renowned economists are working on estimating the size of the shadow economy. In order to get a comprehensive overview of the size of the informal economy, the results of several studies are compared, based on both direct (survey) and indirect (macroeconomic) methods. Most of these methods only allow an assessment of the direction of change and the approximate scale of the increase or decrease in the shadow economy, i.e. the trends, rather than its specific size. </w:t>
      </w:r>
    </w:p>
    <w:p w14:paraId="009E8EE3" w14:textId="27CA80B0" w:rsidR="00B1425B"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According to the method by F. Schneider, the Shadow Economy Index is measured as a percentage of GDP using the </w:t>
      </w:r>
      <w:r>
        <w:rPr>
          <w:rFonts w:ascii="Times New Roman" w:hAnsi="Times New Roman"/>
          <w:b/>
          <w:color w:val="000000" w:themeColor="text1"/>
          <w:sz w:val="24"/>
        </w:rPr>
        <w:t xml:space="preserve">indirect modelling </w:t>
      </w:r>
      <w:r>
        <w:rPr>
          <w:rFonts w:ascii="Times New Roman" w:hAnsi="Times New Roman"/>
          <w:b/>
          <w:bCs/>
          <w:color w:val="000000" w:themeColor="text1"/>
          <w:sz w:val="24"/>
        </w:rPr>
        <w:t>method</w:t>
      </w:r>
      <w:r>
        <w:rPr>
          <w:rFonts w:ascii="Times New Roman" w:hAnsi="Times New Roman"/>
          <w:color w:val="000000" w:themeColor="text1"/>
          <w:sz w:val="24"/>
        </w:rPr>
        <w:t>. The measurement of the size of the shadow economy is based on the cash demand approach and the multiple-indicator, multiple-cause (MIMIC) model (Figure 13), allowing to obtain index time series of the ratio of unrecorded to recorded output in a country. The basic idea of the demand for currency approach is that goods and services sold in the shadow economy are settled in cash and that by using the demand for cash function it is possible to measure such goods and services respectively provided and delivered in exchange for cash and thus to estimate the size of the shadow economy.</w:t>
      </w:r>
    </w:p>
    <w:p w14:paraId="5DDC3C7B" w14:textId="77777777" w:rsidR="00B1425B" w:rsidRPr="006C7345" w:rsidRDefault="00B1425B" w:rsidP="00B1425B">
      <w:pPr>
        <w:ind w:firstLine="720"/>
        <w:jc w:val="both"/>
        <w:rPr>
          <w:rFonts w:ascii="Times New Roman" w:hAnsi="Times New Roman" w:cs="Times New Roman"/>
          <w:color w:val="000000" w:themeColor="text1"/>
          <w:sz w:val="16"/>
          <w:szCs w:val="16"/>
        </w:rPr>
      </w:pPr>
    </w:p>
    <w:p w14:paraId="1147CD01" w14:textId="7B550300" w:rsidR="003F7700" w:rsidRDefault="001B3507" w:rsidP="00963264">
      <w:pPr>
        <w:pStyle w:val="NormalWeb"/>
        <w:shd w:val="clear" w:color="auto" w:fill="FFFFFF"/>
        <w:spacing w:before="0" w:beforeAutospacing="0" w:after="0" w:afterAutospacing="0"/>
        <w:jc w:val="both"/>
        <w:rPr>
          <w:i/>
          <w:iCs/>
          <w:sz w:val="20"/>
          <w:szCs w:val="20"/>
        </w:rPr>
      </w:pPr>
      <w:r>
        <w:rPr>
          <w:noProof/>
          <w:lang w:val="lv-LV" w:eastAsia="zh-CN"/>
        </w:rPr>
        <mc:AlternateContent>
          <mc:Choice Requires="wps">
            <w:drawing>
              <wp:anchor distT="0" distB="0" distL="114300" distR="114300" simplePos="0" relativeHeight="251762688" behindDoc="0" locked="0" layoutInCell="1" allowOverlap="1" wp14:anchorId="7BF72625" wp14:editId="0E6D1573">
                <wp:simplePos x="0" y="0"/>
                <wp:positionH relativeFrom="margin">
                  <wp:posOffset>3863340</wp:posOffset>
                </wp:positionH>
                <wp:positionV relativeFrom="paragraph">
                  <wp:posOffset>1879600</wp:posOffset>
                </wp:positionV>
                <wp:extent cx="495300" cy="205740"/>
                <wp:effectExtent l="0" t="0" r="0" b="3810"/>
                <wp:wrapNone/>
                <wp:docPr id="1027168887" name="Text Box 1027168887"/>
                <wp:cNvGraphicFramePr/>
                <a:graphic xmlns:a="http://schemas.openxmlformats.org/drawingml/2006/main">
                  <a:graphicData uri="http://schemas.microsoft.com/office/word/2010/wordprocessingShape">
                    <wps:wsp>
                      <wps:cNvSpPr txBox="1"/>
                      <wps:spPr>
                        <a:xfrm>
                          <a:off x="0" y="0"/>
                          <a:ext cx="49530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35EA65" w14:textId="07CAB7CA"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Estonia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72625" id="Text Box 1027168887" o:spid="_x0000_s1069" type="#_x0000_t202" style="position:absolute;left:0;text-align:left;margin-left:304.2pt;margin-top:148pt;width:39pt;height:16.2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" fillcolor="white [3212]" stroked="f" strokeweight=".5pt">
                <v:textbox>
                  <w:txbxContent>
                    <w:p w14:paraId="3A35EA65" w14:textId="07CAB7CA"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Estonia</w:t>
                      </w:r>
                    </w:p>
                  </w:txbxContent>
                </v:textbox>
                <w10:wrap anchorx="margin"/>
              </v:shape>
            </w:pict>
          </mc:Fallback>
        </mc:AlternateContent>
      </w:r>
      <w:r>
        <w:rPr>
          <w:noProof/>
          <w:lang w:val="lv-LV" w:eastAsia="zh-CN"/>
        </w:rPr>
        <mc:AlternateContent>
          <mc:Choice Requires="wps">
            <w:drawing>
              <wp:anchor distT="0" distB="0" distL="114300" distR="114300" simplePos="0" relativeHeight="251758592" behindDoc="0" locked="0" layoutInCell="1" allowOverlap="1" wp14:anchorId="7B92402B" wp14:editId="5C581186">
                <wp:simplePos x="0" y="0"/>
                <wp:positionH relativeFrom="margin">
                  <wp:posOffset>3089910</wp:posOffset>
                </wp:positionH>
                <wp:positionV relativeFrom="paragraph">
                  <wp:posOffset>1891665</wp:posOffset>
                </wp:positionV>
                <wp:extent cx="495300" cy="205740"/>
                <wp:effectExtent l="0" t="0" r="0" b="3810"/>
                <wp:wrapNone/>
                <wp:docPr id="1027168885" name="Text Box 1027168885"/>
                <wp:cNvGraphicFramePr/>
                <a:graphic xmlns:a="http://schemas.openxmlformats.org/drawingml/2006/main">
                  <a:graphicData uri="http://schemas.microsoft.com/office/word/2010/wordprocessingShape">
                    <wps:wsp>
                      <wps:cNvSpPr txBox="1"/>
                      <wps:spPr>
                        <a:xfrm>
                          <a:off x="0" y="0"/>
                          <a:ext cx="49530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D4F3F" w14:textId="2B7D804F"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Lithuania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402B" id="Text Box 1027168885" o:spid="_x0000_s1070" type="#_x0000_t202" style="position:absolute;left:0;text-align:left;margin-left:243.3pt;margin-top:148.95pt;width:39pt;height:16.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" fillcolor="white [3212]" stroked="f" strokeweight=".5pt">
                <v:textbox>
                  <w:txbxContent>
                    <w:p w14:paraId="77FD4F3F" w14:textId="2B7D804F"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Lithuania</w:t>
                      </w:r>
                    </w:p>
                  </w:txbxContent>
                </v:textbox>
                <w10:wrap anchorx="margin"/>
              </v:shape>
            </w:pict>
          </mc:Fallback>
        </mc:AlternateContent>
      </w:r>
      <w:r>
        <w:rPr>
          <w:noProof/>
          <w:lang w:val="lv-LV" w:eastAsia="zh-CN"/>
        </w:rPr>
        <mc:AlternateContent>
          <mc:Choice Requires="wps">
            <w:drawing>
              <wp:anchor distT="0" distB="0" distL="114300" distR="114300" simplePos="0" relativeHeight="251754496" behindDoc="0" locked="0" layoutInCell="1" allowOverlap="1" wp14:anchorId="67158D0F" wp14:editId="53B10DB7">
                <wp:simplePos x="0" y="0"/>
                <wp:positionH relativeFrom="margin">
                  <wp:posOffset>2381250</wp:posOffset>
                </wp:positionH>
                <wp:positionV relativeFrom="paragraph">
                  <wp:posOffset>1891665</wp:posOffset>
                </wp:positionV>
                <wp:extent cx="434340" cy="198120"/>
                <wp:effectExtent l="0" t="0" r="3810" b="0"/>
                <wp:wrapNone/>
                <wp:docPr id="1027168883" name="Text Box 1027168883"/>
                <wp:cNvGraphicFramePr/>
                <a:graphic xmlns:a="http://schemas.openxmlformats.org/drawingml/2006/main">
                  <a:graphicData uri="http://schemas.microsoft.com/office/word/2010/wordprocessingShape">
                    <wps:wsp>
                      <wps:cNvSpPr txBox="1"/>
                      <wps:spPr>
                        <a:xfrm>
                          <a:off x="0" y="0"/>
                          <a:ext cx="434340" cy="1981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A0D11" w14:textId="15A4F695" w:rsidR="001B3507" w:rsidRPr="001B3507" w:rsidRDefault="001B3507" w:rsidP="001B3507">
                            <w:pPr>
                              <w:ind w:left="-142"/>
                              <w:rPr>
                                <w:rFonts w:asciiTheme="minorBidi" w:hAnsiTheme="minorBidi"/>
                                <w:sz w:val="14"/>
                                <w:szCs w:val="14"/>
                                <w:lang w:val="lv-LV"/>
                              </w:rPr>
                            </w:pPr>
                            <w:r w:rsidRPr="001B3507">
                              <w:rPr>
                                <w:rFonts w:asciiTheme="minorBidi" w:hAnsiTheme="minorBidi"/>
                                <w:sz w:val="14"/>
                                <w:szCs w:val="14"/>
                                <w:lang w:val="lv-LV"/>
                              </w:rPr>
                              <w:t>Latvia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58D0F" id="Text Box 1027168883" o:spid="_x0000_s1071" type="#_x0000_t202" style="position:absolute;left:0;text-align:left;margin-left:187.5pt;margin-top:148.95pt;width:34.2pt;height:15.6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" fillcolor="white [3212]" stroked="f" strokeweight=".5pt">
                <v:textbox>
                  <w:txbxContent>
                    <w:p w14:paraId="39FA0D11" w14:textId="15A4F695" w:rsidR="001B3507" w:rsidRPr="001B3507" w:rsidRDefault="001B3507" w:rsidP="001B3507">
                      <w:pPr>
                        <w:ind w:left="-142"/>
                        <w:rPr>
                          <w:rFonts w:asciiTheme="minorBidi" w:hAnsiTheme="minorBidi"/>
                          <w:sz w:val="14"/>
                          <w:szCs w:val="14"/>
                          <w:lang w:val="lv-LV"/>
                        </w:rPr>
                      </w:pPr>
                      <w:r w:rsidRPr="001B3507">
                        <w:rPr>
                          <w:rFonts w:asciiTheme="minorBidi" w:hAnsiTheme="minorBidi"/>
                          <w:sz w:val="14"/>
                          <w:szCs w:val="14"/>
                          <w:lang w:val="lv-LV"/>
                        </w:rPr>
                        <w:t>Latvia</w:t>
                      </w:r>
                    </w:p>
                  </w:txbxContent>
                </v:textbox>
                <w10:wrap anchorx="margin"/>
              </v:shape>
            </w:pict>
          </mc:Fallback>
        </mc:AlternateContent>
      </w:r>
      <w:r w:rsidR="003F7700">
        <w:rPr>
          <w:noProof/>
          <w:lang w:val="lv-LV" w:eastAsia="zh-CN"/>
        </w:rPr>
        <w:drawing>
          <wp:inline distT="0" distB="0" distL="0" distR="0" wp14:anchorId="31ACEEAE" wp14:editId="73FE3339">
            <wp:extent cx="6305550" cy="2164715"/>
            <wp:effectExtent l="0" t="0" r="0" b="6985"/>
            <wp:docPr id="411273705" name="Chart 1">
              <a:extLst xmlns:a="http://schemas.openxmlformats.org/drawingml/2006/main">
                <a:ext uri="{FF2B5EF4-FFF2-40B4-BE49-F238E27FC236}">
                  <a16:creationId xmlns:a16="http://schemas.microsoft.com/office/drawing/2014/main" id="{E121246D-E757-4BE0-860C-8501BA3A1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343388A" w14:textId="02D68911" w:rsidR="00963264" w:rsidRPr="00B22A98" w:rsidRDefault="00963264" w:rsidP="006C7345">
      <w:pPr>
        <w:pStyle w:val="NormalWeb"/>
        <w:shd w:val="clear" w:color="auto" w:fill="FFFFFF"/>
        <w:spacing w:before="0" w:beforeAutospacing="0" w:after="0" w:afterAutospacing="0"/>
        <w:jc w:val="both"/>
        <w:rPr>
          <w:color w:val="000000" w:themeColor="text1"/>
          <w:sz w:val="20"/>
          <w:szCs w:val="20"/>
        </w:rPr>
      </w:pPr>
      <w:r>
        <w:rPr>
          <w:i/>
          <w:sz w:val="20"/>
        </w:rPr>
        <w:t>Figure 13. Size of the shadow economy in the Baltic States from 2009 to 2022 (% of GDP) according to prof. F. Schneider research data.</w:t>
      </w:r>
    </w:p>
    <w:p w14:paraId="2B11570A" w14:textId="18F87FFD" w:rsidR="00B1425B" w:rsidRPr="00E17C8A" w:rsidRDefault="00B1425B" w:rsidP="00B1425B">
      <w:pPr>
        <w:ind w:firstLine="720"/>
        <w:jc w:val="both"/>
        <w:rPr>
          <w:rFonts w:ascii="Times New Roman" w:hAnsi="Times New Roman" w:cs="Times New Roman"/>
          <w:color w:val="000000" w:themeColor="text1"/>
          <w:sz w:val="14"/>
          <w:szCs w:val="14"/>
        </w:rPr>
      </w:pPr>
    </w:p>
    <w:p w14:paraId="5344D646" w14:textId="18A3B0C6" w:rsidR="00B1425B"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According to the method by A. Sauka, the Shadow Economy Index is measured as a percentage of GDP using the </w:t>
      </w:r>
      <w:r>
        <w:rPr>
          <w:rFonts w:ascii="Times New Roman" w:hAnsi="Times New Roman"/>
          <w:b/>
          <w:color w:val="000000" w:themeColor="text1"/>
          <w:sz w:val="24"/>
        </w:rPr>
        <w:t>direct survey approach</w:t>
      </w:r>
      <w:r>
        <w:rPr>
          <w:rFonts w:ascii="Times New Roman" w:hAnsi="Times New Roman"/>
          <w:color w:val="000000" w:themeColor="text1"/>
          <w:sz w:val="24"/>
        </w:rPr>
        <w:t>, i.e. business questionnaires (including telephone interviews) with open-ended responses and analysis of tax audit data and a revenue approach to measuring GDP; GDP is calculated as the sum of gross compensation of employees and gross operating income of companies (Figure 14). The shadow economy includes unreported business profits, unreported wages and unregistered employees. The size of the shadow economy is assessed by looking at businesses that are legally registered and engaged in the field of legal goods and services. The calculations do not include illegal trade in goods or services, including cross-border trade, smuggling or imports of illegal goods.</w:t>
      </w:r>
    </w:p>
    <w:p w14:paraId="12DD2BC0" w14:textId="167B12DB" w:rsidR="00B1425B" w:rsidRDefault="00B1425B" w:rsidP="00B1425B">
      <w:pPr>
        <w:ind w:firstLine="720"/>
        <w:jc w:val="both"/>
        <w:rPr>
          <w:rFonts w:ascii="Times New Roman" w:hAnsi="Times New Roman" w:cs="Times New Roman"/>
          <w:color w:val="000000" w:themeColor="text1"/>
          <w:sz w:val="24"/>
          <w:szCs w:val="24"/>
        </w:rPr>
      </w:pPr>
    </w:p>
    <w:p w14:paraId="5BE21A0B" w14:textId="0A8F18B4" w:rsidR="00203A58" w:rsidRDefault="001B3507" w:rsidP="00203A58">
      <w:pPr>
        <w:rPr>
          <w:i/>
          <w:iCs/>
          <w:sz w:val="20"/>
          <w:szCs w:val="20"/>
        </w:rPr>
      </w:pPr>
      <w:r>
        <w:rPr>
          <w:rFonts w:ascii="Times New Roman" w:hAnsi="Times New Roman"/>
          <w:noProof/>
          <w:sz w:val="24"/>
          <w:lang w:val="lv-LV" w:eastAsia="zh-CN"/>
        </w:rPr>
        <mc:AlternateContent>
          <mc:Choice Requires="wps">
            <w:drawing>
              <wp:anchor distT="0" distB="0" distL="114300" distR="114300" simplePos="0" relativeHeight="251764736" behindDoc="0" locked="0" layoutInCell="1" allowOverlap="1" wp14:anchorId="0D26A828" wp14:editId="640A3B17">
                <wp:simplePos x="0" y="0"/>
                <wp:positionH relativeFrom="margin">
                  <wp:posOffset>4183380</wp:posOffset>
                </wp:positionH>
                <wp:positionV relativeFrom="paragraph">
                  <wp:posOffset>1950085</wp:posOffset>
                </wp:positionV>
                <wp:extent cx="495300" cy="205740"/>
                <wp:effectExtent l="0" t="0" r="0" b="3810"/>
                <wp:wrapNone/>
                <wp:docPr id="1027168888" name="Text Box 1027168888"/>
                <wp:cNvGraphicFramePr/>
                <a:graphic xmlns:a="http://schemas.openxmlformats.org/drawingml/2006/main">
                  <a:graphicData uri="http://schemas.microsoft.com/office/word/2010/wordprocessingShape">
                    <wps:wsp>
                      <wps:cNvSpPr txBox="1"/>
                      <wps:spPr>
                        <a:xfrm>
                          <a:off x="0" y="0"/>
                          <a:ext cx="49530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BF02FD" w14:textId="77777777"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Estonia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6A828" id="Text Box 1027168888" o:spid="_x0000_s1072" type="#_x0000_t202" style="position:absolute;margin-left:329.4pt;margin-top:153.55pt;width:39pt;height:16.2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" fillcolor="white [3212]" stroked="f" strokeweight=".5pt">
                <v:textbox>
                  <w:txbxContent>
                    <w:p w14:paraId="11BF02FD" w14:textId="77777777"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Estonia</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60640" behindDoc="0" locked="0" layoutInCell="1" allowOverlap="1" wp14:anchorId="02DC7987" wp14:editId="70866AF8">
                <wp:simplePos x="0" y="0"/>
                <wp:positionH relativeFrom="margin">
                  <wp:posOffset>2994660</wp:posOffset>
                </wp:positionH>
                <wp:positionV relativeFrom="paragraph">
                  <wp:posOffset>1942465</wp:posOffset>
                </wp:positionV>
                <wp:extent cx="495300" cy="205740"/>
                <wp:effectExtent l="0" t="0" r="0" b="3810"/>
                <wp:wrapNone/>
                <wp:docPr id="1027168886" name="Text Box 1027168886"/>
                <wp:cNvGraphicFramePr/>
                <a:graphic xmlns:a="http://schemas.openxmlformats.org/drawingml/2006/main">
                  <a:graphicData uri="http://schemas.microsoft.com/office/word/2010/wordprocessingShape">
                    <wps:wsp>
                      <wps:cNvSpPr txBox="1"/>
                      <wps:spPr>
                        <a:xfrm>
                          <a:off x="0" y="0"/>
                          <a:ext cx="49530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D256A1" w14:textId="77777777"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Lithuania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7987" id="Text Box 1027168886" o:spid="_x0000_s1073" type="#_x0000_t202" style="position:absolute;margin-left:235.8pt;margin-top:152.95pt;width:39pt;height:16.2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" fillcolor="white [3212]" stroked="f" strokeweight=".5pt">
                <v:textbox>
                  <w:txbxContent>
                    <w:p w14:paraId="0AD256A1" w14:textId="77777777" w:rsidR="001B3507" w:rsidRPr="001B3507" w:rsidRDefault="001B3507" w:rsidP="001B3507">
                      <w:pPr>
                        <w:ind w:left="-142"/>
                        <w:rPr>
                          <w:rFonts w:asciiTheme="minorBidi" w:hAnsiTheme="minorBidi"/>
                          <w:sz w:val="14"/>
                          <w:szCs w:val="14"/>
                          <w:lang w:val="lv-LV"/>
                        </w:rPr>
                      </w:pPr>
                      <w:r>
                        <w:rPr>
                          <w:rFonts w:asciiTheme="minorBidi" w:hAnsiTheme="minorBidi"/>
                          <w:sz w:val="14"/>
                          <w:szCs w:val="14"/>
                          <w:lang w:val="lv-LV"/>
                        </w:rPr>
                        <w:t>Lithuania</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56544" behindDoc="0" locked="0" layoutInCell="1" allowOverlap="1" wp14:anchorId="47545F68" wp14:editId="291A7B6A">
                <wp:simplePos x="0" y="0"/>
                <wp:positionH relativeFrom="margin">
                  <wp:posOffset>1874520</wp:posOffset>
                </wp:positionH>
                <wp:positionV relativeFrom="paragraph">
                  <wp:posOffset>1950085</wp:posOffset>
                </wp:positionV>
                <wp:extent cx="434340" cy="198120"/>
                <wp:effectExtent l="0" t="0" r="3810" b="0"/>
                <wp:wrapNone/>
                <wp:docPr id="1027168884" name="Text Box 1027168884"/>
                <wp:cNvGraphicFramePr/>
                <a:graphic xmlns:a="http://schemas.openxmlformats.org/drawingml/2006/main">
                  <a:graphicData uri="http://schemas.microsoft.com/office/word/2010/wordprocessingShape">
                    <wps:wsp>
                      <wps:cNvSpPr txBox="1"/>
                      <wps:spPr>
                        <a:xfrm>
                          <a:off x="0" y="0"/>
                          <a:ext cx="434340" cy="1981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5ABE6" w14:textId="77777777" w:rsidR="001B3507" w:rsidRPr="001B3507" w:rsidRDefault="001B3507" w:rsidP="001B3507">
                            <w:pPr>
                              <w:ind w:left="-142"/>
                              <w:rPr>
                                <w:rFonts w:asciiTheme="minorBidi" w:hAnsiTheme="minorBidi"/>
                                <w:sz w:val="14"/>
                                <w:szCs w:val="14"/>
                                <w:lang w:val="lv-LV"/>
                              </w:rPr>
                            </w:pPr>
                            <w:r w:rsidRPr="001B3507">
                              <w:rPr>
                                <w:rFonts w:asciiTheme="minorBidi" w:hAnsiTheme="minorBidi"/>
                                <w:sz w:val="14"/>
                                <w:szCs w:val="14"/>
                                <w:lang w:val="lv-LV"/>
                              </w:rPr>
                              <w:t>Latvia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45F68" id="Text Box 1027168884" o:spid="_x0000_s1074" type="#_x0000_t202" style="position:absolute;margin-left:147.6pt;margin-top:153.55pt;width:34.2pt;height:15.6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" fillcolor="white [3212]" stroked="f" strokeweight=".5pt">
                <v:textbox>
                  <w:txbxContent>
                    <w:p w14:paraId="68A5ABE6" w14:textId="77777777" w:rsidR="001B3507" w:rsidRPr="001B3507" w:rsidRDefault="001B3507" w:rsidP="001B3507">
                      <w:pPr>
                        <w:ind w:left="-142"/>
                        <w:rPr>
                          <w:rFonts w:asciiTheme="minorBidi" w:hAnsiTheme="minorBidi"/>
                          <w:sz w:val="14"/>
                          <w:szCs w:val="14"/>
                          <w:lang w:val="lv-LV"/>
                        </w:rPr>
                      </w:pPr>
                      <w:r w:rsidRPr="001B3507">
                        <w:rPr>
                          <w:rFonts w:asciiTheme="minorBidi" w:hAnsiTheme="minorBidi"/>
                          <w:sz w:val="14"/>
                          <w:szCs w:val="14"/>
                          <w:lang w:val="lv-LV"/>
                        </w:rPr>
                        <w:t>Latvia</w:t>
                      </w:r>
                    </w:p>
                  </w:txbxContent>
                </v:textbox>
                <w10:wrap anchorx="margin"/>
              </v:shape>
            </w:pict>
          </mc:Fallback>
        </mc:AlternateContent>
      </w:r>
      <w:r w:rsidR="00203A58">
        <w:rPr>
          <w:noProof/>
          <w:lang w:val="lv-LV" w:eastAsia="zh-CN"/>
        </w:rPr>
        <w:drawing>
          <wp:inline distT="0" distB="0" distL="0" distR="0" wp14:anchorId="02BF8293" wp14:editId="6889635A">
            <wp:extent cx="6248400" cy="2172970"/>
            <wp:effectExtent l="0" t="0" r="0" b="17780"/>
            <wp:docPr id="490843004" name="Chart 1">
              <a:extLst xmlns:a="http://schemas.openxmlformats.org/drawingml/2006/main">
                <a:ext uri="{FF2B5EF4-FFF2-40B4-BE49-F238E27FC236}">
                  <a16:creationId xmlns:a16="http://schemas.microsoft.com/office/drawing/2014/main" id="{C58948B2-F889-49D6-950B-20729F2E7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E93D217" w14:textId="020441B0" w:rsidR="00203A58" w:rsidRPr="00B22A98" w:rsidRDefault="00963264" w:rsidP="00203A58">
      <w:pPr>
        <w:rPr>
          <w:rFonts w:ascii="Times New Roman" w:hAnsi="Times New Roman" w:cs="Times New Roman"/>
          <w:i/>
          <w:iCs/>
          <w:sz w:val="20"/>
          <w:szCs w:val="20"/>
        </w:rPr>
      </w:pPr>
      <w:r>
        <w:rPr>
          <w:rFonts w:ascii="Times New Roman" w:hAnsi="Times New Roman"/>
          <w:i/>
          <w:sz w:val="20"/>
        </w:rPr>
        <w:t xml:space="preserve">Figure 14. Size of the shadow economy in the Baltic States from 2009 to 2022 (% of GDP) according to prof. A. Sauka research data. </w:t>
      </w:r>
    </w:p>
    <w:p w14:paraId="501D483F" w14:textId="47EF978B" w:rsidR="00B1425B" w:rsidRDefault="00B1425B" w:rsidP="00203A58">
      <w:pPr>
        <w:pStyle w:val="NormalWeb"/>
        <w:shd w:val="clear" w:color="auto" w:fill="FFFFFF"/>
        <w:spacing w:before="0" w:beforeAutospacing="0" w:after="0" w:afterAutospacing="0"/>
        <w:jc w:val="both"/>
        <w:rPr>
          <w:color w:val="000000" w:themeColor="text1"/>
        </w:rPr>
      </w:pPr>
    </w:p>
    <w:p w14:paraId="1CAD4913" w14:textId="630DD6CD" w:rsidR="00C0774F" w:rsidRDefault="00D028F9" w:rsidP="005B46F7">
      <w:pPr>
        <w:ind w:firstLine="720"/>
        <w:jc w:val="both"/>
        <w:rPr>
          <w:rFonts w:ascii="Times New Roman" w:hAnsi="Times New Roman" w:cs="Times New Roman"/>
          <w:color w:val="000000" w:themeColor="text1"/>
          <w:sz w:val="24"/>
          <w:szCs w:val="24"/>
        </w:rPr>
      </w:pPr>
      <w:r>
        <w:rPr>
          <w:rFonts w:ascii="Times New Roman" w:hAnsi="Times New Roman"/>
          <w:sz w:val="24"/>
        </w:rPr>
        <w:t>According to the estimates obtained within the scope of the national research programme “Reduction of the Hidden Economy for Ensuring Sustainable Economic Development” by prof. A. Sauka and his team, the potential amount of taxes to be collected from the shadow economy in Latvia is between EUR 2 billion and EUR 3.6 billion.</w:t>
      </w:r>
      <w:r>
        <w:rPr>
          <w:rFonts w:ascii="Times New Roman" w:hAnsi="Times New Roman"/>
          <w:b/>
          <w:color w:val="000000" w:themeColor="text1"/>
          <w:sz w:val="24"/>
        </w:rPr>
        <w:t xml:space="preserve"> </w:t>
      </w:r>
      <w:r>
        <w:rPr>
          <w:rFonts w:ascii="Times New Roman" w:hAnsi="Times New Roman"/>
          <w:color w:val="000000" w:themeColor="text1"/>
          <w:sz w:val="24"/>
        </w:rPr>
        <w:t>The report of prof. T. Putniņš estimates the amount of tax revenue lost in Latvia due to the shadow economy, tax evasion, concealment and also smuggling. The results show that tax evasion varies significantly between different tax types:</w:t>
      </w:r>
    </w:p>
    <w:p w14:paraId="50D296F7" w14:textId="08BE7F76" w:rsidR="005B46F7" w:rsidRPr="002604B9" w:rsidRDefault="005B46F7" w:rsidP="00487D69">
      <w:pPr>
        <w:pStyle w:val="ListParagraph"/>
        <w:numPr>
          <w:ilvl w:val="0"/>
          <w:numId w:val="16"/>
        </w:numPr>
        <w:ind w:left="567"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labour taxes (PIT and MSSIC) account for the largest amount, i.e. 77 per cent, of the lost tax revenue. The study shows that there is significant potential to increase tax revenues through political actions aimed at reducing the amount of lost revenues from labour taxation. At the same time, it is pointed out that this could include any measures to reduce wage envelopes, in particular any policies aimed at preventing schemes designed to avoid tax payments by high-income earners who generally account for the largest share of uncollected taxes compared to how much tax revenue such individuals should be provide;</w:t>
      </w:r>
    </w:p>
    <w:p w14:paraId="39F66550" w14:textId="564B7E09" w:rsidR="005B46F7" w:rsidRPr="002604B9" w:rsidRDefault="006508A5" w:rsidP="00487D69">
      <w:pPr>
        <w:pStyle w:val="ListParagraph"/>
        <w:numPr>
          <w:ilvl w:val="0"/>
          <w:numId w:val="16"/>
        </w:numPr>
        <w:ind w:left="567"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the study mentions that the next largest contributor to the tax gap is excise duty which accounts for 10 per cent of the lost tax revenue. Among excise duties, petroleum products, in particular diesel and petrol used in vehicles, are the largest source of the lost tax revenue as they account for a large share of excise duty revenue. Tobacco is next in the category of excise duty, mostly due to smuggled cigarettes, although this component is showing a downward trend over time, followed by alcohol. Only a small part of the estimated undeclared, illegal consumption of petrol and diesel is detected and recovered by law enforcement authorities, meaning that policies to collect excise duties on petroleum products could be much more effective;</w:t>
      </w:r>
    </w:p>
    <w:p w14:paraId="387CFF77" w14:textId="22648DAB" w:rsidR="005B46F7" w:rsidRPr="002604B9" w:rsidRDefault="006508A5" w:rsidP="00487D69">
      <w:pPr>
        <w:pStyle w:val="ListParagraph"/>
        <w:numPr>
          <w:ilvl w:val="0"/>
          <w:numId w:val="16"/>
        </w:numPr>
        <w:ind w:left="567"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VAT constitutes a significant share of the lost tax revenue, accounting for 9 per cent of all lost tax revenue. The study shows that VAT evasion is estimated at 3.8 per cent which is lower than for other tax categories. However, VAT accounts for a large share of uncollected taxes due to its high share in the tax revenue structure (29 per cent). Evidence from EU countries shows that effective policies to fight VAT evaders include investments in information technology to better track VAT payment obligations and to encourage taxpayers to comply with additional information obligations, e.g. real-time reporting and e-invoicing.</w:t>
      </w:r>
      <w:r>
        <w:rPr>
          <w:rStyle w:val="FootnoteReference"/>
          <w:rFonts w:ascii="Times New Roman" w:hAnsi="Times New Roman" w:cs="Times New Roman"/>
          <w:color w:val="000000" w:themeColor="text1"/>
          <w:sz w:val="24"/>
          <w:szCs w:val="24"/>
        </w:rPr>
        <w:footnoteReference w:id="22"/>
      </w:r>
      <w:r>
        <w:rPr>
          <w:rFonts w:ascii="Times New Roman" w:hAnsi="Times New Roman"/>
          <w:color w:val="000000" w:themeColor="text1"/>
          <w:sz w:val="24"/>
        </w:rPr>
        <w:t xml:space="preserve"> </w:t>
      </w:r>
    </w:p>
    <w:p w14:paraId="01FDD1BC" w14:textId="6011A5BE" w:rsidR="00B1425B" w:rsidRPr="005B4C1F"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SRS assesses gaps in VAT, PIT, MSSIC and excise duties. The </w:t>
      </w:r>
      <w:r>
        <w:rPr>
          <w:rFonts w:ascii="Times New Roman" w:hAnsi="Times New Roman"/>
          <w:b/>
          <w:color w:val="000000" w:themeColor="text1"/>
          <w:sz w:val="24"/>
        </w:rPr>
        <w:t>tax gap</w:t>
      </w:r>
      <w:r>
        <w:rPr>
          <w:rFonts w:ascii="Times New Roman" w:hAnsi="Times New Roman"/>
          <w:color w:val="000000" w:themeColor="text1"/>
          <w:sz w:val="24"/>
        </w:rPr>
        <w:t xml:space="preserve"> is the ratio of the amount of undeclared and declared but unpaid taxes to the potential tax mass that would be calculated and collected under the assumption that all taxpayers fully comply with their tax obligations. It should be noted that the total tax gap is not the same as the size of the shadow economy as measurements of the shadow economy determine the share of unregistered economic activity, not lost tax revenue. </w:t>
      </w:r>
    </w:p>
    <w:p w14:paraId="0163B9D2" w14:textId="5EB87F6F" w:rsidR="00B1425B" w:rsidRPr="000F62D0"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According to the SRS estimate, Table 1 shows that the </w:t>
      </w:r>
      <w:r>
        <w:rPr>
          <w:rFonts w:ascii="Times New Roman" w:hAnsi="Times New Roman"/>
          <w:b/>
          <w:color w:val="000000" w:themeColor="text1"/>
          <w:sz w:val="24"/>
        </w:rPr>
        <w:t>potential amount of taxes to be collected from the shadow economy in 2021 is estimated at EUR 992 million.</w:t>
      </w:r>
      <w:r>
        <w:rPr>
          <w:rFonts w:ascii="Times New Roman" w:hAnsi="Times New Roman"/>
          <w:color w:val="000000" w:themeColor="text1"/>
          <w:sz w:val="24"/>
        </w:rPr>
        <w:t xml:space="preserve"> The potential amount to be collected (VAT, PIT, MSSIC, excise duty losses) is estimated by the SRS </w:t>
      </w:r>
      <w:r>
        <w:rPr>
          <w:rFonts w:ascii="Times New Roman" w:hAnsi="Times New Roman"/>
          <w:b/>
          <w:color w:val="000000" w:themeColor="text1"/>
          <w:sz w:val="24"/>
        </w:rPr>
        <w:t>at 2.95 per cent of GDP.</w:t>
      </w:r>
      <w:r>
        <w:rPr>
          <w:rFonts w:ascii="Times New Roman" w:hAnsi="Times New Roman"/>
          <w:color w:val="000000" w:themeColor="text1"/>
          <w:sz w:val="24"/>
        </w:rPr>
        <w:t xml:space="preserve"> (GDP of 2021 equals to EUR 33 617 mln.) At the same time, the present tax gap excludes data that has not come to the attention of the SRS at all. </w:t>
      </w:r>
    </w:p>
    <w:tbl>
      <w:tblPr>
        <w:tblW w:w="9925" w:type="dxa"/>
        <w:tblCellMar>
          <w:left w:w="0" w:type="dxa"/>
          <w:right w:w="0" w:type="dxa"/>
        </w:tblCellMar>
        <w:tblLook w:val="0420" w:firstRow="1" w:lastRow="0" w:firstColumn="0" w:lastColumn="0" w:noHBand="0" w:noVBand="1"/>
      </w:tblPr>
      <w:tblGrid>
        <w:gridCol w:w="8222"/>
        <w:gridCol w:w="1703"/>
      </w:tblGrid>
      <w:tr w:rsidR="00931DF3" w:rsidRPr="0096403F" w14:paraId="476E148C" w14:textId="77777777" w:rsidTr="009504E1">
        <w:trPr>
          <w:trHeight w:val="16"/>
        </w:trPr>
        <w:tc>
          <w:tcPr>
            <w:tcW w:w="8222" w:type="dxa"/>
            <w:tcBorders>
              <w:top w:val="single" w:sz="8" w:space="0" w:color="A5A5A5"/>
              <w:left w:val="nil"/>
              <w:bottom w:val="single" w:sz="8" w:space="0" w:color="A5A5A5"/>
              <w:right w:val="nil"/>
            </w:tcBorders>
            <w:shd w:val="clear" w:color="auto" w:fill="D9D9D9" w:themeFill="background1" w:themeFillShade="D9"/>
            <w:tcMar>
              <w:top w:w="72" w:type="dxa"/>
              <w:left w:w="144" w:type="dxa"/>
              <w:bottom w:w="72" w:type="dxa"/>
              <w:right w:w="144" w:type="dxa"/>
            </w:tcMar>
            <w:vAlign w:val="center"/>
            <w:hideMark/>
          </w:tcPr>
          <w:p w14:paraId="6B390207" w14:textId="77777777" w:rsidR="0096403F" w:rsidRPr="0096403F" w:rsidRDefault="0096403F" w:rsidP="0096403F">
            <w:pPr>
              <w:jc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Potentially collectable amount</w:t>
            </w:r>
          </w:p>
        </w:tc>
        <w:tc>
          <w:tcPr>
            <w:tcW w:w="1703" w:type="dxa"/>
            <w:tcBorders>
              <w:top w:val="single" w:sz="8" w:space="0" w:color="A5A5A5"/>
              <w:left w:val="nil"/>
              <w:bottom w:val="single" w:sz="8" w:space="0" w:color="A5A5A5"/>
              <w:right w:val="nil"/>
            </w:tcBorders>
            <w:shd w:val="clear" w:color="auto" w:fill="D9D9D9" w:themeFill="background1" w:themeFillShade="D9"/>
            <w:tcMar>
              <w:top w:w="72" w:type="dxa"/>
              <w:left w:w="144" w:type="dxa"/>
              <w:bottom w:w="72" w:type="dxa"/>
              <w:right w:w="144" w:type="dxa"/>
            </w:tcMar>
            <w:vAlign w:val="center"/>
            <w:hideMark/>
          </w:tcPr>
          <w:p w14:paraId="050FBA63" w14:textId="740ACD7A" w:rsidR="0096403F" w:rsidRPr="0096403F" w:rsidRDefault="0096403F" w:rsidP="009504E1">
            <w:pPr>
              <w:jc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mln. EUR</w:t>
            </w:r>
          </w:p>
        </w:tc>
      </w:tr>
      <w:tr w:rsidR="00931DF3" w:rsidRPr="0096403F" w14:paraId="7B7A3A26" w14:textId="77777777" w:rsidTr="009504E1">
        <w:trPr>
          <w:trHeight w:val="45"/>
        </w:trPr>
        <w:tc>
          <w:tcPr>
            <w:tcW w:w="8222" w:type="dxa"/>
            <w:tcBorders>
              <w:top w:val="single" w:sz="8" w:space="0" w:color="A5A5A5"/>
              <w:left w:val="nil"/>
              <w:bottom w:val="nil"/>
              <w:right w:val="nil"/>
            </w:tcBorders>
            <w:shd w:val="clear" w:color="auto" w:fill="auto"/>
            <w:tcMar>
              <w:top w:w="12" w:type="dxa"/>
              <w:left w:w="12" w:type="dxa"/>
              <w:bottom w:w="0" w:type="dxa"/>
              <w:right w:w="12" w:type="dxa"/>
            </w:tcMar>
            <w:vAlign w:val="center"/>
            <w:hideMark/>
          </w:tcPr>
          <w:p w14:paraId="65171B9E" w14:textId="77777777" w:rsidR="0096403F" w:rsidRPr="0096403F" w:rsidRDefault="0096403F" w:rsidP="0096403F">
            <w:pPr>
              <w:ind w:left="129"/>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VAT gap</w:t>
            </w:r>
          </w:p>
        </w:tc>
        <w:tc>
          <w:tcPr>
            <w:tcW w:w="1703" w:type="dxa"/>
            <w:tcBorders>
              <w:top w:val="single" w:sz="8" w:space="0" w:color="A5A5A5"/>
              <w:left w:val="nil"/>
              <w:bottom w:val="nil"/>
              <w:right w:val="nil"/>
            </w:tcBorders>
            <w:shd w:val="clear" w:color="auto" w:fill="auto"/>
            <w:tcMar>
              <w:top w:w="12" w:type="dxa"/>
              <w:left w:w="12" w:type="dxa"/>
              <w:bottom w:w="0" w:type="dxa"/>
              <w:right w:w="12" w:type="dxa"/>
            </w:tcMar>
            <w:vAlign w:val="center"/>
            <w:hideMark/>
          </w:tcPr>
          <w:p w14:paraId="428B77A8" w14:textId="2E34AC4C" w:rsidR="0096403F" w:rsidRPr="0096403F" w:rsidRDefault="00252957" w:rsidP="0096403F">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162</w:t>
            </w:r>
          </w:p>
        </w:tc>
      </w:tr>
      <w:tr w:rsidR="00931DF3" w:rsidRPr="0096403F" w14:paraId="2E2257F1" w14:textId="77777777" w:rsidTr="009504E1">
        <w:trPr>
          <w:trHeight w:val="67"/>
        </w:trPr>
        <w:tc>
          <w:tcPr>
            <w:tcW w:w="8222" w:type="dxa"/>
            <w:tcBorders>
              <w:top w:val="nil"/>
              <w:left w:val="nil"/>
              <w:bottom w:val="nil"/>
              <w:right w:val="nil"/>
            </w:tcBorders>
            <w:shd w:val="clear" w:color="auto" w:fill="F2F2F2" w:themeFill="background1" w:themeFillShade="F2"/>
            <w:tcMar>
              <w:top w:w="12" w:type="dxa"/>
              <w:left w:w="12" w:type="dxa"/>
              <w:bottom w:w="0" w:type="dxa"/>
              <w:right w:w="12" w:type="dxa"/>
            </w:tcMar>
            <w:vAlign w:val="center"/>
            <w:hideMark/>
          </w:tcPr>
          <w:p w14:paraId="1B15C702" w14:textId="77777777" w:rsidR="0096403F" w:rsidRPr="0096403F" w:rsidRDefault="0096403F" w:rsidP="0096403F">
            <w:pPr>
              <w:ind w:left="129"/>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PIT gap from undeclared wages for general tax regime employees</w:t>
            </w:r>
          </w:p>
        </w:tc>
        <w:tc>
          <w:tcPr>
            <w:tcW w:w="1703" w:type="dxa"/>
            <w:tcBorders>
              <w:top w:val="nil"/>
              <w:left w:val="nil"/>
              <w:bottom w:val="nil"/>
              <w:right w:val="nil"/>
            </w:tcBorders>
            <w:shd w:val="clear" w:color="auto" w:fill="F2F2F2" w:themeFill="background1" w:themeFillShade="F2"/>
            <w:tcMar>
              <w:top w:w="12" w:type="dxa"/>
              <w:left w:w="12" w:type="dxa"/>
              <w:bottom w:w="0" w:type="dxa"/>
              <w:right w:w="12" w:type="dxa"/>
            </w:tcMar>
            <w:vAlign w:val="center"/>
            <w:hideMark/>
          </w:tcPr>
          <w:p w14:paraId="2D804D4D" w14:textId="33F51777" w:rsidR="0096403F" w:rsidRPr="0096403F" w:rsidRDefault="0087000E" w:rsidP="0096403F">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280</w:t>
            </w:r>
          </w:p>
        </w:tc>
      </w:tr>
      <w:tr w:rsidR="00931DF3" w:rsidRPr="0096403F" w14:paraId="7E6B2E7B" w14:textId="77777777" w:rsidTr="009504E1">
        <w:trPr>
          <w:trHeight w:val="67"/>
        </w:trPr>
        <w:tc>
          <w:tcPr>
            <w:tcW w:w="8222" w:type="dxa"/>
            <w:tcBorders>
              <w:top w:val="nil"/>
              <w:left w:val="nil"/>
              <w:bottom w:val="nil"/>
              <w:right w:val="nil"/>
            </w:tcBorders>
            <w:shd w:val="clear" w:color="auto" w:fill="auto"/>
            <w:tcMar>
              <w:top w:w="12" w:type="dxa"/>
              <w:left w:w="12" w:type="dxa"/>
              <w:bottom w:w="0" w:type="dxa"/>
              <w:right w:w="12" w:type="dxa"/>
            </w:tcMar>
            <w:vAlign w:val="center"/>
            <w:hideMark/>
          </w:tcPr>
          <w:p w14:paraId="769491A3" w14:textId="77777777" w:rsidR="0096403F" w:rsidRPr="0096403F" w:rsidRDefault="0096403F" w:rsidP="0096403F">
            <w:pPr>
              <w:ind w:left="129"/>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MSSIC gap from undeclared wages for general tax regime employees</w:t>
            </w:r>
          </w:p>
        </w:tc>
        <w:tc>
          <w:tcPr>
            <w:tcW w:w="1703" w:type="dxa"/>
            <w:tcBorders>
              <w:top w:val="nil"/>
              <w:left w:val="nil"/>
              <w:bottom w:val="nil"/>
              <w:right w:val="nil"/>
            </w:tcBorders>
            <w:shd w:val="clear" w:color="auto" w:fill="auto"/>
            <w:tcMar>
              <w:top w:w="12" w:type="dxa"/>
              <w:left w:w="12" w:type="dxa"/>
              <w:bottom w:w="0" w:type="dxa"/>
              <w:right w:w="12" w:type="dxa"/>
            </w:tcMar>
            <w:vAlign w:val="center"/>
            <w:hideMark/>
          </w:tcPr>
          <w:p w14:paraId="3CA4194B" w14:textId="2748310D" w:rsidR="0096403F" w:rsidRPr="0096403F" w:rsidRDefault="0087000E" w:rsidP="0096403F">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516</w:t>
            </w:r>
          </w:p>
        </w:tc>
      </w:tr>
      <w:tr w:rsidR="00931DF3" w:rsidRPr="0096403F" w14:paraId="7AB03A46" w14:textId="77777777" w:rsidTr="009504E1">
        <w:trPr>
          <w:trHeight w:val="67"/>
        </w:trPr>
        <w:tc>
          <w:tcPr>
            <w:tcW w:w="8222" w:type="dxa"/>
            <w:tcBorders>
              <w:top w:val="nil"/>
              <w:left w:val="nil"/>
              <w:bottom w:val="nil"/>
              <w:right w:val="nil"/>
            </w:tcBorders>
            <w:shd w:val="clear" w:color="auto" w:fill="F2F2F2" w:themeFill="background1" w:themeFillShade="F2"/>
            <w:tcMar>
              <w:top w:w="12" w:type="dxa"/>
              <w:left w:w="12" w:type="dxa"/>
              <w:bottom w:w="0" w:type="dxa"/>
              <w:right w:w="12" w:type="dxa"/>
            </w:tcMar>
            <w:vAlign w:val="center"/>
            <w:hideMark/>
          </w:tcPr>
          <w:p w14:paraId="42FAC61E" w14:textId="77777777" w:rsidR="0096403F" w:rsidRPr="0096403F" w:rsidRDefault="0096403F" w:rsidP="0096403F">
            <w:pPr>
              <w:ind w:left="129"/>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Excise duty gap from fuel products</w:t>
            </w:r>
          </w:p>
        </w:tc>
        <w:tc>
          <w:tcPr>
            <w:tcW w:w="1703" w:type="dxa"/>
            <w:tcBorders>
              <w:top w:val="nil"/>
              <w:left w:val="nil"/>
              <w:bottom w:val="nil"/>
              <w:right w:val="nil"/>
            </w:tcBorders>
            <w:shd w:val="clear" w:color="auto" w:fill="F2F2F2" w:themeFill="background1" w:themeFillShade="F2"/>
            <w:tcMar>
              <w:top w:w="12" w:type="dxa"/>
              <w:left w:w="12" w:type="dxa"/>
              <w:bottom w:w="0" w:type="dxa"/>
              <w:right w:w="12" w:type="dxa"/>
            </w:tcMar>
            <w:vAlign w:val="center"/>
            <w:hideMark/>
          </w:tcPr>
          <w:p w14:paraId="298F54AD" w14:textId="77777777" w:rsidR="0096403F" w:rsidRPr="0096403F" w:rsidRDefault="0096403F" w:rsidP="0096403F">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34</w:t>
            </w:r>
          </w:p>
        </w:tc>
      </w:tr>
      <w:tr w:rsidR="00297CCC" w:rsidRPr="00297CCC" w14:paraId="72C27480" w14:textId="77777777" w:rsidTr="009504E1">
        <w:trPr>
          <w:trHeight w:val="67"/>
        </w:trPr>
        <w:tc>
          <w:tcPr>
            <w:tcW w:w="8222" w:type="dxa"/>
            <w:tcBorders>
              <w:top w:val="nil"/>
              <w:left w:val="nil"/>
              <w:bottom w:val="nil"/>
              <w:right w:val="nil"/>
            </w:tcBorders>
            <w:shd w:val="clear" w:color="auto" w:fill="auto"/>
            <w:tcMar>
              <w:top w:w="12" w:type="dxa"/>
              <w:left w:w="12" w:type="dxa"/>
              <w:bottom w:w="0" w:type="dxa"/>
              <w:right w:w="12" w:type="dxa"/>
            </w:tcMar>
            <w:vAlign w:val="center"/>
            <w:hideMark/>
          </w:tcPr>
          <w:p w14:paraId="55B88FEE" w14:textId="76198FE6" w:rsidR="0096403F" w:rsidRPr="00C2315A" w:rsidRDefault="00C2315A" w:rsidP="00FA5FA2">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b/>
                <w:color w:val="000000" w:themeColor="text1"/>
                <w:sz w:val="20"/>
              </w:rPr>
              <w:t>TOTAL</w:t>
            </w:r>
          </w:p>
        </w:tc>
        <w:tc>
          <w:tcPr>
            <w:tcW w:w="1703" w:type="dxa"/>
            <w:tcBorders>
              <w:top w:val="nil"/>
              <w:left w:val="nil"/>
              <w:bottom w:val="nil"/>
              <w:right w:val="nil"/>
            </w:tcBorders>
            <w:shd w:val="clear" w:color="auto" w:fill="auto"/>
            <w:tcMar>
              <w:top w:w="12" w:type="dxa"/>
              <w:left w:w="12" w:type="dxa"/>
              <w:bottom w:w="0" w:type="dxa"/>
              <w:right w:w="12" w:type="dxa"/>
            </w:tcMar>
            <w:vAlign w:val="center"/>
            <w:hideMark/>
          </w:tcPr>
          <w:p w14:paraId="24768B15" w14:textId="61D14316" w:rsidR="0096403F" w:rsidRPr="00C2315A" w:rsidRDefault="0096403F" w:rsidP="0096403F">
            <w:pPr>
              <w:jc w:val="right"/>
              <w:textAlignment w:val="center"/>
              <w:rPr>
                <w:rFonts w:ascii="Times New Roman" w:eastAsia="Times New Roman" w:hAnsi="Times New Roman" w:cs="Times New Roman"/>
                <w:color w:val="000000" w:themeColor="text1"/>
                <w:kern w:val="0"/>
                <w:sz w:val="20"/>
                <w:szCs w:val="20"/>
                <w14:ligatures w14:val="none"/>
              </w:rPr>
            </w:pPr>
            <w:r>
              <w:rPr>
                <w:rFonts w:ascii="Times New Roman" w:hAnsi="Times New Roman"/>
                <w:b/>
                <w:color w:val="000000" w:themeColor="text1"/>
                <w:sz w:val="20"/>
              </w:rPr>
              <w:t>992</w:t>
            </w:r>
          </w:p>
        </w:tc>
      </w:tr>
    </w:tbl>
    <w:p w14:paraId="69524055" w14:textId="0F2C7CE1" w:rsidR="00DB3A2A" w:rsidRPr="00FF0C52" w:rsidRDefault="0096403F" w:rsidP="0096403F">
      <w:pPr>
        <w:jc w:val="both"/>
        <w:rPr>
          <w:rFonts w:ascii="Times New Roman" w:hAnsi="Times New Roman" w:cs="Times New Roman"/>
          <w:color w:val="000000" w:themeColor="text1"/>
          <w:sz w:val="18"/>
          <w:szCs w:val="18"/>
        </w:rPr>
      </w:pPr>
      <w:r>
        <w:rPr>
          <w:rFonts w:ascii="Times New Roman" w:hAnsi="Times New Roman"/>
          <w:i/>
          <w:color w:val="000000" w:themeColor="text1"/>
          <w:sz w:val="18"/>
        </w:rPr>
        <w:t>Table 1. Estimates of the current level of undeclared and unpaid taxes in 2021.</w:t>
      </w:r>
      <w:r>
        <w:rPr>
          <w:rFonts w:ascii="Times New Roman" w:hAnsi="Times New Roman"/>
          <w:color w:val="000000" w:themeColor="text1"/>
          <w:sz w:val="18"/>
        </w:rPr>
        <w:t xml:space="preserve"> Excise duty gap for 2020</w:t>
      </w:r>
    </w:p>
    <w:p w14:paraId="41A764CF" w14:textId="7B86AA73" w:rsidR="0096403F" w:rsidRDefault="0096403F" w:rsidP="0096403F">
      <w:pPr>
        <w:jc w:val="both"/>
        <w:rPr>
          <w:rFonts w:ascii="Times New Roman" w:hAnsi="Times New Roman" w:cs="Times New Roman"/>
          <w:color w:val="000000" w:themeColor="text1"/>
          <w:sz w:val="18"/>
          <w:szCs w:val="18"/>
        </w:rPr>
      </w:pPr>
      <w:r>
        <w:rPr>
          <w:rFonts w:ascii="Times New Roman" w:hAnsi="Times New Roman"/>
          <w:i/>
          <w:color w:val="000000" w:themeColor="text1"/>
          <w:sz w:val="18"/>
        </w:rPr>
        <w:t>Data source: SRS data.</w:t>
      </w:r>
    </w:p>
    <w:p w14:paraId="03BDCF11" w14:textId="77777777" w:rsidR="00E35EFC" w:rsidRPr="0096403F" w:rsidRDefault="00E35EFC" w:rsidP="0096403F">
      <w:pPr>
        <w:jc w:val="both"/>
        <w:rPr>
          <w:rFonts w:ascii="Times New Roman" w:hAnsi="Times New Roman" w:cs="Times New Roman"/>
          <w:color w:val="000000" w:themeColor="text1"/>
          <w:sz w:val="18"/>
          <w:szCs w:val="18"/>
        </w:rPr>
      </w:pPr>
    </w:p>
    <w:p w14:paraId="4581F2FE" w14:textId="35641813" w:rsidR="00B1425B" w:rsidRPr="005B4C1F"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Another indicator that indirectly shows the size of the shadow economy in a country is the share of </w:t>
      </w:r>
      <w:r>
        <w:rPr>
          <w:rFonts w:ascii="Times New Roman" w:hAnsi="Times New Roman"/>
          <w:b/>
          <w:color w:val="000000" w:themeColor="text1"/>
          <w:sz w:val="24"/>
        </w:rPr>
        <w:t>cash in circulation</w:t>
      </w:r>
      <w:r>
        <w:rPr>
          <w:rFonts w:ascii="Times New Roman" w:hAnsi="Times New Roman"/>
          <w:color w:val="000000" w:themeColor="text1"/>
          <w:sz w:val="24"/>
        </w:rPr>
        <w:t>.</w:t>
      </w:r>
      <w:r>
        <w:rPr>
          <w:rStyle w:val="FootnoteReference"/>
          <w:rFonts w:ascii="Times New Roman" w:hAnsi="Times New Roman" w:cs="Times New Roman"/>
          <w:color w:val="000000" w:themeColor="text1"/>
          <w:sz w:val="24"/>
          <w:szCs w:val="24"/>
        </w:rPr>
        <w:footnoteReference w:id="23"/>
      </w:r>
      <w:r>
        <w:rPr>
          <w:rFonts w:ascii="Times New Roman" w:hAnsi="Times New Roman"/>
          <w:color w:val="000000" w:themeColor="text1"/>
          <w:sz w:val="24"/>
        </w:rPr>
        <w:t xml:space="preserve"> The EC study concludes that one of the main driving forces of the shadow economy is the continued use of cash as the main method of payment. Moreover, the driving forces of demand for cash are the same whether they are large or small countries, northern or southern countries, countries with an interest in using cash, or countries where consumers pay predominantly in non-cash currency, or where there is a policy of restricting the use of cash. </w:t>
      </w:r>
    </w:p>
    <w:p w14:paraId="2553E6FF" w14:textId="5139769F" w:rsidR="00B1425B" w:rsidRPr="005B4C1F" w:rsidRDefault="00B1425B" w:rsidP="00B1425B">
      <w:pPr>
        <w:ind w:firstLine="720"/>
        <w:jc w:val="both"/>
        <w:rPr>
          <w:rFonts w:ascii="Times New Roman" w:hAnsi="Times New Roman" w:cs="Times New Roman"/>
          <w:color w:val="000000" w:themeColor="text1"/>
          <w:sz w:val="24"/>
          <w:szCs w:val="24"/>
          <w:vertAlign w:val="superscript"/>
        </w:rPr>
      </w:pPr>
      <w:r>
        <w:rPr>
          <w:rFonts w:ascii="Times New Roman" w:hAnsi="Times New Roman"/>
          <w:color w:val="000000" w:themeColor="text1"/>
          <w:sz w:val="24"/>
        </w:rPr>
        <w:t>The development of cashless payment methods encourages people to replace cash. Thus, the widespread use of new payment innovations such as contactless and mobile payments will further reduce cash hoarding. It has been studied that every crisis so far has increased the demand for cash. During the COVID-19 crisis, the amount of cash in circulation increased worldwide, even in the Scandinavian countries. For example, the euro area has seen a significant increase in the demand for cash since its existence</w:t>
      </w:r>
      <w:r w:rsidRPr="005B4C1F">
        <w:rPr>
          <w:rFonts w:ascii="Times New Roman" w:hAnsi="Times New Roman" w:cs="Times New Roman"/>
          <w:color w:val="000000" w:themeColor="text1"/>
          <w:sz w:val="24"/>
          <w:szCs w:val="24"/>
          <w:vertAlign w:val="superscript"/>
        </w:rPr>
        <w:footnoteReference w:id="24"/>
      </w:r>
      <w:r>
        <w:rPr>
          <w:rFonts w:ascii="Times New Roman" w:hAnsi="Times New Roman"/>
          <w:color w:val="000000" w:themeColor="text1"/>
          <w:sz w:val="24"/>
        </w:rPr>
        <w:t>.</w:t>
      </w:r>
    </w:p>
    <w:p w14:paraId="1ED18D9F" w14:textId="19C2C83F" w:rsidR="005A7BC8" w:rsidRDefault="005A7BC8" w:rsidP="00B1425B">
      <w:pPr>
        <w:ind w:firstLine="720"/>
        <w:jc w:val="both"/>
        <w:rPr>
          <w:rFonts w:ascii="Times New Roman" w:hAnsi="Times New Roman" w:cs="Times New Roman"/>
          <w:color w:val="000000" w:themeColor="text1"/>
          <w:sz w:val="24"/>
          <w:szCs w:val="24"/>
        </w:rPr>
      </w:pPr>
    </w:p>
    <w:p w14:paraId="6832BD17" w14:textId="2DCB6F0B" w:rsidR="00B1425B" w:rsidRDefault="00B1425B" w:rsidP="00B1425B">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According to the BoL, a total of </w:t>
      </w:r>
      <w:r>
        <w:rPr>
          <w:rFonts w:ascii="Times New Roman" w:hAnsi="Times New Roman"/>
          <w:b/>
          <w:bCs/>
          <w:color w:val="000000" w:themeColor="text1"/>
          <w:sz w:val="24"/>
        </w:rPr>
        <w:t>EUR 2.4 billion</w:t>
      </w:r>
      <w:r>
        <w:rPr>
          <w:rFonts w:ascii="Times New Roman" w:hAnsi="Times New Roman"/>
          <w:color w:val="000000" w:themeColor="text1"/>
          <w:sz w:val="24"/>
        </w:rPr>
        <w:t xml:space="preserve"> of cash was deposited in the ATMs in 2022. Retailers have paid </w:t>
      </w:r>
      <w:r>
        <w:rPr>
          <w:rFonts w:ascii="Times New Roman" w:hAnsi="Times New Roman"/>
          <w:b/>
          <w:bCs/>
          <w:color w:val="000000" w:themeColor="text1"/>
          <w:sz w:val="24"/>
        </w:rPr>
        <w:t>EUR 3.9 billion</w:t>
      </w:r>
      <w:r>
        <w:rPr>
          <w:rFonts w:ascii="Times New Roman" w:hAnsi="Times New Roman"/>
          <w:color w:val="000000" w:themeColor="text1"/>
          <w:sz w:val="24"/>
        </w:rPr>
        <w:t xml:space="preserve"> to cash collection companies, representing a total of EUR 6.3 billion or </w:t>
      </w:r>
      <w:r>
        <w:rPr>
          <w:rFonts w:ascii="Times New Roman" w:hAnsi="Times New Roman"/>
          <w:b/>
          <w:bCs/>
          <w:color w:val="000000" w:themeColor="text1"/>
          <w:sz w:val="24"/>
        </w:rPr>
        <w:t>16.2 per cent</w:t>
      </w:r>
      <w:r>
        <w:rPr>
          <w:rFonts w:ascii="Times New Roman" w:hAnsi="Times New Roman"/>
          <w:color w:val="000000" w:themeColor="text1"/>
          <w:sz w:val="24"/>
        </w:rPr>
        <w:t xml:space="preserve"> of GDP. It should be noted that there are also objective reasons for depositing cash in the ATMs that do not necessarily indicate that the money is derived from the shadow economy activities. In the retail sector, not all cash is passed on to cash collection companies, some of it is returned to customers and used in mutual settlements with suppliers. At the same time, this cash flow indicator can also be seen as one of the signs characterising the shadow economy trend.</w:t>
      </w:r>
    </w:p>
    <w:p w14:paraId="02B10651" w14:textId="0A80331F" w:rsidR="00B1011D" w:rsidRPr="00B1011D" w:rsidRDefault="00015FBB" w:rsidP="00FF0C52">
      <w:pPr>
        <w:spacing w:before="60" w:after="60"/>
        <w:ind w:firstLine="720"/>
        <w:contextualSpacing/>
        <w:jc w:val="both"/>
        <w:rPr>
          <w:rFonts w:ascii="Times New Roman" w:eastAsia="Calibri" w:hAnsi="Times New Roman" w:cs="Times New Roman"/>
          <w:color w:val="000000"/>
          <w:sz w:val="24"/>
        </w:rPr>
      </w:pPr>
      <w:r>
        <w:rPr>
          <w:rFonts w:ascii="Times New Roman" w:hAnsi="Times New Roman"/>
          <w:noProof/>
          <w:sz w:val="24"/>
          <w:lang w:val="lv-LV" w:eastAsia="zh-CN"/>
        </w:rPr>
        <mc:AlternateContent>
          <mc:Choice Requires="wps">
            <w:drawing>
              <wp:anchor distT="0" distB="0" distL="114300" distR="114300" simplePos="0" relativeHeight="251770880" behindDoc="0" locked="0" layoutInCell="1" allowOverlap="1" wp14:anchorId="5D5EA365" wp14:editId="791CBA1C">
                <wp:simplePos x="0" y="0"/>
                <wp:positionH relativeFrom="margin">
                  <wp:posOffset>1139190</wp:posOffset>
                </wp:positionH>
                <wp:positionV relativeFrom="paragraph">
                  <wp:posOffset>1411605</wp:posOffset>
                </wp:positionV>
                <wp:extent cx="670560" cy="297180"/>
                <wp:effectExtent l="0" t="0" r="0" b="7620"/>
                <wp:wrapNone/>
                <wp:docPr id="1027168891" name="Text Box 1027168891"/>
                <wp:cNvGraphicFramePr/>
                <a:graphic xmlns:a="http://schemas.openxmlformats.org/drawingml/2006/main">
                  <a:graphicData uri="http://schemas.microsoft.com/office/word/2010/wordprocessingShape">
                    <wps:wsp>
                      <wps:cNvSpPr txBox="1"/>
                      <wps:spPr>
                        <a:xfrm>
                          <a:off x="0" y="0"/>
                          <a:ext cx="670560" cy="297180"/>
                        </a:xfrm>
                        <a:prstGeom prst="rect">
                          <a:avLst/>
                        </a:prstGeom>
                        <a:solidFill>
                          <a:schemeClr val="accent5">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FD5F00" w14:textId="3D87272A" w:rsidR="00015FBB" w:rsidRPr="00015FBB" w:rsidRDefault="00015FBB" w:rsidP="00015FBB">
                            <w:pPr>
                              <w:ind w:left="-142"/>
                              <w:rPr>
                                <w:rFonts w:asciiTheme="minorBidi" w:hAnsiTheme="minorBidi"/>
                                <w:color w:val="FFFFFF" w:themeColor="background1"/>
                                <w:sz w:val="14"/>
                                <w:szCs w:val="14"/>
                                <w:lang w:val="lv-LV"/>
                              </w:rPr>
                            </w:pPr>
                            <w:r w:rsidRPr="00015FBB">
                              <w:rPr>
                                <w:rFonts w:asciiTheme="minorBidi" w:hAnsiTheme="minorBidi"/>
                                <w:color w:val="FFFFFF" w:themeColor="background1"/>
                                <w:sz w:val="14"/>
                                <w:szCs w:val="14"/>
                                <w:lang w:val="lv-LV"/>
                              </w:rPr>
                              <w:t>non-cash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A365" id="Text Box 1027168891" o:spid="_x0000_s1075" type="#_x0000_t202" style="position:absolute;left:0;text-align:left;margin-left:89.7pt;margin-top:111.15pt;width:52.8pt;height:23.4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" fillcolor="#1f4d78 [1608]" stroked="f" strokeweight=".5pt">
                <v:textbox>
                  <w:txbxContent>
                    <w:p w14:paraId="4EFD5F00" w14:textId="3D87272A" w:rsidR="00015FBB" w:rsidRPr="00015FBB" w:rsidRDefault="00015FBB" w:rsidP="00015FBB">
                      <w:pPr>
                        <w:ind w:left="-142"/>
                        <w:rPr>
                          <w:rFonts w:asciiTheme="minorBidi" w:hAnsiTheme="minorBidi"/>
                          <w:color w:val="FFFFFF" w:themeColor="background1"/>
                          <w:sz w:val="14"/>
                          <w:szCs w:val="14"/>
                          <w:lang w:val="lv-LV"/>
                        </w:rPr>
                      </w:pPr>
                      <w:r w:rsidRPr="00015FBB">
                        <w:rPr>
                          <w:rFonts w:asciiTheme="minorBidi" w:hAnsiTheme="minorBidi"/>
                          <w:color w:val="FFFFFF" w:themeColor="background1"/>
                          <w:sz w:val="14"/>
                          <w:szCs w:val="14"/>
                          <w:lang w:val="lv-LV"/>
                        </w:rPr>
                        <w:t>non-cash</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68832" behindDoc="0" locked="0" layoutInCell="1" allowOverlap="1" wp14:anchorId="78EBEE0B" wp14:editId="556334FC">
                <wp:simplePos x="0" y="0"/>
                <wp:positionH relativeFrom="margin">
                  <wp:posOffset>590550</wp:posOffset>
                </wp:positionH>
                <wp:positionV relativeFrom="paragraph">
                  <wp:posOffset>984885</wp:posOffset>
                </wp:positionV>
                <wp:extent cx="441960" cy="243840"/>
                <wp:effectExtent l="0" t="0" r="0" b="3810"/>
                <wp:wrapNone/>
                <wp:docPr id="1027168890" name="Text Box 1027168890"/>
                <wp:cNvGraphicFramePr/>
                <a:graphic xmlns:a="http://schemas.openxmlformats.org/drawingml/2006/main">
                  <a:graphicData uri="http://schemas.microsoft.com/office/word/2010/wordprocessingShape">
                    <wps:wsp>
                      <wps:cNvSpPr txBox="1"/>
                      <wps:spPr>
                        <a:xfrm>
                          <a:off x="0" y="0"/>
                          <a:ext cx="441960" cy="243840"/>
                        </a:xfrm>
                        <a:prstGeom prst="rect">
                          <a:avLst/>
                        </a:prstGeom>
                        <a:solidFill>
                          <a:srgbClr val="AF925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A24EA" w14:textId="3269DD24" w:rsidR="00015FBB" w:rsidRPr="001B3507" w:rsidRDefault="00015FBB" w:rsidP="00015FBB">
                            <w:pPr>
                              <w:ind w:left="-142"/>
                              <w:jc w:val="center"/>
                              <w:rPr>
                                <w:rFonts w:asciiTheme="minorBidi" w:hAnsiTheme="minorBidi"/>
                                <w:sz w:val="14"/>
                                <w:szCs w:val="14"/>
                                <w:lang w:val="lv-LV"/>
                              </w:rPr>
                            </w:pPr>
                            <w:r>
                              <w:rPr>
                                <w:rFonts w:asciiTheme="minorBidi" w:hAnsiTheme="minorBidi"/>
                                <w:sz w:val="14"/>
                                <w:szCs w:val="14"/>
                                <w:lang w:val="lv-LV"/>
                              </w:rPr>
                              <w:t>cash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BEE0B" id="Text Box 1027168890" o:spid="_x0000_s1076" type="#_x0000_t202" style="position:absolute;left:0;text-align:left;margin-left:46.5pt;margin-top:77.55pt;width:34.8pt;height:19.2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" fillcolor="#af9251" stroked="f" strokeweight=".5pt">
                <v:textbox>
                  <w:txbxContent>
                    <w:p w14:paraId="56BA24EA" w14:textId="3269DD24" w:rsidR="00015FBB" w:rsidRPr="001B3507" w:rsidRDefault="00015FBB" w:rsidP="00015FBB">
                      <w:pPr>
                        <w:ind w:left="-142"/>
                        <w:jc w:val="center"/>
                        <w:rPr>
                          <w:rFonts w:asciiTheme="minorBidi" w:hAnsiTheme="minorBidi"/>
                          <w:sz w:val="14"/>
                          <w:szCs w:val="14"/>
                          <w:lang w:val="lv-LV"/>
                        </w:rPr>
                      </w:pPr>
                      <w:r>
                        <w:rPr>
                          <w:rFonts w:asciiTheme="minorBidi" w:hAnsiTheme="minorBidi"/>
                          <w:sz w:val="14"/>
                          <w:szCs w:val="14"/>
                          <w:lang w:val="lv-LV"/>
                        </w:rPr>
                        <w:t>cash</w:t>
                      </w: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66784" behindDoc="0" locked="0" layoutInCell="1" allowOverlap="1" wp14:anchorId="7E218164" wp14:editId="33A8D204">
                <wp:simplePos x="0" y="0"/>
                <wp:positionH relativeFrom="margin">
                  <wp:posOffset>590550</wp:posOffset>
                </wp:positionH>
                <wp:positionV relativeFrom="paragraph">
                  <wp:posOffset>32385</wp:posOffset>
                </wp:positionV>
                <wp:extent cx="1104900" cy="205740"/>
                <wp:effectExtent l="0" t="0" r="0" b="3810"/>
                <wp:wrapNone/>
                <wp:docPr id="1027168889" name="Text Box 1027168889"/>
                <wp:cNvGraphicFramePr/>
                <a:graphic xmlns:a="http://schemas.openxmlformats.org/drawingml/2006/main">
                  <a:graphicData uri="http://schemas.microsoft.com/office/word/2010/wordprocessingShape">
                    <wps:wsp>
                      <wps:cNvSpPr txBox="1"/>
                      <wps:spPr>
                        <a:xfrm>
                          <a:off x="0" y="0"/>
                          <a:ext cx="1104900" cy="20574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A646C9" w14:textId="3D72F1F0" w:rsidR="00015FBB" w:rsidRPr="001B3507" w:rsidRDefault="00015FBB" w:rsidP="00015FBB">
                            <w:pPr>
                              <w:ind w:left="-142"/>
                              <w:jc w:val="center"/>
                              <w:rPr>
                                <w:rFonts w:asciiTheme="minorBidi" w:hAnsiTheme="minorBidi"/>
                                <w:sz w:val="14"/>
                                <w:szCs w:val="14"/>
                                <w:lang w:val="lv-LV"/>
                              </w:rPr>
                            </w:pPr>
                            <w:r>
                              <w:rPr>
                                <w:rFonts w:asciiTheme="minorBidi" w:hAnsiTheme="minorBidi"/>
                                <w:sz w:val="14"/>
                                <w:szCs w:val="14"/>
                                <w:lang w:val="lv-LV"/>
                              </w:rPr>
                              <w:t>August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8164" id="Text Box 1027168889" o:spid="_x0000_s1077" type="#_x0000_t202" style="position:absolute;left:0;text-align:left;margin-left:46.5pt;margin-top:2.55pt;width:87pt;height:16.2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" fillcolor="#d8d8d8 [2732]" stroked="f" strokeweight=".5pt">
                <v:textbox>
                  <w:txbxContent>
                    <w:p w14:paraId="4EA646C9" w14:textId="3D72F1F0" w:rsidR="00015FBB" w:rsidRPr="001B3507" w:rsidRDefault="00015FBB" w:rsidP="00015FBB">
                      <w:pPr>
                        <w:ind w:left="-142"/>
                        <w:jc w:val="center"/>
                        <w:rPr>
                          <w:rFonts w:asciiTheme="minorBidi" w:hAnsiTheme="minorBidi"/>
                          <w:sz w:val="14"/>
                          <w:szCs w:val="14"/>
                          <w:lang w:val="lv-LV"/>
                        </w:rPr>
                      </w:pPr>
                      <w:r>
                        <w:rPr>
                          <w:rFonts w:asciiTheme="minorBidi" w:hAnsiTheme="minorBidi"/>
                          <w:sz w:val="14"/>
                          <w:szCs w:val="14"/>
                          <w:lang w:val="lv-LV"/>
                        </w:rPr>
                        <w:t>August 2023</w:t>
                      </w:r>
                    </w:p>
                  </w:txbxContent>
                </v:textbox>
                <w10:wrap anchorx="margin"/>
              </v:shape>
            </w:pict>
          </mc:Fallback>
        </mc:AlternateContent>
      </w:r>
      <w:r w:rsidR="009E3BF6">
        <w:rPr>
          <w:rFonts w:ascii="Times New Roman" w:hAnsi="Times New Roman"/>
          <w:noProof/>
          <w:color w:val="000000"/>
          <w:sz w:val="24"/>
          <w:lang w:val="lv-LV" w:eastAsia="zh-CN"/>
        </w:rPr>
        <mc:AlternateContent>
          <mc:Choice Requires="wpg">
            <w:drawing>
              <wp:anchor distT="0" distB="0" distL="114300" distR="114300" simplePos="0" relativeHeight="251665408" behindDoc="0" locked="0" layoutInCell="1" allowOverlap="1" wp14:anchorId="30C48209" wp14:editId="099175D4">
                <wp:simplePos x="0" y="0"/>
                <wp:positionH relativeFrom="column">
                  <wp:posOffset>3810</wp:posOffset>
                </wp:positionH>
                <wp:positionV relativeFrom="paragraph">
                  <wp:posOffset>22415</wp:posOffset>
                </wp:positionV>
                <wp:extent cx="2417445" cy="2291728"/>
                <wp:effectExtent l="0" t="0" r="1905" b="0"/>
                <wp:wrapSquare wrapText="bothSides"/>
                <wp:docPr id="600508119" name="Group 2"/>
                <wp:cNvGraphicFramePr/>
                <a:graphic xmlns:a="http://schemas.openxmlformats.org/drawingml/2006/main">
                  <a:graphicData uri="http://schemas.microsoft.com/office/word/2010/wordprocessingGroup">
                    <wpg:wgp>
                      <wpg:cNvGrpSpPr/>
                      <wpg:grpSpPr>
                        <a:xfrm>
                          <a:off x="0" y="0"/>
                          <a:ext cx="2417445" cy="2291728"/>
                          <a:chOff x="0" y="0"/>
                          <a:chExt cx="2417445" cy="2291872"/>
                        </a:xfrm>
                      </wpg:grpSpPr>
                      <pic:pic xmlns:pic="http://schemas.openxmlformats.org/drawingml/2006/picture">
                        <pic:nvPicPr>
                          <pic:cNvPr id="1725196448" name="Picture 1" descr="A blue and yellow pie chart&#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417445" cy="2291715"/>
                          </a:xfrm>
                          <a:prstGeom prst="rect">
                            <a:avLst/>
                          </a:prstGeom>
                        </pic:spPr>
                      </pic:pic>
                      <wps:wsp>
                        <wps:cNvPr id="1649018467" name="Text Box 1"/>
                        <wps:cNvSpPr txBox="1"/>
                        <wps:spPr>
                          <a:xfrm>
                            <a:off x="0" y="2089929"/>
                            <a:ext cx="900430" cy="201943"/>
                          </a:xfrm>
                          <a:prstGeom prst="rect">
                            <a:avLst/>
                          </a:prstGeom>
                          <a:noFill/>
                          <a:ln w="6350">
                            <a:noFill/>
                          </a:ln>
                        </wps:spPr>
                        <wps:txbx>
                          <w:txbxContent>
                            <w:p w14:paraId="6D7B9436" w14:textId="77777777" w:rsidR="00D34F0E" w:rsidRPr="00124FFC" w:rsidRDefault="00D34F0E" w:rsidP="009E3BF6">
                              <w:pPr>
                                <w:rPr>
                                  <w:rFonts w:ascii="Times New Roman" w:hAnsi="Times New Roman" w:cs="Times New Roman"/>
                                  <w:color w:val="808080" w:themeColor="background1" w:themeShade="80"/>
                                  <w:sz w:val="14"/>
                                  <w:szCs w:val="14"/>
                                </w:rPr>
                              </w:pPr>
                              <w:r>
                                <w:rPr>
                                  <w:rFonts w:ascii="Times New Roman" w:hAnsi="Times New Roman"/>
                                  <w:color w:val="808080" w:themeColor="background1" w:themeShade="80"/>
                                  <w:sz w:val="14"/>
                                </w:rPr>
                                <w:t xml:space="preserve">Data: </w:t>
                              </w:r>
                              <w:r>
                                <w:rPr>
                                  <w:rFonts w:ascii="Times New Roman" w:hAnsi="Times New Roman"/>
                                  <w:i/>
                                  <w:iCs/>
                                  <w:color w:val="808080" w:themeColor="background1" w:themeShade="80"/>
                                  <w:sz w:val="14"/>
                                </w:rPr>
                                <w:t>Latvijas Fakti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C48209" id="Group 2" o:spid="_x0000_s1078" style="position:absolute;left:0;text-align:left;margin-left:.3pt;margin-top:1.75pt;width:190.35pt;height:180.45pt;z-index:251665408" coordsize="24174,2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79" type="#_x0000_t75" alt="A blue and yellow pie chart&#10;&#10;Description automatically generated" style="position:absolute;width:24174;height:22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">
                  <v:imagedata r:id="rId27" o:title="A blue and yellow pie chart&#10;&#10;Description automatically generated"/>
                </v:shape>
                <v:shape id="_x0000_s1080" type="#_x0000_t202" style="position:absolute;top:20899;width:9004;height:20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" filled="f" stroked="f" strokeweight=".5pt">
                  <v:textbox>
                    <w:txbxContent>
                      <w:p w14:paraId="6D7B9436" w14:textId="77777777" w:rsidR="00D34F0E" w:rsidRPr="00124FFC" w:rsidRDefault="00D34F0E" w:rsidP="009E3BF6">
                        <w:pPr>
                          <w:rPr>
                            <w:rFonts w:ascii="Times New Roman" w:hAnsi="Times New Roman" w:cs="Times New Roman"/>
                            <w:color w:val="808080" w:themeColor="background1" w:themeShade="80"/>
                            <w:sz w:val="14"/>
                            <w:szCs w:val="14"/>
                          </w:rPr>
                        </w:pPr>
                        <w:r>
                          <w:rPr>
                            <w:rFonts w:ascii="Times New Roman" w:hAnsi="Times New Roman"/>
                            <w:color w:val="808080" w:themeColor="background1" w:themeShade="80"/>
                            <w:sz w:val="14"/>
                          </w:rPr>
                          <w:t xml:space="preserve">Data: </w:t>
                        </w:r>
                        <w:r>
                          <w:rPr>
                            <w:rFonts w:ascii="Times New Roman" w:hAnsi="Times New Roman"/>
                            <w:i/>
                            <w:iCs/>
                            <w:color w:val="808080" w:themeColor="background1" w:themeShade="80"/>
                            <w:sz w:val="14"/>
                          </w:rPr>
                          <w:t>Latvijas Fakti</w:t>
                        </w:r>
                      </w:p>
                    </w:txbxContent>
                  </v:textbox>
                </v:shape>
                <w10:wrap type="square"/>
              </v:group>
            </w:pict>
          </mc:Fallback>
        </mc:AlternateContent>
      </w:r>
      <w:r w:rsidR="009E3BF6">
        <w:rPr>
          <w:rFonts w:ascii="Times New Roman" w:hAnsi="Times New Roman"/>
          <w:color w:val="000000"/>
          <w:sz w:val="24"/>
        </w:rPr>
        <w:t xml:space="preserve"> Latvian payment service providers (credit institutions, electronic money institutions, payment institutions, credit unions, Latvijas Banka and the Treasury) </w:t>
      </w:r>
      <w:r w:rsidR="009E3BF6">
        <w:rPr>
          <w:rFonts w:ascii="Times New Roman" w:hAnsi="Times New Roman"/>
          <w:b/>
          <w:color w:val="000000"/>
          <w:sz w:val="24"/>
        </w:rPr>
        <w:t>made 394.2 million customer non-cash payments in H1 of 2023</w:t>
      </w:r>
      <w:r w:rsidR="009E3BF6">
        <w:rPr>
          <w:rFonts w:ascii="Times New Roman" w:hAnsi="Times New Roman"/>
          <w:color w:val="000000"/>
          <w:sz w:val="24"/>
        </w:rPr>
        <w:t xml:space="preserve">, totalling </w:t>
      </w:r>
      <w:r w:rsidR="009E3BF6">
        <w:rPr>
          <w:rFonts w:ascii="Times New Roman" w:hAnsi="Times New Roman"/>
          <w:b/>
          <w:bCs/>
          <w:color w:val="000000"/>
          <w:sz w:val="24"/>
        </w:rPr>
        <w:t>EUR 150.7 billion</w:t>
      </w:r>
      <w:r w:rsidR="009E3BF6">
        <w:rPr>
          <w:rFonts w:ascii="Times New Roman" w:hAnsi="Times New Roman"/>
          <w:color w:val="000000"/>
          <w:sz w:val="24"/>
        </w:rPr>
        <w:t xml:space="preserve">. Compared to H1 of 2022, the total </w:t>
      </w:r>
      <w:r w:rsidR="009E3BF6">
        <w:rPr>
          <w:rFonts w:ascii="Times New Roman" w:hAnsi="Times New Roman"/>
          <w:b/>
          <w:color w:val="000000"/>
          <w:sz w:val="24"/>
        </w:rPr>
        <w:t xml:space="preserve">number of customer non-cash payments increased by 10 per cent </w:t>
      </w:r>
      <w:r w:rsidR="009E3BF6">
        <w:rPr>
          <w:rFonts w:ascii="Times New Roman" w:hAnsi="Times New Roman"/>
          <w:color w:val="000000"/>
          <w:sz w:val="24"/>
        </w:rPr>
        <w:t xml:space="preserve">and the </w:t>
      </w:r>
      <w:r w:rsidR="009E3BF6">
        <w:rPr>
          <w:rFonts w:ascii="Times New Roman" w:hAnsi="Times New Roman"/>
          <w:b/>
          <w:color w:val="000000"/>
          <w:sz w:val="24"/>
        </w:rPr>
        <w:t>total volume</w:t>
      </w:r>
      <w:r w:rsidR="009E3BF6">
        <w:rPr>
          <w:rFonts w:ascii="Times New Roman" w:hAnsi="Times New Roman"/>
          <w:color w:val="000000"/>
          <w:sz w:val="24"/>
        </w:rPr>
        <w:t xml:space="preserve"> of payments by </w:t>
      </w:r>
      <w:r w:rsidR="009E3BF6">
        <w:rPr>
          <w:rFonts w:ascii="Times New Roman" w:hAnsi="Times New Roman"/>
          <w:b/>
          <w:color w:val="000000"/>
          <w:sz w:val="24"/>
        </w:rPr>
        <w:t>26 per cent</w:t>
      </w:r>
      <w:r w:rsidR="009E3BF6">
        <w:rPr>
          <w:rFonts w:ascii="Times New Roman" w:hAnsi="Times New Roman"/>
          <w:color w:val="000000"/>
          <w:sz w:val="24"/>
        </w:rPr>
        <w:t xml:space="preserve">. The most commonly used non-cash payments by customers were card payments (61.2 per cent of total non-cash payments) and customer credit transfers (36.4 per cent of total non-cash payments). It should be noted that </w:t>
      </w:r>
      <w:r w:rsidR="009E3BF6">
        <w:rPr>
          <w:rFonts w:ascii="Times New Roman" w:hAnsi="Times New Roman"/>
          <w:b/>
          <w:color w:val="000000"/>
          <w:sz w:val="24"/>
        </w:rPr>
        <w:t xml:space="preserve">24.2 million instant payments amounting to EUR 6.9 billion </w:t>
      </w:r>
      <w:r w:rsidR="009E3BF6">
        <w:rPr>
          <w:rFonts w:ascii="Times New Roman" w:hAnsi="Times New Roman"/>
          <w:color w:val="000000"/>
          <w:sz w:val="24"/>
        </w:rPr>
        <w:t>were made in H1 of 2023.</w:t>
      </w:r>
      <w:r w:rsidR="00B1011D">
        <w:rPr>
          <w:rStyle w:val="FootnoteReference"/>
          <w:rFonts w:ascii="Times New Roman" w:eastAsia="Calibri" w:hAnsi="Times New Roman" w:cs="Times New Roman"/>
          <w:color w:val="000000"/>
          <w:sz w:val="24"/>
        </w:rPr>
        <w:footnoteReference w:id="25"/>
      </w:r>
    </w:p>
    <w:p w14:paraId="0DCC0DDF" w14:textId="3C9FF41C" w:rsidR="003A58E0" w:rsidRDefault="00C2315A" w:rsidP="003A58E0">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Given that cash is often used as a tool by targeted participants in the shadow economy, it is necessary to create a system that makes it commercially unattractive to obtain illicit cash. At the same time, it is also necessary to promote digital payments, motivating society as a whole to use less cash in everyday transactions, which will also reduce the attractiveness of using cash for targeted participants in the shadow economy. This fact is also confirmed by the recommendation provided in the research led by prof. A. Sauka, i.e. recommendation on incentives and disincentives for electronic payment systems to reduce the amount of cash that can potentially be used to pay envelope wages in cash, e.g. cash payment caps, availability of point of sale (POS) terminals in all sectors, electronic-only payments in public institutions, incentives to use cards at the point of sale</w:t>
      </w:r>
      <w:r w:rsidR="00482EF0" w:rsidRPr="000F62D0">
        <w:rPr>
          <w:rStyle w:val="FootnoteReference"/>
          <w:rFonts w:ascii="Times New Roman" w:hAnsi="Times New Roman" w:cs="Times New Roman"/>
          <w:color w:val="000000" w:themeColor="text1"/>
          <w:sz w:val="24"/>
          <w:szCs w:val="24"/>
        </w:rPr>
        <w:footnoteReference w:id="26"/>
      </w:r>
      <w:r>
        <w:rPr>
          <w:rFonts w:ascii="Times New Roman" w:hAnsi="Times New Roman"/>
          <w:color w:val="000000" w:themeColor="text1"/>
          <w:sz w:val="24"/>
        </w:rPr>
        <w:t xml:space="preserve">. </w:t>
      </w:r>
    </w:p>
    <w:p w14:paraId="5DCC5C32" w14:textId="77777777" w:rsidR="00B1425B" w:rsidRPr="00F266BB" w:rsidRDefault="00B1425B" w:rsidP="00F266BB">
      <w:pPr>
        <w:jc w:val="both"/>
        <w:rPr>
          <w:rFonts w:ascii="Times New Roman" w:hAnsi="Times New Roman" w:cs="Times New Roman"/>
          <w:color w:val="000000" w:themeColor="text1"/>
          <w:sz w:val="24"/>
          <w:szCs w:val="24"/>
        </w:rPr>
      </w:pPr>
    </w:p>
    <w:p w14:paraId="6AD4741D" w14:textId="09806D7A" w:rsidR="00BB28C1" w:rsidRDefault="00513D80" w:rsidP="00D13AD5">
      <w:pPr>
        <w:ind w:firstLine="720"/>
        <w:jc w:val="both"/>
        <w:rPr>
          <w:rFonts w:ascii="Times New Roman" w:hAnsi="Times New Roman" w:cs="Times New Roman"/>
          <w:sz w:val="24"/>
          <w:szCs w:val="24"/>
        </w:rPr>
      </w:pPr>
      <w:r>
        <w:rPr>
          <w:rFonts w:ascii="Times New Roman" w:hAnsi="Times New Roman"/>
          <w:sz w:val="24"/>
        </w:rPr>
        <w:t>Current data from F. Schneider research show that the size of the shadow economy has continued its downward trend, accounting for 20.2 per cent in 2021 and 19.9 per cent in 2022</w:t>
      </w:r>
      <w:r w:rsidR="006E3F59">
        <w:rPr>
          <w:rStyle w:val="FootnoteReference"/>
          <w:rFonts w:ascii="Times New Roman" w:hAnsi="Times New Roman" w:cs="Times New Roman"/>
          <w:sz w:val="24"/>
          <w:szCs w:val="24"/>
        </w:rPr>
        <w:footnoteReference w:id="27"/>
      </w:r>
      <w:r>
        <w:rPr>
          <w:rFonts w:ascii="Times New Roman" w:hAnsi="Times New Roman"/>
          <w:sz w:val="24"/>
        </w:rPr>
        <w:t xml:space="preserve"> (Figure 15).</w:t>
      </w:r>
    </w:p>
    <w:p w14:paraId="270AD7AA" w14:textId="6660BA14" w:rsidR="006E3F59" w:rsidRDefault="00203A58" w:rsidP="006E3F59">
      <w:pPr>
        <w:jc w:val="both"/>
        <w:rPr>
          <w:rFonts w:ascii="Times New Roman" w:hAnsi="Times New Roman" w:cs="Times New Roman"/>
          <w:sz w:val="24"/>
          <w:szCs w:val="24"/>
        </w:rPr>
      </w:pPr>
      <w:r>
        <w:rPr>
          <w:noProof/>
          <w:lang w:val="lv-LV" w:eastAsia="zh-CN"/>
        </w:rPr>
        <w:drawing>
          <wp:inline distT="0" distB="0" distL="0" distR="0" wp14:anchorId="27CF748C" wp14:editId="11CE7B61">
            <wp:extent cx="6286500" cy="2613025"/>
            <wp:effectExtent l="0" t="0" r="0" b="15875"/>
            <wp:docPr id="1019393506" name="Chart 1">
              <a:extLst xmlns:a="http://schemas.openxmlformats.org/drawingml/2006/main">
                <a:ext uri="{FF2B5EF4-FFF2-40B4-BE49-F238E27FC236}">
                  <a16:creationId xmlns:a16="http://schemas.microsoft.com/office/drawing/2014/main" id="{57E106F4-793E-5215-2D79-B7EBB35BA6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41DAE1" w14:textId="22165651" w:rsidR="006E3F59" w:rsidRPr="004F62C5" w:rsidRDefault="00963264" w:rsidP="006E3F59">
      <w:pPr>
        <w:rPr>
          <w:rFonts w:ascii="Times New Roman" w:hAnsi="Times New Roman" w:cs="Times New Roman"/>
          <w:i/>
          <w:iCs/>
          <w:sz w:val="20"/>
          <w:szCs w:val="20"/>
        </w:rPr>
      </w:pPr>
      <w:r>
        <w:rPr>
          <w:rFonts w:ascii="Times New Roman" w:hAnsi="Times New Roman"/>
          <w:i/>
          <w:sz w:val="20"/>
        </w:rPr>
        <w:t xml:space="preserve">Figure 15. Share of the shadow economy in 31 European countries in 2022 (% of GDP) according to prof. F. Schneider research data </w:t>
      </w:r>
    </w:p>
    <w:p w14:paraId="62B0CBF2" w14:textId="77777777" w:rsidR="00A5534F" w:rsidRDefault="00A5534F" w:rsidP="00D13AD5">
      <w:pPr>
        <w:ind w:firstLine="720"/>
        <w:jc w:val="both"/>
        <w:rPr>
          <w:rFonts w:ascii="Times New Roman" w:hAnsi="Times New Roman" w:cs="Times New Roman"/>
          <w:sz w:val="24"/>
          <w:szCs w:val="24"/>
        </w:rPr>
      </w:pPr>
    </w:p>
    <w:p w14:paraId="69C3AB80" w14:textId="2395C3BA" w:rsidR="00E21B0A" w:rsidRDefault="000A6C31" w:rsidP="00D13AD5">
      <w:pPr>
        <w:ind w:firstLine="720"/>
        <w:jc w:val="both"/>
        <w:rPr>
          <w:rFonts w:ascii="Times New Roman" w:hAnsi="Times New Roman" w:cs="Times New Roman"/>
          <w:sz w:val="24"/>
          <w:szCs w:val="24"/>
        </w:rPr>
      </w:pPr>
      <w:r>
        <w:rPr>
          <w:rFonts w:ascii="Times New Roman" w:hAnsi="Times New Roman"/>
          <w:sz w:val="24"/>
        </w:rPr>
        <w:t>In contrast, according to SSE Riga Centre for Sustainable Business researcher prof. A. Sauka and prof. T. Putniņš research “Shadow Economy Index for the Baltic Countries 2009–2022” data, the size of the shadow economy in Latvia in 2022 was 26.5 per cent of GDP, almost unchanged, down by 0.1 percentage point compared to 2021. It should be noted that the shadow economy index is used in various studies as an indicative indicator to describe the trend of an indicator.</w:t>
      </w:r>
    </w:p>
    <w:p w14:paraId="7581107F" w14:textId="7A8C6E8C" w:rsidR="00513D80" w:rsidRDefault="000A6C31" w:rsidP="00D13AD5">
      <w:pPr>
        <w:ind w:firstLine="720"/>
        <w:jc w:val="both"/>
        <w:rPr>
          <w:rFonts w:ascii="Times New Roman" w:hAnsi="Times New Roman" w:cs="Times New Roman"/>
          <w:sz w:val="24"/>
          <w:szCs w:val="24"/>
        </w:rPr>
      </w:pPr>
      <w:r>
        <w:rPr>
          <w:rFonts w:ascii="Times New Roman" w:hAnsi="Times New Roman"/>
          <w:sz w:val="24"/>
        </w:rPr>
        <w:t xml:space="preserve">The largest component of the shadow economy in Latvia in 2022 was ‘envelope wages’ that increased by 0.5 percentage points compared to the previous year to 46.7 per cent. The share of average wages that entrepreneurs hide from the State, or ‘envelope wages’, increased by 1.2 percentage points to 25 per cent in Latvia in 2022 compared to 2021. </w:t>
      </w:r>
    </w:p>
    <w:p w14:paraId="285B0881" w14:textId="364EAE42" w:rsidR="00E21B0A" w:rsidRPr="009C57A1" w:rsidRDefault="00E21B0A" w:rsidP="00D13AD5">
      <w:pPr>
        <w:ind w:firstLine="720"/>
        <w:jc w:val="both"/>
        <w:rPr>
          <w:rFonts w:ascii="Times New Roman" w:hAnsi="Times New Roman" w:cs="Times New Roman"/>
          <w:sz w:val="24"/>
          <w:szCs w:val="24"/>
        </w:rPr>
      </w:pPr>
      <w:r>
        <w:rPr>
          <w:rFonts w:ascii="Times New Roman" w:hAnsi="Times New Roman"/>
          <w:sz w:val="24"/>
        </w:rPr>
        <w:t>In 2022, the share of the shadow economy in Latvia reached 34.5 per cent in the construction sector (31.2 per cent in 2021), 30.5 per cent in the retail trade sector (29.8 per cent in 2021), 28.6 per cent in the service sector (27.5 per cent in 2021), 23.9 per cent in the manufacturing sector (25 per cent in 2021) and 20.5 per cent in the wholesale trade sector (24.4 per cent in 2021).</w:t>
      </w:r>
      <w:r w:rsidR="008C3710">
        <w:rPr>
          <w:rStyle w:val="FootnoteReference"/>
          <w:rFonts w:ascii="Times New Roman" w:hAnsi="Times New Roman" w:cs="Times New Roman"/>
          <w:sz w:val="24"/>
          <w:szCs w:val="24"/>
        </w:rPr>
        <w:footnoteReference w:id="28"/>
      </w:r>
    </w:p>
    <w:p w14:paraId="7DD10205" w14:textId="06631DFA" w:rsidR="00570326" w:rsidRPr="000F62D0" w:rsidRDefault="00D028F9" w:rsidP="00D13AD5">
      <w:pPr>
        <w:ind w:firstLine="720"/>
        <w:jc w:val="both"/>
        <w:rPr>
          <w:rFonts w:ascii="Times New Roman" w:eastAsia="Calibri" w:hAnsi="Times New Roman" w:cs="Times New Roman"/>
          <w:b/>
          <w:bCs/>
          <w:color w:val="000000" w:themeColor="text1"/>
          <w:kern w:val="0"/>
          <w:sz w:val="24"/>
          <w:szCs w:val="24"/>
          <w14:ligatures w14:val="none"/>
        </w:rPr>
      </w:pPr>
      <w:r>
        <w:rPr>
          <w:rFonts w:ascii="Times New Roman" w:hAnsi="Times New Roman"/>
          <w:color w:val="000000" w:themeColor="text1"/>
          <w:sz w:val="24"/>
        </w:rPr>
        <w:t>Considering the estimates of various researchers and other indirect indicators of the shadow economy, including the estimates of the shadow economy by the Latvian researchers prof. A. Sauka and prof. T. Putniņš, and Austrian researcher prof. F. Schneider, the SRS tax gap calculations and the cash flow indicator, it can be concluded that the</w:t>
      </w:r>
      <w:r>
        <w:rPr>
          <w:rFonts w:ascii="Times New Roman" w:hAnsi="Times New Roman"/>
          <w:b/>
          <w:color w:val="000000" w:themeColor="text1"/>
          <w:sz w:val="24"/>
        </w:rPr>
        <w:t xml:space="preserve"> potential amount of taxes to be collected from the shadow economy in Latvia is within the range of EUR 2 billion to EUR 3.6 billion.</w:t>
      </w:r>
    </w:p>
    <w:p w14:paraId="043C1E2E" w14:textId="7AB9E89F" w:rsidR="000F62D0" w:rsidRPr="000F62D0" w:rsidRDefault="000F62D0" w:rsidP="000F62D0">
      <w:pPr>
        <w:pStyle w:val="NormalWeb"/>
        <w:spacing w:before="0" w:beforeAutospacing="0" w:after="0" w:afterAutospacing="0"/>
        <w:ind w:firstLine="720"/>
        <w:jc w:val="both"/>
        <w:rPr>
          <w:color w:val="000000" w:themeColor="text1"/>
        </w:rPr>
      </w:pPr>
      <w:r>
        <w:rPr>
          <w:color w:val="000000" w:themeColor="text1"/>
        </w:rPr>
        <w:t xml:space="preserve">It is important to keep in mind that national GDP is comprised of different sectors and that there are sectors where the shadow economy is unlikely, e.g. public administration, and sectors where the intensity of the shadow economy is higher. Given that researchers do not use a uniform approach to calculating the size of the shadow economy, i.e. the same GDP component (base) is not used, the results of estimating the size of the shadow economy vary. In addition, researchers extrapolate some of the available analytics to GDP when making assumptions about the overall size of the shadow economy. In order to assess the size of the shadow economy objectively and accurately, </w:t>
      </w:r>
      <w:r>
        <w:rPr>
          <w:b/>
          <w:bCs/>
          <w:color w:val="000000" w:themeColor="text1"/>
        </w:rPr>
        <w:t>it is required to conduct further in-depth analysis of the size of the shadow economy and its causes in specific sectors.</w:t>
      </w:r>
    </w:p>
    <w:p w14:paraId="6E754275" w14:textId="1BE6BC42" w:rsidR="00622722" w:rsidRDefault="00535402" w:rsidP="00D13AD5">
      <w:pPr>
        <w:ind w:firstLine="720"/>
        <w:jc w:val="both"/>
        <w:rPr>
          <w:rFonts w:ascii="Times New Roman" w:hAnsi="Times New Roman" w:cs="Times New Roman"/>
          <w:sz w:val="24"/>
          <w:szCs w:val="24"/>
        </w:rPr>
      </w:pPr>
      <w:r>
        <w:rPr>
          <w:rFonts w:ascii="Times New Roman" w:hAnsi="Times New Roman"/>
          <w:sz w:val="24"/>
        </w:rPr>
        <w:t>Reducing the share of the shadow economy is a priority task as its size in Latvia is still high compared to other European countries, and it is therefore important to continue implementing measures to restrict the shadow economy in order to improve the business environment and promote voluntary compliance with tax obligations, reducing the administrative burden on taxpayers and increasing tax revenues in the State budget.</w:t>
      </w:r>
    </w:p>
    <w:p w14:paraId="0ED8FCDA" w14:textId="77777777" w:rsidR="00986B33" w:rsidRPr="00E35EFC" w:rsidRDefault="00986B33" w:rsidP="00295D2D">
      <w:pPr>
        <w:jc w:val="both"/>
        <w:rPr>
          <w:rFonts w:ascii="Times New Roman" w:eastAsia="Times New Roman" w:hAnsi="Times New Roman" w:cs="Times New Roman"/>
          <w:kern w:val="0"/>
          <w:sz w:val="24"/>
          <w:szCs w:val="24"/>
          <w:lang w:eastAsia="lv-LV"/>
          <w14:ligatures w14:val="none"/>
        </w:rPr>
      </w:pPr>
    </w:p>
    <w:p w14:paraId="3520843D" w14:textId="6C27AFE6" w:rsidR="00295D2D" w:rsidRPr="00295D2D" w:rsidRDefault="00295D2D" w:rsidP="00295D2D">
      <w:pPr>
        <w:jc w:val="both"/>
        <w:rPr>
          <w:rFonts w:ascii="Times New Roman" w:eastAsia="Times New Roman" w:hAnsi="Times New Roman" w:cs="Times New Roman"/>
          <w:b/>
          <w:bCs/>
          <w:i/>
          <w:iCs/>
          <w:kern w:val="0"/>
          <w:sz w:val="24"/>
          <w:szCs w:val="24"/>
          <w:u w:val="single"/>
          <w14:ligatures w14:val="none"/>
        </w:rPr>
      </w:pPr>
      <w:r>
        <w:rPr>
          <w:rFonts w:ascii="Times New Roman" w:hAnsi="Times New Roman"/>
          <w:b/>
          <w:i/>
          <w:sz w:val="24"/>
          <w:u w:val="single"/>
        </w:rPr>
        <w:t>Economic trends</w:t>
      </w:r>
    </w:p>
    <w:p w14:paraId="3B7DEC75" w14:textId="77777777" w:rsidR="00295D2D" w:rsidRPr="00E35EFC" w:rsidRDefault="00295D2D" w:rsidP="00295D2D">
      <w:pPr>
        <w:jc w:val="both"/>
        <w:rPr>
          <w:rFonts w:ascii="Times New Roman" w:hAnsi="Times New Roman" w:cs="Times New Roman"/>
          <w:color w:val="000000" w:themeColor="text1"/>
          <w:sz w:val="24"/>
          <w:szCs w:val="24"/>
          <w:u w:val="single"/>
        </w:rPr>
      </w:pPr>
    </w:p>
    <w:p w14:paraId="7A3447F5" w14:textId="77777777" w:rsidR="00584067" w:rsidRDefault="00584067" w:rsidP="00295D2D">
      <w:pPr>
        <w:ind w:firstLine="720"/>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When assessing measures to reduce the shadow economy, it is important to take into account not only the actual situation of the national economy and the shadow economy, but also trends in recent years. </w:t>
      </w:r>
    </w:p>
    <w:p w14:paraId="68E5053D" w14:textId="7F54FB29" w:rsidR="00295D2D" w:rsidRPr="00D01638" w:rsidRDefault="00295D2D" w:rsidP="00295D2D">
      <w:pPr>
        <w:ind w:firstLine="720"/>
        <w:jc w:val="both"/>
        <w:rPr>
          <w:rFonts w:ascii="Times New Roman" w:eastAsia="Times New Roman" w:hAnsi="Times New Roman" w:cs="Times New Roman"/>
          <w:kern w:val="0"/>
          <w:sz w:val="24"/>
          <w:szCs w:val="24"/>
          <w14:ligatures w14:val="none"/>
        </w:rPr>
      </w:pPr>
      <w:r>
        <w:rPr>
          <w:rFonts w:ascii="Times New Roman" w:hAnsi="Times New Roman"/>
          <w:sz w:val="24"/>
        </w:rPr>
        <w:t xml:space="preserve">As regards labour tax revenues, to mitigate the negative impact of the measures introduced to limit the spread of COVID-19, the furlough support and subsidy support were paid in certain periods to the employees who are payers of national taxes in order to compensate for the absence of income and from which no labour taxes were withheld, in contrast to the labour income of employees. A total of EUR 156.24 million was paid in furlough support and subsidy support in 2021 and EUR 1.98 million was paid in 2022. </w:t>
      </w:r>
    </w:p>
    <w:p w14:paraId="3506F2F7" w14:textId="017F1E52" w:rsidR="00295D2D" w:rsidRPr="00070DB6" w:rsidRDefault="00295D2D" w:rsidP="00295D2D">
      <w:pPr>
        <w:ind w:firstLine="720"/>
        <w:jc w:val="both"/>
        <w:rPr>
          <w:rFonts w:ascii="Times New Roman" w:eastAsia="Times New Roman" w:hAnsi="Times New Roman" w:cs="Times New Roman"/>
          <w:strike/>
          <w:kern w:val="0"/>
          <w:sz w:val="24"/>
          <w:szCs w:val="24"/>
          <w14:ligatures w14:val="none"/>
        </w:rPr>
      </w:pPr>
      <w:r>
        <w:rPr>
          <w:rFonts w:ascii="Times New Roman" w:hAnsi="Times New Roman"/>
          <w:sz w:val="24"/>
        </w:rPr>
        <w:t>In 2022</w:t>
      </w:r>
      <w:r>
        <w:rPr>
          <w:rFonts w:ascii="Times New Roman" w:hAnsi="Times New Roman"/>
          <w:color w:val="000000" w:themeColor="text1"/>
          <w:sz w:val="24"/>
        </w:rPr>
        <w:t xml:space="preserve">, labour tax revenue increased </w:t>
      </w:r>
      <w:r>
        <w:rPr>
          <w:rFonts w:ascii="Times New Roman" w:hAnsi="Times New Roman"/>
          <w:sz w:val="24"/>
        </w:rPr>
        <w:t xml:space="preserve">by EUR 1.00 billion </w:t>
      </w:r>
      <w:r>
        <w:rPr>
          <w:rFonts w:ascii="Times New Roman" w:hAnsi="Times New Roman"/>
          <w:color w:val="000000" w:themeColor="text1"/>
          <w:sz w:val="24"/>
        </w:rPr>
        <w:t>or 17.6 per cent to EUR 6.64 billion.</w:t>
      </w:r>
      <w:r>
        <w:rPr>
          <w:rFonts w:ascii="Times New Roman" w:hAnsi="Times New Roman"/>
          <w:sz w:val="24"/>
        </w:rPr>
        <w:t xml:space="preserve"> Such an increase in labour tax revenue has not been recorded before. Taxpayers reassessed their business activities in line with overall economic growth and also the impact of external factors that also resulted in higher incomes for employees which is the basis for the increase in labour income.</w:t>
      </w:r>
    </w:p>
    <w:p w14:paraId="66A3C698" w14:textId="07EDFA00" w:rsidR="00295D2D" w:rsidRPr="00070DB6" w:rsidRDefault="00515BCD" w:rsidP="00295D2D">
      <w:pPr>
        <w:ind w:firstLine="720"/>
        <w:jc w:val="both"/>
        <w:rPr>
          <w:rFonts w:ascii="Times New Roman" w:eastAsia="Times New Roman" w:hAnsi="Times New Roman" w:cs="Times New Roman"/>
          <w:strike/>
          <w:kern w:val="0"/>
          <w:sz w:val="24"/>
          <w:szCs w:val="24"/>
          <w14:ligatures w14:val="none"/>
        </w:rPr>
      </w:pPr>
      <w:r>
        <w:rPr>
          <w:rFonts w:ascii="Times New Roman" w:hAnsi="Times New Roman"/>
          <w:sz w:val="24"/>
        </w:rPr>
        <w:t xml:space="preserve">An analysis of the data reported by legal entity employers (excluding budgetary institutions) shows that the share of employers whose average calculated income for employees is above the national minimum wage is increasing (by 5.3 percentage points in 2022 compared to 2021). </w:t>
      </w:r>
    </w:p>
    <w:p w14:paraId="34069F65" w14:textId="6F7D3DB7" w:rsidR="00295D2D" w:rsidRPr="00070DB6" w:rsidRDefault="00295D2D" w:rsidP="00295D2D">
      <w:pPr>
        <w:ind w:firstLine="720"/>
        <w:jc w:val="both"/>
        <w:rPr>
          <w:rFonts w:ascii="Times New Roman" w:eastAsia="Times New Roman" w:hAnsi="Times New Roman" w:cs="Times New Roman"/>
          <w:strike/>
          <w:color w:val="212529"/>
          <w:kern w:val="0"/>
          <w:sz w:val="24"/>
          <w:szCs w:val="24"/>
          <w14:ligatures w14:val="none"/>
        </w:rPr>
      </w:pPr>
      <w:r>
        <w:rPr>
          <w:rFonts w:ascii="Times New Roman" w:hAnsi="Times New Roman"/>
          <w:sz w:val="24"/>
        </w:rPr>
        <w:t xml:space="preserve">At the same time, the current debt on labour taxes has also decreased, i.e. by EUR 26.35 million or 7.9 per cent to EUR 308.37 million on 1 January 2023 compared to 1 January 2022, the fastest decrease in current debt at the beginning of the year observed in recent years. </w:t>
      </w:r>
    </w:p>
    <w:p w14:paraId="7D1DA7ED" w14:textId="77777777" w:rsidR="00295D2D" w:rsidRDefault="00295D2D" w:rsidP="00295D2D">
      <w:pPr>
        <w:ind w:firstLine="720"/>
        <w:jc w:val="both"/>
        <w:rPr>
          <w:rFonts w:ascii="Times New Roman" w:eastAsia="Times New Roman" w:hAnsi="Times New Roman" w:cs="Times New Roman"/>
          <w:color w:val="212529"/>
          <w:kern w:val="0"/>
          <w:sz w:val="24"/>
          <w:szCs w:val="24"/>
          <w14:ligatures w14:val="none"/>
        </w:rPr>
      </w:pPr>
      <w:r>
        <w:rPr>
          <w:rFonts w:ascii="Times New Roman" w:hAnsi="Times New Roman"/>
          <w:color w:val="212529"/>
          <w:sz w:val="24"/>
        </w:rPr>
        <w:t>In summary, with regard to labour tax revenues, taxpayers are adapting to the current situation, while at the same time taking into account past experience during the period of restrictions, when aid was received in line with the reporting and tax situation, and trying to settle their obligations towards the State. Of course, all these processes are also the result of long-term work on behalf of the SRS both by providing support and facilitating compliance with obligations.</w:t>
      </w:r>
    </w:p>
    <w:p w14:paraId="796504AD" w14:textId="77777777" w:rsidR="006C4426" w:rsidRDefault="00295D2D" w:rsidP="00295D2D">
      <w:pPr>
        <w:ind w:firstLine="720"/>
        <w:jc w:val="both"/>
        <w:rPr>
          <w:rFonts w:ascii="Times New Roman" w:eastAsia="Times New Roman" w:hAnsi="Times New Roman" w:cs="Times New Roman"/>
          <w:color w:val="212529"/>
          <w:kern w:val="0"/>
          <w:sz w:val="24"/>
          <w:szCs w:val="24"/>
          <w14:ligatures w14:val="none"/>
        </w:rPr>
      </w:pPr>
      <w:r>
        <w:rPr>
          <w:rFonts w:ascii="Times New Roman" w:hAnsi="Times New Roman"/>
          <w:color w:val="212529"/>
          <w:sz w:val="24"/>
        </w:rPr>
        <w:t>Considering the current economic situation and the ability of taxpayers to pay all taxes voluntarily, the SRS is cautious when assessing the fiscal benefit from implementing the measures for reducing the shadow economy.</w:t>
      </w:r>
    </w:p>
    <w:p w14:paraId="3AA5AD62" w14:textId="33716B05" w:rsidR="006C4426" w:rsidRPr="006C4426" w:rsidRDefault="006C4426" w:rsidP="00295D2D">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It should be noted that the costs for ensuring the tax administration function increases with each successive supervision reinforcing measure, making each collected euro more expensive. Accordingly, the State should assess the implementation of effective measures, considering the costs of tax administration, minimising the administrative burden and weighing all the benefits for the common interest of society.</w:t>
      </w:r>
    </w:p>
    <w:p w14:paraId="1CBC8C7A" w14:textId="267C06C7" w:rsidR="00295D2D" w:rsidRPr="00513D80" w:rsidRDefault="00295D2D" w:rsidP="00295D2D">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The Latvian economy grew moderately in the final months of 2022. According to data compiled by the Central Statistical Bureau of Latvia, gross domestic product (GDP) in 2022 increased by 2 per cent compared to 2021. Last year, GDP at current prices reached EUR 39.1 billion.</w:t>
      </w:r>
      <w:r w:rsidR="006D67CD">
        <w:rPr>
          <w:rStyle w:val="FootnoteReference"/>
          <w:rFonts w:ascii="Times New Roman" w:hAnsi="Times New Roman" w:cs="Times New Roman"/>
          <w:color w:val="000000" w:themeColor="text1"/>
          <w:sz w:val="24"/>
          <w:szCs w:val="24"/>
        </w:rPr>
        <w:footnoteReference w:id="29"/>
      </w:r>
      <w:r>
        <w:rPr>
          <w:rFonts w:ascii="Times New Roman" w:hAnsi="Times New Roman"/>
          <w:color w:val="000000" w:themeColor="text1"/>
          <w:sz w:val="24"/>
        </w:rPr>
        <w:t xml:space="preserve"> The high uncertainty in the geopolitical environment affected both consumer habits and business investments, while foreign trade and substantially increased imports had a negative effect on economic growth rates. High inflation, with price growth rates outpacing wage growth, is eroding real income and purchasing power of the population. Economic growth is expected to return in Q3 of 2023, whereas overall GDP growth in 2023 is expected to be much more moderate than in 2022. </w:t>
      </w:r>
    </w:p>
    <w:p w14:paraId="4A3C0EEE" w14:textId="629EDCCD" w:rsidR="00295D2D" w:rsidRPr="00513D80" w:rsidRDefault="00295D2D" w:rsidP="00416C46">
      <w:pPr>
        <w:pStyle w:val="NormalWeb"/>
        <w:shd w:val="clear" w:color="auto" w:fill="FFFFFF"/>
        <w:spacing w:before="0" w:beforeAutospacing="0" w:after="0" w:afterAutospacing="0"/>
        <w:ind w:firstLine="720"/>
        <w:jc w:val="both"/>
        <w:rPr>
          <w:color w:val="000000" w:themeColor="text1"/>
        </w:rPr>
      </w:pPr>
      <w:r>
        <w:rPr>
          <w:color w:val="000000" w:themeColor="text1"/>
        </w:rPr>
        <w:t>Retail trade increased by 4.3 per cent, including 6.5 per cent in non-food retail and 0.5 per cent in food retail. Wholesale, retail and repair of motor vehicles and motorcycles increased by 10.1 per cent, while wholesale trade declined significantly by 18.7 per cent.</w:t>
      </w:r>
    </w:p>
    <w:p w14:paraId="7D15A396" w14:textId="5D28C2F8" w:rsidR="00295D2D" w:rsidRPr="00513D80" w:rsidRDefault="00295D2D" w:rsidP="00295D2D">
      <w:pPr>
        <w:jc w:val="both"/>
        <w:rPr>
          <w:rFonts w:ascii="Times New Roman" w:hAnsi="Times New Roman" w:cs="Times New Roman"/>
          <w:color w:val="000000" w:themeColor="text1"/>
          <w:sz w:val="24"/>
          <w:szCs w:val="24"/>
        </w:rPr>
      </w:pPr>
      <w:r>
        <w:rPr>
          <w:rFonts w:ascii="Times New Roman" w:hAnsi="Times New Roman"/>
          <w:color w:val="000000" w:themeColor="text1"/>
          <w:sz w:val="24"/>
        </w:rPr>
        <w:tab/>
        <w:t>Digital technologies are playing an increasingly important role in the area of health protection, enabling better health outcomes, allowing healthcare practitioners to spend more time with patients and taking of better data-driven and data-analysed systemic change decisions by administrative bodies. The recent crisis has also highlighted the necessity of timely access to electronic health records in order to ensure preparedness and responsiveness to health threats, not only for treatment but also for research, innovation, patient safety and regulatory, policy-making, statistical or personalised medicine purposes.</w:t>
      </w:r>
      <w:r w:rsidR="005A03CA">
        <w:rPr>
          <w:rStyle w:val="FootnoteReference"/>
          <w:rFonts w:ascii="Times New Roman" w:hAnsi="Times New Roman" w:cs="Times New Roman"/>
          <w:color w:val="000000" w:themeColor="text1"/>
          <w:sz w:val="24"/>
          <w:szCs w:val="24"/>
        </w:rPr>
        <w:footnoteReference w:id="30"/>
      </w:r>
    </w:p>
    <w:p w14:paraId="4231BD9C" w14:textId="548A6A06" w:rsidR="00295D2D" w:rsidRDefault="00295D2D" w:rsidP="00295D2D">
      <w:pPr>
        <w:jc w:val="both"/>
        <w:rPr>
          <w:rFonts w:ascii="Times New Roman" w:hAnsi="Times New Roman" w:cs="Times New Roman"/>
          <w:color w:val="000000" w:themeColor="text1"/>
          <w:sz w:val="24"/>
          <w:szCs w:val="24"/>
        </w:rPr>
      </w:pPr>
      <w:r>
        <w:rPr>
          <w:rFonts w:ascii="Times New Roman" w:hAnsi="Times New Roman"/>
          <w:color w:val="2F5496" w:themeColor="accent1" w:themeShade="BF"/>
          <w:sz w:val="24"/>
        </w:rPr>
        <w:tab/>
      </w:r>
      <w:r>
        <w:rPr>
          <w:rFonts w:ascii="Times New Roman" w:hAnsi="Times New Roman"/>
          <w:color w:val="000000" w:themeColor="text1"/>
          <w:sz w:val="24"/>
        </w:rPr>
        <w:t xml:space="preserve">Given that the economy is not expected to grow rapidly in the next few years, it is not reasonable to expect a significant decrease in the shadow economy. </w:t>
      </w:r>
    </w:p>
    <w:p w14:paraId="05CDD7F9" w14:textId="77777777" w:rsidR="00F515A7" w:rsidRDefault="00F515A7" w:rsidP="00070DB6">
      <w:pPr>
        <w:jc w:val="both"/>
        <w:rPr>
          <w:rFonts w:ascii="Times New Roman" w:hAnsi="Times New Roman" w:cs="Times New Roman"/>
          <w:sz w:val="24"/>
          <w:szCs w:val="24"/>
        </w:rPr>
      </w:pPr>
    </w:p>
    <w:p w14:paraId="439126AB" w14:textId="376B8AB2" w:rsidR="00974FC0" w:rsidRPr="0079600A" w:rsidRDefault="00D35D94" w:rsidP="00F027C0">
      <w:pPr>
        <w:jc w:val="both"/>
        <w:rPr>
          <w:rFonts w:ascii="Times New Roman" w:hAnsi="Times New Roman" w:cs="Times New Roman"/>
          <w:b/>
          <w:bCs/>
          <w:sz w:val="24"/>
          <w:szCs w:val="24"/>
        </w:rPr>
      </w:pPr>
      <w:r>
        <w:rPr>
          <w:rFonts w:ascii="Times New Roman" w:hAnsi="Times New Roman"/>
          <w:b/>
          <w:i/>
          <w:sz w:val="24"/>
          <w:u w:val="single"/>
        </w:rPr>
        <w:t>Construction sector</w:t>
      </w:r>
      <w:r>
        <w:rPr>
          <w:rFonts w:ascii="Times New Roman" w:hAnsi="Times New Roman"/>
          <w:b/>
          <w:i/>
          <w:sz w:val="24"/>
        </w:rPr>
        <w:t xml:space="preserve"> </w:t>
      </w:r>
    </w:p>
    <w:p w14:paraId="616A5E7A" w14:textId="77777777" w:rsidR="00067F7F" w:rsidRDefault="00067F7F" w:rsidP="00F027C0">
      <w:pPr>
        <w:jc w:val="both"/>
        <w:rPr>
          <w:rFonts w:ascii="Times New Roman" w:hAnsi="Times New Roman" w:cs="Times New Roman"/>
          <w:sz w:val="24"/>
          <w:szCs w:val="24"/>
        </w:rPr>
      </w:pPr>
    </w:p>
    <w:p w14:paraId="636F4B41" w14:textId="77777777" w:rsidR="00F515A7" w:rsidRPr="00513D80" w:rsidRDefault="00F515A7" w:rsidP="00F515A7">
      <w:pPr>
        <w:pStyle w:val="NormalWeb"/>
        <w:shd w:val="clear" w:color="auto" w:fill="FFFFFF"/>
        <w:spacing w:before="0" w:beforeAutospacing="0" w:after="0" w:afterAutospacing="0"/>
        <w:ind w:firstLine="720"/>
        <w:jc w:val="both"/>
        <w:rPr>
          <w:color w:val="000000" w:themeColor="text1"/>
        </w:rPr>
      </w:pPr>
      <w:r>
        <w:rPr>
          <w:color w:val="000000" w:themeColor="text1"/>
        </w:rPr>
        <w:t>According to the data at the disposal of the Central Statistical Bureau of Latvia, the added value of construction output declined by 11.3 per cent in 2022, caused by declines in all three subsectors in all four quarters of the year. During the year, the volumes of building construction decreased by 9.8 per cent, that of civil engineering by 13.1 per cent, including roads and railways by 8.5 per cent, urban infrastructure by 17.3 per cent and other civil engineering by 36.4 per cent. Specialised construction activities decreased by 11.3 per cent year-on-year, including demolition and site preparation by 26.9 per cent, electrical installation, piping and other similar activities by 7.8 per cent, construction completion works by 18 per cent and other specialised construction activities by 7.8 per cent. In addition, from the end of 2020 there is a steady rise in the price of construction materials, increasing the risk of the shadow economy in the sector. Compared to September 2020, there was an overall increase in construction costs by 10.0 per cent, including a 14.3 per cent increase in construction material prices.</w:t>
      </w:r>
    </w:p>
    <w:p w14:paraId="4D3A55E9" w14:textId="55C58ADB" w:rsidR="00F515A7" w:rsidRPr="00067F7F" w:rsidRDefault="00F515A7" w:rsidP="00067F7F">
      <w:pPr>
        <w:pStyle w:val="NormalWeb"/>
        <w:shd w:val="clear" w:color="auto" w:fill="FFFFFF"/>
        <w:spacing w:before="0" w:beforeAutospacing="0" w:after="0" w:afterAutospacing="0"/>
        <w:ind w:firstLine="720"/>
        <w:jc w:val="both"/>
        <w:rPr>
          <w:color w:val="000000" w:themeColor="text1"/>
        </w:rPr>
      </w:pPr>
      <w:r>
        <w:rPr>
          <w:color w:val="000000" w:themeColor="text1"/>
        </w:rPr>
        <w:t xml:space="preserve">Historically there has been a high level of the shadow economy in the construction sector, reaching 40 per cent in 2015. Since 2016, sector-focused measures have been consistently introduced to reduce the shadow economy in the construction sector, with the construction sector itself participating and contributing significantly to improving the business environment in the sector. From 2015 to 2020, smart and comprehensive measures to restrict the shadow economy in the construction sector, including the introduction of the EDLUS, have had a positive effect, reducing the shadow economy rate by 11.3 percentage points over the period of six years. </w:t>
      </w:r>
    </w:p>
    <w:p w14:paraId="03C40871" w14:textId="0FA41E8B" w:rsidR="00D31907" w:rsidRPr="00E35EFC" w:rsidRDefault="00847B75" w:rsidP="00067F7F">
      <w:pPr>
        <w:pStyle w:val="NormalWeb"/>
        <w:shd w:val="clear" w:color="auto" w:fill="FFFFFF"/>
        <w:spacing w:before="0" w:beforeAutospacing="0" w:after="0" w:afterAutospacing="0"/>
        <w:ind w:firstLine="633"/>
        <w:jc w:val="both"/>
        <w:rPr>
          <w:color w:val="000000" w:themeColor="text1"/>
        </w:rPr>
      </w:pPr>
      <w:r>
        <w:rPr>
          <w:noProof/>
          <w:lang w:val="lv-LV" w:eastAsia="zh-CN"/>
        </w:rPr>
        <mc:AlternateContent>
          <mc:Choice Requires="wps">
            <w:drawing>
              <wp:anchor distT="0" distB="0" distL="114300" distR="114300" simplePos="0" relativeHeight="251774976" behindDoc="0" locked="0" layoutInCell="1" allowOverlap="1" wp14:anchorId="108DBE1D" wp14:editId="61B45A81">
                <wp:simplePos x="0" y="0"/>
                <wp:positionH relativeFrom="margin">
                  <wp:posOffset>3409950</wp:posOffset>
                </wp:positionH>
                <wp:positionV relativeFrom="paragraph">
                  <wp:posOffset>2775585</wp:posOffset>
                </wp:positionV>
                <wp:extent cx="998220" cy="205740"/>
                <wp:effectExtent l="0" t="0" r="0" b="3810"/>
                <wp:wrapNone/>
                <wp:docPr id="1027168893" name="Text Box 1027168893"/>
                <wp:cNvGraphicFramePr/>
                <a:graphic xmlns:a="http://schemas.openxmlformats.org/drawingml/2006/main">
                  <a:graphicData uri="http://schemas.microsoft.com/office/word/2010/wordprocessingShape">
                    <wps:wsp>
                      <wps:cNvSpPr txBox="1"/>
                      <wps:spPr>
                        <a:xfrm>
                          <a:off x="0" y="0"/>
                          <a:ext cx="998220" cy="2057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C9617D" w14:textId="55BB52E9" w:rsidR="00847B75" w:rsidRPr="001B3507" w:rsidRDefault="00847B75" w:rsidP="00847B75">
                            <w:pPr>
                              <w:ind w:left="-142"/>
                              <w:rPr>
                                <w:rFonts w:asciiTheme="minorBidi" w:hAnsiTheme="minorBidi"/>
                                <w:sz w:val="14"/>
                                <w:szCs w:val="14"/>
                                <w:lang w:val="lv-LV"/>
                              </w:rPr>
                            </w:pPr>
                            <w:r>
                              <w:rPr>
                                <w:rFonts w:asciiTheme="minorBidi" w:hAnsiTheme="minorBidi"/>
                                <w:sz w:val="14"/>
                                <w:szCs w:val="14"/>
                                <w:lang w:val="lv-LV"/>
                              </w:rPr>
                              <w:t>Construction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DBE1D" id="Text Box 1027168893" o:spid="_x0000_s1081" type="#_x0000_t202" style="position:absolute;left:0;text-align:left;margin-left:268.5pt;margin-top:218.55pt;width:78.6pt;height:16.2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" fillcolor="white [3212]" stroked="f" strokeweight=".5pt">
                <v:textbox>
                  <w:txbxContent>
                    <w:p w14:paraId="66C9617D" w14:textId="55BB52E9" w:rsidR="00847B75" w:rsidRPr="001B3507" w:rsidRDefault="00847B75" w:rsidP="00847B75">
                      <w:pPr>
                        <w:ind w:left="-142"/>
                        <w:rPr>
                          <w:rFonts w:asciiTheme="minorBidi" w:hAnsiTheme="minorBidi"/>
                          <w:sz w:val="14"/>
                          <w:szCs w:val="14"/>
                          <w:lang w:val="lv-LV"/>
                        </w:rPr>
                      </w:pPr>
                      <w:r>
                        <w:rPr>
                          <w:rFonts w:asciiTheme="minorBidi" w:hAnsiTheme="minorBidi"/>
                          <w:sz w:val="14"/>
                          <w:szCs w:val="14"/>
                          <w:lang w:val="lv-LV"/>
                        </w:rPr>
                        <w:t>Construction sector</w:t>
                      </w:r>
                    </w:p>
                  </w:txbxContent>
                </v:textbox>
                <w10:wrap anchorx="margin"/>
              </v:shape>
            </w:pict>
          </mc:Fallback>
        </mc:AlternateContent>
      </w:r>
      <w:r>
        <w:rPr>
          <w:noProof/>
          <w:lang w:val="lv-LV" w:eastAsia="zh-CN"/>
        </w:rPr>
        <mc:AlternateContent>
          <mc:Choice Requires="wps">
            <w:drawing>
              <wp:anchor distT="0" distB="0" distL="114300" distR="114300" simplePos="0" relativeHeight="251772928" behindDoc="0" locked="0" layoutInCell="1" allowOverlap="1" wp14:anchorId="2BC0B348" wp14:editId="0CF5EA00">
                <wp:simplePos x="0" y="0"/>
                <wp:positionH relativeFrom="margin">
                  <wp:posOffset>2164080</wp:posOffset>
                </wp:positionH>
                <wp:positionV relativeFrom="paragraph">
                  <wp:posOffset>2777490</wp:posOffset>
                </wp:positionV>
                <wp:extent cx="434340" cy="198120"/>
                <wp:effectExtent l="0" t="0" r="3810" b="0"/>
                <wp:wrapNone/>
                <wp:docPr id="1027168892" name="Text Box 1027168892"/>
                <wp:cNvGraphicFramePr/>
                <a:graphic xmlns:a="http://schemas.openxmlformats.org/drawingml/2006/main">
                  <a:graphicData uri="http://schemas.microsoft.com/office/word/2010/wordprocessingShape">
                    <wps:wsp>
                      <wps:cNvSpPr txBox="1"/>
                      <wps:spPr>
                        <a:xfrm>
                          <a:off x="0" y="0"/>
                          <a:ext cx="434340" cy="1981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D3718" w14:textId="77777777" w:rsidR="00847B75" w:rsidRPr="001B3507" w:rsidRDefault="00847B75" w:rsidP="00847B75">
                            <w:pPr>
                              <w:ind w:left="-142"/>
                              <w:rPr>
                                <w:rFonts w:asciiTheme="minorBidi" w:hAnsiTheme="minorBidi"/>
                                <w:sz w:val="14"/>
                                <w:szCs w:val="14"/>
                                <w:lang w:val="lv-LV"/>
                              </w:rPr>
                            </w:pPr>
                            <w:r w:rsidRPr="001B3507">
                              <w:rPr>
                                <w:rFonts w:asciiTheme="minorBidi" w:hAnsiTheme="minorBidi"/>
                                <w:sz w:val="14"/>
                                <w:szCs w:val="14"/>
                                <w:lang w:val="lv-LV"/>
                              </w:rPr>
                              <w:t>Latvia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0B348" id="Text Box 1027168892" o:spid="_x0000_s1082" type="#_x0000_t202" style="position:absolute;left:0;text-align:left;margin-left:170.4pt;margin-top:218.7pt;width:34.2pt;height:15.6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" fillcolor="white [3212]" stroked="f" strokeweight=".5pt">
                <v:textbox>
                  <w:txbxContent>
                    <w:p w14:paraId="040D3718" w14:textId="77777777" w:rsidR="00847B75" w:rsidRPr="001B3507" w:rsidRDefault="00847B75" w:rsidP="00847B75">
                      <w:pPr>
                        <w:ind w:left="-142"/>
                        <w:rPr>
                          <w:rFonts w:asciiTheme="minorBidi" w:hAnsiTheme="minorBidi"/>
                          <w:sz w:val="14"/>
                          <w:szCs w:val="14"/>
                          <w:lang w:val="lv-LV"/>
                        </w:rPr>
                      </w:pPr>
                      <w:r w:rsidRPr="001B3507">
                        <w:rPr>
                          <w:rFonts w:asciiTheme="minorBidi" w:hAnsiTheme="minorBidi"/>
                          <w:sz w:val="14"/>
                          <w:szCs w:val="14"/>
                          <w:lang w:val="lv-LV"/>
                        </w:rPr>
                        <w:t>Latvia</w:t>
                      </w:r>
                    </w:p>
                  </w:txbxContent>
                </v:textbox>
                <w10:wrap anchorx="margin"/>
              </v:shape>
            </w:pict>
          </mc:Fallback>
        </mc:AlternateContent>
      </w:r>
      <w:r w:rsidR="00624CE3">
        <w:rPr>
          <w:noProof/>
          <w:color w:val="000000" w:themeColor="text1"/>
          <w:lang w:val="lv-LV" w:eastAsia="zh-CN"/>
        </w:rPr>
        <w:drawing>
          <wp:anchor distT="0" distB="0" distL="114300" distR="114300" simplePos="0" relativeHeight="251663360" behindDoc="0" locked="0" layoutInCell="1" allowOverlap="1" wp14:anchorId="7196F214" wp14:editId="0415A854">
            <wp:simplePos x="0" y="0"/>
            <wp:positionH relativeFrom="column">
              <wp:posOffset>32385</wp:posOffset>
            </wp:positionH>
            <wp:positionV relativeFrom="paragraph">
              <wp:posOffset>843915</wp:posOffset>
            </wp:positionV>
            <wp:extent cx="6248400" cy="2186305"/>
            <wp:effectExtent l="0" t="0" r="0" b="4445"/>
            <wp:wrapSquare wrapText="bothSides"/>
            <wp:docPr id="1003860131" name="Chart 1">
              <a:extLst xmlns:a="http://schemas.openxmlformats.org/drawingml/2006/main">
                <a:ext uri="{FF2B5EF4-FFF2-40B4-BE49-F238E27FC236}">
                  <a16:creationId xmlns:a16="http://schemas.microsoft.com/office/drawing/2014/main" id="{E72F8488-3BC6-46AA-9AAB-D1EFE2BAC5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624CE3">
        <w:rPr>
          <w:color w:val="000000" w:themeColor="text1"/>
        </w:rPr>
        <w:t>According to the results of SSE Riga Centre for Sustainable Business researcher prof. A. Sauka and prof. T. Putniņš research “Shadow Economy Index for the Baltic Countries 2009–2022”</w:t>
      </w:r>
      <w:r w:rsidR="00D31907" w:rsidRPr="00067F7F">
        <w:rPr>
          <w:color w:val="000000" w:themeColor="text1"/>
          <w:vertAlign w:val="superscript"/>
        </w:rPr>
        <w:footnoteReference w:id="31"/>
      </w:r>
      <w:r w:rsidR="00624CE3">
        <w:rPr>
          <w:color w:val="000000" w:themeColor="text1"/>
        </w:rPr>
        <w:t xml:space="preserve">, the share of the shadow economy in the construction sector increased to 31.2 per cent in 2021 and by another 3.3 per cent in 2022, reaching 34.5 per cent (Figure 16). </w:t>
      </w:r>
    </w:p>
    <w:p w14:paraId="2E5CCE16" w14:textId="398DCAA6" w:rsidR="00C80F95" w:rsidRPr="00CF36A6" w:rsidRDefault="009E1E25" w:rsidP="00D31907">
      <w:pPr>
        <w:jc w:val="both"/>
        <w:rPr>
          <w:rFonts w:ascii="Times New Roman" w:eastAsia="+mn-ea" w:hAnsi="Times New Roman" w:cs="Times New Roman"/>
          <w:bCs/>
          <w:i/>
          <w:iCs/>
          <w:color w:val="000000" w:themeColor="text1"/>
          <w:kern w:val="24"/>
          <w:sz w:val="20"/>
          <w:szCs w:val="20"/>
          <w14:ligatures w14:val="none"/>
        </w:rPr>
      </w:pPr>
      <w:r>
        <w:rPr>
          <w:rFonts w:ascii="Times New Roman" w:hAnsi="Times New Roman"/>
          <w:i/>
          <w:color w:val="000000" w:themeColor="text1"/>
          <w:sz w:val="20"/>
        </w:rPr>
        <w:t>Figure 16. Shadow Economy Index in Latvia and the construction sector from 2015 to 2022, % of GDP.</w:t>
      </w:r>
    </w:p>
    <w:p w14:paraId="2CF05246" w14:textId="0D5135B7" w:rsidR="00C80F95" w:rsidRDefault="00C80F95" w:rsidP="00D31907">
      <w:pPr>
        <w:jc w:val="both"/>
        <w:rPr>
          <w:rFonts w:ascii="Times New Roman" w:eastAsia="+mn-ea" w:hAnsi="Times New Roman" w:cs="Times New Roman"/>
          <w:bCs/>
          <w:i/>
          <w:iCs/>
          <w:color w:val="002060"/>
          <w:kern w:val="24"/>
          <w:sz w:val="20"/>
          <w:szCs w:val="20"/>
          <w:lang w:eastAsia="lv-LV"/>
          <w14:ligatures w14:val="none"/>
        </w:rPr>
      </w:pPr>
    </w:p>
    <w:p w14:paraId="4D83ED4D" w14:textId="1316F115" w:rsidR="00F027C0" w:rsidRPr="00F027C0" w:rsidRDefault="000E434F" w:rsidP="00E35EFC">
      <w:pPr>
        <w:ind w:firstLine="720"/>
        <w:jc w:val="both"/>
        <w:rPr>
          <w:color w:val="000000" w:themeColor="text1"/>
        </w:rPr>
      </w:pPr>
      <w:r>
        <w:rPr>
          <w:rFonts w:ascii="Times New Roman" w:hAnsi="Times New Roman"/>
          <w:color w:val="000000" w:themeColor="text1"/>
          <w:sz w:val="24"/>
        </w:rPr>
        <w:t>Despite being one of the least affected sectors by the COVID-19 pandemic, construction continues to be affected by the global impact of the pandemic, with a continued decline in construction output in 2021. In 2022, Russia launched its military aggression against Ukraine and caused significant turbulence in the construction sector, with inflation reaching 28 per cent in some segments, making it very difficult to meet contractual commitments, including in public infrastructure projects. It should be noted that the cost of construction products increased the most, but labour costs also rose sharply, putting a heavy financial burden on the companies operating in the sector. An analysis of the conditions in the construction sector suggests that as the sector stabilises and businesses regain confidence, the share of the shadow economy will naturally start to decline</w:t>
      </w:r>
      <w:r>
        <w:rPr>
          <w:color w:val="000000" w:themeColor="text1"/>
        </w:rPr>
        <w:t xml:space="preserve">. </w:t>
      </w:r>
    </w:p>
    <w:p w14:paraId="7D0888EC" w14:textId="406F8492" w:rsidR="00B72506" w:rsidRPr="00067F7F" w:rsidRDefault="00F027C0" w:rsidP="00B72506">
      <w:pPr>
        <w:ind w:firstLine="720"/>
        <w:jc w:val="both"/>
        <w:rPr>
          <w:rFonts w:ascii="Times New Roman" w:hAnsi="Times New Roman" w:cs="Times New Roman"/>
          <w:color w:val="002060"/>
          <w:kern w:val="0"/>
          <w:sz w:val="28"/>
          <w:szCs w:val="28"/>
          <w14:ligatures w14:val="none"/>
        </w:rPr>
      </w:pPr>
      <w:r>
        <w:rPr>
          <w:rFonts w:ascii="Times New Roman" w:hAnsi="Times New Roman"/>
          <w:color w:val="000000" w:themeColor="text1"/>
          <w:sz w:val="24"/>
        </w:rPr>
        <w:t xml:space="preserve">However, to achieve an adequate reduction in the shadow economy, which is vital for the competitiveness of the sector, it would be necessary to improve the functioning of existing measures and to introduce additional measures in segments not covered by existing measures or where they fail to have an adequate impact. </w:t>
      </w:r>
    </w:p>
    <w:p w14:paraId="49126483" w14:textId="5D4E17DF" w:rsidR="00B72506" w:rsidRPr="00067F7F" w:rsidRDefault="00B72506" w:rsidP="00B72506">
      <w:pPr>
        <w:ind w:firstLine="720"/>
        <w:jc w:val="both"/>
        <w:rPr>
          <w:rFonts w:ascii="Times New Roman" w:hAnsi="Times New Roman" w:cs="Times New Roman"/>
          <w:color w:val="000000" w:themeColor="text1"/>
          <w:kern w:val="0"/>
          <w:sz w:val="24"/>
          <w:szCs w:val="24"/>
          <w14:ligatures w14:val="none"/>
        </w:rPr>
      </w:pPr>
      <w:r>
        <w:rPr>
          <w:rFonts w:ascii="Times New Roman" w:hAnsi="Times New Roman"/>
          <w:color w:val="000000" w:themeColor="text1"/>
          <w:sz w:val="24"/>
        </w:rPr>
        <w:t xml:space="preserve">In addition, the commitment of the construction sector to continue with the measures started to restrict the shadow economy and to develop new ones is positive, given the short-term trend of an increasing share of the shadow economy in the construction sector. </w:t>
      </w:r>
    </w:p>
    <w:p w14:paraId="08A84D46" w14:textId="5B186C1A" w:rsidR="00F027C0" w:rsidRPr="00F027C0" w:rsidRDefault="00E249C3" w:rsidP="00067F7F">
      <w:pPr>
        <w:pStyle w:val="NormalWeb"/>
        <w:shd w:val="clear" w:color="auto" w:fill="FFFFFF"/>
        <w:spacing w:before="0" w:beforeAutospacing="0" w:after="0" w:afterAutospacing="0"/>
        <w:ind w:firstLine="709"/>
        <w:jc w:val="both"/>
        <w:rPr>
          <w:color w:val="000000" w:themeColor="text1"/>
        </w:rPr>
      </w:pPr>
      <w:r>
        <w:rPr>
          <w:color w:val="000000" w:themeColor="text1"/>
        </w:rPr>
        <w:t xml:space="preserve">When analysing the </w:t>
      </w:r>
      <w:r>
        <w:t xml:space="preserve">measures </w:t>
      </w:r>
      <w:r>
        <w:rPr>
          <w:color w:val="000000" w:themeColor="text1"/>
        </w:rPr>
        <w:t xml:space="preserve">taken in the past </w:t>
      </w:r>
      <w:r>
        <w:t>to restrict the shadow economy, the working group</w:t>
      </w:r>
      <w:r>
        <w:rPr>
          <w:color w:val="000000" w:themeColor="text1"/>
        </w:rPr>
        <w:t xml:space="preserve"> concluded that, overall, the measures taken in the construction sector were effective, yet some improvements were necessity in the future. The two most effective measures are the introduction of the EDLUS and a general binding agreement setting a sector-specific minimum wage.</w:t>
      </w:r>
    </w:p>
    <w:p w14:paraId="268E30C4" w14:textId="77777777" w:rsidR="00B05BD4" w:rsidRDefault="00DC60F9" w:rsidP="00F515A7">
      <w:pPr>
        <w:pStyle w:val="NormalWeb"/>
        <w:shd w:val="clear" w:color="auto" w:fill="FFFFFF"/>
        <w:spacing w:before="0" w:beforeAutospacing="0" w:after="0" w:afterAutospacing="0"/>
        <w:ind w:firstLine="709"/>
        <w:jc w:val="both"/>
        <w:rPr>
          <w:color w:val="000000" w:themeColor="text1"/>
        </w:rPr>
      </w:pPr>
      <w:r>
        <w:rPr>
          <w:color w:val="000000" w:themeColor="text1"/>
        </w:rPr>
        <w:t>What regards the use of the EDLUS and records in labour tax administration processes, the working group proposed measures to strengthen the control of the introduction of the EDLUS. According to the VEDLUDB data, only one third of construction contractors provide their services on sites subject to the EDLUS. Accordingly, two thirds of the construction contractors operate on sites where the EDLUS is not in place.</w:t>
      </w:r>
    </w:p>
    <w:p w14:paraId="38CF4FA7" w14:textId="45DA8617" w:rsidR="00BA13BE" w:rsidRDefault="00B05BD4" w:rsidP="00BA13BE">
      <w:pPr>
        <w:pStyle w:val="NormalWeb"/>
        <w:shd w:val="clear" w:color="auto" w:fill="FFFFFF"/>
        <w:spacing w:before="0" w:beforeAutospacing="0" w:after="0" w:afterAutospacing="0"/>
        <w:ind w:firstLine="709"/>
        <w:jc w:val="both"/>
        <w:rPr>
          <w:color w:val="000000" w:themeColor="text1"/>
        </w:rPr>
      </w:pPr>
      <w:r>
        <w:rPr>
          <w:color w:val="000000" w:themeColor="text1"/>
        </w:rPr>
        <w:t>In order to ensure greater transparency in the sector, amendments to the law On Taxes and Fees were adopted on 22 June 2023, requiring the construction contractors to register in the EDLUS and submit to the VEDLUDB information on settlements made with subcontractors under construction contracts. Information on contracts and settlements will contribute to a stable financial flow in the fulfilment of construction contracts, in particular for small and medium-sized enterprises, and also to their gradual exit from the shadow economy.</w:t>
      </w:r>
    </w:p>
    <w:p w14:paraId="39FF824C" w14:textId="409372BE" w:rsidR="00F515A7" w:rsidRDefault="00DC60F9" w:rsidP="00F515A7">
      <w:pPr>
        <w:pStyle w:val="NormalWeb"/>
        <w:shd w:val="clear" w:color="auto" w:fill="FFFFFF"/>
        <w:spacing w:before="0" w:beforeAutospacing="0" w:after="0" w:afterAutospacing="0"/>
        <w:ind w:firstLine="709"/>
        <w:jc w:val="both"/>
        <w:rPr>
          <w:color w:val="000000" w:themeColor="text1"/>
        </w:rPr>
      </w:pPr>
      <w:r>
        <w:rPr>
          <w:color w:val="000000" w:themeColor="text1"/>
        </w:rPr>
        <w:t>At current construction prices and taking into account that the EDLUS has to be implemented in all construction works of group III structures and also in all construction works with a value exceeding EUR 350,000, it can be concluded that the EDLUS has not been implemented in all sites where it has to be implemented under the law On Taxes and Fees. In order to improve the functioning of the EDLUS framework and also its performance in restricting the shadow economy, it would be necessary to further:</w:t>
      </w:r>
    </w:p>
    <w:p w14:paraId="2674A4FA" w14:textId="01685A2E" w:rsidR="00F515A7" w:rsidRDefault="00DC60F9" w:rsidP="00067F7F">
      <w:pPr>
        <w:pStyle w:val="NormalWeb"/>
        <w:numPr>
          <w:ilvl w:val="0"/>
          <w:numId w:val="17"/>
        </w:numPr>
        <w:shd w:val="clear" w:color="auto" w:fill="FFFFFF"/>
        <w:spacing w:before="0" w:beforeAutospacing="0" w:after="0" w:afterAutospacing="0"/>
        <w:ind w:left="993" w:hanging="284"/>
        <w:jc w:val="both"/>
        <w:rPr>
          <w:color w:val="000000" w:themeColor="text1"/>
        </w:rPr>
      </w:pPr>
      <w:r>
        <w:rPr>
          <w:color w:val="000000" w:themeColor="text1"/>
        </w:rPr>
        <w:t>enhance and strengthen the supervision of the implementation of the EDLUS through regular inspections of construction sites;</w:t>
      </w:r>
    </w:p>
    <w:p w14:paraId="623EFA76" w14:textId="431C2B85" w:rsidR="00CE0D9B" w:rsidRDefault="00DC60F9" w:rsidP="00CE0D9B">
      <w:pPr>
        <w:pStyle w:val="NormalWeb"/>
        <w:numPr>
          <w:ilvl w:val="0"/>
          <w:numId w:val="17"/>
        </w:numPr>
        <w:shd w:val="clear" w:color="auto" w:fill="FFFFFF"/>
        <w:spacing w:before="0" w:beforeAutospacing="0" w:after="0" w:afterAutospacing="0"/>
        <w:ind w:left="993" w:hanging="284"/>
        <w:jc w:val="both"/>
        <w:rPr>
          <w:color w:val="000000" w:themeColor="text1"/>
        </w:rPr>
      </w:pPr>
      <w:r>
        <w:rPr>
          <w:color w:val="000000" w:themeColor="text1"/>
        </w:rPr>
        <w:t>continue to base this supervision on risk assessments and analysis, making greater use of data from the construction information system where necessary.</w:t>
      </w:r>
    </w:p>
    <w:p w14:paraId="5D6A262C" w14:textId="39FBA8A7" w:rsidR="00E55B4B" w:rsidRPr="00CE0D9B" w:rsidRDefault="00E55B4B" w:rsidP="00CE0D9B">
      <w:pPr>
        <w:pStyle w:val="NormalWeb"/>
        <w:shd w:val="clear" w:color="auto" w:fill="FFFFFF"/>
        <w:spacing w:before="0" w:beforeAutospacing="0" w:after="0" w:afterAutospacing="0"/>
        <w:ind w:firstLine="709"/>
        <w:jc w:val="both"/>
        <w:rPr>
          <w:color w:val="000000" w:themeColor="text1"/>
        </w:rPr>
      </w:pPr>
      <w:r>
        <w:rPr>
          <w:color w:val="000000" w:themeColor="text1"/>
        </w:rPr>
        <w:t xml:space="preserve">The EDLUS is one of the most effective tools to reduce the shadow economy, but only under the condition that the use of the EDLUS is supervised and companies are aware of the serious consequences if the EDLUS is not used on construction site in accordance with the regulations. </w:t>
      </w:r>
    </w:p>
    <w:p w14:paraId="701509EA" w14:textId="77777777" w:rsidR="00E55B4B" w:rsidRDefault="00E55B4B" w:rsidP="00F027C0">
      <w:pPr>
        <w:pStyle w:val="NormalWeb"/>
        <w:shd w:val="clear" w:color="auto" w:fill="FFFFFF"/>
        <w:spacing w:before="0" w:beforeAutospacing="0" w:after="0" w:afterAutospacing="0"/>
        <w:ind w:firstLine="720"/>
        <w:jc w:val="both"/>
        <w:rPr>
          <w:color w:val="000000" w:themeColor="text1"/>
        </w:rPr>
      </w:pPr>
    </w:p>
    <w:p w14:paraId="0046E52D" w14:textId="0470A275" w:rsidR="00974FC0" w:rsidRDefault="00974FC0" w:rsidP="00F027C0">
      <w:pPr>
        <w:pStyle w:val="NormalWeb"/>
        <w:shd w:val="clear" w:color="auto" w:fill="FFFFFF"/>
        <w:spacing w:before="0" w:beforeAutospacing="0" w:after="0" w:afterAutospacing="0"/>
        <w:ind w:firstLine="720"/>
        <w:jc w:val="both"/>
        <w:rPr>
          <w:color w:val="000000" w:themeColor="text1"/>
        </w:rPr>
      </w:pPr>
      <w:r>
        <w:rPr>
          <w:color w:val="000000" w:themeColor="text1"/>
        </w:rPr>
        <w:t>It should be noted that the measures introduced in the construction sector until now have mainly targeted large construction sites. In order to achieve more effective restriction of the shadow economy, the draft plan includes a number of measures that can be applied to different sizes of construction sites according to the construction process, divided into three relative groups: continuing the measures for large construction sites and also focusing on medium-sized and small construction sites.</w:t>
      </w:r>
    </w:p>
    <w:p w14:paraId="6E80680E" w14:textId="77777777" w:rsidR="00E57689" w:rsidRDefault="00E57689" w:rsidP="00070DB6">
      <w:pPr>
        <w:jc w:val="both"/>
        <w:rPr>
          <w:rFonts w:ascii="Times New Roman" w:hAnsi="Times New Roman" w:cs="Times New Roman"/>
          <w:sz w:val="24"/>
          <w:szCs w:val="24"/>
        </w:rPr>
      </w:pPr>
    </w:p>
    <w:p w14:paraId="72577907" w14:textId="77777777" w:rsidR="00E35EFC" w:rsidRDefault="00E35EFC" w:rsidP="00070DB6">
      <w:pPr>
        <w:jc w:val="both"/>
        <w:rPr>
          <w:rFonts w:ascii="Times New Roman" w:hAnsi="Times New Roman" w:cs="Times New Roman"/>
          <w:sz w:val="24"/>
          <w:szCs w:val="24"/>
        </w:rPr>
      </w:pPr>
    </w:p>
    <w:p w14:paraId="4AF08B2A" w14:textId="69AE213F" w:rsidR="003746BA" w:rsidRPr="007756A9" w:rsidRDefault="003746BA" w:rsidP="003746BA">
      <w:pPr>
        <w:pStyle w:val="Heading2"/>
        <w:rPr>
          <w:rFonts w:ascii="Times New Roman" w:hAnsi="Times New Roman" w:cs="Times New Roman"/>
        </w:rPr>
      </w:pPr>
      <w:bookmarkStart w:id="10" w:name="_Toc166237503"/>
      <w:r>
        <w:rPr>
          <w:rFonts w:ascii="Times New Roman" w:hAnsi="Times New Roman"/>
        </w:rPr>
        <w:t>2.3. Scenarios and measures for reducing the shadow economy</w:t>
      </w:r>
      <w:bookmarkEnd w:id="10"/>
    </w:p>
    <w:p w14:paraId="7026BDC9" w14:textId="77777777" w:rsidR="007252CC" w:rsidRPr="00E35EFC" w:rsidRDefault="007252CC" w:rsidP="0049462E">
      <w:pPr>
        <w:rPr>
          <w:rFonts w:ascii="Times New Roman" w:hAnsi="Times New Roman" w:cs="Times New Roman"/>
          <w:color w:val="000000" w:themeColor="text1"/>
          <w:sz w:val="24"/>
          <w:szCs w:val="24"/>
          <w:u w:val="single"/>
        </w:rPr>
      </w:pPr>
    </w:p>
    <w:p w14:paraId="37F775AC" w14:textId="1F13B19C" w:rsidR="0049462E" w:rsidRDefault="00D35D94" w:rsidP="0049462E">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Recognising that there are different approaches and methods for measuring the shadow economy, this plan uses data from the Austrian study by professor F. Schneider as a reference in developing possible scenarios for reducing the shadow economy by 2027, thus allowing a comparison with more than 30 countries, both European and global, and also comparison with the average indicators of European countries.</w:t>
      </w:r>
    </w:p>
    <w:p w14:paraId="4F83EAED" w14:textId="77777777" w:rsidR="00570326" w:rsidRDefault="00570326" w:rsidP="0049462E">
      <w:pPr>
        <w:ind w:firstLine="720"/>
        <w:jc w:val="both"/>
        <w:rPr>
          <w:rFonts w:ascii="Times New Roman" w:hAnsi="Times New Roman" w:cs="Times New Roman"/>
          <w:color w:val="000000" w:themeColor="text1"/>
          <w:sz w:val="24"/>
          <w:szCs w:val="24"/>
        </w:rPr>
      </w:pPr>
    </w:p>
    <w:p w14:paraId="291338C2" w14:textId="77777777" w:rsidR="00570326" w:rsidRPr="00290418" w:rsidRDefault="00570326" w:rsidP="00570326">
      <w:pPr>
        <w:ind w:firstLine="360"/>
        <w:jc w:val="both"/>
        <w:rPr>
          <w:rFonts w:ascii="Times New Roman" w:hAnsi="Times New Roman" w:cs="Times New Roman"/>
          <w:sz w:val="24"/>
          <w:szCs w:val="24"/>
        </w:rPr>
      </w:pPr>
      <w:r>
        <w:rPr>
          <w:rFonts w:ascii="Times New Roman" w:hAnsi="Times New Roman"/>
          <w:sz w:val="24"/>
        </w:rPr>
        <w:t>Several factors need to be taken into account when choosing a target scenario for reducing the size of the shadow economy:</w:t>
      </w:r>
    </w:p>
    <w:p w14:paraId="2C0CE279" w14:textId="27430EA0" w:rsidR="00570326" w:rsidRDefault="00570326" w:rsidP="004230D7">
      <w:pPr>
        <w:pStyle w:val="ListParagraph"/>
        <w:numPr>
          <w:ilvl w:val="0"/>
          <w:numId w:val="3"/>
        </w:numPr>
        <w:jc w:val="both"/>
        <w:rPr>
          <w:rFonts w:ascii="Times New Roman" w:hAnsi="Times New Roman" w:cs="Times New Roman"/>
          <w:sz w:val="24"/>
          <w:szCs w:val="24"/>
        </w:rPr>
      </w:pPr>
      <w:r>
        <w:rPr>
          <w:rFonts w:ascii="Times New Roman" w:hAnsi="Times New Roman"/>
          <w:sz w:val="24"/>
        </w:rPr>
        <w:t>In Latvia, most macroeconomic indicators are below the EU average, so these indicators have a greater impact on the shadow economy in Latvia than on average in other EU countries. In 2022, GDP per capita in the EU-27 was EUR 28 820, while in Latvia it was EUR 13 320, 56 per cent lower than in the EU-27</w:t>
      </w:r>
      <w:r>
        <w:rPr>
          <w:rStyle w:val="FootnoteReference"/>
          <w:rFonts w:ascii="Times New Roman" w:hAnsi="Times New Roman" w:cs="Times New Roman"/>
          <w:sz w:val="24"/>
          <w:szCs w:val="24"/>
        </w:rPr>
        <w:footnoteReference w:id="32"/>
      </w:r>
      <w:r>
        <w:rPr>
          <w:rFonts w:ascii="Times New Roman" w:hAnsi="Times New Roman"/>
          <w:sz w:val="24"/>
        </w:rPr>
        <w:t>. The potential for reducing the size of the shadow economy would naturally be comparable. Latvia is unlikely to reach the EU average size of the shadow economy without reaching the EU average GDP over the same period.</w:t>
      </w:r>
    </w:p>
    <w:p w14:paraId="6175243F" w14:textId="3C8CF956" w:rsidR="00570326" w:rsidRPr="00290418" w:rsidRDefault="00570326" w:rsidP="004230D7">
      <w:pPr>
        <w:pStyle w:val="ListParagraph"/>
        <w:numPr>
          <w:ilvl w:val="0"/>
          <w:numId w:val="3"/>
        </w:numPr>
        <w:jc w:val="both"/>
        <w:rPr>
          <w:rFonts w:ascii="Times New Roman" w:hAnsi="Times New Roman" w:cs="Times New Roman"/>
          <w:sz w:val="24"/>
          <w:szCs w:val="24"/>
        </w:rPr>
      </w:pPr>
      <w:r>
        <w:rPr>
          <w:rFonts w:ascii="Times New Roman" w:hAnsi="Times New Roman"/>
          <w:sz w:val="24"/>
        </w:rPr>
        <w:t>The national research programme “Reduction of the Hidden Economy for Ensuring Sustainable Economic Development” concludes that the reduction projected under the preferred model would be around one percentage point over the next four years (note by the MoF: the research does not distinguish the public sector where the shadow economy is unlikely), but could be significantly higher than this ‘natural tendency’ if policy actions to reduce the shadow economy are successfully implemented.</w:t>
      </w:r>
      <w:r>
        <w:rPr>
          <w:rStyle w:val="FootnoteReference"/>
          <w:rFonts w:ascii="Times New Roman" w:hAnsi="Times New Roman" w:cs="Times New Roman"/>
          <w:sz w:val="24"/>
          <w:szCs w:val="24"/>
        </w:rPr>
        <w:footnoteReference w:id="33"/>
      </w:r>
      <w:r>
        <w:rPr>
          <w:rFonts w:ascii="Times New Roman" w:hAnsi="Times New Roman"/>
          <w:sz w:val="24"/>
        </w:rPr>
        <w:t xml:space="preserve"> The projected reduction in the shadow economy would mitigate the recent increase in the shadow economy that emerged during the COVID-19 pandemic and continue the long-term trend of a gradual decline in the level of the shadow economy.</w:t>
      </w:r>
    </w:p>
    <w:p w14:paraId="7203C265" w14:textId="68EB6B56" w:rsidR="00570326" w:rsidRDefault="00570326" w:rsidP="004230D7">
      <w:pPr>
        <w:pStyle w:val="ListParagraph"/>
        <w:numPr>
          <w:ilvl w:val="0"/>
          <w:numId w:val="3"/>
        </w:numPr>
        <w:jc w:val="both"/>
        <w:rPr>
          <w:rFonts w:ascii="Times New Roman" w:hAnsi="Times New Roman" w:cs="Times New Roman"/>
          <w:sz w:val="24"/>
          <w:szCs w:val="24"/>
        </w:rPr>
      </w:pPr>
      <w:r>
        <w:rPr>
          <w:rFonts w:ascii="Times New Roman" w:hAnsi="Times New Roman"/>
          <w:sz w:val="24"/>
        </w:rPr>
        <w:t>Tax morale in Latvia is lower than in Lithuania and Estonia (as evidenced by prof. A. Sauka research and the report by the European Parliament Committee on Fiscal Affairs), while changing people’s habits usually takes longer.</w:t>
      </w:r>
    </w:p>
    <w:p w14:paraId="15A24543" w14:textId="77777777" w:rsidR="006C4426" w:rsidRPr="006C4426" w:rsidRDefault="006C4426" w:rsidP="006C4426">
      <w:pPr>
        <w:pStyle w:val="ListParagraph"/>
        <w:numPr>
          <w:ilvl w:val="0"/>
          <w:numId w:val="3"/>
        </w:num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The costs for ensuring the tax administration function increases with each successive supervision reinforcing measure, making each collected euro more expensive. Accordingly, the State should assess the implementation of effective measures, weighing up all the benefits for the public interest.</w:t>
      </w:r>
    </w:p>
    <w:p w14:paraId="0D47D304" w14:textId="77777777" w:rsidR="006C4426" w:rsidRPr="006C4426" w:rsidRDefault="006C4426" w:rsidP="006C4426">
      <w:pPr>
        <w:pStyle w:val="ListParagraph"/>
        <w:numPr>
          <w:ilvl w:val="0"/>
          <w:numId w:val="3"/>
        </w:numPr>
        <w:jc w:val="both"/>
        <w:rPr>
          <w:rFonts w:ascii="Times New Roman" w:hAnsi="Times New Roman" w:cs="Times New Roman"/>
          <w:color w:val="000000" w:themeColor="text1"/>
          <w:sz w:val="24"/>
          <w:szCs w:val="24"/>
        </w:rPr>
      </w:pPr>
      <w:r>
        <w:rPr>
          <w:rFonts w:ascii="Times New Roman" w:hAnsi="Times New Roman"/>
          <w:color w:val="000000" w:themeColor="text1"/>
          <w:sz w:val="24"/>
        </w:rPr>
        <w:t>Whatever measures are implemented to reduce the shadow economy, there will always be individuals operating in the grey sector who will purposefully seek to continue to evade taxes and remain outside the formal economy by changing their behaviour and using other tools and techniques.</w:t>
      </w:r>
    </w:p>
    <w:p w14:paraId="1776F25C" w14:textId="3328ADB1" w:rsidR="006C4426" w:rsidRDefault="006C4426" w:rsidP="006C4426">
      <w:pPr>
        <w:pStyle w:val="NormalWeb"/>
        <w:numPr>
          <w:ilvl w:val="0"/>
          <w:numId w:val="3"/>
        </w:numPr>
        <w:spacing w:before="0" w:beforeAutospacing="0" w:after="0" w:afterAutospacing="0"/>
        <w:jc w:val="both"/>
        <w:rPr>
          <w:color w:val="000000" w:themeColor="text1"/>
        </w:rPr>
      </w:pPr>
      <w:r>
        <w:rPr>
          <w:color w:val="000000" w:themeColor="text1"/>
        </w:rPr>
        <w:t xml:space="preserve">It is important to keep in mind that national GDP is comprised of different sectors and that there are sectors where the shadow economy is unlikely, e.g. public administration. Researchers extrapolate some of the available analytics to GDP when making assumptions about the overall size of the shadow economy. In order to assess the size of the shadow economy objectively and accurately, </w:t>
      </w:r>
      <w:r>
        <w:rPr>
          <w:b/>
          <w:bCs/>
          <w:color w:val="000000" w:themeColor="text1"/>
        </w:rPr>
        <w:t>it is required to conduct further in-depth analysis of the size of the shadow economy and its causes in specific sectors.</w:t>
      </w:r>
    </w:p>
    <w:p w14:paraId="3C71FED5" w14:textId="77777777" w:rsidR="0003273E" w:rsidRDefault="0003273E" w:rsidP="00CE7D4C">
      <w:pPr>
        <w:ind w:firstLine="720"/>
        <w:jc w:val="both"/>
        <w:rPr>
          <w:rFonts w:ascii="Times New Roman" w:hAnsi="Times New Roman" w:cs="Times New Roman"/>
          <w:color w:val="000000" w:themeColor="text1"/>
          <w:sz w:val="24"/>
          <w:szCs w:val="24"/>
        </w:rPr>
      </w:pPr>
    </w:p>
    <w:p w14:paraId="11FC33AA" w14:textId="2F44648F" w:rsidR="0003273E" w:rsidRDefault="00F05CC0" w:rsidP="00CE7D4C">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shadow economy which according to the methods of Austrian prof. F. Schneider and Latvian researchers prof. A. Sauka, prof. T. Putniņš varies between 19.9 per cent and 26.5 per cent of GDP is a major constraint on economic growth and the business environment. </w:t>
      </w:r>
    </w:p>
    <w:p w14:paraId="21BCE5C3" w14:textId="77777777" w:rsidR="00F05CC0" w:rsidRDefault="00F05CC0" w:rsidP="00AB4A17">
      <w:pPr>
        <w:jc w:val="both"/>
        <w:rPr>
          <w:rFonts w:ascii="Times New Roman" w:hAnsi="Times New Roman" w:cs="Times New Roman"/>
          <w:color w:val="000000" w:themeColor="text1"/>
          <w:sz w:val="24"/>
          <w:szCs w:val="24"/>
        </w:rPr>
      </w:pPr>
    </w:p>
    <w:p w14:paraId="18C394D1" w14:textId="42DC2174" w:rsidR="00965469" w:rsidRPr="00515BCD" w:rsidRDefault="006D58BB" w:rsidP="00CE7D4C">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In compliance with </w:t>
      </w:r>
      <w:bookmarkStart w:id="11" w:name="_Hlk149215883"/>
      <w:r>
        <w:rPr>
          <w:rFonts w:ascii="Times New Roman" w:hAnsi="Times New Roman"/>
          <w:color w:val="000000" w:themeColor="text1"/>
          <w:sz w:val="24"/>
        </w:rPr>
        <w:t>the resultative indicators outlined in the plan</w:t>
      </w:r>
      <w:bookmarkEnd w:id="11"/>
      <w:r>
        <w:rPr>
          <w:rFonts w:ascii="Times New Roman" w:hAnsi="Times New Roman"/>
          <w:color w:val="000000" w:themeColor="text1"/>
          <w:sz w:val="24"/>
        </w:rPr>
        <w:t xml:space="preserve"> for the purpose of reducing the shadow economy, i.e. to bring the shadow economy rate in Latvia closer to the European average, four scenarios were developed to reduce the scale of the shadow economy by 2027.</w:t>
      </w:r>
    </w:p>
    <w:tbl>
      <w:tblPr>
        <w:tblStyle w:val="TableGrid"/>
        <w:tblpPr w:leftFromText="180" w:rightFromText="180" w:vertAnchor="text" w:horzAnchor="margin" w:tblpY="95"/>
        <w:tblW w:w="9901" w:type="dxa"/>
        <w:tblLook w:val="04A0" w:firstRow="1" w:lastRow="0" w:firstColumn="1" w:lastColumn="0" w:noHBand="0" w:noVBand="1"/>
      </w:tblPr>
      <w:tblGrid>
        <w:gridCol w:w="7650"/>
        <w:gridCol w:w="2251"/>
      </w:tblGrid>
      <w:tr w:rsidR="00965469" w:rsidRPr="002C6053" w14:paraId="5B09629E" w14:textId="77777777" w:rsidTr="00E35EFC">
        <w:trPr>
          <w:trHeight w:val="250"/>
        </w:trPr>
        <w:tc>
          <w:tcPr>
            <w:tcW w:w="7650" w:type="dxa"/>
          </w:tcPr>
          <w:p w14:paraId="2E5D07A6" w14:textId="77777777" w:rsidR="00965469" w:rsidRPr="002C6053" w:rsidRDefault="00965469" w:rsidP="00D34F0E">
            <w:pPr>
              <w:rPr>
                <w:rFonts w:ascii="Times New Roman" w:hAnsi="Times New Roman" w:cs="Times New Roman"/>
                <w:sz w:val="20"/>
                <w:szCs w:val="20"/>
              </w:rPr>
            </w:pPr>
            <w:r>
              <w:rPr>
                <w:rFonts w:ascii="Times New Roman" w:hAnsi="Times New Roman"/>
                <w:sz w:val="20"/>
              </w:rPr>
              <w:t xml:space="preserve">Aggressive goal: -2.7 per cent (i.e. from 19.9 per cent to 17.2 per cent) </w:t>
            </w:r>
          </w:p>
        </w:tc>
        <w:tc>
          <w:tcPr>
            <w:tcW w:w="2251" w:type="dxa"/>
          </w:tcPr>
          <w:p w14:paraId="41FB26B9" w14:textId="77777777" w:rsidR="00965469" w:rsidRPr="002C6053" w:rsidRDefault="00965469" w:rsidP="00D34F0E">
            <w:pPr>
              <w:jc w:val="right"/>
              <w:rPr>
                <w:rFonts w:ascii="Times New Roman" w:hAnsi="Times New Roman" w:cs="Times New Roman"/>
                <w:sz w:val="20"/>
                <w:szCs w:val="20"/>
              </w:rPr>
            </w:pPr>
            <w:r>
              <w:rPr>
                <w:rFonts w:ascii="Times New Roman" w:hAnsi="Times New Roman"/>
                <w:sz w:val="20"/>
              </w:rPr>
              <w:t>EUR 326 million</w:t>
            </w:r>
          </w:p>
        </w:tc>
      </w:tr>
      <w:tr w:rsidR="00965469" w:rsidRPr="002C6053" w14:paraId="43541518" w14:textId="77777777" w:rsidTr="00E35EFC">
        <w:trPr>
          <w:trHeight w:val="250"/>
        </w:trPr>
        <w:tc>
          <w:tcPr>
            <w:tcW w:w="7650" w:type="dxa"/>
          </w:tcPr>
          <w:p w14:paraId="12193852" w14:textId="77777777" w:rsidR="00965469" w:rsidRPr="002C6053" w:rsidRDefault="00965469" w:rsidP="00D34F0E">
            <w:pPr>
              <w:rPr>
                <w:rFonts w:ascii="Times New Roman" w:hAnsi="Times New Roman" w:cs="Times New Roman"/>
                <w:sz w:val="20"/>
                <w:szCs w:val="20"/>
              </w:rPr>
            </w:pPr>
            <w:r>
              <w:rPr>
                <w:rFonts w:ascii="Times New Roman" w:hAnsi="Times New Roman"/>
                <w:sz w:val="20"/>
              </w:rPr>
              <w:t xml:space="preserve">Ambitious goal: -1.8 per cent (i.e. from 19.9 per cent to 18.1 per cent) </w:t>
            </w:r>
          </w:p>
        </w:tc>
        <w:tc>
          <w:tcPr>
            <w:tcW w:w="2251" w:type="dxa"/>
          </w:tcPr>
          <w:p w14:paraId="6C924AFF" w14:textId="77777777" w:rsidR="00965469" w:rsidRPr="002C6053" w:rsidRDefault="00965469" w:rsidP="00D34F0E">
            <w:pPr>
              <w:jc w:val="right"/>
              <w:rPr>
                <w:rFonts w:ascii="Times New Roman" w:hAnsi="Times New Roman" w:cs="Times New Roman"/>
                <w:sz w:val="20"/>
                <w:szCs w:val="20"/>
              </w:rPr>
            </w:pPr>
            <w:r>
              <w:rPr>
                <w:rFonts w:ascii="Times New Roman" w:hAnsi="Times New Roman"/>
                <w:sz w:val="20"/>
              </w:rPr>
              <w:t>EUR 218 million</w:t>
            </w:r>
          </w:p>
        </w:tc>
      </w:tr>
      <w:tr w:rsidR="00965469" w:rsidRPr="002C6053" w14:paraId="30CD6F8E" w14:textId="77777777" w:rsidTr="00E35EFC">
        <w:trPr>
          <w:trHeight w:val="250"/>
        </w:trPr>
        <w:tc>
          <w:tcPr>
            <w:tcW w:w="7650" w:type="dxa"/>
          </w:tcPr>
          <w:p w14:paraId="0BBA0852" w14:textId="77777777" w:rsidR="00965469" w:rsidRPr="002C6053" w:rsidRDefault="00965469" w:rsidP="00D34F0E">
            <w:pPr>
              <w:rPr>
                <w:rFonts w:ascii="Times New Roman" w:hAnsi="Times New Roman" w:cs="Times New Roman"/>
                <w:sz w:val="20"/>
                <w:szCs w:val="20"/>
              </w:rPr>
            </w:pPr>
            <w:r>
              <w:rPr>
                <w:rFonts w:ascii="Times New Roman" w:hAnsi="Times New Roman"/>
                <w:sz w:val="20"/>
              </w:rPr>
              <w:t xml:space="preserve">Most realistic goal: -1 per cent (i.e. from 19.9 per cent to 18.9 per cent) </w:t>
            </w:r>
          </w:p>
        </w:tc>
        <w:tc>
          <w:tcPr>
            <w:tcW w:w="2251" w:type="dxa"/>
          </w:tcPr>
          <w:p w14:paraId="7ADDFA04" w14:textId="77777777" w:rsidR="00965469" w:rsidRPr="002C6053" w:rsidRDefault="00965469" w:rsidP="00D34F0E">
            <w:pPr>
              <w:jc w:val="right"/>
              <w:rPr>
                <w:rFonts w:ascii="Times New Roman" w:hAnsi="Times New Roman" w:cs="Times New Roman"/>
                <w:sz w:val="20"/>
                <w:szCs w:val="20"/>
              </w:rPr>
            </w:pPr>
            <w:r>
              <w:rPr>
                <w:rFonts w:ascii="Times New Roman" w:hAnsi="Times New Roman"/>
                <w:sz w:val="20"/>
              </w:rPr>
              <w:t>EUR 120 million</w:t>
            </w:r>
          </w:p>
        </w:tc>
      </w:tr>
      <w:tr w:rsidR="00965469" w:rsidRPr="002C6053" w14:paraId="7B8A4A50" w14:textId="77777777" w:rsidTr="00E35EFC">
        <w:trPr>
          <w:trHeight w:val="250"/>
        </w:trPr>
        <w:tc>
          <w:tcPr>
            <w:tcW w:w="7650" w:type="dxa"/>
          </w:tcPr>
          <w:p w14:paraId="543D570D" w14:textId="77777777" w:rsidR="00965469" w:rsidRPr="002C6053" w:rsidRDefault="00965469" w:rsidP="00D34F0E">
            <w:pPr>
              <w:rPr>
                <w:rFonts w:ascii="Times New Roman" w:hAnsi="Times New Roman" w:cs="Times New Roman"/>
                <w:sz w:val="20"/>
                <w:szCs w:val="20"/>
              </w:rPr>
            </w:pPr>
            <w:r>
              <w:rPr>
                <w:rFonts w:ascii="Times New Roman" w:hAnsi="Times New Roman"/>
                <w:sz w:val="20"/>
              </w:rPr>
              <w:t>Moderate goal: -0.6 per cent (i.e. 19.9 per cent to 19.3 per cent)</w:t>
            </w:r>
          </w:p>
        </w:tc>
        <w:tc>
          <w:tcPr>
            <w:tcW w:w="2251" w:type="dxa"/>
          </w:tcPr>
          <w:p w14:paraId="50417DF7" w14:textId="77777777" w:rsidR="00965469" w:rsidRPr="002C6053" w:rsidRDefault="00965469" w:rsidP="00D34F0E">
            <w:pPr>
              <w:jc w:val="right"/>
              <w:rPr>
                <w:rFonts w:ascii="Times New Roman" w:hAnsi="Times New Roman" w:cs="Times New Roman"/>
                <w:sz w:val="20"/>
                <w:szCs w:val="20"/>
              </w:rPr>
            </w:pPr>
            <w:r>
              <w:rPr>
                <w:rFonts w:ascii="Times New Roman" w:hAnsi="Times New Roman"/>
                <w:sz w:val="20"/>
              </w:rPr>
              <w:t>EUR 72 million</w:t>
            </w:r>
          </w:p>
        </w:tc>
      </w:tr>
    </w:tbl>
    <w:p w14:paraId="28BC4ED5" w14:textId="38481DA2" w:rsidR="00965469" w:rsidRPr="00965469" w:rsidRDefault="00965469" w:rsidP="00965469">
      <w:pPr>
        <w:jc w:val="both"/>
        <w:rPr>
          <w:rFonts w:ascii="Times New Roman" w:hAnsi="Times New Roman" w:cs="Times New Roman"/>
          <w:i/>
          <w:iCs/>
          <w:color w:val="000000" w:themeColor="text1"/>
          <w:sz w:val="20"/>
          <w:szCs w:val="20"/>
        </w:rPr>
      </w:pPr>
      <w:r>
        <w:rPr>
          <w:rFonts w:ascii="Times New Roman" w:hAnsi="Times New Roman"/>
          <w:i/>
          <w:color w:val="000000" w:themeColor="text1"/>
          <w:sz w:val="20"/>
        </w:rPr>
        <w:t>Table 2. Scenarios for reducing the shadow economy.</w:t>
      </w:r>
    </w:p>
    <w:p w14:paraId="717DC381" w14:textId="77777777" w:rsidR="006C4426" w:rsidRDefault="006C4426" w:rsidP="00F55538">
      <w:pPr>
        <w:ind w:firstLine="720"/>
        <w:jc w:val="both"/>
        <w:rPr>
          <w:rFonts w:ascii="Times New Roman" w:hAnsi="Times New Roman" w:cs="Times New Roman"/>
          <w:color w:val="000000" w:themeColor="text1"/>
          <w:sz w:val="24"/>
          <w:szCs w:val="24"/>
        </w:rPr>
      </w:pPr>
    </w:p>
    <w:p w14:paraId="62B2DC13" w14:textId="1655B7ED" w:rsidR="00742B24" w:rsidRPr="005305EE" w:rsidRDefault="00965469" w:rsidP="00F55538">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When assessing the scenario which aggressively aims at reducing the shadow economy by 2.7 percentage points to the EU average of 17.2 per cent, it was concluded that this scenario is too ‘disruptive’ for the current business environment and that there are many risks to achieving this aim in the short term. This would cause significant losses to merchants with long-term consequences, pushing them out of economic activity which does not outweigh the one-time budgetary benefit of EUR 326 million.</w:t>
      </w:r>
    </w:p>
    <w:p w14:paraId="440C31D9" w14:textId="57210AB6" w:rsidR="00F55538" w:rsidRPr="005305EE" w:rsidRDefault="00790A8D" w:rsidP="00F55538">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A similarly ambitious scenario which aims at reducing the shadow economy by 1.8 percentage points to 18.1 per cent of GDP over four years would require quite intense repressive actions by the SRS, pushing dishonest taxpayers out of economic activity rather than redirecting them from the shadow economy into the legal environment.</w:t>
      </w:r>
    </w:p>
    <w:p w14:paraId="474CC35A" w14:textId="42C7D7B1" w:rsidR="00684B53" w:rsidRDefault="00244C41" w:rsidP="00F55538">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Given that the correlation of changes in the GDP rate with the shadow economy is around 1 to 3, when considering the scenarios for restricting the shadow economy and their fiscal effects, the implementation of the plan to restrict the shadow economy offers a scenario with a realistic goal.</w:t>
      </w:r>
    </w:p>
    <w:p w14:paraId="4690702A" w14:textId="2F83219A" w:rsidR="00684B53" w:rsidRPr="006C4426" w:rsidRDefault="00684B53" w:rsidP="00684B53">
      <w:pPr>
        <w:pStyle w:val="NormalWeb"/>
        <w:spacing w:before="0" w:beforeAutospacing="0" w:after="0" w:afterAutospacing="0"/>
        <w:jc w:val="both"/>
        <w:rPr>
          <w:color w:val="000000" w:themeColor="text1"/>
        </w:rPr>
      </w:pPr>
      <w:r>
        <w:rPr>
          <w:b/>
          <w:color w:val="000000" w:themeColor="text1"/>
        </w:rPr>
        <w:t xml:space="preserve">The realistic goal is to advance towards the EU average (17.2 per cent), reducing the size of the shadow economy by 1 percentage point to 18.9 per cent by 2027. </w:t>
      </w:r>
      <w:bookmarkStart w:id="12" w:name="_Hlk149214910"/>
      <w:r>
        <w:rPr>
          <w:color w:val="000000" w:themeColor="text1"/>
        </w:rPr>
        <w:t>At the same time, the State should also set the most ambitious goal, i.e. to reach the average level of the shadow economy in European countries by 2030.</w:t>
      </w:r>
    </w:p>
    <w:bookmarkEnd w:id="12"/>
    <w:p w14:paraId="4B3775EA" w14:textId="08600D9B" w:rsidR="00DE676C" w:rsidRPr="005305EE" w:rsidRDefault="00FF0C52" w:rsidP="00F55538">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The realistic scenario can be achieved through an ambitious set of measures, as illustrated in the table of the shadow economy plan. The package of measures included in the plan is expected to generate EUR 120 million in additional revenue for the budget that in a way is also a challenge. </w:t>
      </w:r>
    </w:p>
    <w:p w14:paraId="485CC325" w14:textId="2173F6A7" w:rsidR="00965469" w:rsidRDefault="00DE676C" w:rsidP="00965469">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Conversely, the scenario which aims at reducing the shadow economy by 0.6 percentage points to 19.3 per cent of GDP by 2027 would be a moderate goal and would provide the government with additional funds of EUR 72 million by 2027 (Figure 17).</w:t>
      </w:r>
    </w:p>
    <w:p w14:paraId="140B4304" w14:textId="78CA1CDC" w:rsidR="00570326" w:rsidRDefault="003F6018" w:rsidP="006D58BB">
      <w:pPr>
        <w:jc w:val="both"/>
        <w:rPr>
          <w:rFonts w:ascii="Times New Roman" w:hAnsi="Times New Roman" w:cs="Times New Roman"/>
          <w:color w:val="000000" w:themeColor="text1"/>
          <w:sz w:val="24"/>
          <w:szCs w:val="24"/>
        </w:rPr>
      </w:pPr>
      <w:r>
        <w:rPr>
          <w:rFonts w:ascii="Times New Roman" w:hAnsi="Times New Roman"/>
          <w:noProof/>
          <w:sz w:val="24"/>
          <w:lang w:val="lv-LV" w:eastAsia="zh-CN"/>
        </w:rPr>
        <mc:AlternateContent>
          <mc:Choice Requires="wps">
            <w:drawing>
              <wp:anchor distT="0" distB="0" distL="114300" distR="114300" simplePos="0" relativeHeight="251791360" behindDoc="0" locked="0" layoutInCell="1" allowOverlap="1" wp14:anchorId="5ED38105" wp14:editId="3A5F552B">
                <wp:simplePos x="0" y="0"/>
                <wp:positionH relativeFrom="margin">
                  <wp:posOffset>1992630</wp:posOffset>
                </wp:positionH>
                <wp:positionV relativeFrom="paragraph">
                  <wp:posOffset>2310765</wp:posOffset>
                </wp:positionV>
                <wp:extent cx="1699260" cy="160020"/>
                <wp:effectExtent l="0" t="0" r="0" b="0"/>
                <wp:wrapNone/>
                <wp:docPr id="1514353125" name="Text Box 1514353125"/>
                <wp:cNvGraphicFramePr/>
                <a:graphic xmlns:a="http://schemas.openxmlformats.org/drawingml/2006/main">
                  <a:graphicData uri="http://schemas.microsoft.com/office/word/2010/wordprocessingShape">
                    <wps:wsp>
                      <wps:cNvSpPr txBox="1"/>
                      <wps:spPr>
                        <a:xfrm>
                          <a:off x="0" y="0"/>
                          <a:ext cx="1699260" cy="16002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82721"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31 European country average, F. Schneider research data</w:t>
                            </w:r>
                          </w:p>
                          <w:p w14:paraId="18BF81C8" w14:textId="77777777" w:rsidR="003F6018" w:rsidRPr="003F6018" w:rsidRDefault="003F6018" w:rsidP="003F6018">
                            <w:pPr>
                              <w:ind w:left="-142"/>
                              <w:jc w:val="center"/>
                              <w:rPr>
                                <w:rFonts w:asciiTheme="minorBidi" w:hAnsiTheme="minorBidi"/>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38105" id="Text Box 1514353125" o:spid="_x0000_s1083" type="#_x0000_t202" style="position:absolute;left:0;text-align:left;margin-left:156.9pt;margin-top:181.95pt;width:133.8pt;height:12.6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" fillcolor="white [3212]" stroked="f" strokeweight=".5pt">
                <v:textbox>
                  <w:txbxContent>
                    <w:p w14:paraId="57D82721"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31 European country average, F. Schneider research data</w:t>
                      </w:r>
                    </w:p>
                    <w:p w14:paraId="18BF81C8" w14:textId="77777777" w:rsidR="003F6018" w:rsidRPr="003F6018" w:rsidRDefault="003F6018" w:rsidP="003F6018">
                      <w:pPr>
                        <w:ind w:left="-142"/>
                        <w:jc w:val="center"/>
                        <w:rPr>
                          <w:rFonts w:asciiTheme="minorBidi" w:hAnsiTheme="minorBidi"/>
                          <w:sz w:val="10"/>
                          <w:szCs w:val="10"/>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89312" behindDoc="0" locked="0" layoutInCell="1" allowOverlap="1" wp14:anchorId="7B966D2C" wp14:editId="56811B28">
                <wp:simplePos x="0" y="0"/>
                <wp:positionH relativeFrom="margin">
                  <wp:posOffset>327660</wp:posOffset>
                </wp:positionH>
                <wp:positionV relativeFrom="paragraph">
                  <wp:posOffset>2315845</wp:posOffset>
                </wp:positionV>
                <wp:extent cx="1242060" cy="152400"/>
                <wp:effectExtent l="0" t="0" r="0" b="0"/>
                <wp:wrapNone/>
                <wp:docPr id="1514353124" name="Text Box 1514353124"/>
                <wp:cNvGraphicFramePr/>
                <a:graphic xmlns:a="http://schemas.openxmlformats.org/drawingml/2006/main">
                  <a:graphicData uri="http://schemas.microsoft.com/office/word/2010/wordprocessingShape">
                    <wps:wsp>
                      <wps:cNvSpPr txBox="1"/>
                      <wps:spPr>
                        <a:xfrm>
                          <a:off x="0" y="0"/>
                          <a:ext cx="1242060" cy="152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9BD7F"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Ambitious goal. Moderate goal</w:t>
                            </w:r>
                          </w:p>
                          <w:p w14:paraId="0ABBD8AC" w14:textId="77777777" w:rsidR="003F6018" w:rsidRPr="003F6018" w:rsidRDefault="003F6018" w:rsidP="003F6018">
                            <w:pPr>
                              <w:ind w:left="-142"/>
                              <w:jc w:val="center"/>
                              <w:rPr>
                                <w:rFonts w:asciiTheme="minorBidi" w:hAnsiTheme="minorBidi"/>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66D2C" id="Text Box 1514353124" o:spid="_x0000_s1084" type="#_x0000_t202" style="position:absolute;left:0;text-align:left;margin-left:25.8pt;margin-top:182.35pt;width:97.8pt;height:1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" fillcolor="white [3212]" stroked="f" strokeweight=".5pt">
                <v:textbox>
                  <w:txbxContent>
                    <w:p w14:paraId="0009BD7F"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Ambitious goal. Moderate goal</w:t>
                      </w:r>
                    </w:p>
                    <w:p w14:paraId="0ABBD8AC" w14:textId="77777777" w:rsidR="003F6018" w:rsidRPr="003F6018" w:rsidRDefault="003F6018" w:rsidP="003F6018">
                      <w:pPr>
                        <w:ind w:left="-142"/>
                        <w:jc w:val="center"/>
                        <w:rPr>
                          <w:rFonts w:asciiTheme="minorBidi" w:hAnsiTheme="minorBidi"/>
                          <w:sz w:val="10"/>
                          <w:szCs w:val="10"/>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87264" behindDoc="0" locked="0" layoutInCell="1" allowOverlap="1" wp14:anchorId="60B886FF" wp14:editId="01DA30FC">
                <wp:simplePos x="0" y="0"/>
                <wp:positionH relativeFrom="margin">
                  <wp:posOffset>2042160</wp:posOffset>
                </wp:positionH>
                <wp:positionV relativeFrom="paragraph">
                  <wp:posOffset>2186305</wp:posOffset>
                </wp:positionV>
                <wp:extent cx="1242060" cy="152400"/>
                <wp:effectExtent l="0" t="0" r="0" b="0"/>
                <wp:wrapNone/>
                <wp:docPr id="1514353123" name="Text Box 1514353123"/>
                <wp:cNvGraphicFramePr/>
                <a:graphic xmlns:a="http://schemas.openxmlformats.org/drawingml/2006/main">
                  <a:graphicData uri="http://schemas.microsoft.com/office/word/2010/wordprocessingShape">
                    <wps:wsp>
                      <wps:cNvSpPr txBox="1"/>
                      <wps:spPr>
                        <a:xfrm>
                          <a:off x="0" y="0"/>
                          <a:ext cx="1242060" cy="152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EDE20B"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Optimistic goal</w:t>
                            </w:r>
                          </w:p>
                          <w:p w14:paraId="65E94EA0" w14:textId="77777777" w:rsidR="003F6018" w:rsidRPr="003F6018" w:rsidRDefault="003F6018" w:rsidP="003F6018">
                            <w:pPr>
                              <w:ind w:left="-142"/>
                              <w:jc w:val="center"/>
                              <w:rPr>
                                <w:rFonts w:asciiTheme="minorBidi" w:hAnsiTheme="minorBidi"/>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886FF" id="Text Box 1514353123" o:spid="_x0000_s1085" type="#_x0000_t202" style="position:absolute;left:0;text-align:left;margin-left:160.8pt;margin-top:172.15pt;width:97.8pt;height:12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" fillcolor="white [3212]" stroked="f" strokeweight=".5pt">
                <v:textbox>
                  <w:txbxContent>
                    <w:p w14:paraId="79EDE20B"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Optimistic goal</w:t>
                      </w:r>
                    </w:p>
                    <w:p w14:paraId="65E94EA0" w14:textId="77777777" w:rsidR="003F6018" w:rsidRPr="003F6018" w:rsidRDefault="003F6018" w:rsidP="003F6018">
                      <w:pPr>
                        <w:ind w:left="-142"/>
                        <w:jc w:val="center"/>
                        <w:rPr>
                          <w:rFonts w:asciiTheme="minorBidi" w:hAnsiTheme="minorBidi"/>
                          <w:sz w:val="10"/>
                          <w:szCs w:val="10"/>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85216" behindDoc="0" locked="0" layoutInCell="1" allowOverlap="1" wp14:anchorId="19EF0427" wp14:editId="3D45B0E8">
                <wp:simplePos x="0" y="0"/>
                <wp:positionH relativeFrom="margin">
                  <wp:posOffset>327660</wp:posOffset>
                </wp:positionH>
                <wp:positionV relativeFrom="paragraph">
                  <wp:posOffset>2181225</wp:posOffset>
                </wp:positionV>
                <wp:extent cx="1242060" cy="152400"/>
                <wp:effectExtent l="0" t="0" r="0" b="0"/>
                <wp:wrapNone/>
                <wp:docPr id="1514353122" name="Text Box 1514353122"/>
                <wp:cNvGraphicFramePr/>
                <a:graphic xmlns:a="http://schemas.openxmlformats.org/drawingml/2006/main">
                  <a:graphicData uri="http://schemas.microsoft.com/office/word/2010/wordprocessingShape">
                    <wps:wsp>
                      <wps:cNvSpPr txBox="1"/>
                      <wps:spPr>
                        <a:xfrm>
                          <a:off x="0" y="0"/>
                          <a:ext cx="1242060" cy="1524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72AAF1"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F. Schneider research data. Realistic goal</w:t>
                            </w:r>
                          </w:p>
                          <w:p w14:paraId="046FD55C" w14:textId="77777777" w:rsidR="003F6018" w:rsidRPr="003F6018" w:rsidRDefault="003F6018" w:rsidP="003F6018">
                            <w:pPr>
                              <w:ind w:left="-142"/>
                              <w:jc w:val="center"/>
                              <w:rPr>
                                <w:rFonts w:asciiTheme="minorBidi" w:hAnsiTheme="min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0427" id="Text Box 1514353122" o:spid="_x0000_s1086" type="#_x0000_t202" style="position:absolute;left:0;text-align:left;margin-left:25.8pt;margin-top:171.75pt;width:97.8pt;height:12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" fillcolor="white [3212]" stroked="f" strokeweight=".5pt">
                <v:textbox>
                  <w:txbxContent>
                    <w:p w14:paraId="6C72AAF1" w14:textId="77777777" w:rsidR="003F6018" w:rsidRPr="003F6018" w:rsidRDefault="003F6018" w:rsidP="003F6018">
                      <w:pPr>
                        <w:ind w:left="-142"/>
                        <w:rPr>
                          <w:rFonts w:ascii="Times New Roman" w:hAnsi="Times New Roman" w:cs="Times New Roman"/>
                          <w:sz w:val="10"/>
                          <w:szCs w:val="10"/>
                        </w:rPr>
                      </w:pPr>
                      <w:r w:rsidRPr="003F6018">
                        <w:rPr>
                          <w:rFonts w:ascii="Times New Roman" w:hAnsi="Times New Roman" w:cs="Times New Roman"/>
                          <w:sz w:val="10"/>
                          <w:szCs w:val="10"/>
                        </w:rPr>
                        <w:t>F. Schneider research data. Realistic goal</w:t>
                      </w:r>
                    </w:p>
                    <w:p w14:paraId="046FD55C" w14:textId="77777777" w:rsidR="003F6018" w:rsidRPr="003F6018" w:rsidRDefault="003F6018" w:rsidP="003F6018">
                      <w:pPr>
                        <w:ind w:left="-142"/>
                        <w:jc w:val="center"/>
                        <w:rPr>
                          <w:rFonts w:asciiTheme="minorBidi" w:hAnsiTheme="minorBidi"/>
                          <w:sz w:val="14"/>
                          <w:szCs w:val="14"/>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83168" behindDoc="0" locked="0" layoutInCell="1" allowOverlap="1" wp14:anchorId="51E016CE" wp14:editId="4C9FCD06">
                <wp:simplePos x="0" y="0"/>
                <wp:positionH relativeFrom="margin">
                  <wp:posOffset>3779520</wp:posOffset>
                </wp:positionH>
                <wp:positionV relativeFrom="paragraph">
                  <wp:posOffset>2302510</wp:posOffset>
                </wp:positionV>
                <wp:extent cx="929640" cy="320040"/>
                <wp:effectExtent l="0" t="0" r="3810" b="3810"/>
                <wp:wrapNone/>
                <wp:docPr id="1514353121" name="Text Box 1514353121"/>
                <wp:cNvGraphicFramePr/>
                <a:graphic xmlns:a="http://schemas.openxmlformats.org/drawingml/2006/main">
                  <a:graphicData uri="http://schemas.microsoft.com/office/word/2010/wordprocessingShape">
                    <wps:wsp>
                      <wps:cNvSpPr txBox="1"/>
                      <wps:spPr>
                        <a:xfrm>
                          <a:off x="0" y="0"/>
                          <a:ext cx="92964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87C9A" w14:textId="7C782265" w:rsidR="003F6018" w:rsidRPr="003F6018" w:rsidRDefault="003F6018" w:rsidP="003F6018">
                            <w:pPr>
                              <w:jc w:val="center"/>
                              <w:rPr>
                                <w:rFonts w:ascii="Times New Roman" w:hAnsi="Times New Roman" w:cs="Times New Roman"/>
                                <w:i/>
                                <w:iCs/>
                                <w:sz w:val="16"/>
                                <w:szCs w:val="16"/>
                              </w:rPr>
                            </w:pPr>
                            <w:r>
                              <w:rPr>
                                <w:rFonts w:ascii="Times New Roman" w:hAnsi="Times New Roman" w:cs="Times New Roman"/>
                                <w:i/>
                                <w:iCs/>
                                <w:sz w:val="16"/>
                                <w:szCs w:val="16"/>
                              </w:rPr>
                              <w:t>Moderate</w:t>
                            </w:r>
                            <w:r w:rsidRPr="003F6018">
                              <w:rPr>
                                <w:rFonts w:ascii="Times New Roman" w:hAnsi="Times New Roman" w:cs="Times New Roman"/>
                                <w:i/>
                                <w:iCs/>
                                <w:sz w:val="16"/>
                                <w:szCs w:val="16"/>
                              </w:rPr>
                              <w:t xml:space="preserve"> goal</w:t>
                            </w:r>
                          </w:p>
                          <w:p w14:paraId="29B0FB36" w14:textId="312DF339"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72</w:t>
                            </w:r>
                            <w:r w:rsidRPr="003F6018">
                              <w:rPr>
                                <w:rFonts w:ascii="Times New Roman" w:hAnsi="Times New Roman" w:cs="Times New Roman"/>
                                <w:b/>
                                <w:bCs/>
                                <w:sz w:val="16"/>
                                <w:szCs w:val="16"/>
                              </w:rPr>
                              <w:t> million</w:t>
                            </w:r>
                          </w:p>
                          <w:p w14:paraId="05A2033D" w14:textId="77777777" w:rsidR="003F6018" w:rsidRPr="001B3507" w:rsidRDefault="003F6018" w:rsidP="003F6018">
                            <w:pPr>
                              <w:jc w:val="cente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016CE" id="Text Box 1514353121" o:spid="_x0000_s1087" type="#_x0000_t202" style="position:absolute;left:0;text-align:left;margin-left:297.6pt;margin-top:181.3pt;width:73.2pt;height:25.2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" fillcolor="white [3212]" stroked="f" strokeweight=".5pt">
                <v:textbox>
                  <w:txbxContent>
                    <w:p w14:paraId="3C587C9A" w14:textId="7C782265" w:rsidR="003F6018" w:rsidRPr="003F6018" w:rsidRDefault="003F6018" w:rsidP="003F6018">
                      <w:pPr>
                        <w:jc w:val="center"/>
                        <w:rPr>
                          <w:rFonts w:ascii="Times New Roman" w:hAnsi="Times New Roman" w:cs="Times New Roman"/>
                          <w:i/>
                          <w:iCs/>
                          <w:sz w:val="16"/>
                          <w:szCs w:val="16"/>
                        </w:rPr>
                      </w:pPr>
                      <w:r>
                        <w:rPr>
                          <w:rFonts w:ascii="Times New Roman" w:hAnsi="Times New Roman" w:cs="Times New Roman"/>
                          <w:i/>
                          <w:iCs/>
                          <w:sz w:val="16"/>
                          <w:szCs w:val="16"/>
                        </w:rPr>
                        <w:t>Moderate</w:t>
                      </w:r>
                      <w:r w:rsidRPr="003F6018">
                        <w:rPr>
                          <w:rFonts w:ascii="Times New Roman" w:hAnsi="Times New Roman" w:cs="Times New Roman"/>
                          <w:i/>
                          <w:iCs/>
                          <w:sz w:val="16"/>
                          <w:szCs w:val="16"/>
                        </w:rPr>
                        <w:t xml:space="preserve"> goal</w:t>
                      </w:r>
                    </w:p>
                    <w:p w14:paraId="29B0FB36" w14:textId="312DF339"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72</w:t>
                      </w:r>
                      <w:r w:rsidRPr="003F6018">
                        <w:rPr>
                          <w:rFonts w:ascii="Times New Roman" w:hAnsi="Times New Roman" w:cs="Times New Roman"/>
                          <w:b/>
                          <w:bCs/>
                          <w:sz w:val="16"/>
                          <w:szCs w:val="16"/>
                        </w:rPr>
                        <w:t> million</w:t>
                      </w:r>
                    </w:p>
                    <w:p w14:paraId="05A2033D" w14:textId="77777777" w:rsidR="003F6018" w:rsidRPr="001B3507" w:rsidRDefault="003F6018" w:rsidP="003F6018">
                      <w:pPr>
                        <w:jc w:val="center"/>
                        <w:rPr>
                          <w:rFonts w:asciiTheme="minorBidi" w:hAnsiTheme="minorBidi"/>
                          <w:sz w:val="14"/>
                          <w:szCs w:val="14"/>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81120" behindDoc="0" locked="0" layoutInCell="1" allowOverlap="1" wp14:anchorId="1D8CB2A9" wp14:editId="0440931D">
                <wp:simplePos x="0" y="0"/>
                <wp:positionH relativeFrom="margin">
                  <wp:posOffset>4354830</wp:posOffset>
                </wp:positionH>
                <wp:positionV relativeFrom="paragraph">
                  <wp:posOffset>1663065</wp:posOffset>
                </wp:positionV>
                <wp:extent cx="975360" cy="320040"/>
                <wp:effectExtent l="0" t="0" r="0" b="3810"/>
                <wp:wrapNone/>
                <wp:docPr id="1514353120" name="Text Box 1514353120"/>
                <wp:cNvGraphicFramePr/>
                <a:graphic xmlns:a="http://schemas.openxmlformats.org/drawingml/2006/main">
                  <a:graphicData uri="http://schemas.microsoft.com/office/word/2010/wordprocessingShape">
                    <wps:wsp>
                      <wps:cNvSpPr txBox="1"/>
                      <wps:spPr>
                        <a:xfrm>
                          <a:off x="0" y="0"/>
                          <a:ext cx="97536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F09D6" w14:textId="5E7F9A3E" w:rsidR="003F6018" w:rsidRPr="003F6018" w:rsidRDefault="003F6018" w:rsidP="003F6018">
                            <w:pPr>
                              <w:jc w:val="center"/>
                              <w:rPr>
                                <w:rFonts w:ascii="Times New Roman" w:hAnsi="Times New Roman" w:cs="Times New Roman"/>
                                <w:i/>
                                <w:iCs/>
                                <w:sz w:val="16"/>
                                <w:szCs w:val="16"/>
                              </w:rPr>
                            </w:pPr>
                            <w:r>
                              <w:rPr>
                                <w:rFonts w:ascii="Times New Roman" w:hAnsi="Times New Roman" w:cs="Times New Roman"/>
                                <w:i/>
                                <w:iCs/>
                                <w:sz w:val="16"/>
                                <w:szCs w:val="16"/>
                              </w:rPr>
                              <w:t>More realistic</w:t>
                            </w:r>
                            <w:r w:rsidRPr="003F6018">
                              <w:rPr>
                                <w:rFonts w:ascii="Times New Roman" w:hAnsi="Times New Roman" w:cs="Times New Roman"/>
                                <w:i/>
                                <w:iCs/>
                                <w:sz w:val="16"/>
                                <w:szCs w:val="16"/>
                              </w:rPr>
                              <w:t xml:space="preserve"> goal</w:t>
                            </w:r>
                          </w:p>
                          <w:p w14:paraId="0D4931A2" w14:textId="0208CD9E"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120</w:t>
                            </w:r>
                            <w:r w:rsidRPr="003F6018">
                              <w:rPr>
                                <w:rFonts w:ascii="Times New Roman" w:hAnsi="Times New Roman" w:cs="Times New Roman"/>
                                <w:b/>
                                <w:bCs/>
                                <w:sz w:val="16"/>
                                <w:szCs w:val="16"/>
                              </w:rPr>
                              <w:t> million</w:t>
                            </w:r>
                          </w:p>
                          <w:p w14:paraId="4C01D3FD" w14:textId="77777777" w:rsidR="003F6018" w:rsidRPr="001B3507" w:rsidRDefault="003F6018" w:rsidP="003F6018">
                            <w:pPr>
                              <w:jc w:val="cente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CB2A9" id="Text Box 1514353120" o:spid="_x0000_s1088" type="#_x0000_t202" style="position:absolute;left:0;text-align:left;margin-left:342.9pt;margin-top:130.95pt;width:76.8pt;height:25.2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" fillcolor="white [3212]" stroked="f" strokeweight=".5pt">
                <v:textbox>
                  <w:txbxContent>
                    <w:p w14:paraId="419F09D6" w14:textId="5E7F9A3E" w:rsidR="003F6018" w:rsidRPr="003F6018" w:rsidRDefault="003F6018" w:rsidP="003F6018">
                      <w:pPr>
                        <w:jc w:val="center"/>
                        <w:rPr>
                          <w:rFonts w:ascii="Times New Roman" w:hAnsi="Times New Roman" w:cs="Times New Roman"/>
                          <w:i/>
                          <w:iCs/>
                          <w:sz w:val="16"/>
                          <w:szCs w:val="16"/>
                        </w:rPr>
                      </w:pPr>
                      <w:r>
                        <w:rPr>
                          <w:rFonts w:ascii="Times New Roman" w:hAnsi="Times New Roman" w:cs="Times New Roman"/>
                          <w:i/>
                          <w:iCs/>
                          <w:sz w:val="16"/>
                          <w:szCs w:val="16"/>
                        </w:rPr>
                        <w:t>More realistic</w:t>
                      </w:r>
                      <w:r w:rsidRPr="003F6018">
                        <w:rPr>
                          <w:rFonts w:ascii="Times New Roman" w:hAnsi="Times New Roman" w:cs="Times New Roman"/>
                          <w:i/>
                          <w:iCs/>
                          <w:sz w:val="16"/>
                          <w:szCs w:val="16"/>
                        </w:rPr>
                        <w:t xml:space="preserve"> goal</w:t>
                      </w:r>
                    </w:p>
                    <w:p w14:paraId="0D4931A2" w14:textId="0208CD9E"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120</w:t>
                      </w:r>
                      <w:r w:rsidRPr="003F6018">
                        <w:rPr>
                          <w:rFonts w:ascii="Times New Roman" w:hAnsi="Times New Roman" w:cs="Times New Roman"/>
                          <w:b/>
                          <w:bCs/>
                          <w:sz w:val="16"/>
                          <w:szCs w:val="16"/>
                        </w:rPr>
                        <w:t> million</w:t>
                      </w:r>
                    </w:p>
                    <w:p w14:paraId="4C01D3FD" w14:textId="77777777" w:rsidR="003F6018" w:rsidRPr="001B3507" w:rsidRDefault="003F6018" w:rsidP="003F6018">
                      <w:pPr>
                        <w:jc w:val="center"/>
                        <w:rPr>
                          <w:rFonts w:asciiTheme="minorBidi" w:hAnsiTheme="minorBidi"/>
                          <w:sz w:val="14"/>
                          <w:szCs w:val="14"/>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79072" behindDoc="0" locked="0" layoutInCell="1" allowOverlap="1" wp14:anchorId="065606F8" wp14:editId="5E9CD4DD">
                <wp:simplePos x="0" y="0"/>
                <wp:positionH relativeFrom="margin">
                  <wp:posOffset>4853940</wp:posOffset>
                </wp:positionH>
                <wp:positionV relativeFrom="paragraph">
                  <wp:posOffset>989965</wp:posOffset>
                </wp:positionV>
                <wp:extent cx="929640" cy="320040"/>
                <wp:effectExtent l="0" t="0" r="3810" b="3810"/>
                <wp:wrapNone/>
                <wp:docPr id="1027168895" name="Text Box 1027168895"/>
                <wp:cNvGraphicFramePr/>
                <a:graphic xmlns:a="http://schemas.openxmlformats.org/drawingml/2006/main">
                  <a:graphicData uri="http://schemas.microsoft.com/office/word/2010/wordprocessingShape">
                    <wps:wsp>
                      <wps:cNvSpPr txBox="1"/>
                      <wps:spPr>
                        <a:xfrm>
                          <a:off x="0" y="0"/>
                          <a:ext cx="92964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D23AF" w14:textId="6D431944" w:rsidR="003F6018" w:rsidRPr="003F6018" w:rsidRDefault="003F6018" w:rsidP="003F6018">
                            <w:pPr>
                              <w:jc w:val="center"/>
                              <w:rPr>
                                <w:rFonts w:ascii="Times New Roman" w:hAnsi="Times New Roman" w:cs="Times New Roman"/>
                                <w:i/>
                                <w:iCs/>
                                <w:sz w:val="16"/>
                                <w:szCs w:val="16"/>
                              </w:rPr>
                            </w:pPr>
                            <w:r w:rsidRPr="003F6018">
                              <w:rPr>
                                <w:rFonts w:ascii="Times New Roman" w:hAnsi="Times New Roman" w:cs="Times New Roman"/>
                                <w:i/>
                                <w:iCs/>
                                <w:sz w:val="16"/>
                                <w:szCs w:val="16"/>
                              </w:rPr>
                              <w:t>A</w:t>
                            </w:r>
                            <w:r>
                              <w:rPr>
                                <w:rFonts w:ascii="Times New Roman" w:hAnsi="Times New Roman" w:cs="Times New Roman"/>
                                <w:i/>
                                <w:iCs/>
                                <w:sz w:val="16"/>
                                <w:szCs w:val="16"/>
                              </w:rPr>
                              <w:t>mbitious</w:t>
                            </w:r>
                            <w:r w:rsidRPr="003F6018">
                              <w:rPr>
                                <w:rFonts w:ascii="Times New Roman" w:hAnsi="Times New Roman" w:cs="Times New Roman"/>
                                <w:i/>
                                <w:iCs/>
                                <w:sz w:val="16"/>
                                <w:szCs w:val="16"/>
                              </w:rPr>
                              <w:t xml:space="preserve"> goal</w:t>
                            </w:r>
                          </w:p>
                          <w:p w14:paraId="1ECEAADF" w14:textId="50026F3C"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218</w:t>
                            </w:r>
                            <w:r w:rsidRPr="003F6018">
                              <w:rPr>
                                <w:rFonts w:ascii="Times New Roman" w:hAnsi="Times New Roman" w:cs="Times New Roman"/>
                                <w:b/>
                                <w:bCs/>
                                <w:sz w:val="16"/>
                                <w:szCs w:val="16"/>
                              </w:rPr>
                              <w:t> million</w:t>
                            </w:r>
                          </w:p>
                          <w:p w14:paraId="797DEC9F" w14:textId="77777777" w:rsidR="003F6018" w:rsidRPr="001B3507" w:rsidRDefault="003F6018" w:rsidP="003F6018">
                            <w:pPr>
                              <w:jc w:val="cente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606F8" id="Text Box 1027168895" o:spid="_x0000_s1089" type="#_x0000_t202" style="position:absolute;left:0;text-align:left;margin-left:382.2pt;margin-top:77.95pt;width:73.2pt;height:25.2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" fillcolor="white [3212]" stroked="f" strokeweight=".5pt">
                <v:textbox>
                  <w:txbxContent>
                    <w:p w14:paraId="1F7D23AF" w14:textId="6D431944" w:rsidR="003F6018" w:rsidRPr="003F6018" w:rsidRDefault="003F6018" w:rsidP="003F6018">
                      <w:pPr>
                        <w:jc w:val="center"/>
                        <w:rPr>
                          <w:rFonts w:ascii="Times New Roman" w:hAnsi="Times New Roman" w:cs="Times New Roman"/>
                          <w:i/>
                          <w:iCs/>
                          <w:sz w:val="16"/>
                          <w:szCs w:val="16"/>
                        </w:rPr>
                      </w:pPr>
                      <w:r w:rsidRPr="003F6018">
                        <w:rPr>
                          <w:rFonts w:ascii="Times New Roman" w:hAnsi="Times New Roman" w:cs="Times New Roman"/>
                          <w:i/>
                          <w:iCs/>
                          <w:sz w:val="16"/>
                          <w:szCs w:val="16"/>
                        </w:rPr>
                        <w:t>A</w:t>
                      </w:r>
                      <w:r>
                        <w:rPr>
                          <w:rFonts w:ascii="Times New Roman" w:hAnsi="Times New Roman" w:cs="Times New Roman"/>
                          <w:i/>
                          <w:iCs/>
                          <w:sz w:val="16"/>
                          <w:szCs w:val="16"/>
                        </w:rPr>
                        <w:t>mbitious</w:t>
                      </w:r>
                      <w:r w:rsidRPr="003F6018">
                        <w:rPr>
                          <w:rFonts w:ascii="Times New Roman" w:hAnsi="Times New Roman" w:cs="Times New Roman"/>
                          <w:i/>
                          <w:iCs/>
                          <w:sz w:val="16"/>
                          <w:szCs w:val="16"/>
                        </w:rPr>
                        <w:t xml:space="preserve"> goal</w:t>
                      </w:r>
                    </w:p>
                    <w:p w14:paraId="1ECEAADF" w14:textId="50026F3C" w:rsidR="003F6018" w:rsidRPr="003F6018" w:rsidRDefault="003F6018" w:rsidP="003F6018">
                      <w:pPr>
                        <w:jc w:val="center"/>
                        <w:rPr>
                          <w:rFonts w:ascii="Times New Roman" w:hAnsi="Times New Roman" w:cs="Times New Roman"/>
                          <w:b/>
                          <w:bCs/>
                          <w:sz w:val="16"/>
                          <w:szCs w:val="16"/>
                        </w:rPr>
                      </w:pPr>
                      <w:r>
                        <w:rPr>
                          <w:rFonts w:ascii="Times New Roman" w:hAnsi="Times New Roman" w:cs="Times New Roman"/>
                          <w:b/>
                          <w:bCs/>
                          <w:sz w:val="16"/>
                          <w:szCs w:val="16"/>
                        </w:rPr>
                        <w:t>EUR 218</w:t>
                      </w:r>
                      <w:r w:rsidRPr="003F6018">
                        <w:rPr>
                          <w:rFonts w:ascii="Times New Roman" w:hAnsi="Times New Roman" w:cs="Times New Roman"/>
                          <w:b/>
                          <w:bCs/>
                          <w:sz w:val="16"/>
                          <w:szCs w:val="16"/>
                        </w:rPr>
                        <w:t> million</w:t>
                      </w:r>
                    </w:p>
                    <w:p w14:paraId="797DEC9F" w14:textId="77777777" w:rsidR="003F6018" w:rsidRPr="001B3507" w:rsidRDefault="003F6018" w:rsidP="003F6018">
                      <w:pPr>
                        <w:jc w:val="center"/>
                        <w:rPr>
                          <w:rFonts w:asciiTheme="minorBidi" w:hAnsiTheme="minorBidi"/>
                          <w:sz w:val="14"/>
                          <w:szCs w:val="14"/>
                          <w:lang w:val="lv-LV"/>
                        </w:rPr>
                      </w:pPr>
                    </w:p>
                  </w:txbxContent>
                </v:textbox>
                <w10:wrap anchorx="margin"/>
              </v:shape>
            </w:pict>
          </mc:Fallback>
        </mc:AlternateContent>
      </w:r>
      <w:r>
        <w:rPr>
          <w:rFonts w:ascii="Times New Roman" w:hAnsi="Times New Roman"/>
          <w:noProof/>
          <w:sz w:val="24"/>
          <w:lang w:val="lv-LV" w:eastAsia="zh-CN"/>
        </w:rPr>
        <mc:AlternateContent>
          <mc:Choice Requires="wps">
            <w:drawing>
              <wp:anchor distT="0" distB="0" distL="114300" distR="114300" simplePos="0" relativeHeight="251777024" behindDoc="0" locked="0" layoutInCell="1" allowOverlap="1" wp14:anchorId="5DA89115" wp14:editId="01299E5D">
                <wp:simplePos x="0" y="0"/>
                <wp:positionH relativeFrom="margin">
                  <wp:posOffset>5284470</wp:posOffset>
                </wp:positionH>
                <wp:positionV relativeFrom="paragraph">
                  <wp:posOffset>367665</wp:posOffset>
                </wp:positionV>
                <wp:extent cx="929640" cy="320040"/>
                <wp:effectExtent l="0" t="0" r="3810" b="3810"/>
                <wp:wrapNone/>
                <wp:docPr id="1027168894" name="Text Box 1027168894"/>
                <wp:cNvGraphicFramePr/>
                <a:graphic xmlns:a="http://schemas.openxmlformats.org/drawingml/2006/main">
                  <a:graphicData uri="http://schemas.microsoft.com/office/word/2010/wordprocessingShape">
                    <wps:wsp>
                      <wps:cNvSpPr txBox="1"/>
                      <wps:spPr>
                        <a:xfrm>
                          <a:off x="0" y="0"/>
                          <a:ext cx="929640" cy="32004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A03A52" w14:textId="77777777" w:rsidR="003F6018" w:rsidRPr="003F6018" w:rsidRDefault="003F6018" w:rsidP="003F6018">
                            <w:pPr>
                              <w:jc w:val="center"/>
                              <w:rPr>
                                <w:rFonts w:ascii="Times New Roman" w:hAnsi="Times New Roman" w:cs="Times New Roman"/>
                                <w:i/>
                                <w:iCs/>
                                <w:sz w:val="16"/>
                                <w:szCs w:val="16"/>
                              </w:rPr>
                            </w:pPr>
                            <w:r w:rsidRPr="003F6018">
                              <w:rPr>
                                <w:rFonts w:ascii="Times New Roman" w:hAnsi="Times New Roman" w:cs="Times New Roman"/>
                                <w:i/>
                                <w:iCs/>
                                <w:sz w:val="16"/>
                                <w:szCs w:val="16"/>
                              </w:rPr>
                              <w:t>Aggressive goal</w:t>
                            </w:r>
                          </w:p>
                          <w:p w14:paraId="77EA322E" w14:textId="77777777" w:rsidR="003F6018" w:rsidRPr="003F6018" w:rsidRDefault="003F6018" w:rsidP="003F6018">
                            <w:pPr>
                              <w:jc w:val="center"/>
                              <w:rPr>
                                <w:rFonts w:ascii="Times New Roman" w:hAnsi="Times New Roman" w:cs="Times New Roman"/>
                                <w:b/>
                                <w:bCs/>
                                <w:sz w:val="16"/>
                                <w:szCs w:val="16"/>
                              </w:rPr>
                            </w:pPr>
                            <w:r w:rsidRPr="003F6018">
                              <w:rPr>
                                <w:rFonts w:ascii="Times New Roman" w:hAnsi="Times New Roman" w:cs="Times New Roman"/>
                                <w:b/>
                                <w:bCs/>
                                <w:sz w:val="16"/>
                                <w:szCs w:val="16"/>
                              </w:rPr>
                              <w:t>EUR 326 million</w:t>
                            </w:r>
                          </w:p>
                          <w:p w14:paraId="54701773" w14:textId="02562A30" w:rsidR="003F6018" w:rsidRPr="001B3507" w:rsidRDefault="003F6018" w:rsidP="003F6018">
                            <w:pPr>
                              <w:jc w:val="center"/>
                              <w:rPr>
                                <w:rFonts w:asciiTheme="minorBidi" w:hAnsiTheme="minorBidi"/>
                                <w:sz w:val="14"/>
                                <w:szCs w:val="14"/>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89115" id="Text Box 1027168894" o:spid="_x0000_s1090" type="#_x0000_t202" style="position:absolute;left:0;text-align:left;margin-left:416.1pt;margin-top:28.95pt;width:73.2pt;height:25.2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" fillcolor="white [3212]" stroked="f" strokeweight=".5pt">
                <v:textbox>
                  <w:txbxContent>
                    <w:p w14:paraId="22A03A52" w14:textId="77777777" w:rsidR="003F6018" w:rsidRPr="003F6018" w:rsidRDefault="003F6018" w:rsidP="003F6018">
                      <w:pPr>
                        <w:jc w:val="center"/>
                        <w:rPr>
                          <w:rFonts w:ascii="Times New Roman" w:hAnsi="Times New Roman" w:cs="Times New Roman"/>
                          <w:i/>
                          <w:iCs/>
                          <w:sz w:val="16"/>
                          <w:szCs w:val="16"/>
                        </w:rPr>
                      </w:pPr>
                      <w:r w:rsidRPr="003F6018">
                        <w:rPr>
                          <w:rFonts w:ascii="Times New Roman" w:hAnsi="Times New Roman" w:cs="Times New Roman"/>
                          <w:i/>
                          <w:iCs/>
                          <w:sz w:val="16"/>
                          <w:szCs w:val="16"/>
                        </w:rPr>
                        <w:t>Aggressive goal</w:t>
                      </w:r>
                    </w:p>
                    <w:p w14:paraId="77EA322E" w14:textId="77777777" w:rsidR="003F6018" w:rsidRPr="003F6018" w:rsidRDefault="003F6018" w:rsidP="003F6018">
                      <w:pPr>
                        <w:jc w:val="center"/>
                        <w:rPr>
                          <w:rFonts w:ascii="Times New Roman" w:hAnsi="Times New Roman" w:cs="Times New Roman"/>
                          <w:b/>
                          <w:bCs/>
                          <w:sz w:val="16"/>
                          <w:szCs w:val="16"/>
                        </w:rPr>
                      </w:pPr>
                      <w:r w:rsidRPr="003F6018">
                        <w:rPr>
                          <w:rFonts w:ascii="Times New Roman" w:hAnsi="Times New Roman" w:cs="Times New Roman"/>
                          <w:b/>
                          <w:bCs/>
                          <w:sz w:val="16"/>
                          <w:szCs w:val="16"/>
                        </w:rPr>
                        <w:t>EUR 326 million</w:t>
                      </w:r>
                    </w:p>
                    <w:p w14:paraId="54701773" w14:textId="02562A30" w:rsidR="003F6018" w:rsidRPr="001B3507" w:rsidRDefault="003F6018" w:rsidP="003F6018">
                      <w:pPr>
                        <w:jc w:val="center"/>
                        <w:rPr>
                          <w:rFonts w:asciiTheme="minorBidi" w:hAnsiTheme="minorBidi"/>
                          <w:sz w:val="14"/>
                          <w:szCs w:val="14"/>
                          <w:lang w:val="lv-LV"/>
                        </w:rPr>
                      </w:pPr>
                    </w:p>
                  </w:txbxContent>
                </v:textbox>
                <w10:wrap anchorx="margin"/>
              </v:shape>
            </w:pict>
          </mc:Fallback>
        </mc:AlternateContent>
      </w:r>
      <w:r w:rsidR="004D2239">
        <w:rPr>
          <w:rFonts w:ascii="Times New Roman" w:hAnsi="Times New Roman"/>
          <w:noProof/>
          <w:color w:val="000000" w:themeColor="text1"/>
          <w:sz w:val="24"/>
          <w:lang w:val="lv-LV" w:eastAsia="zh-CN"/>
        </w:rPr>
        <w:drawing>
          <wp:inline distT="0" distB="0" distL="0" distR="0" wp14:anchorId="4121E94D" wp14:editId="0F606E7C">
            <wp:extent cx="6219825" cy="2600325"/>
            <wp:effectExtent l="19050" t="19050" r="28575" b="28575"/>
            <wp:docPr id="1628025215" name="Picture 1" descr="A graph of a number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25215" name="Picture 1" descr="A graph of a number of colored lines&#10;&#10;Description automatically generated"/>
                    <pic:cNvPicPr/>
                  </pic:nvPicPr>
                  <pic:blipFill rotWithShape="1">
                    <a:blip r:embed="rId30"/>
                    <a:srcRect l="3761" r="1455"/>
                    <a:stretch/>
                  </pic:blipFill>
                  <pic:spPr bwMode="auto">
                    <a:xfrm>
                      <a:off x="0" y="0"/>
                      <a:ext cx="6292866" cy="263086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1DC94FEF" w14:textId="651F8744" w:rsidR="00963264" w:rsidRDefault="00963264" w:rsidP="00963264">
      <w:pPr>
        <w:pStyle w:val="NormalWeb"/>
        <w:shd w:val="clear" w:color="auto" w:fill="FFFFFF"/>
        <w:spacing w:before="0" w:beforeAutospacing="0" w:after="0" w:afterAutospacing="0"/>
        <w:jc w:val="both"/>
        <w:rPr>
          <w:i/>
          <w:iCs/>
          <w:sz w:val="20"/>
          <w:szCs w:val="20"/>
        </w:rPr>
      </w:pPr>
      <w:r>
        <w:rPr>
          <w:i/>
          <w:sz w:val="20"/>
        </w:rPr>
        <w:t xml:space="preserve">Figure 17. Scenarios for reducing the shadow economy and their impact on national budget. </w:t>
      </w:r>
    </w:p>
    <w:p w14:paraId="3C3CE7DC" w14:textId="77777777" w:rsidR="00385338" w:rsidRDefault="00385338" w:rsidP="0049462E">
      <w:pPr>
        <w:rPr>
          <w:rFonts w:ascii="Times New Roman" w:hAnsi="Times New Roman" w:cs="Times New Roman"/>
          <w:b/>
          <w:bCs/>
          <w:i/>
          <w:iCs/>
          <w:sz w:val="20"/>
          <w:szCs w:val="20"/>
        </w:rPr>
      </w:pPr>
    </w:p>
    <w:p w14:paraId="770CC049" w14:textId="12D62457" w:rsidR="0049462E" w:rsidRPr="002C6053" w:rsidRDefault="0049462E" w:rsidP="0049462E">
      <w:pPr>
        <w:rPr>
          <w:rFonts w:ascii="Times New Roman" w:hAnsi="Times New Roman" w:cs="Times New Roman"/>
          <w:b/>
          <w:bCs/>
          <w:i/>
          <w:iCs/>
          <w:sz w:val="20"/>
          <w:szCs w:val="20"/>
        </w:rPr>
      </w:pPr>
      <w:r>
        <w:rPr>
          <w:rFonts w:ascii="Times New Roman" w:hAnsi="Times New Roman"/>
          <w:b/>
          <w:i/>
          <w:sz w:val="20"/>
        </w:rPr>
        <w:t>Calculation methodology:</w:t>
      </w:r>
    </w:p>
    <w:p w14:paraId="3F399C31" w14:textId="25CE7953" w:rsidR="0049462E" w:rsidRPr="002C6053" w:rsidRDefault="0049462E" w:rsidP="0049462E">
      <w:pPr>
        <w:rPr>
          <w:rFonts w:ascii="Times New Roman" w:hAnsi="Times New Roman" w:cs="Times New Roman"/>
          <w:sz w:val="20"/>
          <w:szCs w:val="20"/>
        </w:rPr>
      </w:pPr>
      <w:r>
        <w:rPr>
          <w:rFonts w:ascii="Times New Roman" w:hAnsi="Times New Roman"/>
          <w:sz w:val="20"/>
        </w:rPr>
        <w:t>GDP (2022) – EUR 38 870 million</w:t>
      </w:r>
    </w:p>
    <w:p w14:paraId="2029DE64" w14:textId="0541FCE3" w:rsidR="0049462E" w:rsidRPr="002C6053" w:rsidRDefault="0049462E" w:rsidP="0049462E">
      <w:pPr>
        <w:contextualSpacing/>
        <w:rPr>
          <w:rFonts w:ascii="Times New Roman" w:hAnsi="Times New Roman" w:cs="Times New Roman"/>
          <w:sz w:val="20"/>
          <w:szCs w:val="20"/>
        </w:rPr>
      </w:pPr>
      <w:r>
        <w:rPr>
          <w:rFonts w:ascii="Times New Roman" w:hAnsi="Times New Roman"/>
          <w:sz w:val="20"/>
        </w:rPr>
        <w:t>1 per cent of GDP EUR 389 million</w:t>
      </w:r>
    </w:p>
    <w:p w14:paraId="01456CF6" w14:textId="1D280BF9" w:rsidR="0049462E" w:rsidRPr="002C6053" w:rsidRDefault="0049462E" w:rsidP="0049462E">
      <w:pPr>
        <w:contextualSpacing/>
        <w:rPr>
          <w:rFonts w:ascii="Times New Roman" w:hAnsi="Times New Roman" w:cs="Times New Roman"/>
          <w:sz w:val="20"/>
          <w:szCs w:val="20"/>
        </w:rPr>
      </w:pPr>
      <w:r>
        <w:rPr>
          <w:rFonts w:ascii="Times New Roman" w:hAnsi="Times New Roman"/>
          <w:sz w:val="20"/>
        </w:rPr>
        <w:t>31 per cent share of taxes of GDP</w:t>
      </w:r>
    </w:p>
    <w:p w14:paraId="5F71C98B" w14:textId="4F8F5519" w:rsidR="0049462E" w:rsidRPr="002C6053" w:rsidRDefault="0049462E" w:rsidP="0049462E">
      <w:pPr>
        <w:contextualSpacing/>
        <w:rPr>
          <w:rFonts w:ascii="Times New Roman" w:hAnsi="Times New Roman" w:cs="Times New Roman"/>
          <w:b/>
          <w:bCs/>
          <w:sz w:val="20"/>
          <w:szCs w:val="20"/>
          <w:highlight w:val="yellow"/>
        </w:rPr>
      </w:pPr>
      <w:r>
        <w:rPr>
          <w:rFonts w:ascii="Times New Roman" w:hAnsi="Times New Roman"/>
          <w:sz w:val="20"/>
        </w:rPr>
        <w:t>EUR 389 million * 31 per cent = EUR 120 million</w:t>
      </w:r>
    </w:p>
    <w:p w14:paraId="2B4DD1D5" w14:textId="77777777" w:rsidR="0049462E" w:rsidRDefault="0049462E" w:rsidP="005A2074">
      <w:pPr>
        <w:jc w:val="both"/>
        <w:rPr>
          <w:rFonts w:ascii="Times New Roman" w:hAnsi="Times New Roman" w:cs="Times New Roman"/>
          <w:color w:val="000000" w:themeColor="text1"/>
          <w:sz w:val="24"/>
          <w:szCs w:val="24"/>
        </w:rPr>
      </w:pPr>
    </w:p>
    <w:p w14:paraId="43928F23" w14:textId="0EA2F953" w:rsidR="0079600A" w:rsidRDefault="00A02077" w:rsidP="008400F3">
      <w:pPr>
        <w:ind w:firstLine="720"/>
        <w:jc w:val="both"/>
        <w:rPr>
          <w:rFonts w:ascii="Times New Roman" w:eastAsia="Times New Roman" w:hAnsi="Times New Roman" w:cs="Times New Roman"/>
          <w:color w:val="212529"/>
          <w:kern w:val="0"/>
          <w:sz w:val="24"/>
          <w:szCs w:val="24"/>
          <w14:ligatures w14:val="none"/>
        </w:rPr>
      </w:pPr>
      <w:r>
        <w:rPr>
          <w:rFonts w:ascii="Times New Roman" w:hAnsi="Times New Roman"/>
          <w:color w:val="212529"/>
          <w:sz w:val="24"/>
        </w:rPr>
        <w:t>Table 3 shows the annual breakdown of revenue according to the implementation of the measures.</w:t>
      </w: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446"/>
        <w:gridCol w:w="1381"/>
        <w:gridCol w:w="1512"/>
        <w:gridCol w:w="1213"/>
        <w:gridCol w:w="1218"/>
      </w:tblGrid>
      <w:tr w:rsidR="00A0707B" w:rsidRPr="009E3BF6" w14:paraId="78F3ABA2" w14:textId="77777777" w:rsidTr="00AB4A17">
        <w:trPr>
          <w:trHeight w:val="260"/>
          <w:jc w:val="center"/>
        </w:trPr>
        <w:tc>
          <w:tcPr>
            <w:tcW w:w="4446" w:type="dxa"/>
            <w:vMerge w:val="restart"/>
            <w:shd w:val="clear" w:color="auto" w:fill="D9D9D9" w:themeFill="background1" w:themeFillShade="D9"/>
            <w:tcMar>
              <w:top w:w="15" w:type="dxa"/>
              <w:left w:w="15" w:type="dxa"/>
              <w:bottom w:w="0" w:type="dxa"/>
              <w:right w:w="15" w:type="dxa"/>
            </w:tcMar>
            <w:vAlign w:val="center"/>
            <w:hideMark/>
          </w:tcPr>
          <w:p w14:paraId="624229B4" w14:textId="77777777" w:rsidR="00A96266" w:rsidRPr="009E3BF6" w:rsidRDefault="00A96266" w:rsidP="00AB4A17">
            <w:pPr>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Measures</w:t>
            </w:r>
          </w:p>
        </w:tc>
        <w:tc>
          <w:tcPr>
            <w:tcW w:w="5324" w:type="dxa"/>
            <w:gridSpan w:val="4"/>
            <w:shd w:val="clear" w:color="auto" w:fill="D9D9D9" w:themeFill="background1" w:themeFillShade="D9"/>
            <w:tcMar>
              <w:top w:w="15" w:type="dxa"/>
              <w:left w:w="15" w:type="dxa"/>
              <w:bottom w:w="0" w:type="dxa"/>
              <w:right w:w="15" w:type="dxa"/>
            </w:tcMar>
            <w:vAlign w:val="bottom"/>
            <w:hideMark/>
          </w:tcPr>
          <w:p w14:paraId="1F46C4AC" w14:textId="77777777" w:rsidR="00A96266" w:rsidRPr="009E3BF6" w:rsidRDefault="00A96266" w:rsidP="00E33737">
            <w:pPr>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Fiscal impact, mln. EUR</w:t>
            </w:r>
          </w:p>
        </w:tc>
      </w:tr>
      <w:tr w:rsidR="00A0707B" w:rsidRPr="009E3BF6" w14:paraId="5D6F4BA1" w14:textId="77777777" w:rsidTr="00AB4A17">
        <w:trPr>
          <w:trHeight w:val="60"/>
          <w:jc w:val="center"/>
        </w:trPr>
        <w:tc>
          <w:tcPr>
            <w:tcW w:w="4446" w:type="dxa"/>
            <w:vMerge/>
            <w:shd w:val="clear" w:color="auto" w:fill="D9D9D9" w:themeFill="background1" w:themeFillShade="D9"/>
            <w:vAlign w:val="center"/>
            <w:hideMark/>
          </w:tcPr>
          <w:p w14:paraId="370C6C0D" w14:textId="77777777" w:rsidR="00A96266" w:rsidRPr="009E3BF6" w:rsidRDefault="00A96266" w:rsidP="00A0707B">
            <w:pPr>
              <w:ind w:firstLine="720"/>
              <w:jc w:val="both"/>
              <w:rPr>
                <w:rFonts w:ascii="Times New Roman" w:eastAsia="Times New Roman" w:hAnsi="Times New Roman" w:cs="Times New Roman"/>
                <w:color w:val="212529"/>
                <w:kern w:val="0"/>
                <w:sz w:val="18"/>
                <w:szCs w:val="18"/>
                <w:lang w:eastAsia="lv-LV"/>
                <w14:ligatures w14:val="none"/>
              </w:rPr>
            </w:pPr>
          </w:p>
        </w:tc>
        <w:tc>
          <w:tcPr>
            <w:tcW w:w="1381" w:type="dxa"/>
            <w:shd w:val="clear" w:color="auto" w:fill="D9D9D9" w:themeFill="background1" w:themeFillShade="D9"/>
            <w:tcMar>
              <w:top w:w="15" w:type="dxa"/>
              <w:left w:w="15" w:type="dxa"/>
              <w:bottom w:w="0" w:type="dxa"/>
              <w:right w:w="15" w:type="dxa"/>
            </w:tcMar>
            <w:vAlign w:val="bottom"/>
            <w:hideMark/>
          </w:tcPr>
          <w:p w14:paraId="7299EE7C" w14:textId="77777777" w:rsidR="00A96266" w:rsidRPr="009E3BF6" w:rsidRDefault="00A96266" w:rsidP="00E33737">
            <w:pPr>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2024</w:t>
            </w:r>
          </w:p>
        </w:tc>
        <w:tc>
          <w:tcPr>
            <w:tcW w:w="1512" w:type="dxa"/>
            <w:shd w:val="clear" w:color="auto" w:fill="D9D9D9" w:themeFill="background1" w:themeFillShade="D9"/>
            <w:tcMar>
              <w:top w:w="15" w:type="dxa"/>
              <w:left w:w="15" w:type="dxa"/>
              <w:bottom w:w="0" w:type="dxa"/>
              <w:right w:w="15" w:type="dxa"/>
            </w:tcMar>
            <w:vAlign w:val="bottom"/>
            <w:hideMark/>
          </w:tcPr>
          <w:p w14:paraId="165EFAFE" w14:textId="77777777" w:rsidR="00A96266" w:rsidRPr="009E3BF6" w:rsidRDefault="00A96266" w:rsidP="00E33737">
            <w:pPr>
              <w:ind w:hanging="15"/>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2025</w:t>
            </w:r>
          </w:p>
        </w:tc>
        <w:tc>
          <w:tcPr>
            <w:tcW w:w="1213" w:type="dxa"/>
            <w:shd w:val="clear" w:color="auto" w:fill="D9D9D9" w:themeFill="background1" w:themeFillShade="D9"/>
            <w:tcMar>
              <w:top w:w="15" w:type="dxa"/>
              <w:left w:w="15" w:type="dxa"/>
              <w:bottom w:w="0" w:type="dxa"/>
              <w:right w:w="15" w:type="dxa"/>
            </w:tcMar>
            <w:vAlign w:val="bottom"/>
            <w:hideMark/>
          </w:tcPr>
          <w:p w14:paraId="54CFA422" w14:textId="77777777" w:rsidR="00A96266" w:rsidRPr="009E3BF6" w:rsidRDefault="00A96266" w:rsidP="00E33737">
            <w:pPr>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2026</w:t>
            </w:r>
          </w:p>
        </w:tc>
        <w:tc>
          <w:tcPr>
            <w:tcW w:w="1218" w:type="dxa"/>
            <w:shd w:val="clear" w:color="auto" w:fill="D9D9D9" w:themeFill="background1" w:themeFillShade="D9"/>
            <w:tcMar>
              <w:top w:w="15" w:type="dxa"/>
              <w:left w:w="15" w:type="dxa"/>
              <w:bottom w:w="0" w:type="dxa"/>
              <w:right w:w="15" w:type="dxa"/>
            </w:tcMar>
            <w:vAlign w:val="bottom"/>
            <w:hideMark/>
          </w:tcPr>
          <w:p w14:paraId="3CD89F97" w14:textId="77777777" w:rsidR="00A96266" w:rsidRPr="009E3BF6" w:rsidRDefault="00A96266" w:rsidP="00E33737">
            <w:pPr>
              <w:jc w:val="center"/>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2027</w:t>
            </w:r>
          </w:p>
        </w:tc>
      </w:tr>
      <w:tr w:rsidR="00A0707B" w:rsidRPr="00E33737" w14:paraId="5CEB1F23" w14:textId="77777777" w:rsidTr="00AB4A17">
        <w:trPr>
          <w:trHeight w:val="194"/>
          <w:jc w:val="center"/>
        </w:trPr>
        <w:tc>
          <w:tcPr>
            <w:tcW w:w="4446" w:type="dxa"/>
            <w:shd w:val="clear" w:color="auto" w:fill="auto"/>
            <w:tcMar>
              <w:top w:w="15" w:type="dxa"/>
              <w:left w:w="15" w:type="dxa"/>
              <w:bottom w:w="0" w:type="dxa"/>
              <w:right w:w="15" w:type="dxa"/>
            </w:tcMar>
            <w:vAlign w:val="center"/>
            <w:hideMark/>
          </w:tcPr>
          <w:p w14:paraId="11B54F49" w14:textId="19EA03E0" w:rsidR="00A96266" w:rsidRPr="009E3BF6" w:rsidRDefault="00E33737" w:rsidP="00A0707B">
            <w:pPr>
              <w:jc w:val="both"/>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Restriction of the shadow economy</w:t>
            </w:r>
          </w:p>
        </w:tc>
        <w:tc>
          <w:tcPr>
            <w:tcW w:w="1381" w:type="dxa"/>
            <w:shd w:val="clear" w:color="auto" w:fill="auto"/>
            <w:tcMar>
              <w:top w:w="15" w:type="dxa"/>
              <w:left w:w="15" w:type="dxa"/>
              <w:bottom w:w="0" w:type="dxa"/>
              <w:right w:w="15" w:type="dxa"/>
            </w:tcMar>
            <w:vAlign w:val="center"/>
          </w:tcPr>
          <w:p w14:paraId="73AF574B" w14:textId="576AE286" w:rsidR="00A96266" w:rsidRPr="00A96266" w:rsidRDefault="00E33737" w:rsidP="00A0707B">
            <w:pPr>
              <w:ind w:firstLine="720"/>
              <w:jc w:val="both"/>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12</w:t>
            </w:r>
          </w:p>
        </w:tc>
        <w:tc>
          <w:tcPr>
            <w:tcW w:w="1512" w:type="dxa"/>
            <w:shd w:val="clear" w:color="auto" w:fill="auto"/>
            <w:tcMar>
              <w:top w:w="15" w:type="dxa"/>
              <w:left w:w="15" w:type="dxa"/>
              <w:bottom w:w="0" w:type="dxa"/>
              <w:right w:w="15" w:type="dxa"/>
            </w:tcMar>
            <w:vAlign w:val="center"/>
          </w:tcPr>
          <w:p w14:paraId="28B4C5CB" w14:textId="058C4CD5" w:rsidR="00A96266" w:rsidRPr="00A96266" w:rsidRDefault="00E33737" w:rsidP="00A0707B">
            <w:pPr>
              <w:ind w:firstLine="720"/>
              <w:jc w:val="both"/>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40</w:t>
            </w:r>
          </w:p>
        </w:tc>
        <w:tc>
          <w:tcPr>
            <w:tcW w:w="1213" w:type="dxa"/>
            <w:shd w:val="clear" w:color="auto" w:fill="auto"/>
            <w:tcMar>
              <w:top w:w="15" w:type="dxa"/>
              <w:left w:w="15" w:type="dxa"/>
              <w:bottom w:w="0" w:type="dxa"/>
              <w:right w:w="15" w:type="dxa"/>
            </w:tcMar>
            <w:vAlign w:val="center"/>
          </w:tcPr>
          <w:p w14:paraId="3A14C5CD" w14:textId="3F9318C7" w:rsidR="00A96266" w:rsidRPr="00A96266" w:rsidRDefault="00E33737" w:rsidP="00A0707B">
            <w:pPr>
              <w:ind w:firstLine="720"/>
              <w:jc w:val="both"/>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80</w:t>
            </w:r>
          </w:p>
        </w:tc>
        <w:tc>
          <w:tcPr>
            <w:tcW w:w="1218" w:type="dxa"/>
            <w:shd w:val="clear" w:color="auto" w:fill="auto"/>
            <w:tcMar>
              <w:top w:w="15" w:type="dxa"/>
              <w:left w:w="15" w:type="dxa"/>
              <w:bottom w:w="0" w:type="dxa"/>
              <w:right w:w="15" w:type="dxa"/>
            </w:tcMar>
            <w:vAlign w:val="center"/>
          </w:tcPr>
          <w:p w14:paraId="49F52722" w14:textId="76046173" w:rsidR="00A96266" w:rsidRPr="00A96266" w:rsidRDefault="00E33737" w:rsidP="00A0707B">
            <w:pPr>
              <w:ind w:firstLine="720"/>
              <w:jc w:val="both"/>
              <w:rPr>
                <w:rFonts w:ascii="Times New Roman" w:eastAsia="Times New Roman" w:hAnsi="Times New Roman" w:cs="Times New Roman"/>
                <w:color w:val="212529"/>
                <w:kern w:val="0"/>
                <w:sz w:val="18"/>
                <w:szCs w:val="18"/>
                <w14:ligatures w14:val="none"/>
              </w:rPr>
            </w:pPr>
            <w:r>
              <w:rPr>
                <w:rFonts w:ascii="Times New Roman" w:hAnsi="Times New Roman"/>
                <w:color w:val="212529"/>
                <w:sz w:val="18"/>
              </w:rPr>
              <w:t>120</w:t>
            </w:r>
          </w:p>
        </w:tc>
      </w:tr>
    </w:tbl>
    <w:p w14:paraId="71668040" w14:textId="166BF1C2" w:rsidR="00CF36A6" w:rsidRPr="00965469" w:rsidRDefault="00CF36A6" w:rsidP="00CF36A6">
      <w:pPr>
        <w:jc w:val="both"/>
        <w:rPr>
          <w:rFonts w:ascii="Times New Roman" w:hAnsi="Times New Roman" w:cs="Times New Roman"/>
          <w:i/>
          <w:iCs/>
          <w:color w:val="000000" w:themeColor="text1"/>
          <w:sz w:val="20"/>
          <w:szCs w:val="20"/>
        </w:rPr>
      </w:pPr>
      <w:r>
        <w:rPr>
          <w:rFonts w:ascii="Times New Roman" w:hAnsi="Times New Roman"/>
          <w:i/>
          <w:color w:val="000000" w:themeColor="text1"/>
          <w:sz w:val="20"/>
        </w:rPr>
        <w:t xml:space="preserve">Table 3. Fiscal impact of the measures of the Shadow Economy Restriction Plan for 2024–2027 on an annual basis. </w:t>
      </w:r>
    </w:p>
    <w:p w14:paraId="2B6D4FF3" w14:textId="77777777" w:rsidR="00AA52C6" w:rsidRDefault="00AA52C6" w:rsidP="00515BCD">
      <w:pPr>
        <w:ind w:firstLine="720"/>
        <w:jc w:val="both"/>
        <w:rPr>
          <w:rFonts w:ascii="Times New Roman" w:hAnsi="Times New Roman" w:cs="Times New Roman"/>
          <w:color w:val="000000"/>
          <w:sz w:val="24"/>
          <w:szCs w:val="24"/>
        </w:rPr>
      </w:pPr>
    </w:p>
    <w:p w14:paraId="6C0822C3" w14:textId="517E34F2" w:rsidR="00AA52C6" w:rsidRPr="004B3585" w:rsidRDefault="00C56C06" w:rsidP="00515BCD">
      <w:pPr>
        <w:ind w:firstLine="720"/>
        <w:jc w:val="both"/>
        <w:rPr>
          <w:rFonts w:ascii="Times New Roman" w:hAnsi="Times New Roman" w:cs="Times New Roman"/>
          <w:color w:val="000000" w:themeColor="text1"/>
          <w:sz w:val="24"/>
          <w:szCs w:val="24"/>
        </w:rPr>
      </w:pPr>
      <w:bookmarkStart w:id="13" w:name="_Hlk149214941"/>
      <w:r>
        <w:rPr>
          <w:rFonts w:ascii="Times New Roman" w:hAnsi="Times New Roman"/>
          <w:color w:val="000000" w:themeColor="text1"/>
          <w:sz w:val="24"/>
        </w:rPr>
        <w:t xml:space="preserve">The implementation of the measures included in the plan will be ensured by the responsible and participating ministries within the existing funding or, where necessary, through fiscally neutral proposals during the preparation of the current annual budget. </w:t>
      </w:r>
      <w:bookmarkEnd w:id="13"/>
    </w:p>
    <w:p w14:paraId="0250DEE4" w14:textId="77777777" w:rsidR="00AA52C6" w:rsidRPr="00E35EFC" w:rsidRDefault="00AA52C6" w:rsidP="00515BCD">
      <w:pPr>
        <w:ind w:firstLine="720"/>
        <w:jc w:val="both"/>
        <w:rPr>
          <w:rFonts w:ascii="Times New Roman" w:hAnsi="Times New Roman" w:cs="Times New Roman"/>
          <w:color w:val="000000" w:themeColor="text1"/>
          <w:sz w:val="24"/>
          <w:szCs w:val="24"/>
        </w:rPr>
      </w:pPr>
    </w:p>
    <w:p w14:paraId="1B56E975" w14:textId="4111018C" w:rsidR="00515BCD" w:rsidRPr="005305EE" w:rsidRDefault="00515BCD" w:rsidP="00515BCD">
      <w:pPr>
        <w:ind w:firstLine="720"/>
        <w:jc w:val="both"/>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4"/>
        </w:rPr>
        <w:t xml:space="preserve">According to the scenario developed </w:t>
      </w:r>
      <w:bookmarkStart w:id="14" w:name="_Hlk149215051"/>
      <w:r>
        <w:rPr>
          <w:rFonts w:ascii="Times New Roman" w:hAnsi="Times New Roman"/>
          <w:color w:val="000000" w:themeColor="text1"/>
          <w:sz w:val="24"/>
        </w:rPr>
        <w:t xml:space="preserve">for reducing the size of the shadow economy by 2027, </w:t>
      </w:r>
      <w:bookmarkStart w:id="15" w:name="_Hlk149215277"/>
      <w:r>
        <w:rPr>
          <w:rFonts w:ascii="Times New Roman" w:hAnsi="Times New Roman"/>
          <w:color w:val="000000" w:themeColor="text1"/>
          <w:sz w:val="24"/>
        </w:rPr>
        <w:t>aiming to reduce the shadow economy by 1 percentage point, and the package of measures included in the plan, it is expected to generate additional revenue for the budget in the amount of EUR 120 million.</w:t>
      </w:r>
      <w:bookmarkEnd w:id="14"/>
      <w:r>
        <w:rPr>
          <w:rFonts w:ascii="Times New Roman" w:hAnsi="Times New Roman"/>
          <w:color w:val="000000" w:themeColor="text1"/>
          <w:sz w:val="20"/>
        </w:rPr>
        <w:t xml:space="preserve">. </w:t>
      </w:r>
      <w:bookmarkEnd w:id="15"/>
      <w:r>
        <w:rPr>
          <w:rFonts w:ascii="Times New Roman" w:hAnsi="Times New Roman"/>
          <w:color w:val="000000" w:themeColor="text1"/>
          <w:sz w:val="24"/>
        </w:rPr>
        <w:t>The measures of the plan were divided into five courses of action, determining an expected fiscal benefit for each:</w:t>
      </w:r>
    </w:p>
    <w:p w14:paraId="7046F9C7" w14:textId="67D9DB97" w:rsidR="00515BCD" w:rsidRPr="005305EE" w:rsidRDefault="00515BCD" w:rsidP="008267FB">
      <w:pPr>
        <w:pStyle w:val="ListParagraph"/>
        <w:tabs>
          <w:tab w:val="left" w:pos="284"/>
        </w:tabs>
        <w:ind w:left="426"/>
        <w:jc w:val="both"/>
        <w:rPr>
          <w:rFonts w:ascii="Times New Roman" w:hAnsi="Times New Roman" w:cs="Times New Roman"/>
          <w:color w:val="000000" w:themeColor="text1"/>
          <w:sz w:val="24"/>
          <w:szCs w:val="24"/>
        </w:rPr>
      </w:pPr>
      <w:r>
        <w:rPr>
          <w:rFonts w:ascii="Times New Roman" w:hAnsi="Times New Roman"/>
          <w:color w:val="000000" w:themeColor="text1"/>
          <w:sz w:val="24"/>
        </w:rPr>
        <w:t>Course of action 1 – Horizontal measures and reduction of cash in circulation – EUR 55 million</w:t>
      </w:r>
      <w:r w:rsidR="00DD6D44">
        <w:rPr>
          <w:rFonts w:ascii="Times New Roman" w:hAnsi="Times New Roman"/>
          <w:color w:val="000000" w:themeColor="text1"/>
          <w:sz w:val="24"/>
        </w:rPr>
        <w:t>;</w:t>
      </w:r>
    </w:p>
    <w:p w14:paraId="6DE9440C" w14:textId="77777777" w:rsidR="00515BCD" w:rsidRPr="005305EE" w:rsidRDefault="00515BCD" w:rsidP="008267FB">
      <w:pPr>
        <w:pStyle w:val="ListParagraph"/>
        <w:tabs>
          <w:tab w:val="left" w:pos="284"/>
        </w:tabs>
        <w:ind w:left="426"/>
        <w:jc w:val="both"/>
        <w:rPr>
          <w:rFonts w:ascii="Times New Roman" w:hAnsi="Times New Roman" w:cs="Times New Roman"/>
          <w:color w:val="000000" w:themeColor="text1"/>
          <w:sz w:val="24"/>
          <w:szCs w:val="24"/>
        </w:rPr>
      </w:pPr>
      <w:r>
        <w:rPr>
          <w:rFonts w:ascii="Times New Roman" w:hAnsi="Times New Roman"/>
          <w:color w:val="000000" w:themeColor="text1"/>
          <w:sz w:val="24"/>
        </w:rPr>
        <w:t>Course of action 2 – Information and data exchange – EUR 1 million;</w:t>
      </w:r>
    </w:p>
    <w:p w14:paraId="28E46AD6" w14:textId="77777777" w:rsidR="00515BCD" w:rsidRPr="005305EE" w:rsidRDefault="00515BCD" w:rsidP="008267FB">
      <w:pPr>
        <w:pStyle w:val="ListParagraph"/>
        <w:tabs>
          <w:tab w:val="left" w:pos="284"/>
        </w:tabs>
        <w:ind w:left="426"/>
        <w:jc w:val="both"/>
        <w:rPr>
          <w:rFonts w:ascii="Times New Roman" w:hAnsi="Times New Roman" w:cs="Times New Roman"/>
          <w:color w:val="000000" w:themeColor="text1"/>
          <w:sz w:val="24"/>
          <w:szCs w:val="24"/>
        </w:rPr>
      </w:pPr>
      <w:r>
        <w:rPr>
          <w:rFonts w:ascii="Times New Roman" w:hAnsi="Times New Roman"/>
          <w:color w:val="000000" w:themeColor="text1"/>
          <w:sz w:val="24"/>
        </w:rPr>
        <w:t>Course of action 3 – Measures in the construction sector – EUR 16 million;</w:t>
      </w:r>
    </w:p>
    <w:p w14:paraId="5DE34B90" w14:textId="77777777" w:rsidR="00515BCD" w:rsidRPr="005305EE" w:rsidRDefault="00515BCD" w:rsidP="008267FB">
      <w:pPr>
        <w:pStyle w:val="ListParagraph"/>
        <w:tabs>
          <w:tab w:val="left" w:pos="284"/>
        </w:tabs>
        <w:ind w:left="426"/>
        <w:jc w:val="both"/>
        <w:rPr>
          <w:rFonts w:ascii="Times New Roman" w:hAnsi="Times New Roman" w:cs="Times New Roman"/>
          <w:color w:val="000000" w:themeColor="text1"/>
          <w:sz w:val="24"/>
          <w:szCs w:val="24"/>
        </w:rPr>
      </w:pPr>
      <w:r>
        <w:rPr>
          <w:rFonts w:ascii="Times New Roman" w:hAnsi="Times New Roman"/>
          <w:color w:val="000000" w:themeColor="text1"/>
          <w:sz w:val="24"/>
        </w:rPr>
        <w:t>Course of action 4 – Measures in the health sector – EUR 7 million;</w:t>
      </w:r>
    </w:p>
    <w:p w14:paraId="004CD721" w14:textId="47A55654" w:rsidR="004232AC" w:rsidRPr="00385338" w:rsidRDefault="00515BCD" w:rsidP="008267FB">
      <w:pPr>
        <w:pStyle w:val="ListParagraph"/>
        <w:tabs>
          <w:tab w:val="left" w:pos="284"/>
        </w:tabs>
        <w:ind w:left="426"/>
        <w:jc w:val="both"/>
        <w:rPr>
          <w:rFonts w:ascii="Times New Roman" w:hAnsi="Times New Roman" w:cs="Times New Roman"/>
          <w:color w:val="000000" w:themeColor="text1"/>
          <w:sz w:val="24"/>
          <w:szCs w:val="24"/>
        </w:rPr>
      </w:pPr>
      <w:r>
        <w:rPr>
          <w:rFonts w:ascii="Times New Roman" w:hAnsi="Times New Roman"/>
          <w:color w:val="000000" w:themeColor="text1"/>
          <w:sz w:val="24"/>
        </w:rPr>
        <w:t>Course of action 5 – Other measures to improve business competitiveness – EUR 41 million.</w:t>
      </w:r>
    </w:p>
    <w:p w14:paraId="4DB38B87" w14:textId="513E08BB" w:rsidR="00515BCD" w:rsidRDefault="00515BCD" w:rsidP="00515BCD">
      <w:pPr>
        <w:jc w:val="both"/>
        <w:rPr>
          <w:rFonts w:ascii="Times New Roman" w:eastAsia="Times New Roman" w:hAnsi="Times New Roman" w:cs="Times New Roman"/>
          <w:color w:val="212529"/>
          <w:kern w:val="0"/>
          <w:sz w:val="20"/>
          <w:szCs w:val="20"/>
          <w:lang w:eastAsia="lv-LV"/>
          <w14:ligatures w14:val="none"/>
        </w:rPr>
      </w:pPr>
    </w:p>
    <w:p w14:paraId="02F0D9AB" w14:textId="209BA0F1" w:rsidR="00967A35" w:rsidRPr="004B3585" w:rsidRDefault="009E6DF4" w:rsidP="009E1E25">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Figure 18 below illustrates the key measures of the plan to restrict the shadow economy. A full outline of the measures is provided in Section 4 herein.</w:t>
      </w:r>
    </w:p>
    <w:p w14:paraId="406CE726" w14:textId="2D0B5991" w:rsidR="00614D57" w:rsidRDefault="00614D57" w:rsidP="00624CE3">
      <w:pPr>
        <w:jc w:val="center"/>
        <w:rPr>
          <w:rFonts w:ascii="Times New Roman" w:eastAsia="Times New Roman" w:hAnsi="Times New Roman" w:cs="Times New Roman"/>
          <w:color w:val="212529"/>
          <w:kern w:val="0"/>
          <w:sz w:val="20"/>
          <w:szCs w:val="20"/>
          <w:lang w:eastAsia="lv-LV"/>
          <w14:ligatures w14:val="none"/>
        </w:rPr>
      </w:pPr>
    </w:p>
    <w:p w14:paraId="446B732A"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5A717A82"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0AEFEED8"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52867C11"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3507404A"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33280212"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76D50C1C"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2C7D00F1" w14:textId="77777777"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0E87E493" w14:textId="0316C486" w:rsidR="00461C69" w:rsidRDefault="00461C69" w:rsidP="00624CE3">
      <w:pPr>
        <w:jc w:val="center"/>
        <w:rPr>
          <w:rFonts w:ascii="Times New Roman" w:eastAsia="Times New Roman" w:hAnsi="Times New Roman" w:cs="Times New Roman"/>
          <w:color w:val="212529"/>
          <w:kern w:val="0"/>
          <w:sz w:val="20"/>
          <w:szCs w:val="20"/>
          <w:lang w:eastAsia="lv-LV"/>
          <w14:ligatures w14:val="none"/>
        </w:rPr>
      </w:pPr>
    </w:p>
    <w:p w14:paraId="06DC06DA" w14:textId="1B7DFACF" w:rsidR="00461C69" w:rsidRDefault="00B01C42" w:rsidP="00292326">
      <w:pPr>
        <w:rPr>
          <w:rFonts w:ascii="Times New Roman" w:eastAsia="Times New Roman" w:hAnsi="Times New Roman" w:cs="Times New Roman"/>
          <w:color w:val="212529"/>
          <w:kern w:val="0"/>
          <w:sz w:val="20"/>
          <w:szCs w:val="20"/>
          <w:lang w:eastAsia="lv-LV"/>
          <w14:ligatures w14:val="none"/>
        </w:rPr>
      </w:pPr>
      <w:r>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792384" behindDoc="0" locked="0" layoutInCell="1" allowOverlap="1" wp14:anchorId="256A9992" wp14:editId="1D484CBE">
                <wp:simplePos x="0" y="0"/>
                <wp:positionH relativeFrom="margin">
                  <wp:posOffset>-7620</wp:posOffset>
                </wp:positionH>
                <wp:positionV relativeFrom="paragraph">
                  <wp:posOffset>74295</wp:posOffset>
                </wp:positionV>
                <wp:extent cx="2613660" cy="373380"/>
                <wp:effectExtent l="0" t="0" r="15240" b="26670"/>
                <wp:wrapNone/>
                <wp:docPr id="1514353126" name="Text Box 1514353126"/>
                <wp:cNvGraphicFramePr/>
                <a:graphic xmlns:a="http://schemas.openxmlformats.org/drawingml/2006/main">
                  <a:graphicData uri="http://schemas.microsoft.com/office/word/2010/wordprocessingShape">
                    <wps:wsp>
                      <wps:cNvSpPr txBox="1"/>
                      <wps:spPr>
                        <a:xfrm>
                          <a:off x="0" y="0"/>
                          <a:ext cx="2613660" cy="373380"/>
                        </a:xfrm>
                        <a:prstGeom prst="round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18926F" w14:textId="09A91449" w:rsidR="00B01C42" w:rsidRPr="00B01C42" w:rsidRDefault="00B01C42">
                            <w:pPr>
                              <w:rPr>
                                <w:color w:val="FFFFFF" w:themeColor="background1"/>
                                <w:sz w:val="16"/>
                                <w:szCs w:val="16"/>
                              </w:rPr>
                            </w:pPr>
                            <w:r w:rsidRPr="00B01C42">
                              <w:rPr>
                                <w:rFonts w:ascii="Times New Roman" w:hAnsi="Times New Roman" w:cs="Times New Roman"/>
                                <w:b/>
                                <w:bCs/>
                                <w:color w:val="FFFFFF" w:themeColor="background1"/>
                                <w:sz w:val="18"/>
                                <w:szCs w:val="18"/>
                              </w:rPr>
                              <w:t>1. Horizontal measures and reduction of cash in circulation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A9992" id="Text Box 1514353126" o:spid="_x0000_s1091" style="position:absolute;margin-left:-.6pt;margin-top:5.85pt;width:205.8pt;height:29.4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" fillcolor="#002060" strokeweight=".5pt">
                <v:textbox>
                  <w:txbxContent>
                    <w:p w14:paraId="6418926F" w14:textId="09A91449" w:rsidR="00B01C42" w:rsidRPr="00B01C42" w:rsidRDefault="00B01C42">
                      <w:pPr>
                        <w:rPr>
                          <w:color w:val="FFFFFF" w:themeColor="background1"/>
                          <w:sz w:val="16"/>
                          <w:szCs w:val="16"/>
                        </w:rPr>
                      </w:pPr>
                      <w:r w:rsidRPr="00B01C42">
                        <w:rPr>
                          <w:rFonts w:ascii="Times New Roman" w:hAnsi="Times New Roman" w:cs="Times New Roman"/>
                          <w:b/>
                          <w:bCs/>
                          <w:color w:val="FFFFFF" w:themeColor="background1"/>
                          <w:sz w:val="18"/>
                          <w:szCs w:val="18"/>
                        </w:rPr>
                        <w:t>1. Horizontal measures and reduction of cash in circulation</w:t>
                      </w:r>
                    </w:p>
                  </w:txbxContent>
                </v:textbox>
                <w10:wrap anchorx="margin"/>
              </v:roundrect>
            </w:pict>
          </mc:Fallback>
        </mc:AlternateContent>
      </w:r>
    </w:p>
    <w:p w14:paraId="7C5DEA28" w14:textId="39B608F6" w:rsidR="00461C69" w:rsidRDefault="0013726D" w:rsidP="00624CE3">
      <w:pPr>
        <w:jc w:val="center"/>
        <w:rPr>
          <w:rFonts w:ascii="Times New Roman" w:eastAsia="Times New Roman" w:hAnsi="Times New Roman" w:cs="Times New Roman"/>
          <w:color w:val="212529"/>
          <w:kern w:val="0"/>
          <w:sz w:val="20"/>
          <w:szCs w:val="20"/>
          <w14:ligatures w14:val="none"/>
        </w:rPr>
      </w:pPr>
      <w:r>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10816" behindDoc="0" locked="0" layoutInCell="1" allowOverlap="1" wp14:anchorId="772EBC58" wp14:editId="4C6BC0D9">
                <wp:simplePos x="0" y="0"/>
                <wp:positionH relativeFrom="margin">
                  <wp:posOffset>3082290</wp:posOffset>
                </wp:positionH>
                <wp:positionV relativeFrom="paragraph">
                  <wp:posOffset>3121025</wp:posOffset>
                </wp:positionV>
                <wp:extent cx="3192780" cy="449580"/>
                <wp:effectExtent l="0" t="0" r="26670" b="26670"/>
                <wp:wrapNone/>
                <wp:docPr id="1514353137" name="Text Box 1514353137"/>
                <wp:cNvGraphicFramePr/>
                <a:graphic xmlns:a="http://schemas.openxmlformats.org/drawingml/2006/main">
                  <a:graphicData uri="http://schemas.microsoft.com/office/word/2010/wordprocessingShape">
                    <wps:wsp>
                      <wps:cNvSpPr txBox="1"/>
                      <wps:spPr>
                        <a:xfrm>
                          <a:off x="0" y="0"/>
                          <a:ext cx="3192780" cy="44958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857883" w14:textId="77777777" w:rsidR="0013726D" w:rsidRPr="0013726D" w:rsidRDefault="0013726D" w:rsidP="0013726D">
                            <w:pPr>
                              <w:rPr>
                                <w:rFonts w:ascii="Times New Roman" w:hAnsi="Times New Roman" w:cs="Times New Roman"/>
                                <w:b/>
                                <w:bCs/>
                                <w:sz w:val="14"/>
                                <w:szCs w:val="14"/>
                              </w:rPr>
                            </w:pPr>
                            <w:r w:rsidRPr="0013726D">
                              <w:rPr>
                                <w:rFonts w:ascii="Times New Roman" w:hAnsi="Times New Roman" w:cs="Times New Roman"/>
                                <w:sz w:val="14"/>
                                <w:szCs w:val="14"/>
                              </w:rPr>
                              <w:t xml:space="preserve">1. Reduction of the </w:t>
                            </w:r>
                            <w:r w:rsidRPr="0013726D">
                              <w:rPr>
                                <w:rFonts w:ascii="Times New Roman" w:hAnsi="Times New Roman" w:cs="Times New Roman"/>
                                <w:b/>
                                <w:bCs/>
                                <w:sz w:val="14"/>
                                <w:szCs w:val="14"/>
                              </w:rPr>
                              <w:t>market share of illegal excisable goods.</w:t>
                            </w:r>
                          </w:p>
                          <w:p w14:paraId="776CEF29"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2. Reduction of the number of companies with long-term </w:t>
                            </w:r>
                            <w:r w:rsidRPr="0013726D">
                              <w:rPr>
                                <w:rFonts w:ascii="Times New Roman" w:hAnsi="Times New Roman" w:cs="Times New Roman"/>
                                <w:b/>
                                <w:bCs/>
                                <w:sz w:val="14"/>
                                <w:szCs w:val="14"/>
                              </w:rPr>
                              <w:t>negative equity</w:t>
                            </w:r>
                            <w:r w:rsidRPr="0013726D">
                              <w:rPr>
                                <w:rFonts w:ascii="Times New Roman" w:hAnsi="Times New Roman" w:cs="Times New Roman"/>
                                <w:sz w:val="14"/>
                                <w:szCs w:val="14"/>
                              </w:rPr>
                              <w:t>, improvement of simplified winding-up proceedings, educating of companies.</w:t>
                            </w:r>
                          </w:p>
                          <w:p w14:paraId="57A0986A" w14:textId="77777777" w:rsidR="0013726D" w:rsidRPr="0013726D" w:rsidRDefault="0013726D" w:rsidP="0013726D">
                            <w:pPr>
                              <w:ind w:right="-80"/>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EBC58" id="Text Box 1514353137" o:spid="_x0000_s1092" type="#_x0000_t202" style="position:absolute;left:0;text-align:left;margin-left:242.7pt;margin-top:245.75pt;width:251.4pt;height:35.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" fillcolor="white [3212]" strokeweight=".5pt">
                <v:textbox>
                  <w:txbxContent>
                    <w:p w14:paraId="0C857883" w14:textId="77777777" w:rsidR="0013726D" w:rsidRPr="0013726D" w:rsidRDefault="0013726D" w:rsidP="0013726D">
                      <w:pPr>
                        <w:rPr>
                          <w:rFonts w:ascii="Times New Roman" w:hAnsi="Times New Roman" w:cs="Times New Roman"/>
                          <w:b/>
                          <w:bCs/>
                          <w:sz w:val="14"/>
                          <w:szCs w:val="14"/>
                        </w:rPr>
                      </w:pPr>
                      <w:r w:rsidRPr="0013726D">
                        <w:rPr>
                          <w:rFonts w:ascii="Times New Roman" w:hAnsi="Times New Roman" w:cs="Times New Roman"/>
                          <w:sz w:val="14"/>
                          <w:szCs w:val="14"/>
                        </w:rPr>
                        <w:t xml:space="preserve">1. Reduction of the </w:t>
                      </w:r>
                      <w:r w:rsidRPr="0013726D">
                        <w:rPr>
                          <w:rFonts w:ascii="Times New Roman" w:hAnsi="Times New Roman" w:cs="Times New Roman"/>
                          <w:b/>
                          <w:bCs/>
                          <w:sz w:val="14"/>
                          <w:szCs w:val="14"/>
                        </w:rPr>
                        <w:t>market share of illegal excisable goods.</w:t>
                      </w:r>
                    </w:p>
                    <w:p w14:paraId="776CEF29"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2. Reduction of the number of companies with long-term </w:t>
                      </w:r>
                      <w:r w:rsidRPr="0013726D">
                        <w:rPr>
                          <w:rFonts w:ascii="Times New Roman" w:hAnsi="Times New Roman" w:cs="Times New Roman"/>
                          <w:b/>
                          <w:bCs/>
                          <w:sz w:val="14"/>
                          <w:szCs w:val="14"/>
                        </w:rPr>
                        <w:t>negative equity</w:t>
                      </w:r>
                      <w:r w:rsidRPr="0013726D">
                        <w:rPr>
                          <w:rFonts w:ascii="Times New Roman" w:hAnsi="Times New Roman" w:cs="Times New Roman"/>
                          <w:sz w:val="14"/>
                          <w:szCs w:val="14"/>
                        </w:rPr>
                        <w:t>, improvement of simplified winding-up proceedings, educating of companies.</w:t>
                      </w:r>
                    </w:p>
                    <w:p w14:paraId="57A0986A" w14:textId="77777777" w:rsidR="0013726D" w:rsidRPr="0013726D" w:rsidRDefault="0013726D" w:rsidP="0013726D">
                      <w:pPr>
                        <w:ind w:right="-80"/>
                        <w:rPr>
                          <w:color w:val="FFFFFF" w:themeColor="background1"/>
                          <w:sz w:val="14"/>
                          <w:szCs w:val="14"/>
                        </w:rPr>
                      </w:pPr>
                    </w:p>
                  </w:txbxContent>
                </v:textbox>
                <w10:wrap anchorx="margin"/>
              </v:shape>
            </w:pict>
          </mc:Fallback>
        </mc:AlternateContent>
      </w:r>
      <w:r>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08768" behindDoc="0" locked="0" layoutInCell="1" allowOverlap="1" wp14:anchorId="14DF0551" wp14:editId="418D1C94">
                <wp:simplePos x="0" y="0"/>
                <wp:positionH relativeFrom="margin">
                  <wp:align>right</wp:align>
                </wp:positionH>
                <wp:positionV relativeFrom="paragraph">
                  <wp:posOffset>1894205</wp:posOffset>
                </wp:positionV>
                <wp:extent cx="3192780" cy="838200"/>
                <wp:effectExtent l="0" t="0" r="26670" b="19050"/>
                <wp:wrapNone/>
                <wp:docPr id="1514353136" name="Text Box 1514353136"/>
                <wp:cNvGraphicFramePr/>
                <a:graphic xmlns:a="http://schemas.openxmlformats.org/drawingml/2006/main">
                  <a:graphicData uri="http://schemas.microsoft.com/office/word/2010/wordprocessingShape">
                    <wps:wsp>
                      <wps:cNvSpPr txBox="1"/>
                      <wps:spPr>
                        <a:xfrm>
                          <a:off x="0" y="0"/>
                          <a:ext cx="3192780" cy="83820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307B4F"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1. Provision of </w:t>
                            </w:r>
                            <w:r w:rsidRPr="0013726D">
                              <w:rPr>
                                <w:rFonts w:ascii="Times New Roman" w:hAnsi="Times New Roman" w:cs="Times New Roman"/>
                                <w:b/>
                                <w:bCs/>
                                <w:sz w:val="14"/>
                                <w:szCs w:val="14"/>
                              </w:rPr>
                              <w:t>e-referral</w:t>
                            </w:r>
                            <w:r w:rsidRPr="0013726D">
                              <w:rPr>
                                <w:rFonts w:ascii="Times New Roman" w:hAnsi="Times New Roman" w:cs="Times New Roman"/>
                                <w:sz w:val="14"/>
                                <w:szCs w:val="14"/>
                              </w:rPr>
                              <w:t xml:space="preserve"> data and related specialist reports, laboratory referrals and results data </w:t>
                            </w:r>
                            <w:r w:rsidRPr="0013726D">
                              <w:rPr>
                                <w:rFonts w:ascii="Times New Roman" w:hAnsi="Times New Roman" w:cs="Times New Roman"/>
                                <w:b/>
                                <w:bCs/>
                                <w:sz w:val="14"/>
                                <w:szCs w:val="14"/>
                              </w:rPr>
                              <w:t>in the patient’s electronic health records in the Unified Electronic Information System of the Health Sector.</w:t>
                            </w:r>
                          </w:p>
                          <w:p w14:paraId="39F740AB"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2. Introduction of a </w:t>
                            </w:r>
                            <w:r w:rsidRPr="0013726D">
                              <w:rPr>
                                <w:rFonts w:ascii="Times New Roman" w:hAnsi="Times New Roman" w:cs="Times New Roman"/>
                                <w:b/>
                                <w:bCs/>
                                <w:sz w:val="14"/>
                                <w:szCs w:val="14"/>
                              </w:rPr>
                              <w:t>risk</w:t>
                            </w:r>
                            <w:r w:rsidRPr="0013726D">
                              <w:rPr>
                                <w:rFonts w:ascii="Times New Roman" w:hAnsi="Times New Roman" w:cs="Times New Roman"/>
                                <w:sz w:val="14"/>
                                <w:szCs w:val="14"/>
                              </w:rPr>
                              <w:t xml:space="preserve"> system in the National Health Service data accrual systems.</w:t>
                            </w:r>
                          </w:p>
                          <w:p w14:paraId="5D78B816"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3. </w:t>
                            </w:r>
                            <w:r w:rsidRPr="0013726D">
                              <w:rPr>
                                <w:rFonts w:ascii="Times New Roman" w:hAnsi="Times New Roman" w:cs="Times New Roman"/>
                                <w:b/>
                                <w:bCs/>
                                <w:sz w:val="14"/>
                                <w:szCs w:val="14"/>
                              </w:rPr>
                              <w:t>Revision</w:t>
                            </w:r>
                            <w:r w:rsidRPr="0013726D">
                              <w:rPr>
                                <w:rFonts w:ascii="Times New Roman" w:hAnsi="Times New Roman" w:cs="Times New Roman"/>
                                <w:sz w:val="14"/>
                                <w:szCs w:val="14"/>
                              </w:rPr>
                              <w:t xml:space="preserve"> of the </w:t>
                            </w:r>
                            <w:r w:rsidRPr="0013726D">
                              <w:rPr>
                                <w:rFonts w:ascii="Times New Roman" w:hAnsi="Times New Roman" w:cs="Times New Roman"/>
                                <w:b/>
                                <w:bCs/>
                                <w:sz w:val="14"/>
                                <w:szCs w:val="14"/>
                              </w:rPr>
                              <w:t>laws and regulations</w:t>
                            </w:r>
                            <w:r w:rsidRPr="0013726D">
                              <w:rPr>
                                <w:rFonts w:ascii="Times New Roman" w:hAnsi="Times New Roman" w:cs="Times New Roman"/>
                                <w:sz w:val="14"/>
                                <w:szCs w:val="14"/>
                              </w:rPr>
                              <w:t xml:space="preserve"> and standards.</w:t>
                            </w:r>
                          </w:p>
                          <w:p w14:paraId="7B3B0745" w14:textId="77777777" w:rsidR="0013726D" w:rsidRPr="0013726D" w:rsidRDefault="0013726D" w:rsidP="0013726D">
                            <w:pPr>
                              <w:rPr>
                                <w:rFonts w:ascii="Times New Roman" w:hAnsi="Times New Roman" w:cs="Times New Roman"/>
                                <w:b/>
                                <w:bCs/>
                                <w:sz w:val="14"/>
                                <w:szCs w:val="14"/>
                              </w:rPr>
                            </w:pPr>
                            <w:r w:rsidRPr="0013726D">
                              <w:rPr>
                                <w:rFonts w:ascii="Times New Roman" w:hAnsi="Times New Roman" w:cs="Times New Roman"/>
                                <w:sz w:val="14"/>
                                <w:szCs w:val="14"/>
                              </w:rPr>
                              <w:t xml:space="preserve">4. Separate identification of telemedicine service providers in </w:t>
                            </w:r>
                            <w:r w:rsidRPr="0013726D">
                              <w:rPr>
                                <w:rFonts w:ascii="Times New Roman" w:hAnsi="Times New Roman" w:cs="Times New Roman"/>
                                <w:b/>
                                <w:bCs/>
                                <w:sz w:val="14"/>
                                <w:szCs w:val="14"/>
                              </w:rPr>
                              <w:t>the Register of Medical Treatment Institutions.</w:t>
                            </w:r>
                          </w:p>
                          <w:p w14:paraId="618E8DEB" w14:textId="77777777" w:rsidR="0013726D" w:rsidRPr="0013726D" w:rsidRDefault="0013726D" w:rsidP="0013726D">
                            <w:pPr>
                              <w:ind w:right="-80"/>
                              <w:rPr>
                                <w:color w:val="FFFFFF" w:themeColor="background1"/>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F0551" id="Text Box 1514353136" o:spid="_x0000_s1093" type="#_x0000_t202" style="position:absolute;left:0;text-align:left;margin-left:200.2pt;margin-top:149.15pt;width:251.4pt;height:66pt;z-index:251808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" fillcolor="white [3212]" strokeweight=".5pt">
                <v:textbox>
                  <w:txbxContent>
                    <w:p w14:paraId="17307B4F"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1. Provision of </w:t>
                      </w:r>
                      <w:r w:rsidRPr="0013726D">
                        <w:rPr>
                          <w:rFonts w:ascii="Times New Roman" w:hAnsi="Times New Roman" w:cs="Times New Roman"/>
                          <w:b/>
                          <w:bCs/>
                          <w:sz w:val="14"/>
                          <w:szCs w:val="14"/>
                        </w:rPr>
                        <w:t>e-referral</w:t>
                      </w:r>
                      <w:r w:rsidRPr="0013726D">
                        <w:rPr>
                          <w:rFonts w:ascii="Times New Roman" w:hAnsi="Times New Roman" w:cs="Times New Roman"/>
                          <w:sz w:val="14"/>
                          <w:szCs w:val="14"/>
                        </w:rPr>
                        <w:t xml:space="preserve"> data and related specialist reports, laboratory referrals and results data </w:t>
                      </w:r>
                      <w:r w:rsidRPr="0013726D">
                        <w:rPr>
                          <w:rFonts w:ascii="Times New Roman" w:hAnsi="Times New Roman" w:cs="Times New Roman"/>
                          <w:b/>
                          <w:bCs/>
                          <w:sz w:val="14"/>
                          <w:szCs w:val="14"/>
                        </w:rPr>
                        <w:t>in the patient’s electronic health records in the Unified Electronic Information System of the Health Sector.</w:t>
                      </w:r>
                    </w:p>
                    <w:p w14:paraId="39F740AB"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2. Introduction of a </w:t>
                      </w:r>
                      <w:r w:rsidRPr="0013726D">
                        <w:rPr>
                          <w:rFonts w:ascii="Times New Roman" w:hAnsi="Times New Roman" w:cs="Times New Roman"/>
                          <w:b/>
                          <w:bCs/>
                          <w:sz w:val="14"/>
                          <w:szCs w:val="14"/>
                        </w:rPr>
                        <w:t>risk</w:t>
                      </w:r>
                      <w:r w:rsidRPr="0013726D">
                        <w:rPr>
                          <w:rFonts w:ascii="Times New Roman" w:hAnsi="Times New Roman" w:cs="Times New Roman"/>
                          <w:sz w:val="14"/>
                          <w:szCs w:val="14"/>
                        </w:rPr>
                        <w:t xml:space="preserve"> system in the National Health Service data accrual systems.</w:t>
                      </w:r>
                    </w:p>
                    <w:p w14:paraId="5D78B816" w14:textId="77777777" w:rsidR="0013726D" w:rsidRPr="0013726D" w:rsidRDefault="0013726D" w:rsidP="0013726D">
                      <w:pPr>
                        <w:rPr>
                          <w:rFonts w:ascii="Times New Roman" w:hAnsi="Times New Roman" w:cs="Times New Roman"/>
                          <w:sz w:val="14"/>
                          <w:szCs w:val="14"/>
                        </w:rPr>
                      </w:pPr>
                      <w:r w:rsidRPr="0013726D">
                        <w:rPr>
                          <w:rFonts w:ascii="Times New Roman" w:hAnsi="Times New Roman" w:cs="Times New Roman"/>
                          <w:sz w:val="14"/>
                          <w:szCs w:val="14"/>
                        </w:rPr>
                        <w:t xml:space="preserve">3. </w:t>
                      </w:r>
                      <w:r w:rsidRPr="0013726D">
                        <w:rPr>
                          <w:rFonts w:ascii="Times New Roman" w:hAnsi="Times New Roman" w:cs="Times New Roman"/>
                          <w:b/>
                          <w:bCs/>
                          <w:sz w:val="14"/>
                          <w:szCs w:val="14"/>
                        </w:rPr>
                        <w:t>Revision</w:t>
                      </w:r>
                      <w:r w:rsidRPr="0013726D">
                        <w:rPr>
                          <w:rFonts w:ascii="Times New Roman" w:hAnsi="Times New Roman" w:cs="Times New Roman"/>
                          <w:sz w:val="14"/>
                          <w:szCs w:val="14"/>
                        </w:rPr>
                        <w:t xml:space="preserve"> of the </w:t>
                      </w:r>
                      <w:r w:rsidRPr="0013726D">
                        <w:rPr>
                          <w:rFonts w:ascii="Times New Roman" w:hAnsi="Times New Roman" w:cs="Times New Roman"/>
                          <w:b/>
                          <w:bCs/>
                          <w:sz w:val="14"/>
                          <w:szCs w:val="14"/>
                        </w:rPr>
                        <w:t>laws and regulations</w:t>
                      </w:r>
                      <w:r w:rsidRPr="0013726D">
                        <w:rPr>
                          <w:rFonts w:ascii="Times New Roman" w:hAnsi="Times New Roman" w:cs="Times New Roman"/>
                          <w:sz w:val="14"/>
                          <w:szCs w:val="14"/>
                        </w:rPr>
                        <w:t xml:space="preserve"> and standards.</w:t>
                      </w:r>
                    </w:p>
                    <w:p w14:paraId="7B3B0745" w14:textId="77777777" w:rsidR="0013726D" w:rsidRPr="0013726D" w:rsidRDefault="0013726D" w:rsidP="0013726D">
                      <w:pPr>
                        <w:rPr>
                          <w:rFonts w:ascii="Times New Roman" w:hAnsi="Times New Roman" w:cs="Times New Roman"/>
                          <w:b/>
                          <w:bCs/>
                          <w:sz w:val="14"/>
                          <w:szCs w:val="14"/>
                        </w:rPr>
                      </w:pPr>
                      <w:r w:rsidRPr="0013726D">
                        <w:rPr>
                          <w:rFonts w:ascii="Times New Roman" w:hAnsi="Times New Roman" w:cs="Times New Roman"/>
                          <w:sz w:val="14"/>
                          <w:szCs w:val="14"/>
                        </w:rPr>
                        <w:t xml:space="preserve">4. Separate identification of telemedicine service providers in </w:t>
                      </w:r>
                      <w:r w:rsidRPr="0013726D">
                        <w:rPr>
                          <w:rFonts w:ascii="Times New Roman" w:hAnsi="Times New Roman" w:cs="Times New Roman"/>
                          <w:b/>
                          <w:bCs/>
                          <w:sz w:val="14"/>
                          <w:szCs w:val="14"/>
                        </w:rPr>
                        <w:t>the Register of Medical Treatment Institutions.</w:t>
                      </w:r>
                    </w:p>
                    <w:p w14:paraId="618E8DEB" w14:textId="77777777" w:rsidR="0013726D" w:rsidRPr="0013726D" w:rsidRDefault="0013726D" w:rsidP="0013726D">
                      <w:pPr>
                        <w:ind w:right="-80"/>
                        <w:rPr>
                          <w:color w:val="FFFFFF" w:themeColor="background1"/>
                          <w:sz w:val="12"/>
                          <w:szCs w:val="12"/>
                        </w:rPr>
                      </w:pPr>
                    </w:p>
                  </w:txbxContent>
                </v:textbox>
                <w10:wrap anchorx="margin"/>
              </v:shape>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06720" behindDoc="0" locked="0" layoutInCell="1" allowOverlap="1" wp14:anchorId="12CC637E" wp14:editId="3A18AD01">
                <wp:simplePos x="0" y="0"/>
                <wp:positionH relativeFrom="margin">
                  <wp:align>right</wp:align>
                </wp:positionH>
                <wp:positionV relativeFrom="paragraph">
                  <wp:posOffset>240665</wp:posOffset>
                </wp:positionV>
                <wp:extent cx="3192780" cy="1432560"/>
                <wp:effectExtent l="0" t="0" r="26670" b="15240"/>
                <wp:wrapNone/>
                <wp:docPr id="1514353135" name="Text Box 1514353135"/>
                <wp:cNvGraphicFramePr/>
                <a:graphic xmlns:a="http://schemas.openxmlformats.org/drawingml/2006/main">
                  <a:graphicData uri="http://schemas.microsoft.com/office/word/2010/wordprocessingShape">
                    <wps:wsp>
                      <wps:cNvSpPr txBox="1"/>
                      <wps:spPr>
                        <a:xfrm>
                          <a:off x="0" y="0"/>
                          <a:ext cx="3192780" cy="143256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65240A"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1. Lowering of the </w:t>
                            </w:r>
                            <w:r w:rsidRPr="00B01C42">
                              <w:rPr>
                                <w:rFonts w:ascii="Times New Roman" w:hAnsi="Times New Roman" w:cs="Times New Roman"/>
                                <w:b/>
                                <w:bCs/>
                                <w:sz w:val="13"/>
                                <w:szCs w:val="13"/>
                              </w:rPr>
                              <w:t>threshold for the EDLUS implementation</w:t>
                            </w:r>
                            <w:r w:rsidRPr="00B01C42">
                              <w:rPr>
                                <w:rFonts w:ascii="Times New Roman" w:hAnsi="Times New Roman" w:cs="Times New Roman"/>
                                <w:sz w:val="13"/>
                                <w:szCs w:val="13"/>
                              </w:rPr>
                              <w:t xml:space="preserve"> from EUR 350 000 to </w:t>
                            </w:r>
                            <w:r w:rsidRPr="00B01C42">
                              <w:rPr>
                                <w:rFonts w:ascii="Times New Roman" w:hAnsi="Times New Roman" w:cs="Times New Roman"/>
                                <w:b/>
                                <w:bCs/>
                                <w:sz w:val="13"/>
                                <w:szCs w:val="13"/>
                              </w:rPr>
                              <w:t>EUR 170 000.</w:t>
                            </w:r>
                          </w:p>
                          <w:p w14:paraId="1B245FC3" w14:textId="77777777" w:rsidR="00B01C42" w:rsidRPr="00B01C42" w:rsidRDefault="00B01C42" w:rsidP="00B01C42">
                            <w:pPr>
                              <w:ind w:right="-80"/>
                              <w:rPr>
                                <w:rFonts w:ascii="Times New Roman" w:hAnsi="Times New Roman" w:cs="Times New Roman"/>
                                <w:sz w:val="13"/>
                                <w:szCs w:val="13"/>
                              </w:rPr>
                            </w:pPr>
                            <w:r w:rsidRPr="00B01C42">
                              <w:rPr>
                                <w:rFonts w:ascii="Times New Roman" w:hAnsi="Times New Roman" w:cs="Times New Roman"/>
                                <w:sz w:val="13"/>
                                <w:szCs w:val="13"/>
                              </w:rPr>
                              <w:t xml:space="preserve">2. Encouraging of construction sector associations to conclude </w:t>
                            </w:r>
                            <w:r w:rsidRPr="00B01C42">
                              <w:rPr>
                                <w:rFonts w:ascii="Times New Roman" w:hAnsi="Times New Roman" w:cs="Times New Roman"/>
                                <w:b/>
                                <w:bCs/>
                                <w:sz w:val="13"/>
                                <w:szCs w:val="13"/>
                              </w:rPr>
                              <w:t>general</w:t>
                            </w:r>
                            <w:r w:rsidRPr="00B01C42">
                              <w:rPr>
                                <w:rFonts w:ascii="Times New Roman" w:hAnsi="Times New Roman" w:cs="Times New Roman"/>
                                <w:sz w:val="13"/>
                                <w:szCs w:val="13"/>
                              </w:rPr>
                              <w:t xml:space="preserve"> </w:t>
                            </w:r>
                            <w:r w:rsidRPr="00B01C42">
                              <w:rPr>
                                <w:rFonts w:ascii="Times New Roman" w:hAnsi="Times New Roman" w:cs="Times New Roman"/>
                                <w:b/>
                                <w:bCs/>
                                <w:sz w:val="13"/>
                                <w:szCs w:val="13"/>
                              </w:rPr>
                              <w:t>agreements</w:t>
                            </w:r>
                            <w:r w:rsidRPr="00B01C42">
                              <w:rPr>
                                <w:rFonts w:ascii="Times New Roman" w:hAnsi="Times New Roman" w:cs="Times New Roman"/>
                                <w:sz w:val="13"/>
                                <w:szCs w:val="13"/>
                              </w:rPr>
                              <w:t xml:space="preserve"> in line with current wage levels in the sector.</w:t>
                            </w:r>
                          </w:p>
                          <w:p w14:paraId="5D7A844B"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3. Imposing of a statutory obligation to submit </w:t>
                            </w:r>
                            <w:r w:rsidRPr="00B01C42">
                              <w:rPr>
                                <w:rFonts w:ascii="Times New Roman" w:hAnsi="Times New Roman" w:cs="Times New Roman"/>
                                <w:b/>
                                <w:bCs/>
                                <w:sz w:val="13"/>
                                <w:szCs w:val="13"/>
                              </w:rPr>
                              <w:t>information to the CIS</w:t>
                            </w:r>
                            <w:r w:rsidRPr="00B01C42">
                              <w:rPr>
                                <w:rFonts w:ascii="Times New Roman" w:hAnsi="Times New Roman" w:cs="Times New Roman"/>
                                <w:sz w:val="13"/>
                                <w:szCs w:val="13"/>
                              </w:rPr>
                              <w:t xml:space="preserve"> on the data included in a </w:t>
                            </w:r>
                            <w:r w:rsidRPr="00B01C42">
                              <w:rPr>
                                <w:rFonts w:ascii="Times New Roman" w:hAnsi="Times New Roman" w:cs="Times New Roman"/>
                                <w:b/>
                                <w:bCs/>
                                <w:sz w:val="13"/>
                                <w:szCs w:val="13"/>
                              </w:rPr>
                              <w:t>construction contract.</w:t>
                            </w:r>
                          </w:p>
                          <w:p w14:paraId="403223E3"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4. Imposing of an obligation on a private individual to submit information to the CIS </w:t>
                            </w:r>
                            <w:r w:rsidRPr="00B01C42">
                              <w:rPr>
                                <w:rFonts w:ascii="Times New Roman" w:hAnsi="Times New Roman" w:cs="Times New Roman"/>
                                <w:b/>
                                <w:bCs/>
                                <w:sz w:val="13"/>
                                <w:szCs w:val="13"/>
                              </w:rPr>
                              <w:t>on the</w:t>
                            </w:r>
                            <w:r w:rsidRPr="00B01C42">
                              <w:rPr>
                                <w:rFonts w:ascii="Times New Roman" w:hAnsi="Times New Roman" w:cs="Times New Roman"/>
                                <w:sz w:val="13"/>
                                <w:szCs w:val="13"/>
                              </w:rPr>
                              <w:t xml:space="preserve"> </w:t>
                            </w:r>
                            <w:r w:rsidRPr="00B01C42">
                              <w:rPr>
                                <w:rFonts w:ascii="Times New Roman" w:hAnsi="Times New Roman" w:cs="Times New Roman"/>
                                <w:b/>
                                <w:bCs/>
                                <w:sz w:val="13"/>
                                <w:szCs w:val="13"/>
                              </w:rPr>
                              <w:t>origin of funds intended for construction works.</w:t>
                            </w:r>
                          </w:p>
                          <w:p w14:paraId="5E9791DB" w14:textId="77777777" w:rsidR="00B01C42" w:rsidRPr="00B01C42" w:rsidRDefault="00B01C42" w:rsidP="00B01C42">
                            <w:pPr>
                              <w:ind w:right="-80"/>
                              <w:rPr>
                                <w:rFonts w:ascii="Times New Roman" w:hAnsi="Times New Roman" w:cs="Times New Roman"/>
                                <w:sz w:val="13"/>
                                <w:szCs w:val="13"/>
                              </w:rPr>
                            </w:pPr>
                            <w:r w:rsidRPr="00B01C42">
                              <w:rPr>
                                <w:rFonts w:ascii="Times New Roman" w:hAnsi="Times New Roman" w:cs="Times New Roman"/>
                                <w:sz w:val="13"/>
                                <w:szCs w:val="13"/>
                              </w:rPr>
                              <w:t xml:space="preserve">5. Reduction of the area of the construction site where </w:t>
                            </w:r>
                            <w:r w:rsidRPr="00B01C42">
                              <w:rPr>
                                <w:rFonts w:ascii="Times New Roman" w:hAnsi="Times New Roman" w:cs="Times New Roman"/>
                                <w:b/>
                                <w:bCs/>
                                <w:sz w:val="13"/>
                                <w:szCs w:val="13"/>
                              </w:rPr>
                              <w:t>the builder can construct the house on his or her own</w:t>
                            </w:r>
                            <w:r w:rsidRPr="00B01C42">
                              <w:rPr>
                                <w:rFonts w:ascii="Times New Roman" w:hAnsi="Times New Roman" w:cs="Times New Roman"/>
                                <w:sz w:val="13"/>
                                <w:szCs w:val="13"/>
                              </w:rPr>
                              <w:t xml:space="preserve"> from 400 m</w:t>
                            </w:r>
                            <w:r w:rsidRPr="00B01C42">
                              <w:rPr>
                                <w:rFonts w:ascii="Times New Roman" w:hAnsi="Times New Roman" w:cs="Times New Roman"/>
                                <w:sz w:val="13"/>
                                <w:szCs w:val="13"/>
                                <w:vertAlign w:val="superscript"/>
                              </w:rPr>
                              <w:t>3</w:t>
                            </w:r>
                            <w:r w:rsidRPr="00B01C42">
                              <w:rPr>
                                <w:rFonts w:ascii="Times New Roman" w:hAnsi="Times New Roman" w:cs="Times New Roman"/>
                                <w:sz w:val="13"/>
                                <w:szCs w:val="13"/>
                              </w:rPr>
                              <w:t xml:space="preserve"> to </w:t>
                            </w:r>
                            <w:r w:rsidRPr="00B01C42">
                              <w:rPr>
                                <w:rFonts w:ascii="Times New Roman" w:hAnsi="Times New Roman" w:cs="Times New Roman"/>
                                <w:b/>
                                <w:bCs/>
                                <w:sz w:val="13"/>
                                <w:szCs w:val="13"/>
                              </w:rPr>
                              <w:t>170 m</w:t>
                            </w:r>
                            <w:r w:rsidRPr="00B01C42">
                              <w:rPr>
                                <w:rFonts w:ascii="Times New Roman" w:hAnsi="Times New Roman" w:cs="Times New Roman"/>
                                <w:b/>
                                <w:bCs/>
                                <w:sz w:val="13"/>
                                <w:szCs w:val="13"/>
                                <w:vertAlign w:val="superscript"/>
                              </w:rPr>
                              <w:t>2</w:t>
                            </w:r>
                            <w:r w:rsidRPr="00B01C42">
                              <w:rPr>
                                <w:rFonts w:ascii="Times New Roman" w:hAnsi="Times New Roman" w:cs="Times New Roman"/>
                                <w:b/>
                                <w:bCs/>
                                <w:sz w:val="13"/>
                                <w:szCs w:val="13"/>
                              </w:rPr>
                              <w:t>.</w:t>
                            </w:r>
                          </w:p>
                          <w:p w14:paraId="77C368F4"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6. Imposing of the obligation that </w:t>
                            </w:r>
                            <w:r w:rsidRPr="00B01C42">
                              <w:rPr>
                                <w:rFonts w:ascii="Times New Roman" w:hAnsi="Times New Roman" w:cs="Times New Roman"/>
                                <w:b/>
                                <w:bCs/>
                                <w:sz w:val="13"/>
                                <w:szCs w:val="13"/>
                              </w:rPr>
                              <w:t>payments for services</w:t>
                            </w:r>
                            <w:r w:rsidRPr="00B01C42">
                              <w:rPr>
                                <w:rFonts w:ascii="Times New Roman" w:hAnsi="Times New Roman" w:cs="Times New Roman"/>
                                <w:sz w:val="13"/>
                                <w:szCs w:val="13"/>
                              </w:rPr>
                              <w:t xml:space="preserve"> for which the client is obliged to submit documents after completion of the construction works envisaged in the project in order to put the building or civil engineering structure into operation are made only </w:t>
                            </w:r>
                            <w:r w:rsidRPr="00B01C42">
                              <w:rPr>
                                <w:rFonts w:ascii="Times New Roman" w:hAnsi="Times New Roman" w:cs="Times New Roman"/>
                                <w:b/>
                                <w:bCs/>
                                <w:sz w:val="13"/>
                                <w:szCs w:val="13"/>
                              </w:rPr>
                              <w:t>in the form of non-cash payments.</w:t>
                            </w:r>
                          </w:p>
                          <w:p w14:paraId="5AE36977" w14:textId="77777777" w:rsidR="00B01C42" w:rsidRPr="00B01C42" w:rsidRDefault="00B01C42" w:rsidP="00B01C42">
                            <w:pPr>
                              <w:ind w:right="-80"/>
                              <w:rPr>
                                <w:color w:val="FFFFFF" w:themeColor="background1"/>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C637E" id="Text Box 1514353135" o:spid="_x0000_s1094" type="#_x0000_t202" style="position:absolute;left:0;text-align:left;margin-left:200.2pt;margin-top:18.95pt;width:251.4pt;height:112.8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" fillcolor="white [3212]" strokeweight=".5pt">
                <v:textbox>
                  <w:txbxContent>
                    <w:p w14:paraId="3865240A"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1. Lowering of the </w:t>
                      </w:r>
                      <w:r w:rsidRPr="00B01C42">
                        <w:rPr>
                          <w:rFonts w:ascii="Times New Roman" w:hAnsi="Times New Roman" w:cs="Times New Roman"/>
                          <w:b/>
                          <w:bCs/>
                          <w:sz w:val="13"/>
                          <w:szCs w:val="13"/>
                        </w:rPr>
                        <w:t>threshold for the EDLUS implementation</w:t>
                      </w:r>
                      <w:r w:rsidRPr="00B01C42">
                        <w:rPr>
                          <w:rFonts w:ascii="Times New Roman" w:hAnsi="Times New Roman" w:cs="Times New Roman"/>
                          <w:sz w:val="13"/>
                          <w:szCs w:val="13"/>
                        </w:rPr>
                        <w:t xml:space="preserve"> from EUR 350 000 to </w:t>
                      </w:r>
                      <w:r w:rsidRPr="00B01C42">
                        <w:rPr>
                          <w:rFonts w:ascii="Times New Roman" w:hAnsi="Times New Roman" w:cs="Times New Roman"/>
                          <w:b/>
                          <w:bCs/>
                          <w:sz w:val="13"/>
                          <w:szCs w:val="13"/>
                        </w:rPr>
                        <w:t>EUR 170 000.</w:t>
                      </w:r>
                    </w:p>
                    <w:p w14:paraId="1B245FC3" w14:textId="77777777" w:rsidR="00B01C42" w:rsidRPr="00B01C42" w:rsidRDefault="00B01C42" w:rsidP="00B01C42">
                      <w:pPr>
                        <w:ind w:right="-80"/>
                        <w:rPr>
                          <w:rFonts w:ascii="Times New Roman" w:hAnsi="Times New Roman" w:cs="Times New Roman"/>
                          <w:sz w:val="13"/>
                          <w:szCs w:val="13"/>
                        </w:rPr>
                      </w:pPr>
                      <w:r w:rsidRPr="00B01C42">
                        <w:rPr>
                          <w:rFonts w:ascii="Times New Roman" w:hAnsi="Times New Roman" w:cs="Times New Roman"/>
                          <w:sz w:val="13"/>
                          <w:szCs w:val="13"/>
                        </w:rPr>
                        <w:t xml:space="preserve">2. Encouraging of construction sector associations to conclude </w:t>
                      </w:r>
                      <w:r w:rsidRPr="00B01C42">
                        <w:rPr>
                          <w:rFonts w:ascii="Times New Roman" w:hAnsi="Times New Roman" w:cs="Times New Roman"/>
                          <w:b/>
                          <w:bCs/>
                          <w:sz w:val="13"/>
                          <w:szCs w:val="13"/>
                        </w:rPr>
                        <w:t>general</w:t>
                      </w:r>
                      <w:r w:rsidRPr="00B01C42">
                        <w:rPr>
                          <w:rFonts w:ascii="Times New Roman" w:hAnsi="Times New Roman" w:cs="Times New Roman"/>
                          <w:sz w:val="13"/>
                          <w:szCs w:val="13"/>
                        </w:rPr>
                        <w:t xml:space="preserve"> </w:t>
                      </w:r>
                      <w:r w:rsidRPr="00B01C42">
                        <w:rPr>
                          <w:rFonts w:ascii="Times New Roman" w:hAnsi="Times New Roman" w:cs="Times New Roman"/>
                          <w:b/>
                          <w:bCs/>
                          <w:sz w:val="13"/>
                          <w:szCs w:val="13"/>
                        </w:rPr>
                        <w:t>agreements</w:t>
                      </w:r>
                      <w:r w:rsidRPr="00B01C42">
                        <w:rPr>
                          <w:rFonts w:ascii="Times New Roman" w:hAnsi="Times New Roman" w:cs="Times New Roman"/>
                          <w:sz w:val="13"/>
                          <w:szCs w:val="13"/>
                        </w:rPr>
                        <w:t xml:space="preserve"> in line with current wage levels in the sector.</w:t>
                      </w:r>
                    </w:p>
                    <w:p w14:paraId="5D7A844B"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3. Imposing of a statutory obligation to submit </w:t>
                      </w:r>
                      <w:r w:rsidRPr="00B01C42">
                        <w:rPr>
                          <w:rFonts w:ascii="Times New Roman" w:hAnsi="Times New Roman" w:cs="Times New Roman"/>
                          <w:b/>
                          <w:bCs/>
                          <w:sz w:val="13"/>
                          <w:szCs w:val="13"/>
                        </w:rPr>
                        <w:t>information to the CIS</w:t>
                      </w:r>
                      <w:r w:rsidRPr="00B01C42">
                        <w:rPr>
                          <w:rFonts w:ascii="Times New Roman" w:hAnsi="Times New Roman" w:cs="Times New Roman"/>
                          <w:sz w:val="13"/>
                          <w:szCs w:val="13"/>
                        </w:rPr>
                        <w:t xml:space="preserve"> on the data included in a </w:t>
                      </w:r>
                      <w:r w:rsidRPr="00B01C42">
                        <w:rPr>
                          <w:rFonts w:ascii="Times New Roman" w:hAnsi="Times New Roman" w:cs="Times New Roman"/>
                          <w:b/>
                          <w:bCs/>
                          <w:sz w:val="13"/>
                          <w:szCs w:val="13"/>
                        </w:rPr>
                        <w:t>construction contract.</w:t>
                      </w:r>
                    </w:p>
                    <w:p w14:paraId="403223E3"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4. Imposing of an obligation on a private individual to submit information to the CIS </w:t>
                      </w:r>
                      <w:r w:rsidRPr="00B01C42">
                        <w:rPr>
                          <w:rFonts w:ascii="Times New Roman" w:hAnsi="Times New Roman" w:cs="Times New Roman"/>
                          <w:b/>
                          <w:bCs/>
                          <w:sz w:val="13"/>
                          <w:szCs w:val="13"/>
                        </w:rPr>
                        <w:t>on the</w:t>
                      </w:r>
                      <w:r w:rsidRPr="00B01C42">
                        <w:rPr>
                          <w:rFonts w:ascii="Times New Roman" w:hAnsi="Times New Roman" w:cs="Times New Roman"/>
                          <w:sz w:val="13"/>
                          <w:szCs w:val="13"/>
                        </w:rPr>
                        <w:t xml:space="preserve"> </w:t>
                      </w:r>
                      <w:r w:rsidRPr="00B01C42">
                        <w:rPr>
                          <w:rFonts w:ascii="Times New Roman" w:hAnsi="Times New Roman" w:cs="Times New Roman"/>
                          <w:b/>
                          <w:bCs/>
                          <w:sz w:val="13"/>
                          <w:szCs w:val="13"/>
                        </w:rPr>
                        <w:t>origin of funds intended for construction works.</w:t>
                      </w:r>
                    </w:p>
                    <w:p w14:paraId="5E9791DB" w14:textId="77777777" w:rsidR="00B01C42" w:rsidRPr="00B01C42" w:rsidRDefault="00B01C42" w:rsidP="00B01C42">
                      <w:pPr>
                        <w:ind w:right="-80"/>
                        <w:rPr>
                          <w:rFonts w:ascii="Times New Roman" w:hAnsi="Times New Roman" w:cs="Times New Roman"/>
                          <w:sz w:val="13"/>
                          <w:szCs w:val="13"/>
                        </w:rPr>
                      </w:pPr>
                      <w:r w:rsidRPr="00B01C42">
                        <w:rPr>
                          <w:rFonts w:ascii="Times New Roman" w:hAnsi="Times New Roman" w:cs="Times New Roman"/>
                          <w:sz w:val="13"/>
                          <w:szCs w:val="13"/>
                        </w:rPr>
                        <w:t xml:space="preserve">5. Reduction of the area of the construction site where </w:t>
                      </w:r>
                      <w:r w:rsidRPr="00B01C42">
                        <w:rPr>
                          <w:rFonts w:ascii="Times New Roman" w:hAnsi="Times New Roman" w:cs="Times New Roman"/>
                          <w:b/>
                          <w:bCs/>
                          <w:sz w:val="13"/>
                          <w:szCs w:val="13"/>
                        </w:rPr>
                        <w:t>the builder can construct the house on his or her own</w:t>
                      </w:r>
                      <w:r w:rsidRPr="00B01C42">
                        <w:rPr>
                          <w:rFonts w:ascii="Times New Roman" w:hAnsi="Times New Roman" w:cs="Times New Roman"/>
                          <w:sz w:val="13"/>
                          <w:szCs w:val="13"/>
                        </w:rPr>
                        <w:t xml:space="preserve"> from 400 m</w:t>
                      </w:r>
                      <w:r w:rsidRPr="00B01C42">
                        <w:rPr>
                          <w:rFonts w:ascii="Times New Roman" w:hAnsi="Times New Roman" w:cs="Times New Roman"/>
                          <w:sz w:val="13"/>
                          <w:szCs w:val="13"/>
                          <w:vertAlign w:val="superscript"/>
                        </w:rPr>
                        <w:t>3</w:t>
                      </w:r>
                      <w:r w:rsidRPr="00B01C42">
                        <w:rPr>
                          <w:rFonts w:ascii="Times New Roman" w:hAnsi="Times New Roman" w:cs="Times New Roman"/>
                          <w:sz w:val="13"/>
                          <w:szCs w:val="13"/>
                        </w:rPr>
                        <w:t xml:space="preserve"> to </w:t>
                      </w:r>
                      <w:r w:rsidRPr="00B01C42">
                        <w:rPr>
                          <w:rFonts w:ascii="Times New Roman" w:hAnsi="Times New Roman" w:cs="Times New Roman"/>
                          <w:b/>
                          <w:bCs/>
                          <w:sz w:val="13"/>
                          <w:szCs w:val="13"/>
                        </w:rPr>
                        <w:t>170 m</w:t>
                      </w:r>
                      <w:r w:rsidRPr="00B01C42">
                        <w:rPr>
                          <w:rFonts w:ascii="Times New Roman" w:hAnsi="Times New Roman" w:cs="Times New Roman"/>
                          <w:b/>
                          <w:bCs/>
                          <w:sz w:val="13"/>
                          <w:szCs w:val="13"/>
                          <w:vertAlign w:val="superscript"/>
                        </w:rPr>
                        <w:t>2</w:t>
                      </w:r>
                      <w:r w:rsidRPr="00B01C42">
                        <w:rPr>
                          <w:rFonts w:ascii="Times New Roman" w:hAnsi="Times New Roman" w:cs="Times New Roman"/>
                          <w:b/>
                          <w:bCs/>
                          <w:sz w:val="13"/>
                          <w:szCs w:val="13"/>
                        </w:rPr>
                        <w:t>.</w:t>
                      </w:r>
                    </w:p>
                    <w:p w14:paraId="77C368F4" w14:textId="77777777" w:rsidR="00B01C42" w:rsidRPr="00B01C42" w:rsidRDefault="00B01C42" w:rsidP="00B01C42">
                      <w:pPr>
                        <w:ind w:right="-80"/>
                        <w:rPr>
                          <w:rFonts w:ascii="Times New Roman" w:hAnsi="Times New Roman" w:cs="Times New Roman"/>
                          <w:b/>
                          <w:bCs/>
                          <w:sz w:val="13"/>
                          <w:szCs w:val="13"/>
                        </w:rPr>
                      </w:pPr>
                      <w:r w:rsidRPr="00B01C42">
                        <w:rPr>
                          <w:rFonts w:ascii="Times New Roman" w:hAnsi="Times New Roman" w:cs="Times New Roman"/>
                          <w:sz w:val="13"/>
                          <w:szCs w:val="13"/>
                        </w:rPr>
                        <w:t xml:space="preserve">6. Imposing of the obligation that </w:t>
                      </w:r>
                      <w:r w:rsidRPr="00B01C42">
                        <w:rPr>
                          <w:rFonts w:ascii="Times New Roman" w:hAnsi="Times New Roman" w:cs="Times New Roman"/>
                          <w:b/>
                          <w:bCs/>
                          <w:sz w:val="13"/>
                          <w:szCs w:val="13"/>
                        </w:rPr>
                        <w:t>payments for services</w:t>
                      </w:r>
                      <w:r w:rsidRPr="00B01C42">
                        <w:rPr>
                          <w:rFonts w:ascii="Times New Roman" w:hAnsi="Times New Roman" w:cs="Times New Roman"/>
                          <w:sz w:val="13"/>
                          <w:szCs w:val="13"/>
                        </w:rPr>
                        <w:t xml:space="preserve"> for which the client is obliged to submit documents after completion of the construction works envisaged in the project in order to put the building or civil engineering structure into operation are made only </w:t>
                      </w:r>
                      <w:r w:rsidRPr="00B01C42">
                        <w:rPr>
                          <w:rFonts w:ascii="Times New Roman" w:hAnsi="Times New Roman" w:cs="Times New Roman"/>
                          <w:b/>
                          <w:bCs/>
                          <w:sz w:val="13"/>
                          <w:szCs w:val="13"/>
                        </w:rPr>
                        <w:t>in the form of non-cash payments.</w:t>
                      </w:r>
                    </w:p>
                    <w:p w14:paraId="5AE36977" w14:textId="77777777" w:rsidR="00B01C42" w:rsidRPr="00B01C42" w:rsidRDefault="00B01C42" w:rsidP="00B01C42">
                      <w:pPr>
                        <w:ind w:right="-80"/>
                        <w:rPr>
                          <w:color w:val="FFFFFF" w:themeColor="background1"/>
                          <w:sz w:val="13"/>
                          <w:szCs w:val="13"/>
                        </w:rPr>
                      </w:pPr>
                    </w:p>
                  </w:txbxContent>
                </v:textbox>
                <w10:wrap anchorx="margin"/>
              </v:shape>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04672" behindDoc="0" locked="0" layoutInCell="1" allowOverlap="1" wp14:anchorId="0A675545" wp14:editId="3B0DFF7E">
                <wp:simplePos x="0" y="0"/>
                <wp:positionH relativeFrom="margin">
                  <wp:align>left</wp:align>
                </wp:positionH>
                <wp:positionV relativeFrom="paragraph">
                  <wp:posOffset>2846705</wp:posOffset>
                </wp:positionV>
                <wp:extent cx="3025140" cy="792480"/>
                <wp:effectExtent l="0" t="0" r="22860" b="26670"/>
                <wp:wrapNone/>
                <wp:docPr id="1514353134" name="Text Box 1514353134"/>
                <wp:cNvGraphicFramePr/>
                <a:graphic xmlns:a="http://schemas.openxmlformats.org/drawingml/2006/main">
                  <a:graphicData uri="http://schemas.microsoft.com/office/word/2010/wordprocessingShape">
                    <wps:wsp>
                      <wps:cNvSpPr txBox="1"/>
                      <wps:spPr>
                        <a:xfrm>
                          <a:off x="0" y="0"/>
                          <a:ext cx="3025140" cy="79248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AABFA0"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 xml:space="preserve">1. Introduction of </w:t>
                            </w:r>
                            <w:r w:rsidRPr="00B01C42">
                              <w:rPr>
                                <w:rFonts w:ascii="Times New Roman" w:hAnsi="Times New Roman" w:cs="Times New Roman"/>
                                <w:b/>
                                <w:bCs/>
                                <w:sz w:val="14"/>
                                <w:szCs w:val="14"/>
                              </w:rPr>
                              <w:t>e-receipts</w:t>
                            </w:r>
                            <w:r w:rsidRPr="00B01C42">
                              <w:rPr>
                                <w:rFonts w:ascii="Times New Roman" w:hAnsi="Times New Roman" w:cs="Times New Roman"/>
                                <w:sz w:val="14"/>
                                <w:szCs w:val="14"/>
                              </w:rPr>
                              <w:t xml:space="preserve"> as a mandatory requirement for the use of medical services to be included as eligible expenses in the annual income tax return.</w:t>
                            </w:r>
                          </w:p>
                          <w:p w14:paraId="0E8614A6"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2. Identification databases and registers for structured data dissemination in the DAGR in order to facilitate information exchange and data use between institutions.</w:t>
                            </w:r>
                          </w:p>
                          <w:p w14:paraId="48D2EEA3"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3. Expansion of the SRS public databases, publishing information on the amount of taxes paid on a quarterly basis.</w:t>
                            </w:r>
                          </w:p>
                          <w:p w14:paraId="1C1D4803" w14:textId="77777777" w:rsidR="00B01C42" w:rsidRPr="00B01C42" w:rsidRDefault="00B01C42" w:rsidP="00B01C42">
                            <w:pP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75545" id="Text Box 1514353134" o:spid="_x0000_s1095" type="#_x0000_t202" style="position:absolute;left:0;text-align:left;margin-left:0;margin-top:224.15pt;width:238.2pt;height:62.4pt;z-index:251804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" fillcolor="white [3212]" strokeweight=".5pt">
                <v:textbox>
                  <w:txbxContent>
                    <w:p w14:paraId="01AABFA0"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 xml:space="preserve">1. Introduction of </w:t>
                      </w:r>
                      <w:r w:rsidRPr="00B01C42">
                        <w:rPr>
                          <w:rFonts w:ascii="Times New Roman" w:hAnsi="Times New Roman" w:cs="Times New Roman"/>
                          <w:b/>
                          <w:bCs/>
                          <w:sz w:val="14"/>
                          <w:szCs w:val="14"/>
                        </w:rPr>
                        <w:t>e-receipts</w:t>
                      </w:r>
                      <w:r w:rsidRPr="00B01C42">
                        <w:rPr>
                          <w:rFonts w:ascii="Times New Roman" w:hAnsi="Times New Roman" w:cs="Times New Roman"/>
                          <w:sz w:val="14"/>
                          <w:szCs w:val="14"/>
                        </w:rPr>
                        <w:t xml:space="preserve"> as a mandatory requirement for the use of medical services to be included as eligible expenses in the annual income tax return.</w:t>
                      </w:r>
                    </w:p>
                    <w:p w14:paraId="0E8614A6"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2. Identification databases and registers for structured data dissemination in the DAGR in order to facilitate information exchange and data use between institutions.</w:t>
                      </w:r>
                    </w:p>
                    <w:p w14:paraId="48D2EEA3" w14:textId="77777777" w:rsidR="00B01C42" w:rsidRPr="00B01C42" w:rsidRDefault="00B01C42" w:rsidP="00B01C42">
                      <w:pPr>
                        <w:rPr>
                          <w:rFonts w:ascii="Times New Roman" w:hAnsi="Times New Roman" w:cs="Times New Roman"/>
                          <w:sz w:val="14"/>
                          <w:szCs w:val="14"/>
                        </w:rPr>
                      </w:pPr>
                      <w:r w:rsidRPr="00B01C42">
                        <w:rPr>
                          <w:rFonts w:ascii="Times New Roman" w:hAnsi="Times New Roman" w:cs="Times New Roman"/>
                          <w:sz w:val="14"/>
                          <w:szCs w:val="14"/>
                        </w:rPr>
                        <w:t>3. Expansion of the SRS public databases, publishing information on the amount of taxes paid on a quarterly basis.</w:t>
                      </w:r>
                    </w:p>
                    <w:p w14:paraId="1C1D4803" w14:textId="77777777" w:rsidR="00B01C42" w:rsidRPr="00B01C42" w:rsidRDefault="00B01C42" w:rsidP="00B01C42">
                      <w:pPr>
                        <w:rPr>
                          <w:color w:val="FFFFFF" w:themeColor="background1"/>
                          <w:sz w:val="14"/>
                          <w:szCs w:val="14"/>
                        </w:rPr>
                      </w:pPr>
                    </w:p>
                  </w:txbxContent>
                </v:textbox>
                <w10:wrap anchorx="margin"/>
              </v:shape>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02624" behindDoc="0" locked="0" layoutInCell="1" allowOverlap="1" wp14:anchorId="437F3995" wp14:editId="6613E2AC">
                <wp:simplePos x="0" y="0"/>
                <wp:positionH relativeFrom="margin">
                  <wp:align>left</wp:align>
                </wp:positionH>
                <wp:positionV relativeFrom="paragraph">
                  <wp:posOffset>286385</wp:posOffset>
                </wp:positionV>
                <wp:extent cx="2987040" cy="2232660"/>
                <wp:effectExtent l="0" t="0" r="22860" b="15240"/>
                <wp:wrapNone/>
                <wp:docPr id="1514353133" name="Text Box 1514353133"/>
                <wp:cNvGraphicFramePr/>
                <a:graphic xmlns:a="http://schemas.openxmlformats.org/drawingml/2006/main">
                  <a:graphicData uri="http://schemas.microsoft.com/office/word/2010/wordprocessingShape">
                    <wps:wsp>
                      <wps:cNvSpPr txBox="1"/>
                      <wps:spPr>
                        <a:xfrm>
                          <a:off x="0" y="0"/>
                          <a:ext cx="2987040" cy="2232660"/>
                        </a:xfrm>
                        <a:prstGeom prst="rect">
                          <a:avLst/>
                        </a:prstGeom>
                        <a:solidFill>
                          <a:schemeClr val="bg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8A711"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1. Use of taxpayer rating in </w:t>
                            </w:r>
                            <w:r w:rsidRPr="00B01C42">
                              <w:rPr>
                                <w:rFonts w:ascii="Times New Roman" w:hAnsi="Times New Roman" w:cs="Times New Roman"/>
                                <w:b/>
                                <w:bCs/>
                                <w:sz w:val="15"/>
                                <w:szCs w:val="15"/>
                              </w:rPr>
                              <w:t>public procurements.</w:t>
                            </w:r>
                          </w:p>
                          <w:p w14:paraId="74BE24B8"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2. Further discussions on the approach to indirect taxation, inter alia, in respect of sectoral exceptions where there is a general agreement.</w:t>
                            </w:r>
                          </w:p>
                          <w:p w14:paraId="3D93961D"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3. Encouraging of sectoral associations to conclude </w:t>
                            </w:r>
                            <w:r w:rsidRPr="00B01C42">
                              <w:rPr>
                                <w:rFonts w:ascii="Times New Roman" w:hAnsi="Times New Roman" w:cs="Times New Roman"/>
                                <w:b/>
                                <w:bCs/>
                                <w:sz w:val="15"/>
                                <w:szCs w:val="15"/>
                              </w:rPr>
                              <w:t>general</w:t>
                            </w:r>
                            <w:r w:rsidRPr="00B01C42">
                              <w:rPr>
                                <w:rFonts w:ascii="Times New Roman" w:hAnsi="Times New Roman" w:cs="Times New Roman"/>
                                <w:sz w:val="15"/>
                                <w:szCs w:val="15"/>
                              </w:rPr>
                              <w:t xml:space="preserve"> </w:t>
                            </w:r>
                            <w:r w:rsidRPr="00B01C42">
                              <w:rPr>
                                <w:rFonts w:ascii="Times New Roman" w:hAnsi="Times New Roman" w:cs="Times New Roman"/>
                                <w:b/>
                                <w:bCs/>
                                <w:sz w:val="15"/>
                                <w:szCs w:val="15"/>
                              </w:rPr>
                              <w:t>agreements</w:t>
                            </w:r>
                            <w:r w:rsidRPr="00B01C42">
                              <w:rPr>
                                <w:rFonts w:ascii="Times New Roman" w:hAnsi="Times New Roman" w:cs="Times New Roman"/>
                                <w:sz w:val="15"/>
                                <w:szCs w:val="15"/>
                              </w:rPr>
                              <w:t xml:space="preserve"> in line with current wage levels in the sector.</w:t>
                            </w:r>
                          </w:p>
                          <w:p w14:paraId="61F2A655"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4. Implementation of the electronic circulation system for </w:t>
                            </w:r>
                            <w:r w:rsidRPr="00B01C42">
                              <w:rPr>
                                <w:rFonts w:ascii="Times New Roman" w:hAnsi="Times New Roman" w:cs="Times New Roman"/>
                                <w:b/>
                                <w:bCs/>
                                <w:sz w:val="15"/>
                                <w:szCs w:val="15"/>
                              </w:rPr>
                              <w:t>e-invoices.</w:t>
                            </w:r>
                          </w:p>
                          <w:p w14:paraId="34E3F5E1"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5. Assessment of whether the existing personal income declaration procedures needs to be supplemented in order to reduce the shadow economy, promote a tax-paying culture, and at the same time not increase the administrative and bureaucratic burdens. Identification of a conceptual solution for the phasing-in of the general principle of </w:t>
                            </w:r>
                            <w:r w:rsidRPr="00B01C42">
                              <w:rPr>
                                <w:rFonts w:ascii="Times New Roman" w:hAnsi="Times New Roman" w:cs="Times New Roman"/>
                                <w:b/>
                                <w:bCs/>
                                <w:sz w:val="15"/>
                                <w:szCs w:val="15"/>
                              </w:rPr>
                              <w:t>declaring personal income.</w:t>
                            </w:r>
                          </w:p>
                          <w:p w14:paraId="285C7AE7"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6. Determining </w:t>
                            </w:r>
                            <w:r w:rsidRPr="00B01C42">
                              <w:rPr>
                                <w:rFonts w:ascii="Times New Roman" w:hAnsi="Times New Roman" w:cs="Times New Roman"/>
                                <w:b/>
                                <w:bCs/>
                                <w:sz w:val="15"/>
                                <w:szCs w:val="15"/>
                              </w:rPr>
                              <w:t>non-cash payments as the primary method for the payment of wages.</w:t>
                            </w:r>
                          </w:p>
                          <w:p w14:paraId="7EE3B24D"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7. Imposing of reporting of cash </w:t>
                            </w:r>
                            <w:r w:rsidRPr="00B01C42">
                              <w:rPr>
                                <w:rFonts w:ascii="Times New Roman" w:hAnsi="Times New Roman" w:cs="Times New Roman"/>
                                <w:b/>
                                <w:bCs/>
                                <w:sz w:val="15"/>
                                <w:szCs w:val="15"/>
                              </w:rPr>
                              <w:t>deposits and withdrawals in ATMs.</w:t>
                            </w:r>
                          </w:p>
                          <w:p w14:paraId="003C31A2" w14:textId="77777777" w:rsidR="00B01C42" w:rsidRPr="00B01C42" w:rsidRDefault="00B01C42" w:rsidP="00B01C42">
                            <w:pPr>
                              <w:rPr>
                                <w:rFonts w:ascii="Times New Roman" w:hAnsi="Times New Roman" w:cs="Times New Roman"/>
                                <w:b/>
                                <w:bCs/>
                                <w:sz w:val="15"/>
                                <w:szCs w:val="15"/>
                              </w:rPr>
                            </w:pPr>
                            <w:r w:rsidRPr="00B01C42">
                              <w:rPr>
                                <w:rFonts w:ascii="Times New Roman" w:hAnsi="Times New Roman" w:cs="Times New Roman"/>
                                <w:sz w:val="15"/>
                                <w:szCs w:val="15"/>
                              </w:rPr>
                              <w:t xml:space="preserve">8. Obligation for businesses with an annual turnover </w:t>
                            </w:r>
                            <w:r w:rsidRPr="00B01C42">
                              <w:rPr>
                                <w:rFonts w:ascii="Times New Roman" w:hAnsi="Times New Roman" w:cs="Times New Roman"/>
                                <w:b/>
                                <w:bCs/>
                                <w:sz w:val="15"/>
                                <w:szCs w:val="15"/>
                              </w:rPr>
                              <w:t>exceeding EUR 50 000</w:t>
                            </w:r>
                            <w:r w:rsidRPr="00B01C42">
                              <w:rPr>
                                <w:rFonts w:ascii="Times New Roman" w:hAnsi="Times New Roman" w:cs="Times New Roman"/>
                                <w:sz w:val="15"/>
                                <w:szCs w:val="15"/>
                              </w:rPr>
                              <w:t xml:space="preserve"> to allow customers </w:t>
                            </w:r>
                            <w:r w:rsidRPr="00B01C42">
                              <w:rPr>
                                <w:rFonts w:ascii="Times New Roman" w:hAnsi="Times New Roman" w:cs="Times New Roman"/>
                                <w:b/>
                                <w:bCs/>
                                <w:sz w:val="15"/>
                                <w:szCs w:val="15"/>
                              </w:rPr>
                              <w:t>to pay</w:t>
                            </w:r>
                            <w:r w:rsidRPr="00B01C42">
                              <w:rPr>
                                <w:rFonts w:ascii="Times New Roman" w:hAnsi="Times New Roman" w:cs="Times New Roman"/>
                                <w:sz w:val="15"/>
                                <w:szCs w:val="15"/>
                              </w:rPr>
                              <w:t xml:space="preserve"> also </w:t>
                            </w:r>
                            <w:r w:rsidRPr="00B01C42">
                              <w:rPr>
                                <w:rFonts w:ascii="Times New Roman" w:hAnsi="Times New Roman" w:cs="Times New Roman"/>
                                <w:b/>
                                <w:bCs/>
                                <w:sz w:val="15"/>
                                <w:szCs w:val="15"/>
                              </w:rPr>
                              <w:t>using non-cash payments.</w:t>
                            </w:r>
                          </w:p>
                          <w:p w14:paraId="2048B87E"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9. Promotion of non-cash payments (POS terminals)</w:t>
                            </w:r>
                          </w:p>
                          <w:p w14:paraId="53FA5848" w14:textId="102E2DF7" w:rsidR="00B01C42" w:rsidRPr="00B01C42" w:rsidRDefault="00B01C42" w:rsidP="00B01C42">
                            <w:pPr>
                              <w:rPr>
                                <w:color w:val="FFFFFF" w:themeColor="background1"/>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F3995" id="Text Box 1514353133" o:spid="_x0000_s1096" type="#_x0000_t202" style="position:absolute;left:0;text-align:left;margin-left:0;margin-top:22.55pt;width:235.2pt;height:175.8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" fillcolor="white [3212]" strokeweight=".5pt">
                <v:textbox>
                  <w:txbxContent>
                    <w:p w14:paraId="68C8A711"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1. Use of taxpayer rating in </w:t>
                      </w:r>
                      <w:r w:rsidRPr="00B01C42">
                        <w:rPr>
                          <w:rFonts w:ascii="Times New Roman" w:hAnsi="Times New Roman" w:cs="Times New Roman"/>
                          <w:b/>
                          <w:bCs/>
                          <w:sz w:val="15"/>
                          <w:szCs w:val="15"/>
                        </w:rPr>
                        <w:t>public procurements.</w:t>
                      </w:r>
                    </w:p>
                    <w:p w14:paraId="74BE24B8"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2. Further discussions on the approach to indirect taxation, inter alia, in respect of sectoral exceptions where there is a general agreement.</w:t>
                      </w:r>
                    </w:p>
                    <w:p w14:paraId="3D93961D"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3. Encouraging of sectoral associations to conclude </w:t>
                      </w:r>
                      <w:r w:rsidRPr="00B01C42">
                        <w:rPr>
                          <w:rFonts w:ascii="Times New Roman" w:hAnsi="Times New Roman" w:cs="Times New Roman"/>
                          <w:b/>
                          <w:bCs/>
                          <w:sz w:val="15"/>
                          <w:szCs w:val="15"/>
                        </w:rPr>
                        <w:t>general</w:t>
                      </w:r>
                      <w:r w:rsidRPr="00B01C42">
                        <w:rPr>
                          <w:rFonts w:ascii="Times New Roman" w:hAnsi="Times New Roman" w:cs="Times New Roman"/>
                          <w:sz w:val="15"/>
                          <w:szCs w:val="15"/>
                        </w:rPr>
                        <w:t xml:space="preserve"> </w:t>
                      </w:r>
                      <w:r w:rsidRPr="00B01C42">
                        <w:rPr>
                          <w:rFonts w:ascii="Times New Roman" w:hAnsi="Times New Roman" w:cs="Times New Roman"/>
                          <w:b/>
                          <w:bCs/>
                          <w:sz w:val="15"/>
                          <w:szCs w:val="15"/>
                        </w:rPr>
                        <w:t>agreements</w:t>
                      </w:r>
                      <w:r w:rsidRPr="00B01C42">
                        <w:rPr>
                          <w:rFonts w:ascii="Times New Roman" w:hAnsi="Times New Roman" w:cs="Times New Roman"/>
                          <w:sz w:val="15"/>
                          <w:szCs w:val="15"/>
                        </w:rPr>
                        <w:t xml:space="preserve"> in line with current wage levels in the sector.</w:t>
                      </w:r>
                    </w:p>
                    <w:p w14:paraId="61F2A655"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4. Implementation of the electronic circulation system for </w:t>
                      </w:r>
                      <w:r w:rsidRPr="00B01C42">
                        <w:rPr>
                          <w:rFonts w:ascii="Times New Roman" w:hAnsi="Times New Roman" w:cs="Times New Roman"/>
                          <w:b/>
                          <w:bCs/>
                          <w:sz w:val="15"/>
                          <w:szCs w:val="15"/>
                        </w:rPr>
                        <w:t>e-invoices.</w:t>
                      </w:r>
                    </w:p>
                    <w:p w14:paraId="34E3F5E1"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5. Assessment of whether the existing personal income declaration procedures needs to be supplemented in order to reduce the shadow economy, promote a tax-paying culture, and at the same time not increase the administrative and bureaucratic burdens. Identification of a conceptual solution for the phasing-in of the general principle of </w:t>
                      </w:r>
                      <w:r w:rsidRPr="00B01C42">
                        <w:rPr>
                          <w:rFonts w:ascii="Times New Roman" w:hAnsi="Times New Roman" w:cs="Times New Roman"/>
                          <w:b/>
                          <w:bCs/>
                          <w:sz w:val="15"/>
                          <w:szCs w:val="15"/>
                        </w:rPr>
                        <w:t>declaring personal income.</w:t>
                      </w:r>
                    </w:p>
                    <w:p w14:paraId="285C7AE7"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6. Determining </w:t>
                      </w:r>
                      <w:r w:rsidRPr="00B01C42">
                        <w:rPr>
                          <w:rFonts w:ascii="Times New Roman" w:hAnsi="Times New Roman" w:cs="Times New Roman"/>
                          <w:b/>
                          <w:bCs/>
                          <w:sz w:val="15"/>
                          <w:szCs w:val="15"/>
                        </w:rPr>
                        <w:t>non-cash payments as the primary method for the payment of wages.</w:t>
                      </w:r>
                    </w:p>
                    <w:p w14:paraId="7EE3B24D"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 xml:space="preserve">7. Imposing of reporting of cash </w:t>
                      </w:r>
                      <w:r w:rsidRPr="00B01C42">
                        <w:rPr>
                          <w:rFonts w:ascii="Times New Roman" w:hAnsi="Times New Roman" w:cs="Times New Roman"/>
                          <w:b/>
                          <w:bCs/>
                          <w:sz w:val="15"/>
                          <w:szCs w:val="15"/>
                        </w:rPr>
                        <w:t>deposits and withdrawals in ATMs.</w:t>
                      </w:r>
                    </w:p>
                    <w:p w14:paraId="003C31A2" w14:textId="77777777" w:rsidR="00B01C42" w:rsidRPr="00B01C42" w:rsidRDefault="00B01C42" w:rsidP="00B01C42">
                      <w:pPr>
                        <w:rPr>
                          <w:rFonts w:ascii="Times New Roman" w:hAnsi="Times New Roman" w:cs="Times New Roman"/>
                          <w:b/>
                          <w:bCs/>
                          <w:sz w:val="15"/>
                          <w:szCs w:val="15"/>
                        </w:rPr>
                      </w:pPr>
                      <w:r w:rsidRPr="00B01C42">
                        <w:rPr>
                          <w:rFonts w:ascii="Times New Roman" w:hAnsi="Times New Roman" w:cs="Times New Roman"/>
                          <w:sz w:val="15"/>
                          <w:szCs w:val="15"/>
                        </w:rPr>
                        <w:t xml:space="preserve">8. Obligation for businesses with an annual turnover </w:t>
                      </w:r>
                      <w:r w:rsidRPr="00B01C42">
                        <w:rPr>
                          <w:rFonts w:ascii="Times New Roman" w:hAnsi="Times New Roman" w:cs="Times New Roman"/>
                          <w:b/>
                          <w:bCs/>
                          <w:sz w:val="15"/>
                          <w:szCs w:val="15"/>
                        </w:rPr>
                        <w:t>exceeding EUR 50 000</w:t>
                      </w:r>
                      <w:r w:rsidRPr="00B01C42">
                        <w:rPr>
                          <w:rFonts w:ascii="Times New Roman" w:hAnsi="Times New Roman" w:cs="Times New Roman"/>
                          <w:sz w:val="15"/>
                          <w:szCs w:val="15"/>
                        </w:rPr>
                        <w:t xml:space="preserve"> to allow customers </w:t>
                      </w:r>
                      <w:r w:rsidRPr="00B01C42">
                        <w:rPr>
                          <w:rFonts w:ascii="Times New Roman" w:hAnsi="Times New Roman" w:cs="Times New Roman"/>
                          <w:b/>
                          <w:bCs/>
                          <w:sz w:val="15"/>
                          <w:szCs w:val="15"/>
                        </w:rPr>
                        <w:t>to pay</w:t>
                      </w:r>
                      <w:r w:rsidRPr="00B01C42">
                        <w:rPr>
                          <w:rFonts w:ascii="Times New Roman" w:hAnsi="Times New Roman" w:cs="Times New Roman"/>
                          <w:sz w:val="15"/>
                          <w:szCs w:val="15"/>
                        </w:rPr>
                        <w:t xml:space="preserve"> also </w:t>
                      </w:r>
                      <w:r w:rsidRPr="00B01C42">
                        <w:rPr>
                          <w:rFonts w:ascii="Times New Roman" w:hAnsi="Times New Roman" w:cs="Times New Roman"/>
                          <w:b/>
                          <w:bCs/>
                          <w:sz w:val="15"/>
                          <w:szCs w:val="15"/>
                        </w:rPr>
                        <w:t>using non-cash payments.</w:t>
                      </w:r>
                    </w:p>
                    <w:p w14:paraId="2048B87E" w14:textId="77777777" w:rsidR="00B01C42" w:rsidRPr="00B01C42" w:rsidRDefault="00B01C42" w:rsidP="00B01C42">
                      <w:pPr>
                        <w:rPr>
                          <w:rFonts w:ascii="Times New Roman" w:hAnsi="Times New Roman" w:cs="Times New Roman"/>
                          <w:sz w:val="15"/>
                          <w:szCs w:val="15"/>
                        </w:rPr>
                      </w:pPr>
                      <w:r w:rsidRPr="00B01C42">
                        <w:rPr>
                          <w:rFonts w:ascii="Times New Roman" w:hAnsi="Times New Roman" w:cs="Times New Roman"/>
                          <w:sz w:val="15"/>
                          <w:szCs w:val="15"/>
                        </w:rPr>
                        <w:t>9. Promotion of non-cash payments (POS terminals)</w:t>
                      </w:r>
                    </w:p>
                    <w:p w14:paraId="53FA5848" w14:textId="102E2DF7" w:rsidR="00B01C42" w:rsidRPr="00B01C42" w:rsidRDefault="00B01C42" w:rsidP="00B01C42">
                      <w:pPr>
                        <w:rPr>
                          <w:color w:val="FFFFFF" w:themeColor="background1"/>
                          <w:sz w:val="10"/>
                          <w:szCs w:val="10"/>
                        </w:rPr>
                      </w:pPr>
                    </w:p>
                  </w:txbxContent>
                </v:textbox>
                <w10:wrap anchorx="margin"/>
              </v:shape>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800576" behindDoc="0" locked="0" layoutInCell="1" allowOverlap="1" wp14:anchorId="1F9CA830" wp14:editId="764E9B33">
                <wp:simplePos x="0" y="0"/>
                <wp:positionH relativeFrom="margin">
                  <wp:posOffset>3067050</wp:posOffset>
                </wp:positionH>
                <wp:positionV relativeFrom="paragraph">
                  <wp:posOffset>2808605</wp:posOffset>
                </wp:positionV>
                <wp:extent cx="2628900" cy="289560"/>
                <wp:effectExtent l="0" t="0" r="19050" b="15240"/>
                <wp:wrapNone/>
                <wp:docPr id="1514353132" name="Text Box 1514353132"/>
                <wp:cNvGraphicFramePr/>
                <a:graphic xmlns:a="http://schemas.openxmlformats.org/drawingml/2006/main">
                  <a:graphicData uri="http://schemas.microsoft.com/office/word/2010/wordprocessingShape">
                    <wps:wsp>
                      <wps:cNvSpPr txBox="1"/>
                      <wps:spPr>
                        <a:xfrm>
                          <a:off x="0" y="0"/>
                          <a:ext cx="2628900" cy="289560"/>
                        </a:xfrm>
                        <a:prstGeom prst="round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2DB183" w14:textId="2B52F06F"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5. Measures to improve business competitiveness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9CA830" id="Text Box 1514353132" o:spid="_x0000_s1097" style="position:absolute;left:0;text-align:left;margin-left:241.5pt;margin-top:221.15pt;width:207pt;height:22.8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" fillcolor="#002060" strokeweight=".5pt">
                <v:textbox>
                  <w:txbxContent>
                    <w:p w14:paraId="4C2DB183" w14:textId="2B52F06F"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5. Measures to improve business competitiveness</w:t>
                      </w:r>
                    </w:p>
                  </w:txbxContent>
                </v:textbox>
                <w10:wrap anchorx="margin"/>
              </v:roundrect>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798528" behindDoc="0" locked="0" layoutInCell="1" allowOverlap="1" wp14:anchorId="5BA81F33" wp14:editId="2D2DEF29">
                <wp:simplePos x="0" y="0"/>
                <wp:positionH relativeFrom="margin">
                  <wp:posOffset>3086100</wp:posOffset>
                </wp:positionH>
                <wp:positionV relativeFrom="paragraph">
                  <wp:posOffset>1612265</wp:posOffset>
                </wp:positionV>
                <wp:extent cx="2628900" cy="251460"/>
                <wp:effectExtent l="0" t="0" r="19050" b="15240"/>
                <wp:wrapNone/>
                <wp:docPr id="1514353131" name="Text Box 1514353131"/>
                <wp:cNvGraphicFramePr/>
                <a:graphic xmlns:a="http://schemas.openxmlformats.org/drawingml/2006/main">
                  <a:graphicData uri="http://schemas.microsoft.com/office/word/2010/wordprocessingShape">
                    <wps:wsp>
                      <wps:cNvSpPr txBox="1"/>
                      <wps:spPr>
                        <a:xfrm>
                          <a:off x="0" y="0"/>
                          <a:ext cx="2628900" cy="251460"/>
                        </a:xfrm>
                        <a:prstGeom prst="round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225E56" w14:textId="02507E0E"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4. Measures in the health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81F33" id="Text Box 1514353131" o:spid="_x0000_s1098" style="position:absolute;left:0;text-align:left;margin-left:243pt;margin-top:126.95pt;width:207pt;height:19.8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" fillcolor="#002060" strokeweight=".5pt">
                <v:textbox>
                  <w:txbxContent>
                    <w:p w14:paraId="57225E56" w14:textId="02507E0E"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4. Measures in the health sector</w:t>
                      </w:r>
                    </w:p>
                  </w:txbxContent>
                </v:textbox>
                <w10:wrap anchorx="margin"/>
              </v:roundrect>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794432" behindDoc="0" locked="0" layoutInCell="1" allowOverlap="1" wp14:anchorId="37D44766" wp14:editId="1AB8D41C">
                <wp:simplePos x="0" y="0"/>
                <wp:positionH relativeFrom="margin">
                  <wp:posOffset>-7620</wp:posOffset>
                </wp:positionH>
                <wp:positionV relativeFrom="paragraph">
                  <wp:posOffset>2580005</wp:posOffset>
                </wp:positionV>
                <wp:extent cx="2583180" cy="228600"/>
                <wp:effectExtent l="0" t="0" r="26670" b="19050"/>
                <wp:wrapNone/>
                <wp:docPr id="1514353128" name="Text Box 1514353128"/>
                <wp:cNvGraphicFramePr/>
                <a:graphic xmlns:a="http://schemas.openxmlformats.org/drawingml/2006/main">
                  <a:graphicData uri="http://schemas.microsoft.com/office/word/2010/wordprocessingShape">
                    <wps:wsp>
                      <wps:cNvSpPr txBox="1"/>
                      <wps:spPr>
                        <a:xfrm>
                          <a:off x="0" y="0"/>
                          <a:ext cx="2583180" cy="228600"/>
                        </a:xfrm>
                        <a:prstGeom prst="round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C46F9A" w14:textId="1B0A2A8B"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2. Information and data exchange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44766" id="Text Box 1514353128" o:spid="_x0000_s1099" style="position:absolute;left:0;text-align:left;margin-left:-.6pt;margin-top:203.15pt;width:203.4pt;height:18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" fillcolor="#002060" strokeweight=".5pt">
                <v:textbox>
                  <w:txbxContent>
                    <w:p w14:paraId="07C46F9A" w14:textId="1B0A2A8B"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2. Information and data exchange</w:t>
                      </w:r>
                    </w:p>
                  </w:txbxContent>
                </v:textbox>
                <w10:wrap anchorx="margin"/>
              </v:roundrect>
            </w:pict>
          </mc:Fallback>
        </mc:AlternateContent>
      </w:r>
      <w:r w:rsidR="00B01C42">
        <w:rPr>
          <w:rFonts w:ascii="Times New Roman" w:eastAsia="Times New Roman" w:hAnsi="Times New Roman" w:cs="Times New Roman"/>
          <w:noProof/>
          <w:color w:val="212529"/>
          <w:kern w:val="0"/>
          <w:sz w:val="20"/>
          <w:szCs w:val="20"/>
          <w:lang w:val="lv-LV" w:eastAsia="zh-CN"/>
        </w:rPr>
        <mc:AlternateContent>
          <mc:Choice Requires="wps">
            <w:drawing>
              <wp:anchor distT="0" distB="0" distL="114300" distR="114300" simplePos="0" relativeHeight="251796480" behindDoc="0" locked="0" layoutInCell="1" allowOverlap="1" wp14:anchorId="782AEA1B" wp14:editId="4F757037">
                <wp:simplePos x="0" y="0"/>
                <wp:positionH relativeFrom="margin">
                  <wp:posOffset>3074670</wp:posOffset>
                </wp:positionH>
                <wp:positionV relativeFrom="paragraph">
                  <wp:posOffset>4445</wp:posOffset>
                </wp:positionV>
                <wp:extent cx="2628900" cy="251460"/>
                <wp:effectExtent l="0" t="0" r="19050" b="15240"/>
                <wp:wrapNone/>
                <wp:docPr id="1514353129" name="Text Box 1514353129"/>
                <wp:cNvGraphicFramePr/>
                <a:graphic xmlns:a="http://schemas.openxmlformats.org/drawingml/2006/main">
                  <a:graphicData uri="http://schemas.microsoft.com/office/word/2010/wordprocessingShape">
                    <wps:wsp>
                      <wps:cNvSpPr txBox="1"/>
                      <wps:spPr>
                        <a:xfrm>
                          <a:off x="0" y="0"/>
                          <a:ext cx="2628900" cy="251460"/>
                        </a:xfrm>
                        <a:prstGeom prst="round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75773A" w14:textId="17CD7734"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3. Measures in the construction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AEA1B" id="Text Box 1514353129" o:spid="_x0000_s1100" style="position:absolute;left:0;text-align:left;margin-left:242.1pt;margin-top:.35pt;width:207pt;height:19.8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" fillcolor="#002060" strokeweight=".5pt">
                <v:textbox>
                  <w:txbxContent>
                    <w:p w14:paraId="6675773A" w14:textId="17CD7734" w:rsidR="00B01C42" w:rsidRPr="00B01C42" w:rsidRDefault="00B01C42" w:rsidP="00B01C42">
                      <w:pPr>
                        <w:rPr>
                          <w:color w:val="FFFFFF" w:themeColor="background1"/>
                          <w:sz w:val="18"/>
                          <w:szCs w:val="18"/>
                        </w:rPr>
                      </w:pPr>
                      <w:r w:rsidRPr="00B01C42">
                        <w:rPr>
                          <w:rFonts w:ascii="Times New Roman" w:hAnsi="Times New Roman" w:cs="Times New Roman"/>
                          <w:b/>
                          <w:bCs/>
                          <w:color w:val="FFFFFF" w:themeColor="background1"/>
                          <w:sz w:val="18"/>
                          <w:szCs w:val="18"/>
                        </w:rPr>
                        <w:t>3. Measures in the construction sector</w:t>
                      </w:r>
                    </w:p>
                  </w:txbxContent>
                </v:textbox>
                <w10:wrap anchorx="margin"/>
              </v:roundrect>
            </w:pict>
          </mc:Fallback>
        </mc:AlternateContent>
      </w:r>
      <w:r w:rsidR="00144313">
        <w:rPr>
          <w:rFonts w:ascii="Times New Roman" w:hAnsi="Times New Roman"/>
          <w:noProof/>
          <w:color w:val="212529"/>
          <w:sz w:val="20"/>
          <w:lang w:val="lv-LV" w:eastAsia="zh-CN"/>
        </w:rPr>
        <w:drawing>
          <wp:inline distT="0" distB="0" distL="0" distR="0" wp14:anchorId="1E7E2098" wp14:editId="1774332E">
            <wp:extent cx="6301105" cy="3591560"/>
            <wp:effectExtent l="0" t="0" r="4445" b="8890"/>
            <wp:docPr id="22" name="Picture 21" descr="A screenshot of a computer&#10;&#10;Description automatically generated">
              <a:extLst xmlns:a="http://schemas.openxmlformats.org/drawingml/2006/main">
                <a:ext uri="{FF2B5EF4-FFF2-40B4-BE49-F238E27FC236}">
                  <a16:creationId xmlns:a16="http://schemas.microsoft.com/office/drawing/2014/main" id="{BCB2C4CB-12D2-9A25-D353-DF02AAA21A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screenshot of a computer&#10;&#10;Description automatically generated">
                      <a:extLst>
                        <a:ext uri="{FF2B5EF4-FFF2-40B4-BE49-F238E27FC236}">
                          <a16:creationId xmlns:a16="http://schemas.microsoft.com/office/drawing/2014/main" id="{BCB2C4CB-12D2-9A25-D353-DF02AAA21AE0}"/>
                        </a:ext>
                      </a:extLst>
                    </pic:cNvPr>
                    <pic:cNvPicPr>
                      <a:picLocks noChangeAspect="1"/>
                    </pic:cNvPicPr>
                  </pic:nvPicPr>
                  <pic:blipFill>
                    <a:blip r:embed="rId31"/>
                    <a:stretch>
                      <a:fillRect/>
                    </a:stretch>
                  </pic:blipFill>
                  <pic:spPr>
                    <a:xfrm>
                      <a:off x="0" y="0"/>
                      <a:ext cx="6301105" cy="3591560"/>
                    </a:xfrm>
                    <a:prstGeom prst="rect">
                      <a:avLst/>
                    </a:prstGeom>
                  </pic:spPr>
                </pic:pic>
              </a:graphicData>
            </a:graphic>
          </wp:inline>
        </w:drawing>
      </w:r>
    </w:p>
    <w:p w14:paraId="4A321D22" w14:textId="2B64163E" w:rsidR="009E1E25" w:rsidRDefault="009E1E25" w:rsidP="009E1E25">
      <w:pPr>
        <w:pStyle w:val="NormalWeb"/>
        <w:shd w:val="clear" w:color="auto" w:fill="FFFFFF"/>
        <w:spacing w:before="0" w:beforeAutospacing="0" w:after="0" w:afterAutospacing="0"/>
        <w:jc w:val="both"/>
        <w:rPr>
          <w:i/>
          <w:iCs/>
          <w:sz w:val="20"/>
          <w:szCs w:val="20"/>
        </w:rPr>
      </w:pPr>
      <w:r>
        <w:rPr>
          <w:i/>
          <w:sz w:val="20"/>
        </w:rPr>
        <w:t xml:space="preserve">Figure 18. </w:t>
      </w:r>
      <w:r>
        <w:rPr>
          <w:i/>
          <w:iCs/>
        </w:rPr>
        <w:t>Key measures of the Shadow Economy Restriction Plan for 2024–2027.</w:t>
      </w:r>
    </w:p>
    <w:p w14:paraId="2A24D067" w14:textId="5FEA074F" w:rsidR="00614D57" w:rsidRDefault="00614D57" w:rsidP="00070DB6">
      <w:pPr>
        <w:jc w:val="both"/>
        <w:rPr>
          <w:rFonts w:ascii="Times New Roman" w:eastAsia="Times New Roman" w:hAnsi="Times New Roman" w:cs="Times New Roman"/>
          <w:color w:val="212529"/>
          <w:kern w:val="0"/>
          <w:sz w:val="20"/>
          <w:szCs w:val="20"/>
          <w:lang w:eastAsia="lv-LV"/>
          <w14:ligatures w14:val="none"/>
        </w:rPr>
      </w:pPr>
    </w:p>
    <w:p w14:paraId="1ABC83B0" w14:textId="71BFED1B" w:rsidR="00614D57" w:rsidRDefault="00614D57" w:rsidP="00614D57">
      <w:pPr>
        <w:ind w:firstLine="720"/>
        <w:jc w:val="both"/>
        <w:rPr>
          <w:rFonts w:ascii="Times New Roman" w:hAnsi="Times New Roman" w:cs="Times New Roman"/>
          <w:color w:val="000000" w:themeColor="text1"/>
          <w:sz w:val="24"/>
          <w:szCs w:val="24"/>
        </w:rPr>
      </w:pPr>
      <w:r>
        <w:rPr>
          <w:rFonts w:ascii="Times New Roman" w:hAnsi="Times New Roman"/>
          <w:color w:val="000000" w:themeColor="text1"/>
          <w:sz w:val="24"/>
        </w:rPr>
        <w:t>In order to ensure the development of the most efficient and effective policy recommendations, a national research programme was implemented, using the ‘knowledge bank’ of good practice policy measures to restrict the shadow economy developed by both Eurofound</w:t>
      </w:r>
      <w:r>
        <w:rPr>
          <w:rFonts w:ascii="Times New Roman" w:hAnsi="Times New Roman"/>
          <w:i/>
          <w:color w:val="000000" w:themeColor="text1"/>
          <w:sz w:val="24"/>
        </w:rPr>
        <w:t xml:space="preserve"> </w:t>
      </w:r>
      <w:r>
        <w:rPr>
          <w:rFonts w:ascii="Times New Roman" w:hAnsi="Times New Roman"/>
          <w:color w:val="000000" w:themeColor="text1"/>
          <w:sz w:val="24"/>
        </w:rPr>
        <w:t>and the European Platform Tackling Undeclared Work (EPTUW) and also the technical reports on specific policy measures prepared by the EPTUW, resulting in science-based policy recommendations. Following the policy recommendations developed by the researchers, the plan included a number of measures, e.g.:</w:t>
      </w:r>
    </w:p>
    <w:p w14:paraId="4D14ADA2" w14:textId="2E31D109" w:rsidR="00614D57" w:rsidRDefault="00614D57"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an awareness-raising campaign for employees, communicating to the public the benefits of fully declared labour and the risks of insufficient payment of labour taxes;</w:t>
      </w:r>
    </w:p>
    <w:p w14:paraId="2D56109F" w14:textId="429FF081" w:rsidR="00614D57" w:rsidRDefault="009446F4"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use of taxpayer rating in public procurements (including assessing the possibility of using rating in companies related to public procurement);</w:t>
      </w:r>
    </w:p>
    <w:p w14:paraId="59C86566" w14:textId="1E05CB96" w:rsidR="00614D57" w:rsidRDefault="00614D57"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implementation of the electronic circulation system for supporting documents (e-invoices);</w:t>
      </w:r>
    </w:p>
    <w:p w14:paraId="77E6D863" w14:textId="77777777" w:rsidR="00614D57" w:rsidRDefault="00614D57"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replacement of cash with digital payments by promoting the introduction of POS terminals at trading venues;</w:t>
      </w:r>
    </w:p>
    <w:p w14:paraId="6E08421A" w14:textId="73C4341C" w:rsidR="00614D57" w:rsidRDefault="00614D57"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integration of existent information systems by State and municipal authorities with the DAGR in order to start receiving data from other authorities that is necessary for the analysis and identification of the shadow economy risks in the core business processes;</w:t>
      </w:r>
    </w:p>
    <w:p w14:paraId="4DDCCE44" w14:textId="77777777" w:rsidR="00614D57" w:rsidRDefault="00614D57" w:rsidP="00292326">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expansion of the SRS database;</w:t>
      </w:r>
    </w:p>
    <w:p w14:paraId="2AE1D30F" w14:textId="363227B9" w:rsidR="00614D57" w:rsidRDefault="00D21F9E" w:rsidP="00D21F9E">
      <w:pPr>
        <w:pStyle w:val="ListParagraph"/>
        <w:numPr>
          <w:ilvl w:val="0"/>
          <w:numId w:val="6"/>
        </w:numPr>
        <w:ind w:left="709" w:hanging="218"/>
        <w:jc w:val="both"/>
        <w:rPr>
          <w:rFonts w:ascii="Times New Roman" w:hAnsi="Times New Roman" w:cs="Times New Roman"/>
          <w:color w:val="000000" w:themeColor="text1"/>
          <w:sz w:val="24"/>
          <w:szCs w:val="24"/>
        </w:rPr>
      </w:pPr>
      <w:r>
        <w:rPr>
          <w:rFonts w:ascii="Times New Roman" w:hAnsi="Times New Roman"/>
          <w:color w:val="000000" w:themeColor="text1"/>
          <w:sz w:val="24"/>
        </w:rPr>
        <w:t>further discussions on the approach to indirect taxation. Inter alia, in respect of sectoral exceptions where there is a general agreement providing for a substantial increase in the national minimum wage or hourly rate in the sector of at least 50 per cent above the national minimum wage or hourly rate.</w:t>
      </w:r>
    </w:p>
    <w:p w14:paraId="792704B0" w14:textId="1E6D7977" w:rsidR="00614D57" w:rsidRDefault="00C739AE" w:rsidP="00AB2826">
      <w:pPr>
        <w:ind w:firstLine="633"/>
        <w:jc w:val="both"/>
        <w:rPr>
          <w:rFonts w:ascii="Times New Roman" w:hAnsi="Times New Roman" w:cs="Times New Roman"/>
          <w:sz w:val="24"/>
          <w:szCs w:val="24"/>
          <w:shd w:val="clear" w:color="auto" w:fill="FFFFFF"/>
        </w:rPr>
      </w:pPr>
      <w:r>
        <w:rPr>
          <w:rFonts w:ascii="Times New Roman" w:hAnsi="Times New Roman"/>
          <w:color w:val="000000" w:themeColor="text1"/>
          <w:sz w:val="24"/>
        </w:rPr>
        <w:t xml:space="preserve">In the light of the aspects emphasised in science-based </w:t>
      </w:r>
      <w:r>
        <w:rPr>
          <w:rStyle w:val="ui-provider"/>
          <w:rFonts w:ascii="Times New Roman" w:hAnsi="Times New Roman"/>
          <w:color w:val="000000" w:themeColor="text1"/>
          <w:sz w:val="24"/>
        </w:rPr>
        <w:t xml:space="preserve">policy </w:t>
      </w:r>
      <w:r>
        <w:rPr>
          <w:rFonts w:ascii="Times New Roman" w:hAnsi="Times New Roman"/>
          <w:color w:val="000000" w:themeColor="text1"/>
          <w:sz w:val="24"/>
        </w:rPr>
        <w:t xml:space="preserve">recommendations by prof. A. Sauka </w:t>
      </w:r>
      <w:r>
        <w:rPr>
          <w:rStyle w:val="ui-provider"/>
          <w:rFonts w:ascii="Times New Roman" w:hAnsi="Times New Roman"/>
          <w:color w:val="000000" w:themeColor="text1"/>
          <w:sz w:val="24"/>
        </w:rPr>
        <w:t xml:space="preserve">regarding </w:t>
      </w:r>
      <w:r>
        <w:rPr>
          <w:rFonts w:ascii="Times New Roman" w:hAnsi="Times New Roman"/>
          <w:color w:val="000000" w:themeColor="text1"/>
          <w:sz w:val="24"/>
        </w:rPr>
        <w:t xml:space="preserve">the necessity to facilitate closer cooperation between different authorities, </w:t>
      </w:r>
      <w:r>
        <w:rPr>
          <w:rFonts w:ascii="Times New Roman" w:hAnsi="Times New Roman"/>
          <w:color w:val="000000" w:themeColor="text1"/>
          <w:sz w:val="24"/>
          <w:shd w:val="clear" w:color="auto" w:fill="FFFFFF"/>
        </w:rPr>
        <w:t xml:space="preserve">a measure was included in the plan to implement pilot projects on the exchange of information and data between public </w:t>
      </w:r>
      <w:r>
        <w:rPr>
          <w:rFonts w:ascii="Times New Roman" w:hAnsi="Times New Roman"/>
          <w:sz w:val="24"/>
          <w:shd w:val="clear" w:color="auto" w:fill="FFFFFF"/>
        </w:rPr>
        <w:t>authorities using the Data Dissemination and Management Platform (hereinafter – the DAGR). The DAGR aims at improving information exchange and interoperability in public administration and making data available with definite access times. By connecting to the DAGR, national registers and information systems will be provided with a single, centralised data dissemination platform optimised for high performance in processing data requests. Consequently, each authority will have the possibility of significantly reducing the capacity of its data dissemination solutions, or even abandoning the development and maintenance of its data dissemination solutions altogether. Public administration will be given the opportunity to aggregate data from potentially all public authorities into a single data dissemination platform that can be used by data recipients to retrieve real-time data from the information systems of data providers. By implementing the project, a basic infrastructure will be built for the unified management of data dissemination and data access authorisations that will ensure an environment for managed data flows between businesses, population and public administration.</w:t>
      </w:r>
    </w:p>
    <w:p w14:paraId="430B4615" w14:textId="6EE861A2" w:rsidR="0060278D" w:rsidRPr="0075273B" w:rsidRDefault="0060278D" w:rsidP="00441922">
      <w:pPr>
        <w:ind w:firstLine="709"/>
        <w:jc w:val="both"/>
        <w:rPr>
          <w:rFonts w:ascii="Times New Roman" w:hAnsi="Times New Roman" w:cs="Times New Roman"/>
          <w:color w:val="000000" w:themeColor="text1"/>
          <w:sz w:val="24"/>
          <w:szCs w:val="24"/>
        </w:rPr>
      </w:pPr>
      <w:r>
        <w:rPr>
          <w:rFonts w:ascii="Times New Roman" w:hAnsi="Times New Roman"/>
          <w:color w:val="000000" w:themeColor="text1"/>
          <w:sz w:val="24"/>
        </w:rPr>
        <w:t xml:space="preserve">When considering the possibility of influencing the behaviour of taxpayers, educational and awareness-raising information campaigns are planned to raise tax morale, which is in line with the recommendations of </w:t>
      </w:r>
      <w:r>
        <w:rPr>
          <w:rStyle w:val="ui-provider"/>
          <w:rFonts w:ascii="Times New Roman" w:hAnsi="Times New Roman"/>
          <w:color w:val="000000" w:themeColor="text1"/>
          <w:sz w:val="24"/>
        </w:rPr>
        <w:t>prof. A. Sauka</w:t>
      </w:r>
      <w:r>
        <w:rPr>
          <w:rFonts w:ascii="Times New Roman" w:hAnsi="Times New Roman"/>
          <w:color w:val="000000" w:themeColor="text1"/>
          <w:sz w:val="24"/>
        </w:rPr>
        <w:t>. It is also important to communicate with the public, explaining government decisions and raising awareness of government processes, which is an important way to stimulate greater public involvement and trust.</w:t>
      </w:r>
    </w:p>
    <w:p w14:paraId="230EEACF" w14:textId="21847CBD" w:rsidR="0075273B" w:rsidRDefault="0075273B">
      <w:pPr>
        <w:rPr>
          <w:rFonts w:ascii="Times New Roman" w:hAnsi="Times New Roman" w:cs="Times New Roman"/>
          <w:color w:val="000000" w:themeColor="text1"/>
          <w:sz w:val="24"/>
          <w:szCs w:val="24"/>
          <w:shd w:val="clear" w:color="auto" w:fill="FFFFFF"/>
        </w:rPr>
      </w:pPr>
      <w:r>
        <w:br w:type="page"/>
      </w:r>
    </w:p>
    <w:p w14:paraId="16E71BFE" w14:textId="6BE377C0" w:rsidR="00E21B0A" w:rsidRPr="00BC458B" w:rsidRDefault="00E21B0A" w:rsidP="008400F3">
      <w:pPr>
        <w:pStyle w:val="Style4"/>
      </w:pPr>
      <w:bookmarkStart w:id="16" w:name="_Toc166237504"/>
      <w:r>
        <w:t>3. Aim and Courses of Action of the Plan</w:t>
      </w:r>
      <w:bookmarkEnd w:id="16"/>
    </w:p>
    <w:p w14:paraId="15CDF354" w14:textId="77777777" w:rsidR="00E21B0A" w:rsidRPr="008400F3" w:rsidRDefault="00E21B0A" w:rsidP="00192004">
      <w:pPr>
        <w:ind w:firstLine="720"/>
        <w:jc w:val="both"/>
        <w:rPr>
          <w:rFonts w:ascii="Times New Roman" w:hAnsi="Times New Roman" w:cs="Times New Roman"/>
          <w:sz w:val="24"/>
          <w:szCs w:val="24"/>
        </w:rPr>
      </w:pPr>
    </w:p>
    <w:p w14:paraId="6E20F727" w14:textId="1075E48F" w:rsidR="0081067A" w:rsidRDefault="00192004" w:rsidP="00192004">
      <w:pPr>
        <w:ind w:firstLine="720"/>
        <w:jc w:val="both"/>
        <w:rPr>
          <w:rFonts w:ascii="Times New Roman" w:hAnsi="Times New Roman" w:cs="Times New Roman"/>
          <w:sz w:val="24"/>
          <w:szCs w:val="24"/>
          <w:shd w:val="clear" w:color="auto" w:fill="FFFFFF"/>
        </w:rPr>
      </w:pPr>
      <w:r>
        <w:rPr>
          <w:rFonts w:ascii="Times New Roman" w:hAnsi="Times New Roman"/>
          <w:b/>
          <w:sz w:val="24"/>
        </w:rPr>
        <w:t>The aim of the plan</w:t>
      </w:r>
      <w:r>
        <w:rPr>
          <w:rFonts w:ascii="Times New Roman" w:hAnsi="Times New Roman"/>
          <w:sz w:val="24"/>
        </w:rPr>
        <w:t xml:space="preserve"> </w:t>
      </w:r>
      <w:r>
        <w:rPr>
          <w:rFonts w:ascii="Times New Roman" w:hAnsi="Times New Roman"/>
          <w:sz w:val="24"/>
          <w:shd w:val="clear" w:color="auto" w:fill="FFFFFF"/>
        </w:rPr>
        <w:t>is to implement targeted measures to reduce the shadow economy in priority sectors of the national economy and horizontal measures to improve the business environment and promote voluntary compliance with tax obligations, while focusing on the identified factors and risks affecting the shadow economy, in cooperation with sectoral ministries, social and cooperation partners.</w:t>
      </w:r>
    </w:p>
    <w:p w14:paraId="52074EDD" w14:textId="77777777" w:rsidR="0081067A" w:rsidRDefault="0081067A" w:rsidP="00192004">
      <w:pPr>
        <w:ind w:firstLine="720"/>
        <w:jc w:val="both"/>
        <w:rPr>
          <w:rFonts w:ascii="Times New Roman" w:hAnsi="Times New Roman" w:cs="Times New Roman"/>
          <w:sz w:val="24"/>
          <w:szCs w:val="24"/>
          <w:shd w:val="clear" w:color="auto" w:fill="FFFFFF"/>
        </w:rPr>
      </w:pPr>
    </w:p>
    <w:p w14:paraId="7E08F728" w14:textId="19834D2D" w:rsidR="00192004" w:rsidRDefault="00192004" w:rsidP="00192004">
      <w:pPr>
        <w:ind w:firstLine="720"/>
        <w:rPr>
          <w:rFonts w:ascii="Times New Roman" w:hAnsi="Times New Roman" w:cs="Times New Roman"/>
          <w:sz w:val="24"/>
          <w:szCs w:val="24"/>
        </w:rPr>
      </w:pPr>
      <w:r>
        <w:rPr>
          <w:rFonts w:ascii="Times New Roman" w:hAnsi="Times New Roman"/>
          <w:sz w:val="24"/>
          <w:shd w:val="clear" w:color="auto" w:fill="FFFFFF"/>
        </w:rPr>
        <w:t>For the achievement of the aim of the plan, the measures are structured according to the following courses of action:</w:t>
      </w:r>
    </w:p>
    <w:p w14:paraId="3EE1B31A" w14:textId="04A6BB59" w:rsidR="00E21B0A" w:rsidRDefault="00E21B0A" w:rsidP="00192004">
      <w:pPr>
        <w:ind w:firstLine="720"/>
        <w:rPr>
          <w:rFonts w:ascii="Times New Roman" w:hAnsi="Times New Roman" w:cs="Times New Roman"/>
          <w:sz w:val="24"/>
          <w:szCs w:val="24"/>
        </w:rPr>
      </w:pPr>
      <w:r>
        <w:rPr>
          <w:rFonts w:ascii="Times New Roman" w:hAnsi="Times New Roman"/>
          <w:sz w:val="24"/>
        </w:rPr>
        <w:t>1. Horizontal measures and reduction of cash in circulation.</w:t>
      </w:r>
    </w:p>
    <w:p w14:paraId="215FFCB9" w14:textId="3940C3DD" w:rsidR="00E21B0A" w:rsidRDefault="00E21B0A" w:rsidP="00192004">
      <w:pPr>
        <w:ind w:firstLine="720"/>
        <w:rPr>
          <w:rFonts w:ascii="Times New Roman" w:hAnsi="Times New Roman" w:cs="Times New Roman"/>
          <w:sz w:val="24"/>
          <w:szCs w:val="24"/>
        </w:rPr>
      </w:pPr>
      <w:r>
        <w:rPr>
          <w:rFonts w:ascii="Times New Roman" w:hAnsi="Times New Roman"/>
          <w:sz w:val="24"/>
        </w:rPr>
        <w:t xml:space="preserve">2. Information and data exchange. </w:t>
      </w:r>
    </w:p>
    <w:p w14:paraId="5553BF25" w14:textId="66F1AFF2" w:rsidR="00E21B0A" w:rsidRDefault="00E21B0A" w:rsidP="00192004">
      <w:pPr>
        <w:ind w:firstLine="720"/>
        <w:rPr>
          <w:rFonts w:ascii="Times New Roman" w:hAnsi="Times New Roman" w:cs="Times New Roman"/>
          <w:sz w:val="24"/>
          <w:szCs w:val="24"/>
        </w:rPr>
      </w:pPr>
      <w:r>
        <w:rPr>
          <w:rFonts w:ascii="Times New Roman" w:hAnsi="Times New Roman"/>
          <w:sz w:val="24"/>
        </w:rPr>
        <w:t>3. Measures in the construction sector.</w:t>
      </w:r>
    </w:p>
    <w:p w14:paraId="4CB5FBC1" w14:textId="3FD22AF1" w:rsidR="00E21B0A" w:rsidRDefault="00E21B0A" w:rsidP="00192004">
      <w:pPr>
        <w:ind w:firstLine="720"/>
        <w:rPr>
          <w:rFonts w:ascii="Times New Roman" w:hAnsi="Times New Roman" w:cs="Times New Roman"/>
          <w:sz w:val="24"/>
          <w:szCs w:val="24"/>
        </w:rPr>
      </w:pPr>
      <w:r>
        <w:rPr>
          <w:rFonts w:ascii="Times New Roman" w:hAnsi="Times New Roman"/>
          <w:sz w:val="24"/>
        </w:rPr>
        <w:t>4. Measures in the health sector.</w:t>
      </w:r>
    </w:p>
    <w:p w14:paraId="47DFB300" w14:textId="60F92459" w:rsidR="00E21B0A" w:rsidRDefault="00E21B0A" w:rsidP="00192004">
      <w:pPr>
        <w:ind w:firstLine="720"/>
        <w:rPr>
          <w:rFonts w:ascii="Times New Roman" w:hAnsi="Times New Roman" w:cs="Times New Roman"/>
          <w:sz w:val="24"/>
          <w:szCs w:val="24"/>
        </w:rPr>
      </w:pPr>
      <w:r>
        <w:rPr>
          <w:rFonts w:ascii="Times New Roman" w:hAnsi="Times New Roman"/>
          <w:sz w:val="24"/>
        </w:rPr>
        <w:t>5. Other measures to improve business competitiveness.</w:t>
      </w:r>
    </w:p>
    <w:p w14:paraId="37467EB2" w14:textId="77777777" w:rsidR="000F2AAE" w:rsidRDefault="000F2AAE" w:rsidP="004D2239">
      <w:pPr>
        <w:ind w:firstLine="709"/>
        <w:jc w:val="both"/>
        <w:rPr>
          <w:rFonts w:ascii="Times New Roman" w:hAnsi="Times New Roman" w:cs="Times New Roman"/>
          <w:b/>
          <w:bCs/>
          <w:sz w:val="24"/>
          <w:szCs w:val="24"/>
        </w:rPr>
      </w:pPr>
    </w:p>
    <w:p w14:paraId="3B521D6F" w14:textId="59191E7F" w:rsidR="007A460B" w:rsidRDefault="000A6C31" w:rsidP="004D2239">
      <w:pPr>
        <w:ind w:firstLine="709"/>
        <w:jc w:val="both"/>
        <w:rPr>
          <w:rFonts w:ascii="Times New Roman" w:hAnsi="Times New Roman" w:cs="Times New Roman"/>
          <w:sz w:val="24"/>
          <w:szCs w:val="24"/>
        </w:rPr>
      </w:pPr>
      <w:r>
        <w:rPr>
          <w:rFonts w:ascii="Times New Roman" w:hAnsi="Times New Roman"/>
          <w:b/>
          <w:sz w:val="24"/>
        </w:rPr>
        <w:t>The resultative indicator of the plan</w:t>
      </w:r>
      <w:r>
        <w:rPr>
          <w:rFonts w:ascii="Times New Roman" w:hAnsi="Times New Roman"/>
          <w:sz w:val="24"/>
        </w:rPr>
        <w:t xml:space="preserve">: as a result of the implementation of the measures included in the plan in the horizontal direction and within the priority sectors of the national economy, </w:t>
      </w:r>
      <w:bookmarkStart w:id="17" w:name="_Hlk149214661"/>
      <w:r>
        <w:rPr>
          <w:rFonts w:ascii="Times New Roman" w:hAnsi="Times New Roman"/>
          <w:sz w:val="24"/>
        </w:rPr>
        <w:t xml:space="preserve">provided that the country maintains a stable economic development, the overall scale of the shadow economy will decrease by 1 per cent of gross domestic product by 2027, bringing the shadow economy rate in Latvia closer to the European average, down from 19.9 per cent to 18.9 per cent. </w:t>
      </w:r>
    </w:p>
    <w:bookmarkEnd w:id="17"/>
    <w:p w14:paraId="1F9400BB" w14:textId="77777777" w:rsidR="0048090C" w:rsidRDefault="0048090C" w:rsidP="004D2239">
      <w:pPr>
        <w:ind w:firstLine="709"/>
        <w:jc w:val="both"/>
        <w:rPr>
          <w:rFonts w:ascii="Times New Roman" w:hAnsi="Times New Roman" w:cs="Times New Roman"/>
          <w:sz w:val="24"/>
          <w:szCs w:val="24"/>
        </w:rPr>
      </w:pPr>
    </w:p>
    <w:p w14:paraId="3CB89A5F" w14:textId="51266B69" w:rsidR="00911553" w:rsidRPr="00911553" w:rsidRDefault="00911553" w:rsidP="00025DAA">
      <w:pPr>
        <w:ind w:firstLine="709"/>
        <w:jc w:val="both"/>
        <w:rPr>
          <w:rFonts w:ascii="Times New Roman" w:eastAsia="Calibri" w:hAnsi="Times New Roman" w:cs="Times New Roman"/>
          <w:kern w:val="0"/>
          <w:sz w:val="24"/>
          <w:szCs w:val="24"/>
          <w14:ligatures w14:val="none"/>
        </w:rPr>
      </w:pPr>
      <w:bookmarkStart w:id="18" w:name="_Hlk149214089"/>
      <w:r>
        <w:rPr>
          <w:rFonts w:ascii="Times New Roman" w:hAnsi="Times New Roman"/>
          <w:sz w:val="24"/>
        </w:rPr>
        <w:t xml:space="preserve">Reduction of the share of the shadow economy is a priority task that is important for the development of the national economy sectors, boosting of competitiveness and social welfare, and it is therefore necessary to continue to pursue the national policy to restrict the shadow economy by fostering cooperation between public authorities. In order to ensure a high-quality and orderly business environment for entrepreneurs, promoting the development of business and enhancing competitiveness, the Shadow Economy Restriction Plan for 2024–2027 has been developed in cooperation with sectoral experts, prioritising the reduction of the shadow economy in specific sectors of the national economy and the implementation of horizontal measures. </w:t>
      </w:r>
    </w:p>
    <w:bookmarkEnd w:id="18"/>
    <w:p w14:paraId="024D8767" w14:textId="6CC66995" w:rsidR="00945FAA" w:rsidRPr="00945FAA" w:rsidRDefault="00945FAA" w:rsidP="00B05BD4">
      <w:pPr>
        <w:jc w:val="both"/>
        <w:rPr>
          <w:rFonts w:ascii="Times New Roman" w:eastAsia="Times New Roman" w:hAnsi="Times New Roman" w:cs="Times New Roman"/>
          <w:color w:val="212529"/>
          <w:kern w:val="0"/>
          <w:sz w:val="24"/>
          <w:szCs w:val="24"/>
          <w:lang w:eastAsia="lv-LV"/>
          <w14:ligatures w14:val="none"/>
        </w:rPr>
      </w:pPr>
    </w:p>
    <w:p w14:paraId="6080678E" w14:textId="7FAA9890" w:rsidR="001061BF" w:rsidRPr="00D11D7B" w:rsidRDefault="00306AD3" w:rsidP="00945FAA">
      <w:pPr>
        <w:ind w:firstLine="633"/>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 xml:space="preserve">In order to analyse the effectiveness of the measures implemented and to track changes in the shadow economy, it is important to </w:t>
      </w:r>
      <w:r>
        <w:rPr>
          <w:rFonts w:ascii="Times New Roman" w:hAnsi="Times New Roman"/>
          <w:color w:val="000000" w:themeColor="text1"/>
          <w:sz w:val="24"/>
          <w:shd w:val="clear" w:color="auto" w:fill="FFFFFF"/>
        </w:rPr>
        <w:t>regularly</w:t>
      </w:r>
      <w:r>
        <w:rPr>
          <w:rFonts w:ascii="Times New Roman" w:hAnsi="Times New Roman"/>
          <w:color w:val="000000" w:themeColor="text1"/>
          <w:sz w:val="24"/>
        </w:rPr>
        <w:t xml:space="preserve"> monitor indicators of the size of the shadow economy throughout the implementation period, such as:</w:t>
      </w:r>
    </w:p>
    <w:p w14:paraId="55982EDF" w14:textId="38F7829D" w:rsidR="00AB2826" w:rsidRPr="00D11D7B" w:rsidRDefault="005111DF" w:rsidP="00D11D7B">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the share of taxpayers with no significant tax compliance risks, e.g. the share of ‘A’ class rated companies;</w:t>
      </w:r>
    </w:p>
    <w:p w14:paraId="0A788D67" w14:textId="1B707022" w:rsidR="00AB2826" w:rsidRPr="00D11D7B" w:rsidRDefault="005111DF" w:rsidP="00D11D7B">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changes in the volume and use of cash;</w:t>
      </w:r>
    </w:p>
    <w:p w14:paraId="207081FC" w14:textId="5AC5B623" w:rsidR="005111DF" w:rsidRDefault="00306AD3" w:rsidP="00D11D7B">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scientific research data, e.g. A. Sauka and T. Putniņš research “Shadow Economy Index for the Baltic Countries”, F. Schneider research on the shadow economy in European countries, etc.;</w:t>
      </w:r>
    </w:p>
    <w:p w14:paraId="50100EAD" w14:textId="62E2F45B" w:rsidR="00050DA9" w:rsidRPr="00292326" w:rsidRDefault="00050DA9" w:rsidP="00292326">
      <w:pPr>
        <w:pStyle w:val="ListParagraph"/>
        <w:numPr>
          <w:ilvl w:val="0"/>
          <w:numId w:val="19"/>
        </w:numPr>
        <w:spacing w:after="160" w:line="259" w:lineRule="auto"/>
        <w:ind w:left="709" w:hanging="142"/>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results of sociological surveys of the population on tax morale;</w:t>
      </w:r>
    </w:p>
    <w:p w14:paraId="13887816" w14:textId="30C7844F" w:rsidR="005111DF" w:rsidRPr="00D11D7B" w:rsidRDefault="00AB2826" w:rsidP="00D11D7B">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sectoral data, e.g. the ‘envelope wage’ index in the field of construction; </w:t>
      </w:r>
    </w:p>
    <w:p w14:paraId="49EAADCA" w14:textId="49205E3F" w:rsidR="001061BF" w:rsidRDefault="00AB2826" w:rsidP="00D11D7B">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 xml:space="preserve">sector-specific indicators, e.g. insolvency rates of contractors in the field of construction, etc. </w:t>
      </w:r>
    </w:p>
    <w:p w14:paraId="2FBA0280" w14:textId="77777777" w:rsidR="00CE0D9B" w:rsidRPr="00E86B3F" w:rsidRDefault="00CE0D9B" w:rsidP="00E86B3F">
      <w:pPr>
        <w:pStyle w:val="ListParagraph"/>
        <w:numPr>
          <w:ilvl w:val="0"/>
          <w:numId w:val="19"/>
        </w:numPr>
        <w:ind w:hanging="153"/>
        <w:contextualSpacing w:val="0"/>
        <w:jc w:val="both"/>
        <w:rPr>
          <w:rFonts w:ascii="Times New Roman" w:eastAsia="Times New Roman" w:hAnsi="Times New Roman" w:cs="Times New Roman"/>
          <w:color w:val="000000" w:themeColor="text1"/>
          <w:sz w:val="24"/>
          <w:szCs w:val="24"/>
        </w:rPr>
        <w:sectPr w:rsidR="00CE0D9B" w:rsidRPr="00E86B3F" w:rsidSect="00351EAB">
          <w:pgSz w:w="11906" w:h="16838"/>
          <w:pgMar w:top="993" w:right="849" w:bottom="1276" w:left="1134" w:header="708" w:footer="708" w:gutter="0"/>
          <w:cols w:space="708"/>
          <w:docGrid w:linePitch="360"/>
        </w:sectPr>
      </w:pPr>
    </w:p>
    <w:p w14:paraId="199DCF4D" w14:textId="4CD3D9B9" w:rsidR="008400F3" w:rsidRPr="008400F3" w:rsidRDefault="008400F3" w:rsidP="008400F3">
      <w:pPr>
        <w:pStyle w:val="Style4"/>
        <w:spacing w:before="0"/>
      </w:pPr>
      <w:bookmarkStart w:id="19" w:name="_Toc166237505"/>
      <w:r>
        <w:t>4. Shadow Economy Restriction Plan for 2024–2027</w:t>
      </w:r>
      <w:bookmarkEnd w:id="19"/>
    </w:p>
    <w:p w14:paraId="6CFFD1B5" w14:textId="77777777" w:rsidR="008400F3" w:rsidRDefault="008400F3" w:rsidP="009C57A1">
      <w:pPr>
        <w:rPr>
          <w:rFonts w:ascii="Times New Roman" w:hAnsi="Times New Roman" w:cs="Times New Roman"/>
          <w:sz w:val="24"/>
          <w:szCs w:val="24"/>
          <w:shd w:val="clear" w:color="auto" w:fill="FFFFFF"/>
        </w:rPr>
      </w:pPr>
    </w:p>
    <w:tbl>
      <w:tblPr>
        <w:tblStyle w:val="TableGrid1"/>
        <w:tblW w:w="15310" w:type="dxa"/>
        <w:tblInd w:w="-431" w:type="dxa"/>
        <w:tblLayout w:type="fixed"/>
        <w:tblCellMar>
          <w:left w:w="57" w:type="dxa"/>
          <w:right w:w="57" w:type="dxa"/>
        </w:tblCellMar>
        <w:tblLook w:val="04A0" w:firstRow="1" w:lastRow="0" w:firstColumn="1" w:lastColumn="0" w:noHBand="0" w:noVBand="1"/>
      </w:tblPr>
      <w:tblGrid>
        <w:gridCol w:w="753"/>
        <w:gridCol w:w="3642"/>
        <w:gridCol w:w="4111"/>
        <w:gridCol w:w="2552"/>
        <w:gridCol w:w="1417"/>
        <w:gridCol w:w="1418"/>
        <w:gridCol w:w="1417"/>
      </w:tblGrid>
      <w:tr w:rsidR="001C42D5" w:rsidRPr="00A5541C" w14:paraId="4DC36E07" w14:textId="77777777" w:rsidTr="00E87849">
        <w:trPr>
          <w:trHeight w:val="608"/>
          <w:tblHeader/>
        </w:trPr>
        <w:tc>
          <w:tcPr>
            <w:tcW w:w="753" w:type="dxa"/>
            <w:shd w:val="clear" w:color="auto" w:fill="8496B0" w:themeFill="text2" w:themeFillTint="99"/>
            <w:vAlign w:val="center"/>
          </w:tcPr>
          <w:p w14:paraId="12316EA6" w14:textId="77777777" w:rsidR="000115C7" w:rsidRDefault="00A5541C" w:rsidP="00A5541C">
            <w:pPr>
              <w:ind w:right="-21"/>
              <w:jc w:val="center"/>
              <w:rPr>
                <w:bCs/>
                <w:color w:val="FFFFFF" w:themeColor="background1"/>
                <w:sz w:val="22"/>
                <w:szCs w:val="22"/>
              </w:rPr>
            </w:pPr>
            <w:bookmarkStart w:id="20" w:name="_Hlk149909406"/>
            <w:bookmarkStart w:id="21" w:name="_Hlk85540811"/>
            <w:r>
              <w:rPr>
                <w:color w:val="FFFFFF" w:themeColor="background1"/>
                <w:sz w:val="22"/>
              </w:rPr>
              <w:t xml:space="preserve">No. </w:t>
            </w:r>
          </w:p>
          <w:p w14:paraId="08C895DF" w14:textId="2EB288A8" w:rsidR="00A5541C" w:rsidRPr="00A5541C" w:rsidRDefault="00A5541C" w:rsidP="00A5541C">
            <w:pPr>
              <w:ind w:right="-21"/>
              <w:jc w:val="center"/>
              <w:rPr>
                <w:bCs/>
                <w:color w:val="FFFFFF" w:themeColor="background1"/>
                <w:sz w:val="22"/>
                <w:szCs w:val="22"/>
              </w:rPr>
            </w:pPr>
          </w:p>
        </w:tc>
        <w:tc>
          <w:tcPr>
            <w:tcW w:w="3642" w:type="dxa"/>
            <w:shd w:val="clear" w:color="auto" w:fill="8496B0" w:themeFill="text2" w:themeFillTint="99"/>
            <w:vAlign w:val="center"/>
          </w:tcPr>
          <w:p w14:paraId="122A3FCA" w14:textId="77777777" w:rsidR="00A5541C" w:rsidRPr="00A5541C" w:rsidRDefault="00A5541C" w:rsidP="00A5541C">
            <w:pPr>
              <w:jc w:val="center"/>
              <w:rPr>
                <w:bCs/>
                <w:color w:val="FFFFFF" w:themeColor="background1"/>
                <w:sz w:val="22"/>
                <w:szCs w:val="22"/>
              </w:rPr>
            </w:pPr>
            <w:r>
              <w:rPr>
                <w:color w:val="FFFFFF" w:themeColor="background1"/>
                <w:sz w:val="22"/>
              </w:rPr>
              <w:t>Measure</w:t>
            </w:r>
          </w:p>
        </w:tc>
        <w:tc>
          <w:tcPr>
            <w:tcW w:w="4111" w:type="dxa"/>
            <w:shd w:val="clear" w:color="auto" w:fill="8496B0" w:themeFill="text2" w:themeFillTint="99"/>
            <w:vAlign w:val="center"/>
          </w:tcPr>
          <w:p w14:paraId="79DDEF90" w14:textId="77777777" w:rsidR="00A5541C" w:rsidRPr="00A5541C" w:rsidRDefault="00A5541C" w:rsidP="00A5541C">
            <w:pPr>
              <w:jc w:val="center"/>
              <w:rPr>
                <w:bCs/>
                <w:color w:val="FFFFFF" w:themeColor="background1"/>
                <w:sz w:val="22"/>
                <w:szCs w:val="22"/>
              </w:rPr>
            </w:pPr>
            <w:r>
              <w:rPr>
                <w:color w:val="FFFFFF" w:themeColor="background1"/>
                <w:sz w:val="22"/>
              </w:rPr>
              <w:t>Operating result</w:t>
            </w:r>
          </w:p>
        </w:tc>
        <w:tc>
          <w:tcPr>
            <w:tcW w:w="2552" w:type="dxa"/>
            <w:shd w:val="clear" w:color="auto" w:fill="8496B0" w:themeFill="text2" w:themeFillTint="99"/>
            <w:vAlign w:val="center"/>
          </w:tcPr>
          <w:p w14:paraId="6FD261ED" w14:textId="088AF9B8" w:rsidR="00A5541C" w:rsidRPr="00A5541C" w:rsidRDefault="000115C7" w:rsidP="00A5541C">
            <w:pPr>
              <w:jc w:val="center"/>
              <w:rPr>
                <w:bCs/>
                <w:color w:val="FFFFFF" w:themeColor="background1"/>
                <w:sz w:val="22"/>
                <w:szCs w:val="22"/>
              </w:rPr>
            </w:pPr>
            <w:r>
              <w:rPr>
                <w:color w:val="FFFFFF" w:themeColor="background1"/>
                <w:sz w:val="22"/>
              </w:rPr>
              <w:t xml:space="preserve">Resultative indicator </w:t>
            </w:r>
          </w:p>
        </w:tc>
        <w:tc>
          <w:tcPr>
            <w:tcW w:w="1417" w:type="dxa"/>
            <w:shd w:val="clear" w:color="auto" w:fill="8496B0" w:themeFill="text2" w:themeFillTint="99"/>
            <w:vAlign w:val="center"/>
          </w:tcPr>
          <w:p w14:paraId="7503AC18" w14:textId="77777777" w:rsidR="00A5541C" w:rsidRPr="00A5541C" w:rsidRDefault="00A5541C" w:rsidP="00A5541C">
            <w:pPr>
              <w:jc w:val="center"/>
              <w:rPr>
                <w:bCs/>
                <w:i/>
                <w:color w:val="FFFFFF" w:themeColor="background1"/>
                <w:sz w:val="22"/>
                <w:szCs w:val="22"/>
              </w:rPr>
            </w:pPr>
            <w:r>
              <w:rPr>
                <w:color w:val="FFFFFF" w:themeColor="background1"/>
                <w:sz w:val="22"/>
              </w:rPr>
              <w:t>Responsible authority</w:t>
            </w:r>
          </w:p>
        </w:tc>
        <w:tc>
          <w:tcPr>
            <w:tcW w:w="1418" w:type="dxa"/>
            <w:shd w:val="clear" w:color="auto" w:fill="8496B0" w:themeFill="text2" w:themeFillTint="99"/>
            <w:vAlign w:val="center"/>
          </w:tcPr>
          <w:p w14:paraId="28EDFD3F" w14:textId="77777777" w:rsidR="00A5541C" w:rsidRPr="00A5541C" w:rsidRDefault="00A5541C" w:rsidP="00A5541C">
            <w:pPr>
              <w:jc w:val="center"/>
              <w:rPr>
                <w:bCs/>
                <w:color w:val="FFFFFF" w:themeColor="background1"/>
                <w:sz w:val="22"/>
                <w:szCs w:val="22"/>
              </w:rPr>
            </w:pPr>
            <w:r>
              <w:rPr>
                <w:color w:val="FFFFFF" w:themeColor="background1"/>
                <w:sz w:val="22"/>
              </w:rPr>
              <w:t>Co-</w:t>
            </w:r>
          </w:p>
          <w:p w14:paraId="4D191C59" w14:textId="77777777" w:rsidR="00A5541C" w:rsidRPr="00A5541C" w:rsidRDefault="00A5541C" w:rsidP="00A5541C">
            <w:pPr>
              <w:jc w:val="center"/>
              <w:rPr>
                <w:bCs/>
                <w:i/>
                <w:color w:val="FFFFFF" w:themeColor="background1"/>
                <w:sz w:val="22"/>
                <w:szCs w:val="22"/>
              </w:rPr>
            </w:pPr>
            <w:r>
              <w:rPr>
                <w:color w:val="FFFFFF" w:themeColor="background1"/>
                <w:sz w:val="22"/>
              </w:rPr>
              <w:t>responsible authorities</w:t>
            </w:r>
          </w:p>
        </w:tc>
        <w:tc>
          <w:tcPr>
            <w:tcW w:w="1417" w:type="dxa"/>
            <w:shd w:val="clear" w:color="auto" w:fill="8496B0" w:themeFill="text2" w:themeFillTint="99"/>
            <w:vAlign w:val="center"/>
          </w:tcPr>
          <w:p w14:paraId="57616097" w14:textId="77777777" w:rsidR="00A5541C" w:rsidRPr="00A5541C" w:rsidRDefault="00A5541C" w:rsidP="00A5541C">
            <w:pPr>
              <w:jc w:val="center"/>
              <w:rPr>
                <w:bCs/>
                <w:i/>
                <w:color w:val="FFFFFF" w:themeColor="background1"/>
                <w:sz w:val="22"/>
                <w:szCs w:val="22"/>
              </w:rPr>
            </w:pPr>
            <w:r>
              <w:rPr>
                <w:color w:val="FFFFFF" w:themeColor="background1"/>
                <w:sz w:val="22"/>
              </w:rPr>
              <w:t>Deadline</w:t>
            </w:r>
          </w:p>
        </w:tc>
      </w:tr>
      <w:bookmarkEnd w:id="20"/>
      <w:tr w:rsidR="001C42D5" w:rsidRPr="00222FD2" w14:paraId="7EFB2B7A" w14:textId="77777777" w:rsidTr="003C1C7B">
        <w:trPr>
          <w:trHeight w:val="397"/>
        </w:trPr>
        <w:tc>
          <w:tcPr>
            <w:tcW w:w="11058" w:type="dxa"/>
            <w:gridSpan w:val="4"/>
            <w:shd w:val="clear" w:color="auto" w:fill="A8D08D" w:themeFill="accent6" w:themeFillTint="99"/>
            <w:vAlign w:val="center"/>
          </w:tcPr>
          <w:p w14:paraId="70EA8936" w14:textId="7089BA06" w:rsidR="00EA1932" w:rsidRPr="00222FD2" w:rsidRDefault="00EA1932" w:rsidP="00222FD2">
            <w:pPr>
              <w:rPr>
                <w:rFonts w:cs="Times New Roman"/>
                <w:bCs/>
                <w:color w:val="0070C0"/>
                <w:sz w:val="22"/>
                <w:szCs w:val="22"/>
              </w:rPr>
            </w:pPr>
            <w:r>
              <w:rPr>
                <w:sz w:val="22"/>
              </w:rPr>
              <w:t xml:space="preserve">Course of Action 1 – </w:t>
            </w:r>
            <w:r>
              <w:rPr>
                <w:b/>
                <w:sz w:val="22"/>
              </w:rPr>
              <w:t>Horizontal measures and reduction of cash in circulation</w:t>
            </w:r>
          </w:p>
        </w:tc>
        <w:tc>
          <w:tcPr>
            <w:tcW w:w="4252" w:type="dxa"/>
            <w:gridSpan w:val="3"/>
            <w:shd w:val="clear" w:color="auto" w:fill="A8D08D" w:themeFill="accent6" w:themeFillTint="99"/>
            <w:vAlign w:val="center"/>
          </w:tcPr>
          <w:p w14:paraId="1FDD11A8" w14:textId="16823C3A" w:rsidR="00EA1932" w:rsidRPr="00222FD2" w:rsidRDefault="00EA1932" w:rsidP="00222FD2">
            <w:pPr>
              <w:rPr>
                <w:rFonts w:cs="Times New Roman"/>
                <w:bCs/>
                <w:color w:val="0070C0"/>
                <w:sz w:val="22"/>
                <w:szCs w:val="22"/>
              </w:rPr>
            </w:pPr>
            <w:r>
              <w:rPr>
                <w:b/>
                <w:color w:val="000000" w:themeColor="text1"/>
                <w:sz w:val="22"/>
              </w:rPr>
              <w:t>Fiscal benefit:</w:t>
            </w:r>
            <w:r>
              <w:rPr>
                <w:b/>
                <w:color w:val="0070C0"/>
                <w:sz w:val="22"/>
              </w:rPr>
              <w:t xml:space="preserve"> </w:t>
            </w:r>
            <w:r>
              <w:rPr>
                <w:b/>
                <w:color w:val="000000" w:themeColor="text1"/>
                <w:sz w:val="22"/>
              </w:rPr>
              <w:t>EUR 55 million</w:t>
            </w:r>
          </w:p>
        </w:tc>
      </w:tr>
      <w:bookmarkEnd w:id="21"/>
      <w:tr w:rsidR="001C42D5" w:rsidRPr="00222FD2" w14:paraId="7E6BD359" w14:textId="77777777" w:rsidTr="003C1C7B">
        <w:trPr>
          <w:trHeight w:val="354"/>
        </w:trPr>
        <w:tc>
          <w:tcPr>
            <w:tcW w:w="11058" w:type="dxa"/>
            <w:gridSpan w:val="4"/>
            <w:shd w:val="clear" w:color="auto" w:fill="FFF2CC" w:themeFill="accent4" w:themeFillTint="33"/>
          </w:tcPr>
          <w:p w14:paraId="4C059383" w14:textId="202C7F33" w:rsidR="00EA1932" w:rsidRPr="00222FD2" w:rsidRDefault="00EA1932" w:rsidP="00222FD2">
            <w:pPr>
              <w:ind w:left="1792" w:hanging="1792"/>
              <w:rPr>
                <w:rFonts w:cs="Times New Roman"/>
                <w:bCs/>
                <w:sz w:val="22"/>
                <w:szCs w:val="22"/>
              </w:rPr>
            </w:pPr>
            <w:r>
              <w:rPr>
                <w:sz w:val="22"/>
              </w:rPr>
              <w:t xml:space="preserve">Course of Action 1. Task 1. </w:t>
            </w:r>
            <w:r>
              <w:rPr>
                <w:b/>
                <w:sz w:val="22"/>
              </w:rPr>
              <w:t>Strengthening of public-private partnerships: use of ratings in public procurements and public procedures.</w:t>
            </w:r>
            <w:r>
              <w:rPr>
                <w:sz w:val="22"/>
              </w:rPr>
              <w:t xml:space="preserve"> </w:t>
            </w:r>
          </w:p>
        </w:tc>
        <w:tc>
          <w:tcPr>
            <w:tcW w:w="4252" w:type="dxa"/>
            <w:gridSpan w:val="3"/>
            <w:shd w:val="clear" w:color="auto" w:fill="FFF2CC" w:themeFill="accent4" w:themeFillTint="33"/>
          </w:tcPr>
          <w:p w14:paraId="744B0E2D" w14:textId="6A80FAB6" w:rsidR="00EA1932" w:rsidRPr="00222FD2" w:rsidRDefault="00EA1932" w:rsidP="00222FD2">
            <w:pPr>
              <w:rPr>
                <w:rFonts w:cs="Times New Roman"/>
                <w:bCs/>
                <w:sz w:val="22"/>
                <w:szCs w:val="22"/>
              </w:rPr>
            </w:pPr>
            <w:r>
              <w:rPr>
                <w:sz w:val="22"/>
              </w:rPr>
              <w:t>Fiscal benefit: EUR 15 million</w:t>
            </w:r>
          </w:p>
        </w:tc>
      </w:tr>
      <w:tr w:rsidR="00E87849" w:rsidRPr="00222FD2" w14:paraId="3AE41D38" w14:textId="77777777" w:rsidTr="00E87849">
        <w:trPr>
          <w:trHeight w:val="569"/>
        </w:trPr>
        <w:tc>
          <w:tcPr>
            <w:tcW w:w="753" w:type="dxa"/>
          </w:tcPr>
          <w:p w14:paraId="0997F90B" w14:textId="5752D018" w:rsidR="00A5541C" w:rsidRPr="00222FD2" w:rsidRDefault="00A5541C" w:rsidP="00222FD2">
            <w:pPr>
              <w:ind w:right="-21"/>
              <w:rPr>
                <w:rFonts w:cs="Times New Roman"/>
                <w:bCs/>
                <w:sz w:val="22"/>
                <w:szCs w:val="22"/>
              </w:rPr>
            </w:pPr>
            <w:bookmarkStart w:id="22" w:name="_Hlk149895639"/>
            <w:r>
              <w:rPr>
                <w:sz w:val="22"/>
              </w:rPr>
              <w:t>1.1.1.1.</w:t>
            </w:r>
          </w:p>
        </w:tc>
        <w:tc>
          <w:tcPr>
            <w:tcW w:w="3642" w:type="dxa"/>
            <w:shd w:val="clear" w:color="auto" w:fill="auto"/>
          </w:tcPr>
          <w:p w14:paraId="2639CA47" w14:textId="5F06C5C4" w:rsidR="009F1F80" w:rsidRPr="002B0F9D" w:rsidRDefault="00A5541C" w:rsidP="00222FD2">
            <w:pPr>
              <w:jc w:val="both"/>
              <w:rPr>
                <w:rFonts w:cs="Times New Roman"/>
                <w:color w:val="C00000"/>
                <w:sz w:val="22"/>
                <w:szCs w:val="22"/>
              </w:rPr>
            </w:pPr>
            <w:r>
              <w:rPr>
                <w:sz w:val="22"/>
              </w:rPr>
              <w:t xml:space="preserve">Use of the overall taxpayer rating for </w:t>
            </w:r>
            <w:r>
              <w:rPr>
                <w:color w:val="000000" w:themeColor="text1"/>
                <w:sz w:val="22"/>
              </w:rPr>
              <w:t>procurements specified in Section 9 of the Public Procurement Law (PPL), thus promoting the advantages of ‘A’ class rated taxpayers.</w:t>
            </w:r>
          </w:p>
        </w:tc>
        <w:tc>
          <w:tcPr>
            <w:tcW w:w="4111" w:type="dxa"/>
          </w:tcPr>
          <w:p w14:paraId="1211D0E0" w14:textId="2141D188" w:rsidR="004851A6" w:rsidRPr="00222FD2" w:rsidRDefault="008C3710" w:rsidP="00222FD2">
            <w:pPr>
              <w:jc w:val="both"/>
              <w:rPr>
                <w:rFonts w:cs="Times New Roman"/>
                <w:sz w:val="22"/>
                <w:szCs w:val="22"/>
              </w:rPr>
            </w:pPr>
            <w:r>
              <w:rPr>
                <w:sz w:val="22"/>
              </w:rPr>
              <w:t xml:space="preserve">Amendments to the regulatory framework have been drafted to give ‘A’ class rated taxpayers </w:t>
            </w:r>
            <w:r>
              <w:rPr>
                <w:color w:val="000000" w:themeColor="text1"/>
                <w:sz w:val="22"/>
              </w:rPr>
              <w:t>an advantage in</w:t>
            </w:r>
            <w:r>
              <w:rPr>
                <w:sz w:val="22"/>
              </w:rPr>
              <w:t xml:space="preserve"> </w:t>
            </w:r>
            <w:r>
              <w:rPr>
                <w:color w:val="000000" w:themeColor="text1"/>
                <w:sz w:val="22"/>
              </w:rPr>
              <w:t xml:space="preserve">small procurements. </w:t>
            </w:r>
          </w:p>
        </w:tc>
        <w:tc>
          <w:tcPr>
            <w:tcW w:w="2552" w:type="dxa"/>
            <w:shd w:val="clear" w:color="auto" w:fill="auto"/>
          </w:tcPr>
          <w:p w14:paraId="080971D3" w14:textId="13931E99" w:rsidR="00A5541C" w:rsidRPr="00222FD2" w:rsidRDefault="006C5675" w:rsidP="00222FD2">
            <w:pPr>
              <w:jc w:val="both"/>
              <w:rPr>
                <w:rFonts w:cs="Times New Roman"/>
                <w:bCs/>
                <w:sz w:val="22"/>
                <w:szCs w:val="22"/>
              </w:rPr>
            </w:pPr>
            <w:r>
              <w:rPr>
                <w:sz w:val="22"/>
              </w:rPr>
              <w:t>The share of ‘A’ class rated taxpayers in the total number of segmentable taxpayers in the sector increases by 1 per cent.</w:t>
            </w:r>
          </w:p>
        </w:tc>
        <w:tc>
          <w:tcPr>
            <w:tcW w:w="1417" w:type="dxa"/>
          </w:tcPr>
          <w:p w14:paraId="23BE48FB" w14:textId="77777777" w:rsidR="004851A6" w:rsidRPr="00222FD2" w:rsidRDefault="004851A6" w:rsidP="00222FD2">
            <w:pPr>
              <w:jc w:val="center"/>
              <w:rPr>
                <w:rFonts w:cs="Times New Roman"/>
                <w:sz w:val="22"/>
                <w:szCs w:val="22"/>
              </w:rPr>
            </w:pPr>
            <w:r>
              <w:rPr>
                <w:sz w:val="22"/>
              </w:rPr>
              <w:t>MoF</w:t>
            </w:r>
          </w:p>
          <w:p w14:paraId="2E3E3AFD" w14:textId="77777777" w:rsidR="00A5541C" w:rsidRPr="00222FD2" w:rsidRDefault="00A5541C" w:rsidP="00222FD2">
            <w:pPr>
              <w:jc w:val="center"/>
              <w:rPr>
                <w:rFonts w:cs="Times New Roman"/>
                <w:bCs/>
                <w:sz w:val="22"/>
                <w:szCs w:val="22"/>
              </w:rPr>
            </w:pPr>
          </w:p>
        </w:tc>
        <w:tc>
          <w:tcPr>
            <w:tcW w:w="1418" w:type="dxa"/>
          </w:tcPr>
          <w:p w14:paraId="201C2215" w14:textId="77777777" w:rsidR="008C3710" w:rsidRPr="00222FD2" w:rsidRDefault="008C3710" w:rsidP="00222FD2">
            <w:pPr>
              <w:jc w:val="center"/>
              <w:rPr>
                <w:rFonts w:cs="Times New Roman"/>
                <w:sz w:val="22"/>
                <w:szCs w:val="22"/>
              </w:rPr>
            </w:pPr>
            <w:r>
              <w:rPr>
                <w:sz w:val="22"/>
              </w:rPr>
              <w:t>IUB</w:t>
            </w:r>
          </w:p>
          <w:p w14:paraId="2469BB4D" w14:textId="37B124BC" w:rsidR="00A5541C" w:rsidRPr="00222FD2" w:rsidRDefault="00A5541C" w:rsidP="00222FD2">
            <w:pPr>
              <w:jc w:val="center"/>
              <w:rPr>
                <w:rFonts w:cs="Times New Roman"/>
                <w:bCs/>
                <w:sz w:val="22"/>
                <w:szCs w:val="22"/>
              </w:rPr>
            </w:pPr>
          </w:p>
        </w:tc>
        <w:tc>
          <w:tcPr>
            <w:tcW w:w="1417" w:type="dxa"/>
          </w:tcPr>
          <w:p w14:paraId="07434614" w14:textId="77777777" w:rsidR="00A5541C" w:rsidRPr="00222FD2" w:rsidRDefault="00A5541C" w:rsidP="00222FD2">
            <w:pPr>
              <w:jc w:val="right"/>
              <w:rPr>
                <w:rFonts w:cs="Times New Roman"/>
                <w:bCs/>
                <w:sz w:val="22"/>
                <w:szCs w:val="22"/>
              </w:rPr>
            </w:pPr>
            <w:r>
              <w:rPr>
                <w:sz w:val="22"/>
              </w:rPr>
              <w:t>30.12.2025</w:t>
            </w:r>
          </w:p>
        </w:tc>
      </w:tr>
      <w:tr w:rsidR="001C42D5" w:rsidRPr="00222FD2" w14:paraId="2EC1EFEE" w14:textId="77777777" w:rsidTr="00E87849">
        <w:trPr>
          <w:trHeight w:val="1361"/>
        </w:trPr>
        <w:tc>
          <w:tcPr>
            <w:tcW w:w="753" w:type="dxa"/>
          </w:tcPr>
          <w:p w14:paraId="1FABBB7B" w14:textId="3B8BAC31" w:rsidR="00A5541C" w:rsidRPr="00222FD2" w:rsidRDefault="00A5541C" w:rsidP="00222FD2">
            <w:pPr>
              <w:ind w:right="-21"/>
              <w:rPr>
                <w:rFonts w:cs="Times New Roman"/>
                <w:bCs/>
                <w:sz w:val="22"/>
                <w:szCs w:val="22"/>
              </w:rPr>
            </w:pPr>
            <w:r>
              <w:rPr>
                <w:sz w:val="22"/>
              </w:rPr>
              <w:t>1.1.1.2.</w:t>
            </w:r>
          </w:p>
          <w:p w14:paraId="1A441AE7" w14:textId="77777777" w:rsidR="00A5541C" w:rsidRPr="00222FD2" w:rsidRDefault="00A5541C" w:rsidP="00222FD2">
            <w:pPr>
              <w:ind w:right="-21"/>
              <w:rPr>
                <w:rFonts w:cs="Times New Roman"/>
                <w:bCs/>
                <w:sz w:val="22"/>
                <w:szCs w:val="22"/>
              </w:rPr>
            </w:pPr>
          </w:p>
        </w:tc>
        <w:tc>
          <w:tcPr>
            <w:tcW w:w="3642" w:type="dxa"/>
            <w:shd w:val="clear" w:color="auto" w:fill="auto"/>
          </w:tcPr>
          <w:p w14:paraId="41C8D2C1" w14:textId="5C44F5E1" w:rsidR="009F1F80" w:rsidRPr="002B0F9D" w:rsidRDefault="00A5541C" w:rsidP="00222FD2">
            <w:pPr>
              <w:jc w:val="both"/>
              <w:rPr>
                <w:rFonts w:cs="Times New Roman"/>
                <w:sz w:val="22"/>
                <w:szCs w:val="22"/>
              </w:rPr>
            </w:pPr>
            <w:r>
              <w:rPr>
                <w:sz w:val="22"/>
              </w:rPr>
              <w:t>Use of taxpayer rating in public procurements without imposing requirements to verify tax compliance for ‘A’ class rated taxpayers.</w:t>
            </w:r>
          </w:p>
        </w:tc>
        <w:tc>
          <w:tcPr>
            <w:tcW w:w="4111" w:type="dxa"/>
          </w:tcPr>
          <w:p w14:paraId="504A10DA" w14:textId="6F18F8B9" w:rsidR="007800F3" w:rsidRPr="00222FD2" w:rsidRDefault="004851A6" w:rsidP="00222FD2">
            <w:pPr>
              <w:jc w:val="both"/>
              <w:rPr>
                <w:rFonts w:cs="Times New Roman"/>
                <w:color w:val="000000" w:themeColor="text1"/>
                <w:sz w:val="22"/>
                <w:szCs w:val="22"/>
                <w:highlight w:val="yellow"/>
              </w:rPr>
            </w:pPr>
            <w:r>
              <w:rPr>
                <w:color w:val="000000" w:themeColor="text1"/>
                <w:sz w:val="22"/>
              </w:rPr>
              <w:t>Amendments to the regulatory framework have been drafted regarding the use of taxpayer ratings in public procurements.</w:t>
            </w:r>
          </w:p>
        </w:tc>
        <w:tc>
          <w:tcPr>
            <w:tcW w:w="2552" w:type="dxa"/>
            <w:shd w:val="clear" w:color="auto" w:fill="auto"/>
          </w:tcPr>
          <w:p w14:paraId="2807A4C4" w14:textId="3E8DFA24" w:rsidR="000E79AC" w:rsidRPr="00222FD2" w:rsidRDefault="000E79AC" w:rsidP="00222FD2">
            <w:pPr>
              <w:jc w:val="both"/>
              <w:rPr>
                <w:rFonts w:cs="Times New Roman"/>
                <w:sz w:val="22"/>
                <w:szCs w:val="22"/>
              </w:rPr>
            </w:pPr>
            <w:r>
              <w:rPr>
                <w:sz w:val="22"/>
              </w:rPr>
              <w:t>Reduced administrative burden for ‘A’ class rated merchants.</w:t>
            </w:r>
          </w:p>
          <w:p w14:paraId="447553C3" w14:textId="4837F3F1" w:rsidR="00A5541C" w:rsidRPr="00222FD2" w:rsidRDefault="00A5541C" w:rsidP="00222FD2">
            <w:pPr>
              <w:jc w:val="both"/>
              <w:rPr>
                <w:rFonts w:cs="Times New Roman"/>
                <w:sz w:val="22"/>
                <w:szCs w:val="22"/>
              </w:rPr>
            </w:pPr>
          </w:p>
        </w:tc>
        <w:tc>
          <w:tcPr>
            <w:tcW w:w="1417" w:type="dxa"/>
          </w:tcPr>
          <w:p w14:paraId="25196F8A" w14:textId="77777777" w:rsidR="004851A6" w:rsidRPr="00222FD2" w:rsidRDefault="004851A6" w:rsidP="00222FD2">
            <w:pPr>
              <w:jc w:val="center"/>
              <w:rPr>
                <w:rFonts w:cs="Times New Roman"/>
                <w:sz w:val="22"/>
                <w:szCs w:val="22"/>
              </w:rPr>
            </w:pPr>
            <w:r>
              <w:rPr>
                <w:sz w:val="22"/>
              </w:rPr>
              <w:t>MoF</w:t>
            </w:r>
          </w:p>
          <w:p w14:paraId="01C5EDCE" w14:textId="77777777" w:rsidR="00A5541C" w:rsidRPr="00222FD2" w:rsidRDefault="00A5541C" w:rsidP="00222FD2">
            <w:pPr>
              <w:jc w:val="center"/>
              <w:rPr>
                <w:rFonts w:cs="Times New Roman"/>
                <w:sz w:val="22"/>
                <w:szCs w:val="22"/>
              </w:rPr>
            </w:pPr>
          </w:p>
        </w:tc>
        <w:tc>
          <w:tcPr>
            <w:tcW w:w="1418" w:type="dxa"/>
          </w:tcPr>
          <w:p w14:paraId="331F3D95" w14:textId="743D6BB1" w:rsidR="008C3710" w:rsidRPr="00222FD2" w:rsidRDefault="008C3710" w:rsidP="00222FD2">
            <w:pPr>
              <w:jc w:val="center"/>
              <w:rPr>
                <w:rFonts w:cs="Times New Roman"/>
                <w:sz w:val="22"/>
                <w:szCs w:val="22"/>
              </w:rPr>
            </w:pPr>
            <w:r>
              <w:rPr>
                <w:sz w:val="22"/>
              </w:rPr>
              <w:t>IUB,</w:t>
            </w:r>
          </w:p>
          <w:p w14:paraId="66B2D434" w14:textId="7C466193" w:rsidR="00A5541C" w:rsidRPr="00222FD2" w:rsidRDefault="00A5541C" w:rsidP="00222FD2">
            <w:pPr>
              <w:jc w:val="center"/>
              <w:rPr>
                <w:rFonts w:cs="Times New Roman"/>
                <w:bCs/>
                <w:sz w:val="22"/>
                <w:szCs w:val="22"/>
              </w:rPr>
            </w:pPr>
            <w:r>
              <w:rPr>
                <w:sz w:val="22"/>
              </w:rPr>
              <w:t>SRS,</w:t>
            </w:r>
          </w:p>
          <w:p w14:paraId="21409955" w14:textId="430CB572" w:rsidR="008C3710" w:rsidRPr="00222FD2" w:rsidRDefault="008C3710" w:rsidP="00222FD2">
            <w:pPr>
              <w:jc w:val="center"/>
              <w:rPr>
                <w:rFonts w:cs="Times New Roman"/>
                <w:bCs/>
                <w:sz w:val="22"/>
                <w:szCs w:val="22"/>
              </w:rPr>
            </w:pPr>
            <w:r>
              <w:rPr>
                <w:sz w:val="22"/>
              </w:rPr>
              <w:t>SRDA</w:t>
            </w:r>
          </w:p>
        </w:tc>
        <w:tc>
          <w:tcPr>
            <w:tcW w:w="1417" w:type="dxa"/>
          </w:tcPr>
          <w:p w14:paraId="46470CC6" w14:textId="77777777" w:rsidR="00A5541C" w:rsidRPr="00222FD2" w:rsidRDefault="00A5541C" w:rsidP="00222FD2">
            <w:pPr>
              <w:jc w:val="right"/>
              <w:rPr>
                <w:rFonts w:cs="Times New Roman"/>
                <w:bCs/>
                <w:sz w:val="22"/>
                <w:szCs w:val="22"/>
              </w:rPr>
            </w:pPr>
            <w:r>
              <w:rPr>
                <w:sz w:val="22"/>
              </w:rPr>
              <w:t>30.12.2025</w:t>
            </w:r>
          </w:p>
        </w:tc>
      </w:tr>
      <w:tr w:rsidR="00C16B42" w:rsidRPr="00222FD2" w14:paraId="5AE05380" w14:textId="77777777" w:rsidTr="00E87849">
        <w:trPr>
          <w:trHeight w:val="494"/>
        </w:trPr>
        <w:tc>
          <w:tcPr>
            <w:tcW w:w="753" w:type="dxa"/>
          </w:tcPr>
          <w:p w14:paraId="611E5BCB" w14:textId="2247CB2F" w:rsidR="00A5541C" w:rsidRPr="00222FD2" w:rsidRDefault="00A5541C" w:rsidP="00222FD2">
            <w:pPr>
              <w:ind w:right="-21"/>
              <w:rPr>
                <w:rFonts w:cs="Times New Roman"/>
                <w:bCs/>
                <w:sz w:val="22"/>
                <w:szCs w:val="22"/>
              </w:rPr>
            </w:pPr>
            <w:r>
              <w:rPr>
                <w:sz w:val="22"/>
              </w:rPr>
              <w:t>1.1.1.3.</w:t>
            </w:r>
          </w:p>
        </w:tc>
        <w:tc>
          <w:tcPr>
            <w:tcW w:w="3642" w:type="dxa"/>
            <w:shd w:val="clear" w:color="auto" w:fill="auto"/>
          </w:tcPr>
          <w:p w14:paraId="64B46EE2" w14:textId="68972A99" w:rsidR="009F1F80" w:rsidRPr="002B0F9D" w:rsidRDefault="00B50ACD" w:rsidP="00222FD2">
            <w:pPr>
              <w:jc w:val="both"/>
              <w:rPr>
                <w:rFonts w:cs="Times New Roman"/>
                <w:strike/>
                <w:sz w:val="22"/>
                <w:szCs w:val="22"/>
              </w:rPr>
            </w:pPr>
            <w:r>
              <w:rPr>
                <w:sz w:val="22"/>
              </w:rPr>
              <w:t>Use of taxpayer rating in public procurements, cascading down to the companies involved.</w:t>
            </w:r>
          </w:p>
        </w:tc>
        <w:tc>
          <w:tcPr>
            <w:tcW w:w="4111" w:type="dxa"/>
          </w:tcPr>
          <w:p w14:paraId="790EC2C4" w14:textId="202A0A07" w:rsidR="00EC3601" w:rsidRPr="00222FD2" w:rsidRDefault="009446F4" w:rsidP="00222FD2">
            <w:pPr>
              <w:jc w:val="both"/>
              <w:rPr>
                <w:rFonts w:cs="Times New Roman"/>
                <w:color w:val="000000" w:themeColor="text1"/>
                <w:sz w:val="22"/>
                <w:szCs w:val="22"/>
              </w:rPr>
            </w:pPr>
            <w:r>
              <w:rPr>
                <w:color w:val="000000" w:themeColor="text1"/>
                <w:sz w:val="22"/>
              </w:rPr>
              <w:t>Proposals and, where necessary, amendments to the regulatory framework have been drafted regarding the use of taxpayer ratings in public procurements.</w:t>
            </w:r>
          </w:p>
        </w:tc>
        <w:tc>
          <w:tcPr>
            <w:tcW w:w="2552" w:type="dxa"/>
            <w:shd w:val="clear" w:color="auto" w:fill="auto"/>
          </w:tcPr>
          <w:p w14:paraId="581AB255" w14:textId="77777777" w:rsidR="00EC62EA" w:rsidRPr="00222FD2" w:rsidRDefault="00EC62EA" w:rsidP="00222FD2">
            <w:pPr>
              <w:jc w:val="both"/>
              <w:rPr>
                <w:rFonts w:cs="Times New Roman"/>
                <w:bCs/>
                <w:sz w:val="22"/>
                <w:szCs w:val="22"/>
              </w:rPr>
            </w:pPr>
            <w:r>
              <w:rPr>
                <w:sz w:val="22"/>
              </w:rPr>
              <w:t>Increase in voluntary tax compliance.</w:t>
            </w:r>
          </w:p>
          <w:p w14:paraId="4652E445" w14:textId="4D75D508" w:rsidR="00A5541C" w:rsidRPr="00222FD2" w:rsidRDefault="00A5541C" w:rsidP="00222FD2">
            <w:pPr>
              <w:jc w:val="both"/>
              <w:rPr>
                <w:rFonts w:cs="Times New Roman"/>
                <w:sz w:val="22"/>
                <w:szCs w:val="22"/>
              </w:rPr>
            </w:pPr>
          </w:p>
        </w:tc>
        <w:tc>
          <w:tcPr>
            <w:tcW w:w="1417" w:type="dxa"/>
          </w:tcPr>
          <w:p w14:paraId="6FEACCAF" w14:textId="77777777" w:rsidR="00366CF3" w:rsidRPr="00222FD2" w:rsidRDefault="00366CF3" w:rsidP="00222FD2">
            <w:pPr>
              <w:jc w:val="center"/>
              <w:rPr>
                <w:rFonts w:cs="Times New Roman"/>
                <w:sz w:val="22"/>
                <w:szCs w:val="22"/>
              </w:rPr>
            </w:pPr>
            <w:r>
              <w:rPr>
                <w:sz w:val="22"/>
              </w:rPr>
              <w:t>MoF</w:t>
            </w:r>
          </w:p>
          <w:p w14:paraId="69DD01AD" w14:textId="77777777" w:rsidR="00A5541C" w:rsidRPr="00222FD2" w:rsidRDefault="00A5541C" w:rsidP="00222FD2">
            <w:pPr>
              <w:jc w:val="center"/>
              <w:rPr>
                <w:rFonts w:cs="Times New Roman"/>
                <w:sz w:val="22"/>
                <w:szCs w:val="22"/>
              </w:rPr>
            </w:pPr>
          </w:p>
        </w:tc>
        <w:tc>
          <w:tcPr>
            <w:tcW w:w="1418" w:type="dxa"/>
          </w:tcPr>
          <w:p w14:paraId="3523AD97" w14:textId="77777777" w:rsidR="00366CF3" w:rsidRPr="00222FD2" w:rsidRDefault="00366CF3" w:rsidP="00222FD2">
            <w:pPr>
              <w:jc w:val="center"/>
              <w:rPr>
                <w:rFonts w:cs="Times New Roman"/>
                <w:bCs/>
                <w:sz w:val="22"/>
                <w:szCs w:val="22"/>
              </w:rPr>
            </w:pPr>
            <w:r>
              <w:rPr>
                <w:sz w:val="22"/>
              </w:rPr>
              <w:t>IUB</w:t>
            </w:r>
          </w:p>
          <w:p w14:paraId="5E96282E" w14:textId="2460239A" w:rsidR="00A5541C" w:rsidRPr="00222FD2" w:rsidRDefault="00A5541C" w:rsidP="00222FD2">
            <w:pPr>
              <w:jc w:val="center"/>
              <w:rPr>
                <w:rFonts w:cs="Times New Roman"/>
                <w:bCs/>
                <w:sz w:val="22"/>
                <w:szCs w:val="22"/>
              </w:rPr>
            </w:pPr>
          </w:p>
        </w:tc>
        <w:tc>
          <w:tcPr>
            <w:tcW w:w="1417" w:type="dxa"/>
          </w:tcPr>
          <w:p w14:paraId="419060DA" w14:textId="77777777" w:rsidR="00A5541C" w:rsidRPr="00222FD2" w:rsidRDefault="00A5541C" w:rsidP="00222FD2">
            <w:pPr>
              <w:jc w:val="right"/>
              <w:rPr>
                <w:rFonts w:cs="Times New Roman"/>
                <w:bCs/>
                <w:sz w:val="22"/>
                <w:szCs w:val="22"/>
              </w:rPr>
            </w:pPr>
            <w:r>
              <w:rPr>
                <w:sz w:val="22"/>
              </w:rPr>
              <w:t>30.12.2025</w:t>
            </w:r>
          </w:p>
        </w:tc>
      </w:tr>
      <w:tr w:rsidR="001C42D5" w:rsidRPr="00222FD2" w14:paraId="1CFBDB22" w14:textId="77777777" w:rsidTr="00E87849">
        <w:trPr>
          <w:trHeight w:val="354"/>
        </w:trPr>
        <w:tc>
          <w:tcPr>
            <w:tcW w:w="753" w:type="dxa"/>
          </w:tcPr>
          <w:p w14:paraId="6AF03A34" w14:textId="43F82B45" w:rsidR="00A5541C" w:rsidRPr="00222FD2" w:rsidRDefault="00A5541C" w:rsidP="00222FD2">
            <w:pPr>
              <w:ind w:right="-21"/>
              <w:rPr>
                <w:rFonts w:cs="Times New Roman"/>
                <w:bCs/>
                <w:sz w:val="22"/>
                <w:szCs w:val="22"/>
              </w:rPr>
            </w:pPr>
            <w:r>
              <w:rPr>
                <w:sz w:val="22"/>
              </w:rPr>
              <w:t>1.1.2.</w:t>
            </w:r>
          </w:p>
        </w:tc>
        <w:tc>
          <w:tcPr>
            <w:tcW w:w="3642" w:type="dxa"/>
            <w:shd w:val="clear" w:color="auto" w:fill="auto"/>
          </w:tcPr>
          <w:p w14:paraId="1CF5BB87" w14:textId="3231A566" w:rsidR="009F1F80" w:rsidRPr="002B0F9D" w:rsidRDefault="00A5541C" w:rsidP="00222FD2">
            <w:pPr>
              <w:jc w:val="both"/>
              <w:rPr>
                <w:rFonts w:cs="Times New Roman"/>
                <w:sz w:val="22"/>
                <w:szCs w:val="22"/>
              </w:rPr>
            </w:pPr>
            <w:r>
              <w:rPr>
                <w:sz w:val="22"/>
              </w:rPr>
              <w:t xml:space="preserve">Incentives and advantages offered to ‘A’ class rated companies in public administration procedures, including shortened deadlines for providing responses, licences, permits. </w:t>
            </w:r>
          </w:p>
        </w:tc>
        <w:tc>
          <w:tcPr>
            <w:tcW w:w="4111" w:type="dxa"/>
          </w:tcPr>
          <w:p w14:paraId="1A27ED68" w14:textId="0D42D29A" w:rsidR="0022724F" w:rsidRPr="00222FD2" w:rsidRDefault="00333F3D" w:rsidP="00222FD2">
            <w:pPr>
              <w:jc w:val="both"/>
              <w:rPr>
                <w:rFonts w:cs="Times New Roman"/>
                <w:sz w:val="22"/>
                <w:szCs w:val="22"/>
                <w:highlight w:val="yellow"/>
              </w:rPr>
            </w:pPr>
            <w:r>
              <w:rPr>
                <w:sz w:val="22"/>
              </w:rPr>
              <w:t>In order to maintain and develop the advantages of the In-depth Cooperation Programme, the regulatory framework will be amended to move towards a new approach based on publicly available ratings, so that there would be motivation for improving the ratings, and so that the rating criteria contribute to overarching economic policy objectives, including boosting exports and productivity.</w:t>
            </w:r>
            <w:r>
              <w:rPr>
                <w:sz w:val="22"/>
                <w:highlight w:val="yellow"/>
              </w:rPr>
              <w:t xml:space="preserve"> </w:t>
            </w:r>
          </w:p>
        </w:tc>
        <w:tc>
          <w:tcPr>
            <w:tcW w:w="2552" w:type="dxa"/>
            <w:shd w:val="clear" w:color="auto" w:fill="auto"/>
          </w:tcPr>
          <w:p w14:paraId="211F78D2" w14:textId="6FA1CFC2" w:rsidR="00184551" w:rsidRPr="00222FD2" w:rsidRDefault="00184551" w:rsidP="00222FD2">
            <w:pPr>
              <w:jc w:val="both"/>
              <w:rPr>
                <w:rFonts w:cs="Times New Roman"/>
                <w:sz w:val="22"/>
                <w:szCs w:val="22"/>
              </w:rPr>
            </w:pPr>
            <w:r>
              <w:rPr>
                <w:sz w:val="22"/>
              </w:rPr>
              <w:t>Reduced administrative burden for ‘A’ class rated merchants.</w:t>
            </w:r>
          </w:p>
          <w:p w14:paraId="08CB6D93" w14:textId="724F5299" w:rsidR="00A5541C" w:rsidRPr="00222FD2" w:rsidRDefault="00A5541C" w:rsidP="00222FD2">
            <w:pPr>
              <w:jc w:val="both"/>
              <w:rPr>
                <w:rFonts w:cs="Times New Roman"/>
                <w:sz w:val="22"/>
                <w:szCs w:val="22"/>
              </w:rPr>
            </w:pPr>
          </w:p>
        </w:tc>
        <w:tc>
          <w:tcPr>
            <w:tcW w:w="1417" w:type="dxa"/>
          </w:tcPr>
          <w:p w14:paraId="3EBB62E6" w14:textId="0D22E349" w:rsidR="000525AE" w:rsidRPr="00222FD2" w:rsidRDefault="00A5541C" w:rsidP="00222FD2">
            <w:pPr>
              <w:jc w:val="center"/>
              <w:rPr>
                <w:rFonts w:cs="Times New Roman"/>
                <w:sz w:val="22"/>
                <w:szCs w:val="22"/>
              </w:rPr>
            </w:pPr>
            <w:r>
              <w:rPr>
                <w:sz w:val="22"/>
              </w:rPr>
              <w:t xml:space="preserve">ministries, </w:t>
            </w:r>
          </w:p>
          <w:p w14:paraId="7F375C1E" w14:textId="418FA50B" w:rsidR="00A5541C" w:rsidRPr="00222FD2" w:rsidRDefault="00A5541C" w:rsidP="00222FD2">
            <w:pPr>
              <w:jc w:val="center"/>
              <w:rPr>
                <w:rFonts w:cs="Times New Roman"/>
                <w:sz w:val="22"/>
                <w:szCs w:val="22"/>
              </w:rPr>
            </w:pPr>
            <w:r>
              <w:rPr>
                <w:sz w:val="22"/>
              </w:rPr>
              <w:t>SRS</w:t>
            </w:r>
          </w:p>
          <w:p w14:paraId="09D5E230" w14:textId="77777777" w:rsidR="00A5541C" w:rsidRPr="00222FD2" w:rsidRDefault="00A5541C" w:rsidP="00222FD2">
            <w:pPr>
              <w:jc w:val="center"/>
              <w:rPr>
                <w:rFonts w:cs="Times New Roman"/>
                <w:sz w:val="22"/>
                <w:szCs w:val="22"/>
              </w:rPr>
            </w:pPr>
          </w:p>
        </w:tc>
        <w:tc>
          <w:tcPr>
            <w:tcW w:w="1418" w:type="dxa"/>
          </w:tcPr>
          <w:p w14:paraId="6D530581" w14:textId="7AB31735" w:rsidR="00A5541C" w:rsidRPr="00222FD2" w:rsidRDefault="009C2F46" w:rsidP="00222FD2">
            <w:pPr>
              <w:jc w:val="center"/>
              <w:rPr>
                <w:rFonts w:cs="Times New Roman"/>
                <w:bCs/>
                <w:sz w:val="22"/>
                <w:szCs w:val="22"/>
              </w:rPr>
            </w:pPr>
            <w:r>
              <w:rPr>
                <w:sz w:val="22"/>
              </w:rPr>
              <w:t>-</w:t>
            </w:r>
          </w:p>
        </w:tc>
        <w:tc>
          <w:tcPr>
            <w:tcW w:w="1417" w:type="dxa"/>
          </w:tcPr>
          <w:p w14:paraId="25071D4D" w14:textId="36B66328" w:rsidR="00A5541C" w:rsidRPr="00222FD2" w:rsidRDefault="00A5541C" w:rsidP="00222FD2">
            <w:pPr>
              <w:jc w:val="right"/>
              <w:rPr>
                <w:rFonts w:cs="Times New Roman"/>
                <w:bCs/>
                <w:sz w:val="22"/>
                <w:szCs w:val="22"/>
              </w:rPr>
            </w:pPr>
            <w:r>
              <w:rPr>
                <w:sz w:val="22"/>
              </w:rPr>
              <w:t>30.12.2026</w:t>
            </w:r>
          </w:p>
        </w:tc>
      </w:tr>
      <w:tr w:rsidR="00C16B42" w:rsidRPr="00222FD2" w14:paraId="740C0D0B" w14:textId="77777777" w:rsidTr="00E87849">
        <w:trPr>
          <w:trHeight w:val="48"/>
        </w:trPr>
        <w:tc>
          <w:tcPr>
            <w:tcW w:w="753" w:type="dxa"/>
          </w:tcPr>
          <w:p w14:paraId="051257C2" w14:textId="0C04A399" w:rsidR="00A5541C" w:rsidRPr="00222FD2" w:rsidRDefault="00A5541C" w:rsidP="00222FD2">
            <w:pPr>
              <w:ind w:right="-21"/>
              <w:rPr>
                <w:rFonts w:cs="Times New Roman"/>
                <w:bCs/>
                <w:sz w:val="22"/>
                <w:szCs w:val="22"/>
              </w:rPr>
            </w:pPr>
            <w:bookmarkStart w:id="23" w:name="_Hlk153986408"/>
            <w:bookmarkEnd w:id="22"/>
            <w:r>
              <w:rPr>
                <w:sz w:val="22"/>
              </w:rPr>
              <w:t>1.1.3.</w:t>
            </w:r>
          </w:p>
        </w:tc>
        <w:tc>
          <w:tcPr>
            <w:tcW w:w="3642" w:type="dxa"/>
            <w:shd w:val="clear" w:color="auto" w:fill="auto"/>
          </w:tcPr>
          <w:p w14:paraId="01A9004E" w14:textId="4207EAEF" w:rsidR="00267216" w:rsidRPr="002B0F9D" w:rsidRDefault="00A5541C" w:rsidP="00222FD2">
            <w:pPr>
              <w:jc w:val="both"/>
              <w:rPr>
                <w:rFonts w:cs="Times New Roman"/>
                <w:sz w:val="22"/>
                <w:szCs w:val="22"/>
              </w:rPr>
            </w:pPr>
            <w:bookmarkStart w:id="24" w:name="_Hlk153986104"/>
            <w:r>
              <w:rPr>
                <w:sz w:val="22"/>
              </w:rPr>
              <w:t xml:space="preserve">Provision of information on merchants in a user-friendly format for </w:t>
            </w:r>
            <w:r>
              <w:rPr>
                <w:color w:val="000000" w:themeColor="text1"/>
                <w:sz w:val="22"/>
              </w:rPr>
              <w:t xml:space="preserve">use </w:t>
            </w:r>
            <w:r>
              <w:rPr>
                <w:sz w:val="22"/>
              </w:rPr>
              <w:t xml:space="preserve">in the process </w:t>
            </w:r>
            <w:r>
              <w:rPr>
                <w:color w:val="000000" w:themeColor="text1"/>
                <w:sz w:val="22"/>
              </w:rPr>
              <w:t xml:space="preserve">of issuing </w:t>
            </w:r>
            <w:r>
              <w:rPr>
                <w:sz w:val="22"/>
              </w:rPr>
              <w:t xml:space="preserve">and monitoring </w:t>
            </w:r>
            <w:r>
              <w:rPr>
                <w:color w:val="000000" w:themeColor="text1"/>
                <w:sz w:val="22"/>
              </w:rPr>
              <w:t>street trading permits</w:t>
            </w:r>
            <w:r>
              <w:rPr>
                <w:sz w:val="22"/>
              </w:rPr>
              <w:t>.</w:t>
            </w:r>
            <w:bookmarkEnd w:id="24"/>
          </w:p>
          <w:p w14:paraId="2BBD6DFE" w14:textId="5D5618EB" w:rsidR="005C4AB5" w:rsidRPr="002B0F9D" w:rsidRDefault="005C4AB5" w:rsidP="00222FD2">
            <w:pPr>
              <w:jc w:val="both"/>
              <w:rPr>
                <w:rFonts w:cs="Times New Roman"/>
                <w:color w:val="000000" w:themeColor="text1"/>
                <w:sz w:val="22"/>
                <w:szCs w:val="22"/>
              </w:rPr>
            </w:pPr>
            <w:r>
              <w:rPr>
                <w:color w:val="000000" w:themeColor="text1"/>
                <w:sz w:val="22"/>
              </w:rPr>
              <w:t xml:space="preserve">Ensuring that local authorities verify that merchants pay their taxes and create jobs before issuing permits for street trading. </w:t>
            </w:r>
          </w:p>
        </w:tc>
        <w:tc>
          <w:tcPr>
            <w:tcW w:w="4111" w:type="dxa"/>
          </w:tcPr>
          <w:p w14:paraId="360B712A" w14:textId="2FFE35A2" w:rsidR="00305D37" w:rsidRPr="002B0F9D" w:rsidRDefault="00A5541C" w:rsidP="00222FD2">
            <w:pPr>
              <w:jc w:val="both"/>
              <w:rPr>
                <w:rFonts w:cs="Times New Roman"/>
                <w:color w:val="000000" w:themeColor="text1"/>
                <w:sz w:val="22"/>
                <w:szCs w:val="22"/>
              </w:rPr>
            </w:pPr>
            <w:r>
              <w:rPr>
                <w:color w:val="000000" w:themeColor="text1"/>
                <w:sz w:val="22"/>
              </w:rPr>
              <w:t xml:space="preserve">Procedures have been established to ensure that the merchant pays taxes and creates jobs before municipal authorities issue permits for street trading. </w:t>
            </w:r>
          </w:p>
          <w:p w14:paraId="1D316BD0" w14:textId="2355C98D" w:rsidR="00F61D43" w:rsidRPr="002B0F9D" w:rsidRDefault="00F61D43" w:rsidP="00222FD2">
            <w:pPr>
              <w:jc w:val="both"/>
              <w:rPr>
                <w:rFonts w:cs="Times New Roman"/>
                <w:sz w:val="22"/>
                <w:szCs w:val="22"/>
              </w:rPr>
            </w:pPr>
            <w:r>
              <w:rPr>
                <w:color w:val="000000" w:themeColor="text1"/>
                <w:sz w:val="22"/>
              </w:rPr>
              <w:t>The SRS prepares informative material on the level of tax payment by merchants and its significance from the point of view of the risks of non-payment of taxes.</w:t>
            </w:r>
          </w:p>
        </w:tc>
        <w:tc>
          <w:tcPr>
            <w:tcW w:w="2552" w:type="dxa"/>
            <w:shd w:val="clear" w:color="auto" w:fill="auto"/>
          </w:tcPr>
          <w:p w14:paraId="0C01C96E" w14:textId="6265EFF7" w:rsidR="00937941" w:rsidRPr="00222FD2" w:rsidRDefault="003C3346" w:rsidP="00222FD2">
            <w:pPr>
              <w:jc w:val="both"/>
              <w:rPr>
                <w:rFonts w:cs="Times New Roman"/>
                <w:sz w:val="22"/>
                <w:szCs w:val="22"/>
              </w:rPr>
            </w:pPr>
            <w:r>
              <w:rPr>
                <w:color w:val="000000" w:themeColor="text1"/>
                <w:sz w:val="22"/>
              </w:rPr>
              <w:t>Decrease in the number of people receiving envelope wages and employers not paying taxes</w:t>
            </w:r>
            <w:r>
              <w:rPr>
                <w:sz w:val="22"/>
              </w:rPr>
              <w:t>.</w:t>
            </w:r>
          </w:p>
        </w:tc>
        <w:tc>
          <w:tcPr>
            <w:tcW w:w="1417" w:type="dxa"/>
          </w:tcPr>
          <w:p w14:paraId="3B9943A6" w14:textId="77777777" w:rsidR="00A5541C" w:rsidRPr="00222FD2" w:rsidRDefault="00A5541C" w:rsidP="00222FD2">
            <w:pPr>
              <w:jc w:val="center"/>
              <w:rPr>
                <w:rFonts w:cs="Times New Roman"/>
                <w:sz w:val="22"/>
                <w:szCs w:val="22"/>
              </w:rPr>
            </w:pPr>
            <w:r>
              <w:rPr>
                <w:sz w:val="22"/>
              </w:rPr>
              <w:t>MoEPRD</w:t>
            </w:r>
          </w:p>
        </w:tc>
        <w:tc>
          <w:tcPr>
            <w:tcW w:w="1418" w:type="dxa"/>
          </w:tcPr>
          <w:p w14:paraId="01C5041C" w14:textId="5C382266" w:rsidR="00A5541C" w:rsidRPr="00222FD2" w:rsidRDefault="00A5541C" w:rsidP="00222FD2">
            <w:pPr>
              <w:jc w:val="center"/>
              <w:rPr>
                <w:rFonts w:cs="Times New Roman"/>
                <w:bCs/>
                <w:sz w:val="22"/>
                <w:szCs w:val="22"/>
              </w:rPr>
            </w:pPr>
            <w:r>
              <w:rPr>
                <w:sz w:val="22"/>
              </w:rPr>
              <w:t>LALRG,</w:t>
            </w:r>
          </w:p>
          <w:p w14:paraId="7E3B609D" w14:textId="62126959" w:rsidR="00A5541C" w:rsidRPr="00222FD2" w:rsidRDefault="00F61D43" w:rsidP="00222FD2">
            <w:pPr>
              <w:jc w:val="center"/>
              <w:rPr>
                <w:rFonts w:cs="Times New Roman"/>
                <w:bCs/>
                <w:sz w:val="22"/>
                <w:szCs w:val="22"/>
              </w:rPr>
            </w:pPr>
            <w:r>
              <w:rPr>
                <w:sz w:val="22"/>
              </w:rPr>
              <w:t>SRS</w:t>
            </w:r>
          </w:p>
        </w:tc>
        <w:tc>
          <w:tcPr>
            <w:tcW w:w="1417" w:type="dxa"/>
          </w:tcPr>
          <w:p w14:paraId="46F65AF4" w14:textId="77777777" w:rsidR="00A5541C" w:rsidRPr="00222FD2" w:rsidRDefault="00A5541C" w:rsidP="00222FD2">
            <w:pPr>
              <w:jc w:val="right"/>
              <w:rPr>
                <w:rFonts w:cs="Times New Roman"/>
                <w:bCs/>
                <w:sz w:val="22"/>
                <w:szCs w:val="22"/>
              </w:rPr>
            </w:pPr>
            <w:r>
              <w:rPr>
                <w:sz w:val="22"/>
              </w:rPr>
              <w:t>30.12.2025</w:t>
            </w:r>
          </w:p>
        </w:tc>
      </w:tr>
      <w:bookmarkEnd w:id="23"/>
      <w:tr w:rsidR="001C42D5" w:rsidRPr="00222FD2" w14:paraId="4E7982F9" w14:textId="77777777" w:rsidTr="003C1C7B">
        <w:trPr>
          <w:trHeight w:val="283"/>
        </w:trPr>
        <w:tc>
          <w:tcPr>
            <w:tcW w:w="11058" w:type="dxa"/>
            <w:gridSpan w:val="4"/>
            <w:shd w:val="clear" w:color="auto" w:fill="FFF2CC" w:themeFill="accent4" w:themeFillTint="33"/>
          </w:tcPr>
          <w:p w14:paraId="5A7B648F" w14:textId="0ABB87E4" w:rsidR="00EA1932" w:rsidRPr="00222FD2" w:rsidRDefault="00EA1932" w:rsidP="00222FD2">
            <w:pPr>
              <w:rPr>
                <w:rFonts w:cs="Times New Roman"/>
                <w:bCs/>
                <w:sz w:val="22"/>
                <w:szCs w:val="22"/>
              </w:rPr>
            </w:pPr>
            <w:r>
              <w:rPr>
                <w:sz w:val="22"/>
              </w:rPr>
              <w:t xml:space="preserve">Course of Action 1. Task 2. </w:t>
            </w:r>
            <w:r>
              <w:rPr>
                <w:b/>
                <w:bCs/>
                <w:sz w:val="22"/>
              </w:rPr>
              <w:t>Restrictions on the circulation of cash.</w:t>
            </w:r>
          </w:p>
        </w:tc>
        <w:tc>
          <w:tcPr>
            <w:tcW w:w="4252" w:type="dxa"/>
            <w:gridSpan w:val="3"/>
            <w:shd w:val="clear" w:color="auto" w:fill="FFF2CC" w:themeFill="accent4" w:themeFillTint="33"/>
          </w:tcPr>
          <w:p w14:paraId="0D5D4700" w14:textId="50A7D527" w:rsidR="00EA1932" w:rsidRPr="00222FD2" w:rsidRDefault="00EA1932" w:rsidP="00222FD2">
            <w:pPr>
              <w:rPr>
                <w:rFonts w:cs="Times New Roman"/>
                <w:bCs/>
                <w:sz w:val="22"/>
                <w:szCs w:val="22"/>
              </w:rPr>
            </w:pPr>
            <w:r>
              <w:rPr>
                <w:sz w:val="22"/>
              </w:rPr>
              <w:t>Fiscal benefit: EUR 18 million</w:t>
            </w:r>
          </w:p>
        </w:tc>
      </w:tr>
      <w:tr w:rsidR="001C42D5" w:rsidRPr="00222FD2" w14:paraId="19A2B221" w14:textId="77777777" w:rsidTr="00E87849">
        <w:trPr>
          <w:trHeight w:val="70"/>
        </w:trPr>
        <w:tc>
          <w:tcPr>
            <w:tcW w:w="753" w:type="dxa"/>
            <w:shd w:val="clear" w:color="auto" w:fill="auto"/>
          </w:tcPr>
          <w:p w14:paraId="26A2583C" w14:textId="55075DF7" w:rsidR="00A5541C" w:rsidRPr="00222FD2" w:rsidRDefault="00A5541C" w:rsidP="00222FD2">
            <w:pPr>
              <w:ind w:right="-21"/>
              <w:rPr>
                <w:rFonts w:cs="Times New Roman"/>
                <w:bCs/>
                <w:sz w:val="22"/>
                <w:szCs w:val="22"/>
              </w:rPr>
            </w:pPr>
            <w:bookmarkStart w:id="25" w:name="_Hlk150176128"/>
            <w:r>
              <w:rPr>
                <w:sz w:val="22"/>
              </w:rPr>
              <w:t>1.2.1.</w:t>
            </w:r>
          </w:p>
        </w:tc>
        <w:tc>
          <w:tcPr>
            <w:tcW w:w="3642" w:type="dxa"/>
            <w:shd w:val="clear" w:color="auto" w:fill="auto"/>
          </w:tcPr>
          <w:p w14:paraId="3D1FBE1A" w14:textId="5758DDC4" w:rsidR="00A5541C" w:rsidRPr="002B0F9D" w:rsidRDefault="00A5541C" w:rsidP="00222FD2">
            <w:pPr>
              <w:jc w:val="both"/>
              <w:rPr>
                <w:rFonts w:cs="Times New Roman"/>
                <w:sz w:val="22"/>
                <w:szCs w:val="22"/>
              </w:rPr>
            </w:pPr>
            <w:bookmarkStart w:id="26" w:name="_Hlk150349304"/>
            <w:r>
              <w:rPr>
                <w:sz w:val="22"/>
              </w:rPr>
              <w:t xml:space="preserve">Determining non-cash payments as the primary method for the payment of wages. </w:t>
            </w:r>
            <w:bookmarkEnd w:id="26"/>
          </w:p>
        </w:tc>
        <w:tc>
          <w:tcPr>
            <w:tcW w:w="4111" w:type="dxa"/>
            <w:shd w:val="clear" w:color="auto" w:fill="auto"/>
          </w:tcPr>
          <w:p w14:paraId="52B28B6D" w14:textId="3873E225" w:rsidR="009F1F80" w:rsidRPr="00222FD2" w:rsidRDefault="00A5541C" w:rsidP="00222FD2">
            <w:pPr>
              <w:jc w:val="both"/>
              <w:rPr>
                <w:rFonts w:cs="Times New Roman"/>
                <w:color w:val="000000" w:themeColor="text1"/>
                <w:sz w:val="22"/>
                <w:szCs w:val="22"/>
              </w:rPr>
            </w:pPr>
            <w:bookmarkStart w:id="27" w:name="_Hlk150174913"/>
            <w:r>
              <w:rPr>
                <w:sz w:val="22"/>
              </w:rPr>
              <w:t xml:space="preserve">Improved solutions </w:t>
            </w:r>
            <w:r>
              <w:rPr>
                <w:color w:val="000000" w:themeColor="text1"/>
                <w:sz w:val="22"/>
              </w:rPr>
              <w:t xml:space="preserve">to enhance employee rights and protection in </w:t>
            </w:r>
            <w:r>
              <w:rPr>
                <w:sz w:val="22"/>
              </w:rPr>
              <w:t>the area of remuneration, without restricting the employee’s ability to pay for consumer goods and services if this is not possible in cashless form and leaving the employee and employer the option to agree on the payment of wages in cash.</w:t>
            </w:r>
            <w:bookmarkEnd w:id="27"/>
          </w:p>
        </w:tc>
        <w:tc>
          <w:tcPr>
            <w:tcW w:w="2552" w:type="dxa"/>
            <w:shd w:val="clear" w:color="auto" w:fill="auto"/>
          </w:tcPr>
          <w:p w14:paraId="269BBACD" w14:textId="68D5C41D" w:rsidR="00A5541C" w:rsidRPr="00222FD2" w:rsidRDefault="004E616B" w:rsidP="00222FD2">
            <w:pPr>
              <w:jc w:val="both"/>
              <w:rPr>
                <w:rFonts w:cs="Times New Roman"/>
                <w:color w:val="000000" w:themeColor="text1"/>
                <w:sz w:val="22"/>
                <w:szCs w:val="22"/>
              </w:rPr>
            </w:pPr>
            <w:r>
              <w:rPr>
                <w:color w:val="000000" w:themeColor="text1"/>
                <w:sz w:val="22"/>
              </w:rPr>
              <w:t>Decrease in the number of people receiving envelope wages and employers not paying taxes.</w:t>
            </w:r>
          </w:p>
        </w:tc>
        <w:tc>
          <w:tcPr>
            <w:tcW w:w="1417" w:type="dxa"/>
            <w:shd w:val="clear" w:color="auto" w:fill="auto"/>
          </w:tcPr>
          <w:p w14:paraId="3F5A1B05" w14:textId="77777777" w:rsidR="00A5541C" w:rsidRPr="00222FD2" w:rsidRDefault="00A5541C" w:rsidP="00222FD2">
            <w:pPr>
              <w:jc w:val="center"/>
              <w:rPr>
                <w:rFonts w:cs="Times New Roman"/>
                <w:bCs/>
                <w:sz w:val="22"/>
                <w:szCs w:val="22"/>
              </w:rPr>
            </w:pPr>
            <w:r>
              <w:rPr>
                <w:sz w:val="22"/>
              </w:rPr>
              <w:t>MoW</w:t>
            </w:r>
          </w:p>
        </w:tc>
        <w:tc>
          <w:tcPr>
            <w:tcW w:w="1418" w:type="dxa"/>
            <w:shd w:val="clear" w:color="auto" w:fill="auto"/>
          </w:tcPr>
          <w:p w14:paraId="7ECB72C4" w14:textId="40CF47AB" w:rsidR="00A5541C" w:rsidRPr="00222FD2" w:rsidRDefault="00A5541C" w:rsidP="00222FD2">
            <w:pPr>
              <w:jc w:val="center"/>
              <w:rPr>
                <w:rFonts w:cs="Times New Roman"/>
                <w:bCs/>
                <w:sz w:val="22"/>
                <w:szCs w:val="22"/>
              </w:rPr>
            </w:pPr>
            <w:r>
              <w:rPr>
                <w:sz w:val="22"/>
              </w:rPr>
              <w:t>MoF,</w:t>
            </w:r>
          </w:p>
          <w:p w14:paraId="5DFED53E" w14:textId="77777777" w:rsidR="00A5541C" w:rsidRPr="00222FD2" w:rsidRDefault="00A5541C" w:rsidP="00222FD2">
            <w:pPr>
              <w:jc w:val="center"/>
              <w:rPr>
                <w:rFonts w:cs="Times New Roman"/>
                <w:bCs/>
                <w:sz w:val="22"/>
                <w:szCs w:val="22"/>
              </w:rPr>
            </w:pPr>
            <w:r>
              <w:rPr>
                <w:sz w:val="22"/>
              </w:rPr>
              <w:t>SRS</w:t>
            </w:r>
          </w:p>
        </w:tc>
        <w:tc>
          <w:tcPr>
            <w:tcW w:w="1417" w:type="dxa"/>
            <w:shd w:val="clear" w:color="auto" w:fill="auto"/>
          </w:tcPr>
          <w:p w14:paraId="14479819" w14:textId="77777777" w:rsidR="00A5541C" w:rsidRPr="00222FD2" w:rsidRDefault="00A5541C" w:rsidP="00222FD2">
            <w:pPr>
              <w:jc w:val="right"/>
              <w:rPr>
                <w:rFonts w:cs="Times New Roman"/>
                <w:bCs/>
                <w:sz w:val="22"/>
                <w:szCs w:val="22"/>
              </w:rPr>
            </w:pPr>
            <w:r>
              <w:rPr>
                <w:sz w:val="22"/>
              </w:rPr>
              <w:t>30.12.2024</w:t>
            </w:r>
          </w:p>
        </w:tc>
      </w:tr>
      <w:bookmarkEnd w:id="25"/>
      <w:tr w:rsidR="00C16B42" w:rsidRPr="00222FD2" w14:paraId="78D9CC69" w14:textId="77777777" w:rsidTr="00E87849">
        <w:trPr>
          <w:trHeight w:val="353"/>
        </w:trPr>
        <w:tc>
          <w:tcPr>
            <w:tcW w:w="753" w:type="dxa"/>
          </w:tcPr>
          <w:p w14:paraId="7C29598F" w14:textId="7B0003DE" w:rsidR="0082661D" w:rsidRPr="00222FD2" w:rsidRDefault="0082661D" w:rsidP="00222FD2">
            <w:pPr>
              <w:ind w:right="-21"/>
              <w:rPr>
                <w:rFonts w:cs="Times New Roman"/>
                <w:bCs/>
                <w:sz w:val="22"/>
                <w:szCs w:val="22"/>
              </w:rPr>
            </w:pPr>
            <w:r>
              <w:rPr>
                <w:sz w:val="22"/>
              </w:rPr>
              <w:t>1.2.2.</w:t>
            </w:r>
          </w:p>
        </w:tc>
        <w:tc>
          <w:tcPr>
            <w:tcW w:w="3642" w:type="dxa"/>
            <w:shd w:val="clear" w:color="auto" w:fill="auto"/>
          </w:tcPr>
          <w:p w14:paraId="595DAAE0" w14:textId="77777777" w:rsidR="0082661D" w:rsidRPr="002B0F9D" w:rsidRDefault="0082661D" w:rsidP="00222FD2">
            <w:pPr>
              <w:jc w:val="both"/>
              <w:rPr>
                <w:rFonts w:cs="Times New Roman"/>
                <w:sz w:val="22"/>
                <w:szCs w:val="22"/>
              </w:rPr>
            </w:pPr>
            <w:bookmarkStart w:id="28" w:name="_Hlk149908603"/>
            <w:r>
              <w:rPr>
                <w:sz w:val="22"/>
              </w:rPr>
              <w:t>Imposing the obligation on employers to inform the SRS of the fact that an employee’s wage is paid in cash</w:t>
            </w:r>
            <w:bookmarkEnd w:id="28"/>
            <w:r>
              <w:rPr>
                <w:sz w:val="22"/>
              </w:rPr>
              <w:t>.</w:t>
            </w:r>
          </w:p>
        </w:tc>
        <w:tc>
          <w:tcPr>
            <w:tcW w:w="4111" w:type="dxa"/>
          </w:tcPr>
          <w:p w14:paraId="79712AD0" w14:textId="77777777" w:rsidR="0082661D" w:rsidRPr="00222FD2" w:rsidRDefault="0082661D" w:rsidP="00222FD2">
            <w:pPr>
              <w:jc w:val="both"/>
              <w:rPr>
                <w:rFonts w:cs="Times New Roman"/>
                <w:color w:val="000000" w:themeColor="text1"/>
                <w:sz w:val="22"/>
                <w:szCs w:val="22"/>
              </w:rPr>
            </w:pPr>
            <w:r>
              <w:rPr>
                <w:sz w:val="22"/>
              </w:rPr>
              <w:t>Amendments to laws and regulations</w:t>
            </w:r>
            <w:r>
              <w:rPr>
                <w:color w:val="000000" w:themeColor="text1"/>
                <w:sz w:val="22"/>
              </w:rPr>
              <w:t xml:space="preserve"> have been drafted, specifying the document (e.g. a RoE or a statement) by which an employer informs the SRS of a cash payment.</w:t>
            </w:r>
          </w:p>
        </w:tc>
        <w:tc>
          <w:tcPr>
            <w:tcW w:w="2552" w:type="dxa"/>
          </w:tcPr>
          <w:p w14:paraId="05846CCB" w14:textId="77777777" w:rsidR="0082661D" w:rsidRPr="00222FD2" w:rsidRDefault="0082661D" w:rsidP="00222FD2">
            <w:pPr>
              <w:jc w:val="both"/>
              <w:rPr>
                <w:rFonts w:cs="Times New Roman"/>
                <w:sz w:val="22"/>
                <w:szCs w:val="22"/>
              </w:rPr>
            </w:pPr>
            <w:r>
              <w:rPr>
                <w:sz w:val="22"/>
              </w:rPr>
              <w:t>Decrease in the number of people receiving envelope wages and employers not paying taxes.</w:t>
            </w:r>
          </w:p>
        </w:tc>
        <w:tc>
          <w:tcPr>
            <w:tcW w:w="1417" w:type="dxa"/>
          </w:tcPr>
          <w:p w14:paraId="444E6BB5" w14:textId="77777777" w:rsidR="0082661D" w:rsidRPr="00222FD2" w:rsidRDefault="0082661D" w:rsidP="00222FD2">
            <w:pPr>
              <w:jc w:val="center"/>
              <w:rPr>
                <w:rFonts w:cs="Times New Roman"/>
                <w:bCs/>
                <w:sz w:val="22"/>
                <w:szCs w:val="22"/>
              </w:rPr>
            </w:pPr>
            <w:r>
              <w:rPr>
                <w:sz w:val="22"/>
              </w:rPr>
              <w:t>MoW</w:t>
            </w:r>
          </w:p>
        </w:tc>
        <w:tc>
          <w:tcPr>
            <w:tcW w:w="1418" w:type="dxa"/>
          </w:tcPr>
          <w:p w14:paraId="0F86CEEE" w14:textId="52257904" w:rsidR="0082661D" w:rsidRPr="00222FD2" w:rsidRDefault="0082661D" w:rsidP="00222FD2">
            <w:pPr>
              <w:jc w:val="center"/>
              <w:rPr>
                <w:rFonts w:cs="Times New Roman"/>
                <w:bCs/>
                <w:sz w:val="22"/>
                <w:szCs w:val="22"/>
              </w:rPr>
            </w:pPr>
            <w:r>
              <w:rPr>
                <w:sz w:val="22"/>
              </w:rPr>
              <w:t>MoF,</w:t>
            </w:r>
          </w:p>
          <w:p w14:paraId="41BD4193" w14:textId="77777777" w:rsidR="0082661D" w:rsidRPr="00222FD2" w:rsidRDefault="0082661D" w:rsidP="00222FD2">
            <w:pPr>
              <w:jc w:val="center"/>
              <w:rPr>
                <w:rFonts w:cs="Times New Roman"/>
                <w:bCs/>
                <w:sz w:val="22"/>
                <w:szCs w:val="22"/>
              </w:rPr>
            </w:pPr>
            <w:r>
              <w:rPr>
                <w:sz w:val="22"/>
              </w:rPr>
              <w:t>SRS</w:t>
            </w:r>
          </w:p>
        </w:tc>
        <w:tc>
          <w:tcPr>
            <w:tcW w:w="1417" w:type="dxa"/>
          </w:tcPr>
          <w:p w14:paraId="14897853" w14:textId="77777777" w:rsidR="0082661D" w:rsidRPr="00222FD2" w:rsidRDefault="0082661D" w:rsidP="00222FD2">
            <w:pPr>
              <w:jc w:val="right"/>
              <w:rPr>
                <w:rFonts w:cs="Times New Roman"/>
                <w:bCs/>
                <w:sz w:val="22"/>
                <w:szCs w:val="22"/>
              </w:rPr>
            </w:pPr>
            <w:r>
              <w:rPr>
                <w:sz w:val="22"/>
              </w:rPr>
              <w:t>30.12.2024</w:t>
            </w:r>
          </w:p>
        </w:tc>
      </w:tr>
      <w:tr w:rsidR="00C16B42" w:rsidRPr="00222FD2" w14:paraId="7538F504" w14:textId="77777777" w:rsidTr="00E87849">
        <w:trPr>
          <w:trHeight w:val="494"/>
        </w:trPr>
        <w:tc>
          <w:tcPr>
            <w:tcW w:w="753" w:type="dxa"/>
          </w:tcPr>
          <w:p w14:paraId="11985490" w14:textId="2B7E69AC" w:rsidR="0082661D" w:rsidRPr="00222FD2" w:rsidRDefault="0082661D" w:rsidP="00222FD2">
            <w:pPr>
              <w:ind w:right="-21"/>
              <w:rPr>
                <w:rFonts w:cs="Times New Roman"/>
                <w:bCs/>
                <w:sz w:val="22"/>
                <w:szCs w:val="22"/>
              </w:rPr>
            </w:pPr>
            <w:r>
              <w:rPr>
                <w:sz w:val="22"/>
              </w:rPr>
              <w:t>1.2.3.</w:t>
            </w:r>
          </w:p>
        </w:tc>
        <w:tc>
          <w:tcPr>
            <w:tcW w:w="3642" w:type="dxa"/>
            <w:shd w:val="clear" w:color="auto" w:fill="auto"/>
          </w:tcPr>
          <w:p w14:paraId="1BF0D11C" w14:textId="3ACE50FA" w:rsidR="00A5541C" w:rsidRPr="002B0F9D" w:rsidRDefault="00A5541C" w:rsidP="00222FD2">
            <w:pPr>
              <w:jc w:val="both"/>
              <w:rPr>
                <w:rFonts w:cs="Times New Roman"/>
                <w:sz w:val="22"/>
                <w:szCs w:val="22"/>
              </w:rPr>
            </w:pPr>
            <w:r>
              <w:rPr>
                <w:sz w:val="22"/>
              </w:rPr>
              <w:t>Introduction of threshold declarations for cash deposits and withdrawals (reporting of cash deposits and withdrawals in ATMs).</w:t>
            </w:r>
          </w:p>
        </w:tc>
        <w:tc>
          <w:tcPr>
            <w:tcW w:w="4111" w:type="dxa"/>
          </w:tcPr>
          <w:p w14:paraId="0092ECE0" w14:textId="29B6E175" w:rsidR="00A5541C" w:rsidRPr="00222FD2" w:rsidRDefault="00A5541C" w:rsidP="00222FD2">
            <w:pPr>
              <w:jc w:val="both"/>
              <w:rPr>
                <w:rFonts w:cs="Times New Roman"/>
                <w:bCs/>
                <w:color w:val="000000"/>
                <w:sz w:val="22"/>
                <w:szCs w:val="22"/>
              </w:rPr>
            </w:pPr>
            <w:r>
              <w:rPr>
                <w:sz w:val="22"/>
              </w:rPr>
              <w:t xml:space="preserve">A </w:t>
            </w:r>
            <w:r>
              <w:rPr>
                <w:color w:val="000000"/>
                <w:sz w:val="22"/>
              </w:rPr>
              <w:t xml:space="preserve">regulatory framework has been developed which </w:t>
            </w:r>
            <w:r>
              <w:rPr>
                <w:sz w:val="22"/>
              </w:rPr>
              <w:t>imposes the obligation on credit institutions to provide quarterly information to the SRS on deposits and withdrawals in ATMs or branches of credit institutions</w:t>
            </w:r>
            <w:r>
              <w:rPr>
                <w:color w:val="000000"/>
                <w:sz w:val="22"/>
              </w:rPr>
              <w:t>.</w:t>
            </w:r>
          </w:p>
          <w:p w14:paraId="5ABF44F1" w14:textId="77777777" w:rsidR="009F1F80" w:rsidRPr="00222FD2" w:rsidRDefault="009F1F80" w:rsidP="00222FD2">
            <w:pPr>
              <w:jc w:val="both"/>
              <w:rPr>
                <w:rFonts w:cs="Times New Roman"/>
                <w:bCs/>
                <w:color w:val="000000"/>
                <w:sz w:val="22"/>
                <w:szCs w:val="22"/>
              </w:rPr>
            </w:pPr>
          </w:p>
        </w:tc>
        <w:tc>
          <w:tcPr>
            <w:tcW w:w="2552" w:type="dxa"/>
            <w:shd w:val="clear" w:color="auto" w:fill="auto"/>
          </w:tcPr>
          <w:p w14:paraId="76C4BB4F" w14:textId="22FC52F0" w:rsidR="00A5541C" w:rsidRPr="00222FD2" w:rsidRDefault="00EC62EA" w:rsidP="00222FD2">
            <w:pPr>
              <w:jc w:val="both"/>
              <w:rPr>
                <w:rFonts w:cs="Times New Roman"/>
                <w:bCs/>
                <w:color w:val="000000"/>
                <w:sz w:val="22"/>
                <w:szCs w:val="22"/>
              </w:rPr>
            </w:pPr>
            <w:r>
              <w:rPr>
                <w:color w:val="000000"/>
                <w:sz w:val="22"/>
              </w:rPr>
              <w:t>Increased transparency of the circulation of cash and the ability of credit institutions to report all transactions above a certain threshold, without having to assess whether the transactions are suspicious.</w:t>
            </w:r>
          </w:p>
        </w:tc>
        <w:tc>
          <w:tcPr>
            <w:tcW w:w="1417" w:type="dxa"/>
          </w:tcPr>
          <w:p w14:paraId="7452C17A" w14:textId="77777777" w:rsidR="00A5541C" w:rsidRPr="00222FD2" w:rsidRDefault="00A5541C" w:rsidP="00222FD2">
            <w:pPr>
              <w:jc w:val="center"/>
              <w:rPr>
                <w:rFonts w:cs="Times New Roman"/>
                <w:sz w:val="22"/>
                <w:szCs w:val="22"/>
              </w:rPr>
            </w:pPr>
            <w:r>
              <w:rPr>
                <w:sz w:val="22"/>
              </w:rPr>
              <w:t>MoF</w:t>
            </w:r>
          </w:p>
        </w:tc>
        <w:tc>
          <w:tcPr>
            <w:tcW w:w="1418" w:type="dxa"/>
          </w:tcPr>
          <w:p w14:paraId="25D56839" w14:textId="77777777" w:rsidR="00A5541C" w:rsidRPr="00222FD2" w:rsidRDefault="00A5541C" w:rsidP="00222FD2">
            <w:pPr>
              <w:jc w:val="center"/>
              <w:rPr>
                <w:rFonts w:cs="Times New Roman"/>
                <w:bCs/>
                <w:sz w:val="22"/>
                <w:szCs w:val="22"/>
              </w:rPr>
            </w:pPr>
            <w:r>
              <w:rPr>
                <w:sz w:val="22"/>
              </w:rPr>
              <w:t>SRS</w:t>
            </w:r>
          </w:p>
        </w:tc>
        <w:tc>
          <w:tcPr>
            <w:tcW w:w="1417" w:type="dxa"/>
          </w:tcPr>
          <w:p w14:paraId="070C12C6" w14:textId="77777777" w:rsidR="00A5541C" w:rsidRPr="00222FD2" w:rsidRDefault="00A5541C" w:rsidP="00222FD2">
            <w:pPr>
              <w:jc w:val="right"/>
              <w:rPr>
                <w:rFonts w:cs="Times New Roman"/>
                <w:bCs/>
                <w:sz w:val="22"/>
                <w:szCs w:val="22"/>
              </w:rPr>
            </w:pPr>
            <w:r>
              <w:rPr>
                <w:sz w:val="22"/>
              </w:rPr>
              <w:t>30.12.2024</w:t>
            </w:r>
          </w:p>
        </w:tc>
      </w:tr>
      <w:tr w:rsidR="001C42D5" w:rsidRPr="00222FD2" w14:paraId="455F72CF" w14:textId="145190F1" w:rsidTr="00E87849">
        <w:trPr>
          <w:trHeight w:val="494"/>
        </w:trPr>
        <w:tc>
          <w:tcPr>
            <w:tcW w:w="753" w:type="dxa"/>
          </w:tcPr>
          <w:p w14:paraId="6D22196D" w14:textId="7FD5AA4D" w:rsidR="00A5541C" w:rsidRPr="00222FD2" w:rsidRDefault="00A5541C" w:rsidP="00222FD2">
            <w:pPr>
              <w:ind w:right="-21"/>
              <w:rPr>
                <w:rFonts w:cs="Times New Roman"/>
                <w:bCs/>
                <w:sz w:val="22"/>
                <w:szCs w:val="22"/>
              </w:rPr>
            </w:pPr>
            <w:r>
              <w:rPr>
                <w:sz w:val="22"/>
              </w:rPr>
              <w:t>1.2.4.</w:t>
            </w:r>
          </w:p>
        </w:tc>
        <w:tc>
          <w:tcPr>
            <w:tcW w:w="3642" w:type="dxa"/>
            <w:shd w:val="clear" w:color="auto" w:fill="auto"/>
          </w:tcPr>
          <w:p w14:paraId="50364BA1" w14:textId="2460A0A5" w:rsidR="00A5541C" w:rsidRPr="002B0F9D" w:rsidRDefault="00FC7FFA" w:rsidP="00222FD2">
            <w:pPr>
              <w:jc w:val="both"/>
              <w:rPr>
                <w:rFonts w:cs="Times New Roman"/>
                <w:color w:val="000000" w:themeColor="text1"/>
                <w:sz w:val="22"/>
                <w:szCs w:val="22"/>
              </w:rPr>
            </w:pPr>
            <w:r>
              <w:rPr>
                <w:color w:val="000000"/>
                <w:sz w:val="22"/>
              </w:rPr>
              <w:t>Further discussions on the approach to indirect taxation. Inter alia, in respect of sectoral exceptions where there is a general agreement.</w:t>
            </w:r>
          </w:p>
        </w:tc>
        <w:tc>
          <w:tcPr>
            <w:tcW w:w="4111" w:type="dxa"/>
          </w:tcPr>
          <w:p w14:paraId="4E004205" w14:textId="3ADE0E52" w:rsidR="00D73DF1" w:rsidRPr="00222FD2" w:rsidRDefault="00FC7FFA" w:rsidP="00222FD2">
            <w:pPr>
              <w:jc w:val="both"/>
              <w:rPr>
                <w:rFonts w:cs="Times New Roman"/>
                <w:color w:val="000000" w:themeColor="text1"/>
                <w:sz w:val="22"/>
                <w:szCs w:val="22"/>
              </w:rPr>
            </w:pPr>
            <w:r>
              <w:rPr>
                <w:color w:val="000000" w:themeColor="text1"/>
                <w:sz w:val="22"/>
              </w:rPr>
              <w:t>Discussions will continue on the approach to indirect taxation. Inter alia, in respect of sectoral exceptions where there is a general agreement providing for a substantial increase in the national minimum wage or hourly rate in the sector of at least 50 per cent above the national minimum wage or hourly rate.</w:t>
            </w:r>
          </w:p>
        </w:tc>
        <w:tc>
          <w:tcPr>
            <w:tcW w:w="2552" w:type="dxa"/>
            <w:shd w:val="clear" w:color="auto" w:fill="auto"/>
          </w:tcPr>
          <w:p w14:paraId="361B6D60" w14:textId="5CE35ADB" w:rsidR="00A5541C" w:rsidRPr="00222FD2" w:rsidRDefault="001D7055" w:rsidP="00222FD2">
            <w:pPr>
              <w:jc w:val="both"/>
              <w:rPr>
                <w:rFonts w:cs="Times New Roman"/>
                <w:bCs/>
                <w:sz w:val="22"/>
                <w:szCs w:val="22"/>
              </w:rPr>
            </w:pPr>
            <w:r>
              <w:rPr>
                <w:sz w:val="22"/>
              </w:rPr>
              <w:t>Promoting voluntary compliance with tax obligations.</w:t>
            </w:r>
          </w:p>
          <w:p w14:paraId="7AF18E2F" w14:textId="47E23880" w:rsidR="001D7055" w:rsidRPr="00222FD2" w:rsidRDefault="001D7055" w:rsidP="00222FD2">
            <w:pPr>
              <w:jc w:val="both"/>
              <w:rPr>
                <w:rFonts w:cs="Times New Roman"/>
                <w:bCs/>
                <w:sz w:val="22"/>
                <w:szCs w:val="22"/>
              </w:rPr>
            </w:pPr>
          </w:p>
        </w:tc>
        <w:tc>
          <w:tcPr>
            <w:tcW w:w="1417" w:type="dxa"/>
          </w:tcPr>
          <w:p w14:paraId="1FE88F25" w14:textId="28CB8D91" w:rsidR="00A5541C" w:rsidRPr="00222FD2" w:rsidRDefault="00A5541C" w:rsidP="00222FD2">
            <w:pPr>
              <w:jc w:val="center"/>
              <w:rPr>
                <w:rFonts w:cs="Times New Roman"/>
                <w:sz w:val="22"/>
                <w:szCs w:val="22"/>
              </w:rPr>
            </w:pPr>
            <w:r>
              <w:rPr>
                <w:color w:val="000000" w:themeColor="text1"/>
                <w:sz w:val="22"/>
              </w:rPr>
              <w:t>MoF</w:t>
            </w:r>
          </w:p>
        </w:tc>
        <w:tc>
          <w:tcPr>
            <w:tcW w:w="1418" w:type="dxa"/>
          </w:tcPr>
          <w:p w14:paraId="6597FC6C" w14:textId="70B3D0CD" w:rsidR="00A5541C" w:rsidRPr="00222FD2" w:rsidRDefault="00A5541C" w:rsidP="00222FD2">
            <w:pPr>
              <w:jc w:val="center"/>
              <w:rPr>
                <w:rFonts w:cs="Times New Roman"/>
                <w:sz w:val="22"/>
                <w:szCs w:val="22"/>
              </w:rPr>
            </w:pPr>
            <w:r>
              <w:rPr>
                <w:sz w:val="22"/>
              </w:rPr>
              <w:t>SRS</w:t>
            </w:r>
          </w:p>
          <w:p w14:paraId="37C851D6" w14:textId="6361FA40" w:rsidR="00280CA1" w:rsidRPr="00222FD2" w:rsidRDefault="00280CA1" w:rsidP="00222FD2">
            <w:pPr>
              <w:jc w:val="center"/>
              <w:rPr>
                <w:rFonts w:cs="Times New Roman"/>
                <w:sz w:val="22"/>
                <w:szCs w:val="22"/>
              </w:rPr>
            </w:pPr>
          </w:p>
        </w:tc>
        <w:tc>
          <w:tcPr>
            <w:tcW w:w="1417" w:type="dxa"/>
          </w:tcPr>
          <w:p w14:paraId="1AF85EF4" w14:textId="5BC79FFD" w:rsidR="00A5541C" w:rsidRPr="00222FD2" w:rsidRDefault="00A5541C" w:rsidP="00222FD2">
            <w:pPr>
              <w:jc w:val="right"/>
              <w:rPr>
                <w:rFonts w:cs="Times New Roman"/>
                <w:bCs/>
                <w:sz w:val="22"/>
                <w:szCs w:val="22"/>
              </w:rPr>
            </w:pPr>
            <w:r>
              <w:rPr>
                <w:sz w:val="22"/>
              </w:rPr>
              <w:t>30.12.2025</w:t>
            </w:r>
          </w:p>
        </w:tc>
      </w:tr>
      <w:tr w:rsidR="001C42D5" w:rsidRPr="00222FD2" w14:paraId="67496237" w14:textId="77777777" w:rsidTr="00E87849">
        <w:trPr>
          <w:trHeight w:val="1495"/>
        </w:trPr>
        <w:tc>
          <w:tcPr>
            <w:tcW w:w="753" w:type="dxa"/>
            <w:shd w:val="clear" w:color="auto" w:fill="auto"/>
          </w:tcPr>
          <w:p w14:paraId="39B22616" w14:textId="0B28873D" w:rsidR="00CB4D47" w:rsidRPr="00222FD2" w:rsidRDefault="00CB4D47" w:rsidP="00222FD2">
            <w:pPr>
              <w:ind w:right="-21"/>
              <w:rPr>
                <w:rFonts w:cs="Times New Roman"/>
                <w:bCs/>
                <w:sz w:val="22"/>
                <w:szCs w:val="22"/>
              </w:rPr>
            </w:pPr>
            <w:r>
              <w:rPr>
                <w:sz w:val="22"/>
              </w:rPr>
              <w:t>1.2.5.</w:t>
            </w:r>
          </w:p>
        </w:tc>
        <w:tc>
          <w:tcPr>
            <w:tcW w:w="3642" w:type="dxa"/>
            <w:shd w:val="clear" w:color="auto" w:fill="auto"/>
          </w:tcPr>
          <w:p w14:paraId="026BF628" w14:textId="5796249A" w:rsidR="00222FD2" w:rsidRPr="002B0F9D" w:rsidRDefault="00CB4D47" w:rsidP="00222FD2">
            <w:pPr>
              <w:jc w:val="both"/>
              <w:rPr>
                <w:rFonts w:cs="Times New Roman"/>
                <w:color w:val="000000" w:themeColor="text1"/>
                <w:sz w:val="22"/>
                <w:szCs w:val="22"/>
              </w:rPr>
            </w:pPr>
            <w:r>
              <w:rPr>
                <w:color w:val="000000" w:themeColor="text1"/>
                <w:sz w:val="22"/>
              </w:rPr>
              <w:t>Encouraging of sectoral associations to conclude or revise general agreements in line with current wage levels in the sector (e.g. health, beauty care, construction, etc.).</w:t>
            </w:r>
          </w:p>
        </w:tc>
        <w:tc>
          <w:tcPr>
            <w:tcW w:w="4111" w:type="dxa"/>
            <w:shd w:val="clear" w:color="auto" w:fill="auto"/>
          </w:tcPr>
          <w:p w14:paraId="02CF200C" w14:textId="175DD81F" w:rsidR="00CB4D47" w:rsidRPr="002B0F9D" w:rsidRDefault="00CB4D47" w:rsidP="00222FD2">
            <w:pPr>
              <w:jc w:val="both"/>
              <w:rPr>
                <w:rFonts w:cs="Times New Roman"/>
                <w:color w:val="000000" w:themeColor="text1"/>
                <w:sz w:val="22"/>
                <w:szCs w:val="22"/>
              </w:rPr>
            </w:pPr>
            <w:r>
              <w:rPr>
                <w:color w:val="000000" w:themeColor="text1"/>
                <w:sz w:val="22"/>
              </w:rPr>
              <w:t>Supplementing the terms of general agreements with appropriate remuneration according to occupation and qualifications.</w:t>
            </w:r>
          </w:p>
        </w:tc>
        <w:tc>
          <w:tcPr>
            <w:tcW w:w="2552" w:type="dxa"/>
            <w:shd w:val="clear" w:color="auto" w:fill="auto"/>
          </w:tcPr>
          <w:p w14:paraId="5F0D12B9" w14:textId="32714B61" w:rsidR="00CB4D47" w:rsidRPr="00222FD2" w:rsidRDefault="00333F3D" w:rsidP="00222FD2">
            <w:pPr>
              <w:jc w:val="both"/>
              <w:rPr>
                <w:rFonts w:cs="Times New Roman"/>
                <w:bCs/>
                <w:sz w:val="22"/>
                <w:szCs w:val="22"/>
              </w:rPr>
            </w:pPr>
            <w:r>
              <w:rPr>
                <w:sz w:val="22"/>
              </w:rPr>
              <w:t>Voluntary tax compliance is increasing, including labour tax revenue for the budget.</w:t>
            </w:r>
          </w:p>
        </w:tc>
        <w:tc>
          <w:tcPr>
            <w:tcW w:w="1417" w:type="dxa"/>
            <w:shd w:val="clear" w:color="auto" w:fill="auto"/>
          </w:tcPr>
          <w:p w14:paraId="4DD61CFA" w14:textId="46D8BD30" w:rsidR="00647E15" w:rsidRPr="00222FD2" w:rsidRDefault="00110BA2" w:rsidP="00222FD2">
            <w:pPr>
              <w:jc w:val="center"/>
              <w:rPr>
                <w:rFonts w:cs="Times New Roman"/>
                <w:bCs/>
                <w:color w:val="000000" w:themeColor="text1"/>
                <w:sz w:val="22"/>
                <w:szCs w:val="22"/>
              </w:rPr>
            </w:pPr>
            <w:r>
              <w:rPr>
                <w:color w:val="000000" w:themeColor="text1"/>
                <w:sz w:val="22"/>
              </w:rPr>
              <w:t>Responsible sectoral ministries</w:t>
            </w:r>
          </w:p>
          <w:p w14:paraId="1653A3BC" w14:textId="015BFD86" w:rsidR="00CB4D47" w:rsidRPr="00222FD2" w:rsidRDefault="00647E15" w:rsidP="00222FD2">
            <w:pPr>
              <w:jc w:val="center"/>
              <w:rPr>
                <w:rFonts w:cs="Times New Roman"/>
                <w:bCs/>
                <w:color w:val="000000" w:themeColor="text1"/>
                <w:sz w:val="22"/>
                <w:szCs w:val="22"/>
              </w:rPr>
            </w:pPr>
            <w:r>
              <w:rPr>
                <w:color w:val="000000" w:themeColor="text1"/>
                <w:sz w:val="22"/>
              </w:rPr>
              <w:t>(practical action: LBNA,</w:t>
            </w:r>
          </w:p>
          <w:p w14:paraId="60BC1046" w14:textId="58C522A9" w:rsidR="00626802" w:rsidRPr="00222FD2" w:rsidRDefault="00626802" w:rsidP="00222FD2">
            <w:pPr>
              <w:jc w:val="center"/>
              <w:rPr>
                <w:rFonts w:cs="Times New Roman"/>
                <w:bCs/>
                <w:sz w:val="22"/>
                <w:szCs w:val="22"/>
              </w:rPr>
            </w:pPr>
            <w:r>
              <w:rPr>
                <w:color w:val="000000" w:themeColor="text1"/>
                <w:sz w:val="22"/>
              </w:rPr>
              <w:t>LBAS</w:t>
            </w:r>
            <w:r>
              <w:rPr>
                <w:sz w:val="22"/>
              </w:rPr>
              <w:t>,</w:t>
            </w:r>
          </w:p>
          <w:p w14:paraId="1394340C" w14:textId="6E90577D" w:rsidR="00CB4D47" w:rsidRPr="00222FD2" w:rsidRDefault="00626802" w:rsidP="00222FD2">
            <w:pPr>
              <w:jc w:val="center"/>
              <w:rPr>
                <w:rFonts w:cs="Times New Roman"/>
                <w:bCs/>
                <w:color w:val="000000" w:themeColor="text1"/>
                <w:sz w:val="22"/>
                <w:szCs w:val="22"/>
              </w:rPr>
            </w:pPr>
            <w:r>
              <w:rPr>
                <w:sz w:val="22"/>
              </w:rPr>
              <w:t>LBP</w:t>
            </w:r>
            <w:r>
              <w:rPr>
                <w:color w:val="000000" w:themeColor="text1"/>
                <w:sz w:val="22"/>
              </w:rPr>
              <w:t>)</w:t>
            </w:r>
          </w:p>
        </w:tc>
        <w:tc>
          <w:tcPr>
            <w:tcW w:w="1418" w:type="dxa"/>
            <w:shd w:val="clear" w:color="auto" w:fill="auto"/>
          </w:tcPr>
          <w:p w14:paraId="6AEB3B67" w14:textId="5E53DDC2" w:rsidR="00184551" w:rsidRPr="00222FD2" w:rsidRDefault="00184551" w:rsidP="00222FD2">
            <w:pPr>
              <w:jc w:val="center"/>
              <w:rPr>
                <w:rFonts w:cs="Times New Roman"/>
                <w:bCs/>
                <w:color w:val="000000" w:themeColor="text1"/>
                <w:sz w:val="22"/>
                <w:szCs w:val="22"/>
              </w:rPr>
            </w:pPr>
            <w:r>
              <w:rPr>
                <w:color w:val="000000" w:themeColor="text1"/>
                <w:sz w:val="22"/>
              </w:rPr>
              <w:t>-</w:t>
            </w:r>
          </w:p>
          <w:p w14:paraId="379D7153" w14:textId="0FB76C9B" w:rsidR="00280CA1" w:rsidRPr="00222FD2" w:rsidRDefault="00280CA1" w:rsidP="00222FD2">
            <w:pPr>
              <w:jc w:val="center"/>
              <w:rPr>
                <w:rFonts w:cs="Times New Roman"/>
                <w:bCs/>
                <w:sz w:val="22"/>
                <w:szCs w:val="22"/>
              </w:rPr>
            </w:pPr>
          </w:p>
        </w:tc>
        <w:tc>
          <w:tcPr>
            <w:tcW w:w="1417" w:type="dxa"/>
            <w:shd w:val="clear" w:color="auto" w:fill="auto"/>
          </w:tcPr>
          <w:p w14:paraId="2E114323" w14:textId="50085337" w:rsidR="00CB4D47" w:rsidRPr="00222FD2" w:rsidRDefault="00CB4D47" w:rsidP="00222FD2">
            <w:pPr>
              <w:jc w:val="right"/>
              <w:rPr>
                <w:rFonts w:cs="Times New Roman"/>
                <w:bCs/>
                <w:sz w:val="22"/>
                <w:szCs w:val="22"/>
              </w:rPr>
            </w:pPr>
            <w:r>
              <w:rPr>
                <w:sz w:val="22"/>
              </w:rPr>
              <w:t>30.12.2027</w:t>
            </w:r>
          </w:p>
        </w:tc>
      </w:tr>
      <w:tr w:rsidR="00E87849" w:rsidRPr="00222FD2" w14:paraId="3E8E0CF8" w14:textId="77777777" w:rsidTr="00E87849">
        <w:trPr>
          <w:trHeight w:val="586"/>
        </w:trPr>
        <w:tc>
          <w:tcPr>
            <w:tcW w:w="753" w:type="dxa"/>
            <w:shd w:val="clear" w:color="auto" w:fill="auto"/>
          </w:tcPr>
          <w:p w14:paraId="0CEAC4B9" w14:textId="5785D954" w:rsidR="00021DC9" w:rsidRPr="00222FD2" w:rsidRDefault="003B73AB" w:rsidP="00222FD2">
            <w:pPr>
              <w:ind w:right="-21"/>
              <w:rPr>
                <w:rFonts w:cs="Times New Roman"/>
                <w:bCs/>
                <w:sz w:val="22"/>
                <w:szCs w:val="22"/>
              </w:rPr>
            </w:pPr>
            <w:r>
              <w:rPr>
                <w:sz w:val="22"/>
              </w:rPr>
              <w:t>1.2.6.</w:t>
            </w:r>
          </w:p>
        </w:tc>
        <w:tc>
          <w:tcPr>
            <w:tcW w:w="3642" w:type="dxa"/>
            <w:shd w:val="clear" w:color="auto" w:fill="auto"/>
          </w:tcPr>
          <w:p w14:paraId="2589B5BE" w14:textId="4EFDBE91" w:rsidR="00021DC9" w:rsidRPr="00222FD2" w:rsidRDefault="008875D9" w:rsidP="00222FD2">
            <w:pPr>
              <w:jc w:val="both"/>
              <w:rPr>
                <w:rFonts w:cs="Times New Roman"/>
                <w:color w:val="000000" w:themeColor="text1"/>
                <w:sz w:val="22"/>
                <w:szCs w:val="22"/>
              </w:rPr>
            </w:pPr>
            <w:r>
              <w:rPr>
                <w:color w:val="000000" w:themeColor="text1"/>
                <w:sz w:val="22"/>
              </w:rPr>
              <w:t>Encouraging of sectoral associations to stimulate their members to conclude collective agreements.</w:t>
            </w:r>
          </w:p>
        </w:tc>
        <w:tc>
          <w:tcPr>
            <w:tcW w:w="4111" w:type="dxa"/>
            <w:shd w:val="clear" w:color="auto" w:fill="auto"/>
          </w:tcPr>
          <w:p w14:paraId="2F0DFDE7" w14:textId="07407AEE" w:rsidR="00021DC9" w:rsidRPr="00222FD2" w:rsidRDefault="00183767" w:rsidP="00222FD2">
            <w:pPr>
              <w:jc w:val="both"/>
              <w:rPr>
                <w:rFonts w:cs="Times New Roman"/>
                <w:color w:val="000000" w:themeColor="text1"/>
                <w:sz w:val="22"/>
                <w:szCs w:val="22"/>
              </w:rPr>
            </w:pPr>
            <w:r>
              <w:rPr>
                <w:color w:val="000000" w:themeColor="text1"/>
                <w:sz w:val="22"/>
              </w:rPr>
              <w:t xml:space="preserve">Promoting collective agreement initiatives. </w:t>
            </w:r>
          </w:p>
        </w:tc>
        <w:tc>
          <w:tcPr>
            <w:tcW w:w="2552" w:type="dxa"/>
            <w:shd w:val="clear" w:color="auto" w:fill="auto"/>
          </w:tcPr>
          <w:p w14:paraId="46D240E0" w14:textId="73D83A3A" w:rsidR="00D73DF1" w:rsidRPr="00222FD2" w:rsidRDefault="00BA435C" w:rsidP="00222FD2">
            <w:pPr>
              <w:jc w:val="both"/>
              <w:rPr>
                <w:rFonts w:cs="Times New Roman"/>
                <w:bCs/>
                <w:sz w:val="22"/>
                <w:szCs w:val="22"/>
              </w:rPr>
            </w:pPr>
            <w:r>
              <w:rPr>
                <w:sz w:val="22"/>
              </w:rPr>
              <w:t>Improved competitiveness of businesses, working conditions and social guarantees for employees, while reducing the involvement of subjects in the shadow economy.</w:t>
            </w:r>
          </w:p>
        </w:tc>
        <w:tc>
          <w:tcPr>
            <w:tcW w:w="1417" w:type="dxa"/>
            <w:shd w:val="clear" w:color="auto" w:fill="auto"/>
          </w:tcPr>
          <w:p w14:paraId="38881772" w14:textId="2D76E9DC" w:rsidR="00021DC9" w:rsidRPr="00222FD2" w:rsidRDefault="00110BA2" w:rsidP="00222FD2">
            <w:pPr>
              <w:jc w:val="center"/>
              <w:rPr>
                <w:rFonts w:cs="Times New Roman"/>
                <w:bCs/>
                <w:color w:val="000000" w:themeColor="text1"/>
                <w:sz w:val="22"/>
                <w:szCs w:val="22"/>
              </w:rPr>
            </w:pPr>
            <w:r>
              <w:rPr>
                <w:color w:val="000000" w:themeColor="text1"/>
                <w:sz w:val="22"/>
              </w:rPr>
              <w:t>MoW responsible for the sector</w:t>
            </w:r>
          </w:p>
          <w:p w14:paraId="0B0FAB2E" w14:textId="7B219CEE" w:rsidR="00183767" w:rsidRPr="00222FD2" w:rsidRDefault="00183767" w:rsidP="00222FD2">
            <w:pPr>
              <w:jc w:val="center"/>
              <w:rPr>
                <w:rFonts w:cs="Times New Roman"/>
                <w:bCs/>
                <w:color w:val="000000" w:themeColor="text1"/>
                <w:sz w:val="22"/>
                <w:szCs w:val="22"/>
              </w:rPr>
            </w:pPr>
            <w:r>
              <w:rPr>
                <w:color w:val="000000" w:themeColor="text1"/>
                <w:sz w:val="22"/>
              </w:rPr>
              <w:t>(practical action: LBAS, sectoral associations)</w:t>
            </w:r>
          </w:p>
        </w:tc>
        <w:tc>
          <w:tcPr>
            <w:tcW w:w="1418" w:type="dxa"/>
            <w:shd w:val="clear" w:color="auto" w:fill="auto"/>
          </w:tcPr>
          <w:p w14:paraId="7326BEC0" w14:textId="4A6308C0" w:rsidR="00021DC9" w:rsidRPr="00222FD2" w:rsidDel="00647E15" w:rsidRDefault="00183767" w:rsidP="00222FD2">
            <w:pPr>
              <w:jc w:val="center"/>
              <w:rPr>
                <w:rFonts w:cs="Times New Roman"/>
                <w:bCs/>
                <w:color w:val="000000" w:themeColor="text1"/>
                <w:sz w:val="22"/>
                <w:szCs w:val="22"/>
              </w:rPr>
            </w:pPr>
            <w:r>
              <w:rPr>
                <w:color w:val="000000" w:themeColor="text1"/>
                <w:sz w:val="22"/>
              </w:rPr>
              <w:t>-</w:t>
            </w:r>
          </w:p>
        </w:tc>
        <w:tc>
          <w:tcPr>
            <w:tcW w:w="1417" w:type="dxa"/>
            <w:shd w:val="clear" w:color="auto" w:fill="auto"/>
          </w:tcPr>
          <w:p w14:paraId="3070D10C" w14:textId="58DFD56C" w:rsidR="00021DC9" w:rsidRPr="00222FD2" w:rsidRDefault="00BA435C" w:rsidP="00222FD2">
            <w:pPr>
              <w:jc w:val="right"/>
              <w:rPr>
                <w:rFonts w:cs="Times New Roman"/>
                <w:bCs/>
                <w:sz w:val="22"/>
                <w:szCs w:val="22"/>
              </w:rPr>
            </w:pPr>
            <w:r>
              <w:rPr>
                <w:sz w:val="22"/>
              </w:rPr>
              <w:t>30.12.2027</w:t>
            </w:r>
          </w:p>
        </w:tc>
      </w:tr>
      <w:tr w:rsidR="001C42D5" w:rsidRPr="00222FD2" w14:paraId="089BF3D5" w14:textId="77777777" w:rsidTr="00E87849">
        <w:trPr>
          <w:trHeight w:val="882"/>
        </w:trPr>
        <w:tc>
          <w:tcPr>
            <w:tcW w:w="753" w:type="dxa"/>
          </w:tcPr>
          <w:p w14:paraId="5193CB7B" w14:textId="45FCA734" w:rsidR="00CB4D47" w:rsidRPr="00222FD2" w:rsidRDefault="00CB4D47" w:rsidP="00222FD2">
            <w:pPr>
              <w:ind w:right="-21"/>
              <w:rPr>
                <w:rFonts w:cs="Times New Roman"/>
                <w:color w:val="000000" w:themeColor="text1"/>
                <w:sz w:val="22"/>
                <w:szCs w:val="22"/>
              </w:rPr>
            </w:pPr>
            <w:bookmarkStart w:id="29" w:name="_Hlk147242053"/>
            <w:r>
              <w:rPr>
                <w:color w:val="000000" w:themeColor="text1"/>
                <w:sz w:val="22"/>
              </w:rPr>
              <w:t>1.2.7.</w:t>
            </w:r>
          </w:p>
        </w:tc>
        <w:tc>
          <w:tcPr>
            <w:tcW w:w="3642" w:type="dxa"/>
            <w:shd w:val="clear" w:color="auto" w:fill="auto"/>
          </w:tcPr>
          <w:p w14:paraId="2DF1FF95" w14:textId="52CF4BB2" w:rsidR="00CB4D47" w:rsidRPr="00222FD2" w:rsidRDefault="00CB4D47" w:rsidP="00222FD2">
            <w:pPr>
              <w:jc w:val="both"/>
              <w:rPr>
                <w:rFonts w:cs="Times New Roman"/>
                <w:color w:val="000000" w:themeColor="text1"/>
                <w:sz w:val="22"/>
                <w:szCs w:val="22"/>
              </w:rPr>
            </w:pPr>
            <w:r>
              <w:rPr>
                <w:color w:val="000000" w:themeColor="text1"/>
                <w:sz w:val="22"/>
              </w:rPr>
              <w:t>Monitoring of cash flow.</w:t>
            </w:r>
          </w:p>
        </w:tc>
        <w:tc>
          <w:tcPr>
            <w:tcW w:w="4111" w:type="dxa"/>
          </w:tcPr>
          <w:p w14:paraId="37E6BF10" w14:textId="2B07853A" w:rsidR="00686347" w:rsidRPr="00222FD2" w:rsidRDefault="00CB4D47" w:rsidP="00222FD2">
            <w:pPr>
              <w:jc w:val="both"/>
              <w:rPr>
                <w:rFonts w:cs="Times New Roman"/>
                <w:color w:val="000000" w:themeColor="text1"/>
                <w:sz w:val="22"/>
                <w:szCs w:val="22"/>
              </w:rPr>
            </w:pPr>
            <w:r>
              <w:rPr>
                <w:color w:val="000000" w:themeColor="text1"/>
                <w:sz w:val="22"/>
              </w:rPr>
              <w:t xml:space="preserve">Preparation of reports on cash flow analysis (with an emphasis on cash of unknown origin), explaining the reasons for the origin and the dynamics of cash use. </w:t>
            </w:r>
          </w:p>
        </w:tc>
        <w:tc>
          <w:tcPr>
            <w:tcW w:w="2552" w:type="dxa"/>
            <w:shd w:val="clear" w:color="auto" w:fill="auto"/>
          </w:tcPr>
          <w:p w14:paraId="2A3C8AAD" w14:textId="493EA620" w:rsidR="00222FD2" w:rsidRPr="00222FD2" w:rsidRDefault="00CB4D47" w:rsidP="00222FD2">
            <w:pPr>
              <w:jc w:val="both"/>
              <w:rPr>
                <w:rFonts w:cs="Times New Roman"/>
                <w:color w:val="000000" w:themeColor="text1"/>
                <w:sz w:val="22"/>
                <w:szCs w:val="22"/>
              </w:rPr>
            </w:pPr>
            <w:r>
              <w:rPr>
                <w:color w:val="000000" w:themeColor="text1"/>
                <w:sz w:val="22"/>
              </w:rPr>
              <w:t xml:space="preserve">Annually updated reports </w:t>
            </w:r>
            <w:r>
              <w:rPr>
                <w:sz w:val="22"/>
              </w:rPr>
              <w:t>on cash flow analysis, explaining the reasons for the origin and dynamics of cash use</w:t>
            </w:r>
            <w:r>
              <w:rPr>
                <w:color w:val="000000" w:themeColor="text1"/>
                <w:sz w:val="22"/>
              </w:rPr>
              <w:t>.</w:t>
            </w:r>
          </w:p>
        </w:tc>
        <w:tc>
          <w:tcPr>
            <w:tcW w:w="1417" w:type="dxa"/>
          </w:tcPr>
          <w:p w14:paraId="24DFAD88" w14:textId="3A9FD887" w:rsidR="00CB4D47" w:rsidRPr="00222FD2" w:rsidRDefault="00CB4D47" w:rsidP="00222FD2">
            <w:pPr>
              <w:jc w:val="center"/>
              <w:rPr>
                <w:rFonts w:cs="Times New Roman"/>
                <w:color w:val="000000" w:themeColor="text1"/>
                <w:sz w:val="22"/>
                <w:szCs w:val="22"/>
              </w:rPr>
            </w:pPr>
            <w:r>
              <w:rPr>
                <w:color w:val="000000" w:themeColor="text1"/>
                <w:sz w:val="22"/>
              </w:rPr>
              <w:t>FIU,</w:t>
            </w:r>
          </w:p>
          <w:p w14:paraId="370AAF7E" w14:textId="39135958" w:rsidR="00BC6089" w:rsidRPr="00222FD2" w:rsidRDefault="00CC6C74" w:rsidP="00222FD2">
            <w:pPr>
              <w:jc w:val="center"/>
              <w:rPr>
                <w:rFonts w:cs="Times New Roman"/>
                <w:color w:val="000000" w:themeColor="text1"/>
                <w:sz w:val="22"/>
                <w:szCs w:val="22"/>
              </w:rPr>
            </w:pPr>
            <w:r>
              <w:rPr>
                <w:color w:val="000000" w:themeColor="text1"/>
                <w:sz w:val="22"/>
              </w:rPr>
              <w:t>SRS,</w:t>
            </w:r>
          </w:p>
          <w:p w14:paraId="6FA0DBB9" w14:textId="472B83DC" w:rsidR="00CC5A9D" w:rsidRPr="00222FD2" w:rsidRDefault="00BC6089" w:rsidP="00222FD2">
            <w:pPr>
              <w:jc w:val="center"/>
              <w:rPr>
                <w:rFonts w:cs="Times New Roman"/>
                <w:color w:val="000000" w:themeColor="text1"/>
                <w:sz w:val="22"/>
                <w:szCs w:val="22"/>
              </w:rPr>
            </w:pPr>
            <w:r>
              <w:rPr>
                <w:color w:val="000000" w:themeColor="text1"/>
                <w:sz w:val="22"/>
              </w:rPr>
              <w:t xml:space="preserve">(in cooperation with the BoL) </w:t>
            </w:r>
          </w:p>
        </w:tc>
        <w:tc>
          <w:tcPr>
            <w:tcW w:w="1418" w:type="dxa"/>
          </w:tcPr>
          <w:p w14:paraId="7B92CC6A" w14:textId="60E13CE2" w:rsidR="00184551" w:rsidRPr="00222FD2" w:rsidRDefault="00CB4D47" w:rsidP="00222FD2">
            <w:pPr>
              <w:jc w:val="center"/>
              <w:rPr>
                <w:rFonts w:cs="Times New Roman"/>
                <w:color w:val="000000" w:themeColor="text1"/>
                <w:sz w:val="22"/>
                <w:szCs w:val="22"/>
              </w:rPr>
            </w:pPr>
            <w:r>
              <w:rPr>
                <w:color w:val="000000" w:themeColor="text1"/>
                <w:sz w:val="22"/>
              </w:rPr>
              <w:t>MoF</w:t>
            </w:r>
          </w:p>
          <w:p w14:paraId="091A2FFD" w14:textId="708A145F" w:rsidR="00CB4D47" w:rsidRPr="00222FD2" w:rsidRDefault="00CB4D47" w:rsidP="00222FD2">
            <w:pPr>
              <w:jc w:val="center"/>
              <w:rPr>
                <w:rFonts w:cs="Times New Roman"/>
                <w:color w:val="000000" w:themeColor="text1"/>
                <w:sz w:val="22"/>
                <w:szCs w:val="22"/>
              </w:rPr>
            </w:pPr>
          </w:p>
        </w:tc>
        <w:tc>
          <w:tcPr>
            <w:tcW w:w="1417" w:type="dxa"/>
          </w:tcPr>
          <w:p w14:paraId="708E5D79" w14:textId="2451CCAB" w:rsidR="00CB4D47" w:rsidRPr="00222FD2" w:rsidRDefault="00CB4D47" w:rsidP="00222FD2">
            <w:pPr>
              <w:jc w:val="right"/>
              <w:rPr>
                <w:rFonts w:cs="Times New Roman"/>
                <w:color w:val="000000" w:themeColor="text1"/>
                <w:sz w:val="22"/>
                <w:szCs w:val="22"/>
              </w:rPr>
            </w:pPr>
            <w:r>
              <w:rPr>
                <w:color w:val="000000" w:themeColor="text1"/>
                <w:sz w:val="22"/>
              </w:rPr>
              <w:t>30.12.2024</w:t>
            </w:r>
          </w:p>
          <w:p w14:paraId="38D464CB" w14:textId="35B80B18" w:rsidR="00CB4D47" w:rsidRPr="00222FD2" w:rsidRDefault="00CB4D47" w:rsidP="00222FD2">
            <w:pPr>
              <w:jc w:val="right"/>
              <w:rPr>
                <w:rFonts w:cs="Times New Roman"/>
                <w:color w:val="000000" w:themeColor="text1"/>
                <w:sz w:val="22"/>
                <w:szCs w:val="22"/>
              </w:rPr>
            </w:pPr>
            <w:r>
              <w:rPr>
                <w:color w:val="000000" w:themeColor="text1"/>
                <w:sz w:val="22"/>
              </w:rPr>
              <w:t>30.12.2025</w:t>
            </w:r>
          </w:p>
          <w:p w14:paraId="18927D86" w14:textId="32EDDF8C" w:rsidR="00CB4D47" w:rsidRPr="00222FD2" w:rsidRDefault="00CB4D47" w:rsidP="00222FD2">
            <w:pPr>
              <w:jc w:val="right"/>
              <w:rPr>
                <w:rFonts w:cs="Times New Roman"/>
                <w:color w:val="000000" w:themeColor="text1"/>
                <w:sz w:val="22"/>
                <w:szCs w:val="22"/>
              </w:rPr>
            </w:pPr>
            <w:r>
              <w:rPr>
                <w:color w:val="000000" w:themeColor="text1"/>
                <w:sz w:val="22"/>
              </w:rPr>
              <w:t>30.12.2026</w:t>
            </w:r>
          </w:p>
          <w:p w14:paraId="4CAFA00D" w14:textId="51B14435" w:rsidR="00CB4D47" w:rsidRPr="00222FD2" w:rsidRDefault="00CB4D47" w:rsidP="00222FD2">
            <w:pPr>
              <w:jc w:val="right"/>
              <w:rPr>
                <w:rFonts w:cs="Times New Roman"/>
                <w:color w:val="000000" w:themeColor="text1"/>
                <w:sz w:val="22"/>
                <w:szCs w:val="22"/>
              </w:rPr>
            </w:pPr>
            <w:r>
              <w:rPr>
                <w:color w:val="000000" w:themeColor="text1"/>
                <w:sz w:val="22"/>
              </w:rPr>
              <w:t>30.12.2027</w:t>
            </w:r>
          </w:p>
        </w:tc>
      </w:tr>
      <w:tr w:rsidR="001C42D5" w:rsidRPr="00222FD2" w14:paraId="764ECE1B" w14:textId="77777777" w:rsidTr="003C1C7B">
        <w:trPr>
          <w:trHeight w:val="283"/>
        </w:trPr>
        <w:tc>
          <w:tcPr>
            <w:tcW w:w="11058" w:type="dxa"/>
            <w:gridSpan w:val="4"/>
            <w:shd w:val="clear" w:color="auto" w:fill="FFF2CC" w:themeFill="accent4" w:themeFillTint="33"/>
            <w:vAlign w:val="center"/>
          </w:tcPr>
          <w:p w14:paraId="73CC8620" w14:textId="0B1BF0C5" w:rsidR="00D94992" w:rsidRPr="00222FD2" w:rsidRDefault="00D94992" w:rsidP="00222FD2">
            <w:pPr>
              <w:rPr>
                <w:rFonts w:cs="Times New Roman"/>
                <w:color w:val="0070C0"/>
                <w:sz w:val="22"/>
                <w:szCs w:val="22"/>
              </w:rPr>
            </w:pPr>
            <w:r>
              <w:rPr>
                <w:sz w:val="22"/>
              </w:rPr>
              <w:t xml:space="preserve">Course of Action 1. Task 3. </w:t>
            </w:r>
            <w:r>
              <w:rPr>
                <w:b/>
                <w:color w:val="000000" w:themeColor="text1"/>
                <w:sz w:val="22"/>
              </w:rPr>
              <w:t>Conceptual solution for the general principle of declaring personal income is identified.</w:t>
            </w:r>
          </w:p>
        </w:tc>
        <w:tc>
          <w:tcPr>
            <w:tcW w:w="4252" w:type="dxa"/>
            <w:gridSpan w:val="3"/>
            <w:shd w:val="clear" w:color="auto" w:fill="FFF2CC" w:themeFill="accent4" w:themeFillTint="33"/>
            <w:vAlign w:val="center"/>
          </w:tcPr>
          <w:p w14:paraId="084265FA" w14:textId="77777777" w:rsidR="00D94992" w:rsidRPr="00222FD2" w:rsidRDefault="00D94992" w:rsidP="00222FD2">
            <w:pPr>
              <w:rPr>
                <w:rFonts w:cs="Times New Roman"/>
                <w:color w:val="0070C0"/>
                <w:sz w:val="22"/>
                <w:szCs w:val="22"/>
              </w:rPr>
            </w:pPr>
            <w:r>
              <w:rPr>
                <w:sz w:val="22"/>
              </w:rPr>
              <w:t>Fiscal benefit: EUR 7 million</w:t>
            </w:r>
          </w:p>
        </w:tc>
      </w:tr>
      <w:tr w:rsidR="00E87849" w:rsidRPr="00222FD2" w14:paraId="37AE1A73" w14:textId="77777777" w:rsidTr="00E87849">
        <w:trPr>
          <w:trHeight w:val="510"/>
        </w:trPr>
        <w:tc>
          <w:tcPr>
            <w:tcW w:w="753" w:type="dxa"/>
            <w:shd w:val="clear" w:color="auto" w:fill="auto"/>
          </w:tcPr>
          <w:p w14:paraId="4845DB0B" w14:textId="2EE83234" w:rsidR="00D94992" w:rsidRPr="00222FD2" w:rsidRDefault="00D94992" w:rsidP="00222FD2">
            <w:pPr>
              <w:ind w:right="-21"/>
              <w:rPr>
                <w:rFonts w:cs="Times New Roman"/>
                <w:bCs/>
                <w:sz w:val="22"/>
                <w:szCs w:val="22"/>
              </w:rPr>
            </w:pPr>
            <w:bookmarkStart w:id="30" w:name="_Hlk153987831"/>
            <w:r>
              <w:rPr>
                <w:sz w:val="22"/>
              </w:rPr>
              <w:t>1.3.1.</w:t>
            </w:r>
          </w:p>
        </w:tc>
        <w:tc>
          <w:tcPr>
            <w:tcW w:w="3642" w:type="dxa"/>
            <w:shd w:val="clear" w:color="auto" w:fill="auto"/>
          </w:tcPr>
          <w:p w14:paraId="793814A8" w14:textId="77777777" w:rsidR="00C91ACB" w:rsidRPr="00222FD2" w:rsidRDefault="00C91ACB" w:rsidP="00222FD2">
            <w:pPr>
              <w:jc w:val="both"/>
              <w:rPr>
                <w:rFonts w:cs="Times New Roman"/>
                <w:sz w:val="22"/>
                <w:szCs w:val="22"/>
              </w:rPr>
            </w:pPr>
            <w:bookmarkStart w:id="31" w:name="_Hlk149908212"/>
            <w:r>
              <w:rPr>
                <w:sz w:val="22"/>
              </w:rPr>
              <w:t>Assessment of whether the existing personal income declaration procedures needs to be supplemented in order to reduce the shadow economy, promote a tax-paying culture, and at the same time not increase the administrative and bureaucratic burdens.</w:t>
            </w:r>
          </w:p>
          <w:p w14:paraId="3AF10AF1" w14:textId="5A4AFE63" w:rsidR="00D94992" w:rsidRPr="00222FD2" w:rsidRDefault="00C91ACB" w:rsidP="00222FD2">
            <w:pPr>
              <w:jc w:val="both"/>
              <w:rPr>
                <w:rFonts w:cs="Times New Roman"/>
                <w:sz w:val="22"/>
                <w:szCs w:val="22"/>
              </w:rPr>
            </w:pPr>
            <w:r>
              <w:rPr>
                <w:sz w:val="22"/>
              </w:rPr>
              <w:t>This includes identification of a conceptual solution for the phasing-in of the general principle of declaring personal income, identifying the necessary exceptions.</w:t>
            </w:r>
            <w:bookmarkEnd w:id="31"/>
          </w:p>
        </w:tc>
        <w:tc>
          <w:tcPr>
            <w:tcW w:w="4111" w:type="dxa"/>
            <w:shd w:val="clear" w:color="auto" w:fill="auto"/>
          </w:tcPr>
          <w:p w14:paraId="2C87651C" w14:textId="0F1CD2E7" w:rsidR="00222FD2" w:rsidRDefault="00564955" w:rsidP="00222FD2">
            <w:pPr>
              <w:widowControl w:val="0"/>
              <w:rPr>
                <w:rFonts w:cs="Times New Roman"/>
                <w:bCs/>
                <w:color w:val="000000" w:themeColor="text1"/>
                <w:sz w:val="22"/>
                <w:szCs w:val="22"/>
              </w:rPr>
            </w:pPr>
            <w:r>
              <w:rPr>
                <w:color w:val="000000" w:themeColor="text1"/>
                <w:sz w:val="22"/>
              </w:rPr>
              <w:t xml:space="preserve">Assessment of the existing declaration solution to ensure that filing personal income tax returns is simple and convenient, including assessment of whether additions to the system are needed to reduce the shadow economy, improve tax morale, while avoiding additional administrative and bureaucratic burdens. </w:t>
            </w:r>
          </w:p>
          <w:p w14:paraId="069412C6" w14:textId="0377F890" w:rsidR="00564955" w:rsidRPr="00222FD2" w:rsidRDefault="00BE745C" w:rsidP="00222FD2">
            <w:pPr>
              <w:widowControl w:val="0"/>
              <w:rPr>
                <w:rFonts w:cs="Times New Roman"/>
                <w:bCs/>
                <w:color w:val="000000" w:themeColor="text1"/>
                <w:sz w:val="22"/>
                <w:szCs w:val="22"/>
              </w:rPr>
            </w:pPr>
            <w:r>
              <w:rPr>
                <w:color w:val="000000" w:themeColor="text1"/>
                <w:sz w:val="22"/>
              </w:rPr>
              <w:t xml:space="preserve">This includes: </w:t>
            </w:r>
          </w:p>
          <w:p w14:paraId="6EF48B78" w14:textId="77777777" w:rsidR="00BE745C" w:rsidRPr="00222FD2" w:rsidRDefault="00BE745C" w:rsidP="00222FD2">
            <w:pPr>
              <w:tabs>
                <w:tab w:val="left" w:pos="219"/>
              </w:tabs>
              <w:rPr>
                <w:rFonts w:cs="Times New Roman"/>
                <w:sz w:val="22"/>
                <w:szCs w:val="22"/>
              </w:rPr>
            </w:pPr>
            <w:r>
              <w:rPr>
                <w:color w:val="000000" w:themeColor="text1"/>
                <w:sz w:val="22"/>
              </w:rPr>
              <w:t>1. Discussions with the public on the concept of declaring personal income.</w:t>
            </w:r>
          </w:p>
          <w:p w14:paraId="36975FBF" w14:textId="6B2345F1" w:rsidR="00BE745C" w:rsidRPr="00222FD2" w:rsidRDefault="00BE745C" w:rsidP="00222FD2">
            <w:pPr>
              <w:tabs>
                <w:tab w:val="left" w:pos="219"/>
              </w:tabs>
              <w:rPr>
                <w:rFonts w:cs="Times New Roman"/>
                <w:sz w:val="22"/>
                <w:szCs w:val="22"/>
              </w:rPr>
            </w:pPr>
            <w:r>
              <w:rPr>
                <w:sz w:val="22"/>
              </w:rPr>
              <w:t>2.</w:t>
            </w:r>
            <w:r>
              <w:rPr>
                <w:sz w:val="22"/>
              </w:rPr>
              <w:tab/>
              <w:t>Identification of the data available to the SRS and the potential for the use thereof.</w:t>
            </w:r>
          </w:p>
          <w:p w14:paraId="675B6B3C" w14:textId="31B546D2" w:rsidR="00C33AFD" w:rsidRPr="00222FD2" w:rsidRDefault="00BE745C" w:rsidP="00222FD2">
            <w:pPr>
              <w:jc w:val="both"/>
              <w:rPr>
                <w:rFonts w:cs="Times New Roman"/>
                <w:sz w:val="22"/>
                <w:szCs w:val="22"/>
                <w:highlight w:val="yellow"/>
              </w:rPr>
            </w:pPr>
            <w:r>
              <w:rPr>
                <w:sz w:val="22"/>
              </w:rPr>
              <w:t>3. Identification of data missing for quality analytics.</w:t>
            </w:r>
          </w:p>
        </w:tc>
        <w:tc>
          <w:tcPr>
            <w:tcW w:w="2552" w:type="dxa"/>
            <w:shd w:val="clear" w:color="auto" w:fill="auto"/>
          </w:tcPr>
          <w:p w14:paraId="6C72CF07" w14:textId="77777777" w:rsidR="00A26E9C" w:rsidRPr="00222FD2" w:rsidRDefault="00A26E9C" w:rsidP="00B02E2A">
            <w:pPr>
              <w:jc w:val="both"/>
              <w:rPr>
                <w:rFonts w:cs="Times New Roman"/>
                <w:sz w:val="22"/>
                <w:szCs w:val="22"/>
              </w:rPr>
            </w:pPr>
            <w:r>
              <w:rPr>
                <w:sz w:val="22"/>
              </w:rPr>
              <w:t>The basic principles of equality, certainty, convenience, efficiency are complied with.</w:t>
            </w:r>
          </w:p>
          <w:p w14:paraId="0B7D382E" w14:textId="77777777" w:rsidR="00A26E9C" w:rsidRPr="00222FD2" w:rsidRDefault="00A26E9C" w:rsidP="00B02E2A">
            <w:pPr>
              <w:jc w:val="both"/>
              <w:rPr>
                <w:rFonts w:cs="Times New Roman"/>
                <w:sz w:val="22"/>
                <w:szCs w:val="22"/>
              </w:rPr>
            </w:pPr>
            <w:r>
              <w:rPr>
                <w:sz w:val="22"/>
              </w:rPr>
              <w:t>Administrative burden reduced and efficiency of tax administration supervision improved.</w:t>
            </w:r>
          </w:p>
          <w:p w14:paraId="2C1A41FD" w14:textId="1CCCBDBE" w:rsidR="00D94992" w:rsidRPr="00222FD2" w:rsidRDefault="00A26E9C" w:rsidP="00222FD2">
            <w:pPr>
              <w:jc w:val="both"/>
              <w:rPr>
                <w:rFonts w:cs="Times New Roman"/>
                <w:sz w:val="22"/>
                <w:szCs w:val="22"/>
              </w:rPr>
            </w:pPr>
            <w:r>
              <w:rPr>
                <w:sz w:val="22"/>
              </w:rPr>
              <w:t>Ensuring of communication with the public.</w:t>
            </w:r>
          </w:p>
        </w:tc>
        <w:tc>
          <w:tcPr>
            <w:tcW w:w="1417" w:type="dxa"/>
            <w:shd w:val="clear" w:color="auto" w:fill="auto"/>
          </w:tcPr>
          <w:p w14:paraId="0662531E" w14:textId="77777777" w:rsidR="00D94992" w:rsidRPr="00222FD2" w:rsidRDefault="00D94992" w:rsidP="00222FD2">
            <w:pPr>
              <w:jc w:val="center"/>
              <w:rPr>
                <w:rFonts w:cs="Times New Roman"/>
                <w:bCs/>
                <w:sz w:val="22"/>
                <w:szCs w:val="22"/>
              </w:rPr>
            </w:pPr>
            <w:r>
              <w:rPr>
                <w:color w:val="000000" w:themeColor="text1"/>
                <w:sz w:val="22"/>
              </w:rPr>
              <w:t>MoF</w:t>
            </w:r>
          </w:p>
        </w:tc>
        <w:tc>
          <w:tcPr>
            <w:tcW w:w="1418" w:type="dxa"/>
            <w:shd w:val="clear" w:color="auto" w:fill="auto"/>
          </w:tcPr>
          <w:p w14:paraId="051B4EF7" w14:textId="77777777" w:rsidR="00D94992" w:rsidRPr="00222FD2" w:rsidRDefault="00D94992" w:rsidP="00222FD2">
            <w:pPr>
              <w:jc w:val="center"/>
              <w:rPr>
                <w:rFonts w:cs="Times New Roman"/>
                <w:bCs/>
                <w:sz w:val="22"/>
                <w:szCs w:val="22"/>
              </w:rPr>
            </w:pPr>
            <w:r>
              <w:rPr>
                <w:sz w:val="22"/>
              </w:rPr>
              <w:t>SRS</w:t>
            </w:r>
          </w:p>
        </w:tc>
        <w:tc>
          <w:tcPr>
            <w:tcW w:w="1417" w:type="dxa"/>
            <w:shd w:val="clear" w:color="auto" w:fill="auto"/>
          </w:tcPr>
          <w:p w14:paraId="03B0FB87" w14:textId="77777777" w:rsidR="00D94992" w:rsidRPr="00222FD2" w:rsidRDefault="00D94992" w:rsidP="00222FD2">
            <w:pPr>
              <w:jc w:val="right"/>
              <w:rPr>
                <w:rFonts w:cs="Times New Roman"/>
                <w:bCs/>
                <w:sz w:val="22"/>
                <w:szCs w:val="22"/>
              </w:rPr>
            </w:pPr>
            <w:r>
              <w:rPr>
                <w:sz w:val="22"/>
              </w:rPr>
              <w:t>30.12.2025</w:t>
            </w:r>
          </w:p>
        </w:tc>
      </w:tr>
      <w:tr w:rsidR="00E87849" w:rsidRPr="00222FD2" w14:paraId="798B23C7" w14:textId="77777777" w:rsidTr="00E87849">
        <w:trPr>
          <w:trHeight w:val="1424"/>
        </w:trPr>
        <w:tc>
          <w:tcPr>
            <w:tcW w:w="753" w:type="dxa"/>
            <w:shd w:val="clear" w:color="auto" w:fill="auto"/>
          </w:tcPr>
          <w:p w14:paraId="2D396E4B" w14:textId="26A458E0" w:rsidR="00D94992" w:rsidRPr="00222FD2" w:rsidRDefault="00D94992" w:rsidP="00222FD2">
            <w:pPr>
              <w:ind w:right="-21"/>
              <w:rPr>
                <w:rFonts w:cs="Times New Roman"/>
                <w:bCs/>
                <w:color w:val="000000" w:themeColor="text1"/>
                <w:sz w:val="22"/>
                <w:szCs w:val="22"/>
              </w:rPr>
            </w:pPr>
            <w:bookmarkStart w:id="32" w:name="_Hlk154743701"/>
            <w:bookmarkEnd w:id="30"/>
            <w:r>
              <w:rPr>
                <w:color w:val="000000" w:themeColor="text1"/>
                <w:sz w:val="22"/>
              </w:rPr>
              <w:t>1.2.3.</w:t>
            </w:r>
          </w:p>
        </w:tc>
        <w:tc>
          <w:tcPr>
            <w:tcW w:w="3642" w:type="dxa"/>
            <w:shd w:val="clear" w:color="auto" w:fill="auto"/>
          </w:tcPr>
          <w:p w14:paraId="7D09DEE2" w14:textId="6098169F" w:rsidR="00D94992" w:rsidRPr="00222FD2" w:rsidRDefault="00866F02" w:rsidP="00222FD2">
            <w:pPr>
              <w:jc w:val="both"/>
              <w:rPr>
                <w:rFonts w:cs="Times New Roman"/>
                <w:color w:val="000000" w:themeColor="text1"/>
                <w:sz w:val="22"/>
                <w:szCs w:val="22"/>
              </w:rPr>
            </w:pPr>
            <w:bookmarkStart w:id="33" w:name="_Hlk145698301"/>
            <w:bookmarkStart w:id="34" w:name="_Hlk149908232"/>
            <w:r>
              <w:rPr>
                <w:color w:val="000000" w:themeColor="text1"/>
                <w:sz w:val="22"/>
              </w:rPr>
              <w:t>In conjunction with measure 1.3.1, assessment of the need to require the manager of portfolio investments and similar financial instruments to withhold tax at source and report the amount of taxable income to the SRS.</w:t>
            </w:r>
            <w:bookmarkEnd w:id="33"/>
            <w:bookmarkEnd w:id="34"/>
          </w:p>
        </w:tc>
        <w:tc>
          <w:tcPr>
            <w:tcW w:w="4111" w:type="dxa"/>
            <w:shd w:val="clear" w:color="auto" w:fill="auto"/>
          </w:tcPr>
          <w:p w14:paraId="7EB86D26" w14:textId="2AC60DE4" w:rsidR="00D94992" w:rsidRPr="00222FD2" w:rsidRDefault="00D94992" w:rsidP="00222FD2">
            <w:pPr>
              <w:ind w:firstLine="12"/>
              <w:jc w:val="both"/>
              <w:rPr>
                <w:rFonts w:cs="Times New Roman"/>
                <w:color w:val="000000" w:themeColor="text1"/>
                <w:sz w:val="22"/>
                <w:szCs w:val="22"/>
              </w:rPr>
            </w:pPr>
            <w:r>
              <w:rPr>
                <w:sz w:val="22"/>
              </w:rPr>
              <w:t>In order to reduce the possibility of income concealment and to provide the SRS with an overview of the income earned by natural persons subject to PIT and the changes thereof in relation to the transactions conducted by them and income earned during the tax year, the scope of information to be provided to natural persons should be expanded.</w:t>
            </w:r>
          </w:p>
        </w:tc>
        <w:tc>
          <w:tcPr>
            <w:tcW w:w="2552" w:type="dxa"/>
            <w:shd w:val="clear" w:color="auto" w:fill="auto"/>
          </w:tcPr>
          <w:p w14:paraId="2F9BF3B8" w14:textId="44CD5597" w:rsidR="00583167" w:rsidRPr="00222FD2" w:rsidRDefault="00D94992" w:rsidP="00222FD2">
            <w:pPr>
              <w:jc w:val="both"/>
              <w:rPr>
                <w:rFonts w:cs="Times New Roman"/>
                <w:color w:val="000000" w:themeColor="text1"/>
                <w:sz w:val="22"/>
                <w:szCs w:val="22"/>
              </w:rPr>
            </w:pPr>
            <w:r>
              <w:rPr>
                <w:color w:val="000000" w:themeColor="text1"/>
                <w:sz w:val="22"/>
              </w:rPr>
              <w:t>The payer of income withholds PIT at source on the income from the portfolio management service or provides information to the SRS on the income from the portfolio management service.</w:t>
            </w:r>
          </w:p>
        </w:tc>
        <w:tc>
          <w:tcPr>
            <w:tcW w:w="1417" w:type="dxa"/>
            <w:shd w:val="clear" w:color="auto" w:fill="auto"/>
          </w:tcPr>
          <w:p w14:paraId="0CE1A620" w14:textId="1D9903A7" w:rsidR="00D94992" w:rsidRPr="00222FD2" w:rsidRDefault="00D94992" w:rsidP="00222FD2">
            <w:pPr>
              <w:jc w:val="center"/>
              <w:rPr>
                <w:rFonts w:cs="Times New Roman"/>
                <w:color w:val="000000" w:themeColor="text1"/>
                <w:sz w:val="22"/>
                <w:szCs w:val="22"/>
              </w:rPr>
            </w:pPr>
            <w:r>
              <w:rPr>
                <w:color w:val="000000" w:themeColor="text1"/>
                <w:sz w:val="22"/>
              </w:rPr>
              <w:t>MoF</w:t>
            </w:r>
          </w:p>
          <w:p w14:paraId="47AEC9A7" w14:textId="122DDA10" w:rsidR="00D94992" w:rsidRPr="00222FD2" w:rsidRDefault="00D94992" w:rsidP="00222FD2">
            <w:pPr>
              <w:jc w:val="center"/>
              <w:rPr>
                <w:rFonts w:cs="Times New Roman"/>
                <w:color w:val="000000" w:themeColor="text1"/>
                <w:sz w:val="22"/>
                <w:szCs w:val="22"/>
              </w:rPr>
            </w:pPr>
            <w:r>
              <w:rPr>
                <w:color w:val="000000" w:themeColor="text1"/>
                <w:sz w:val="22"/>
              </w:rPr>
              <w:t xml:space="preserve"> </w:t>
            </w:r>
          </w:p>
        </w:tc>
        <w:tc>
          <w:tcPr>
            <w:tcW w:w="1418" w:type="dxa"/>
            <w:shd w:val="clear" w:color="auto" w:fill="auto"/>
          </w:tcPr>
          <w:p w14:paraId="2155A077" w14:textId="77777777" w:rsidR="00D94992" w:rsidRPr="00222FD2" w:rsidRDefault="00CC6C74" w:rsidP="00222FD2">
            <w:pPr>
              <w:jc w:val="center"/>
              <w:rPr>
                <w:rFonts w:cs="Times New Roman"/>
                <w:bCs/>
                <w:color w:val="000000" w:themeColor="text1"/>
                <w:sz w:val="22"/>
                <w:szCs w:val="22"/>
              </w:rPr>
            </w:pPr>
            <w:r>
              <w:rPr>
                <w:color w:val="000000" w:themeColor="text1"/>
                <w:sz w:val="22"/>
              </w:rPr>
              <w:t>SRS</w:t>
            </w:r>
          </w:p>
          <w:p w14:paraId="177AF612" w14:textId="0F13C485" w:rsidR="002160D8" w:rsidRPr="00222FD2" w:rsidRDefault="002160D8" w:rsidP="00222FD2">
            <w:pPr>
              <w:jc w:val="center"/>
              <w:rPr>
                <w:rFonts w:cs="Times New Roman"/>
                <w:bCs/>
                <w:color w:val="FF0000"/>
                <w:sz w:val="22"/>
                <w:szCs w:val="22"/>
              </w:rPr>
            </w:pPr>
          </w:p>
        </w:tc>
        <w:tc>
          <w:tcPr>
            <w:tcW w:w="1417" w:type="dxa"/>
            <w:shd w:val="clear" w:color="auto" w:fill="auto"/>
          </w:tcPr>
          <w:p w14:paraId="633EC151" w14:textId="6CAB7F73" w:rsidR="00D94992" w:rsidRPr="00222FD2" w:rsidRDefault="00D94992" w:rsidP="00222FD2">
            <w:pPr>
              <w:jc w:val="right"/>
              <w:rPr>
                <w:rFonts w:cs="Times New Roman"/>
                <w:bCs/>
                <w:color w:val="000000" w:themeColor="text1"/>
                <w:sz w:val="22"/>
                <w:szCs w:val="22"/>
              </w:rPr>
            </w:pPr>
            <w:r>
              <w:rPr>
                <w:color w:val="000000" w:themeColor="text1"/>
                <w:sz w:val="22"/>
              </w:rPr>
              <w:t>30.12.2025</w:t>
            </w:r>
          </w:p>
        </w:tc>
      </w:tr>
      <w:tr w:rsidR="00E87849" w:rsidRPr="00222FD2" w14:paraId="78F3D226" w14:textId="77777777" w:rsidTr="00E87849">
        <w:trPr>
          <w:trHeight w:val="494"/>
        </w:trPr>
        <w:tc>
          <w:tcPr>
            <w:tcW w:w="753" w:type="dxa"/>
            <w:shd w:val="clear" w:color="auto" w:fill="auto"/>
          </w:tcPr>
          <w:p w14:paraId="7AD5ADD5" w14:textId="1BFB1E78" w:rsidR="00583167" w:rsidRPr="00222FD2" w:rsidRDefault="00583167" w:rsidP="00222FD2">
            <w:pPr>
              <w:ind w:right="-21"/>
              <w:rPr>
                <w:rFonts w:cs="Times New Roman"/>
                <w:bCs/>
                <w:color w:val="000000" w:themeColor="text1"/>
                <w:sz w:val="22"/>
                <w:szCs w:val="22"/>
              </w:rPr>
            </w:pPr>
            <w:bookmarkStart w:id="35" w:name="_Hlk153987487"/>
            <w:bookmarkEnd w:id="32"/>
            <w:r>
              <w:rPr>
                <w:color w:val="000000" w:themeColor="text1"/>
                <w:sz w:val="22"/>
              </w:rPr>
              <w:t>1</w:t>
            </w:r>
            <w:r w:rsidR="009754C9">
              <w:rPr>
                <w:color w:val="000000" w:themeColor="text1"/>
                <w:sz w:val="22"/>
              </w:rPr>
              <w:t>.2.4.</w:t>
            </w:r>
          </w:p>
        </w:tc>
        <w:tc>
          <w:tcPr>
            <w:tcW w:w="3642" w:type="dxa"/>
            <w:shd w:val="clear" w:color="auto" w:fill="auto"/>
          </w:tcPr>
          <w:p w14:paraId="727AC614" w14:textId="7597EE26" w:rsidR="00583167" w:rsidRPr="00222FD2" w:rsidRDefault="00583167" w:rsidP="00222FD2">
            <w:pPr>
              <w:jc w:val="both"/>
              <w:rPr>
                <w:rFonts w:cs="Times New Roman"/>
                <w:color w:val="000000" w:themeColor="text1"/>
                <w:sz w:val="22"/>
                <w:szCs w:val="22"/>
              </w:rPr>
            </w:pPr>
            <w:r>
              <w:rPr>
                <w:color w:val="000000" w:themeColor="text1"/>
                <w:sz w:val="22"/>
              </w:rPr>
              <w:t xml:space="preserve">Assessment of the profile of people of working age with no income and/or with long-term outstanding debts. </w:t>
            </w:r>
          </w:p>
        </w:tc>
        <w:tc>
          <w:tcPr>
            <w:tcW w:w="4111" w:type="dxa"/>
            <w:shd w:val="clear" w:color="auto" w:fill="auto"/>
          </w:tcPr>
          <w:p w14:paraId="6B0DD749" w14:textId="78907AE5" w:rsidR="00E81163" w:rsidRPr="00222FD2" w:rsidRDefault="00E81163" w:rsidP="00222FD2">
            <w:pPr>
              <w:ind w:firstLine="12"/>
              <w:jc w:val="both"/>
              <w:rPr>
                <w:rFonts w:cs="Times New Roman"/>
                <w:sz w:val="22"/>
                <w:szCs w:val="22"/>
              </w:rPr>
            </w:pPr>
            <w:r>
              <w:rPr>
                <w:sz w:val="22"/>
              </w:rPr>
              <w:t xml:space="preserve">Assessment of </w:t>
            </w:r>
            <w:r>
              <w:rPr>
                <w:color w:val="000000" w:themeColor="text1"/>
                <w:sz w:val="22"/>
              </w:rPr>
              <w:t xml:space="preserve">the profile of working-age people with no income and/or with long-term outstanding debts (including non-payers of child maintenance who exceed 40 thousand) </w:t>
            </w:r>
            <w:r>
              <w:rPr>
                <w:sz w:val="22"/>
              </w:rPr>
              <w:t>and a possible solution for returning them to the legal labour market.</w:t>
            </w:r>
          </w:p>
        </w:tc>
        <w:tc>
          <w:tcPr>
            <w:tcW w:w="2552" w:type="dxa"/>
            <w:shd w:val="clear" w:color="auto" w:fill="auto"/>
          </w:tcPr>
          <w:p w14:paraId="28463976" w14:textId="77777777" w:rsidR="00583167" w:rsidRDefault="00952A7F" w:rsidP="00222FD2">
            <w:pPr>
              <w:jc w:val="both"/>
              <w:rPr>
                <w:rFonts w:cs="Times New Roman"/>
                <w:color w:val="000000" w:themeColor="text1"/>
                <w:sz w:val="22"/>
                <w:szCs w:val="22"/>
              </w:rPr>
            </w:pPr>
            <w:r>
              <w:rPr>
                <w:sz w:val="22"/>
              </w:rPr>
              <w:t>A solution is found to bring debtors back into the legal labour market by reducing the number of entities operating in the shadow economy.</w:t>
            </w:r>
          </w:p>
          <w:p w14:paraId="0D090CA0" w14:textId="1E242341" w:rsidR="00B02E2A" w:rsidRPr="00222FD2" w:rsidRDefault="00B02E2A" w:rsidP="00222FD2">
            <w:pPr>
              <w:jc w:val="both"/>
              <w:rPr>
                <w:rFonts w:cs="Times New Roman"/>
                <w:color w:val="000000" w:themeColor="text1"/>
                <w:sz w:val="22"/>
                <w:szCs w:val="22"/>
              </w:rPr>
            </w:pPr>
          </w:p>
        </w:tc>
        <w:tc>
          <w:tcPr>
            <w:tcW w:w="1417" w:type="dxa"/>
            <w:shd w:val="clear" w:color="auto" w:fill="auto"/>
          </w:tcPr>
          <w:p w14:paraId="2ED21401" w14:textId="77777777" w:rsidR="00583167" w:rsidRPr="00222FD2" w:rsidRDefault="00952A7F" w:rsidP="00222FD2">
            <w:pPr>
              <w:jc w:val="center"/>
              <w:rPr>
                <w:rFonts w:cs="Times New Roman"/>
                <w:color w:val="000000" w:themeColor="text1"/>
                <w:sz w:val="22"/>
                <w:szCs w:val="22"/>
              </w:rPr>
            </w:pPr>
            <w:r>
              <w:rPr>
                <w:color w:val="000000" w:themeColor="text1"/>
                <w:sz w:val="22"/>
              </w:rPr>
              <w:t>MoF</w:t>
            </w:r>
          </w:p>
          <w:p w14:paraId="2F360867" w14:textId="132D1E56" w:rsidR="00952A7F" w:rsidRPr="00222FD2" w:rsidRDefault="00952A7F" w:rsidP="00222FD2">
            <w:pPr>
              <w:jc w:val="center"/>
              <w:rPr>
                <w:rFonts w:cs="Times New Roman"/>
                <w:color w:val="000000" w:themeColor="text1"/>
                <w:sz w:val="22"/>
                <w:szCs w:val="22"/>
              </w:rPr>
            </w:pPr>
          </w:p>
        </w:tc>
        <w:tc>
          <w:tcPr>
            <w:tcW w:w="1418" w:type="dxa"/>
            <w:shd w:val="clear" w:color="auto" w:fill="auto"/>
          </w:tcPr>
          <w:p w14:paraId="2EBB710A" w14:textId="77777777" w:rsidR="00583167" w:rsidRPr="00222FD2" w:rsidRDefault="00952A7F" w:rsidP="00222FD2">
            <w:pPr>
              <w:jc w:val="center"/>
              <w:rPr>
                <w:rFonts w:cs="Times New Roman"/>
                <w:bCs/>
                <w:color w:val="000000" w:themeColor="text1"/>
                <w:sz w:val="22"/>
                <w:szCs w:val="22"/>
              </w:rPr>
            </w:pPr>
            <w:r>
              <w:rPr>
                <w:color w:val="000000" w:themeColor="text1"/>
                <w:sz w:val="22"/>
              </w:rPr>
              <w:t>MoJ,</w:t>
            </w:r>
          </w:p>
          <w:p w14:paraId="46ED2CB0" w14:textId="5CA888E6" w:rsidR="00B97326" w:rsidRPr="00222FD2" w:rsidRDefault="00B97326" w:rsidP="00222FD2">
            <w:pPr>
              <w:jc w:val="center"/>
              <w:rPr>
                <w:rFonts w:cs="Times New Roman"/>
                <w:bCs/>
                <w:color w:val="000000" w:themeColor="text1"/>
                <w:sz w:val="22"/>
                <w:szCs w:val="22"/>
              </w:rPr>
            </w:pPr>
            <w:r>
              <w:rPr>
                <w:color w:val="000000" w:themeColor="text1"/>
                <w:sz w:val="22"/>
              </w:rPr>
              <w:t>LDDK</w:t>
            </w:r>
          </w:p>
        </w:tc>
        <w:tc>
          <w:tcPr>
            <w:tcW w:w="1417" w:type="dxa"/>
            <w:shd w:val="clear" w:color="auto" w:fill="auto"/>
          </w:tcPr>
          <w:p w14:paraId="13D82A8A" w14:textId="7B886C56" w:rsidR="00583167" w:rsidRPr="00222FD2" w:rsidRDefault="00952A7F" w:rsidP="00222FD2">
            <w:pPr>
              <w:jc w:val="right"/>
              <w:rPr>
                <w:rFonts w:cs="Times New Roman"/>
                <w:bCs/>
                <w:color w:val="000000" w:themeColor="text1"/>
                <w:sz w:val="22"/>
                <w:szCs w:val="22"/>
              </w:rPr>
            </w:pPr>
            <w:r>
              <w:rPr>
                <w:color w:val="000000" w:themeColor="text1"/>
                <w:sz w:val="22"/>
              </w:rPr>
              <w:t>30.12.2025</w:t>
            </w:r>
          </w:p>
        </w:tc>
      </w:tr>
      <w:bookmarkEnd w:id="29"/>
      <w:bookmarkEnd w:id="35"/>
      <w:tr w:rsidR="001C42D5" w:rsidRPr="00222FD2" w14:paraId="7960FFBE" w14:textId="77777777" w:rsidTr="003C1C7B">
        <w:trPr>
          <w:trHeight w:val="283"/>
        </w:trPr>
        <w:tc>
          <w:tcPr>
            <w:tcW w:w="11058" w:type="dxa"/>
            <w:gridSpan w:val="4"/>
            <w:shd w:val="clear" w:color="auto" w:fill="FFF2CC" w:themeFill="accent4" w:themeFillTint="33"/>
          </w:tcPr>
          <w:p w14:paraId="392E2A86" w14:textId="6012C689" w:rsidR="00CB4D47" w:rsidRPr="00222FD2" w:rsidRDefault="00CB4D47" w:rsidP="00222FD2">
            <w:pPr>
              <w:rPr>
                <w:rFonts w:cs="Times New Roman"/>
                <w:bCs/>
                <w:sz w:val="22"/>
                <w:szCs w:val="22"/>
              </w:rPr>
            </w:pPr>
            <w:r>
              <w:rPr>
                <w:sz w:val="22"/>
              </w:rPr>
              <w:t>Course of Action 1. Task 4.</w:t>
            </w:r>
            <w:r>
              <w:rPr>
                <w:b/>
                <w:sz w:val="22"/>
              </w:rPr>
              <w:t xml:space="preserve"> Promoting the use of non-cash transactions.</w:t>
            </w:r>
          </w:p>
        </w:tc>
        <w:tc>
          <w:tcPr>
            <w:tcW w:w="4252" w:type="dxa"/>
            <w:gridSpan w:val="3"/>
            <w:shd w:val="clear" w:color="auto" w:fill="FFF2CC" w:themeFill="accent4" w:themeFillTint="33"/>
          </w:tcPr>
          <w:p w14:paraId="79C44391" w14:textId="6BB55461" w:rsidR="00CB4D47" w:rsidRPr="00222FD2" w:rsidRDefault="00CB4D47" w:rsidP="00222FD2">
            <w:pPr>
              <w:rPr>
                <w:rFonts w:cs="Times New Roman"/>
                <w:bCs/>
                <w:sz w:val="22"/>
                <w:szCs w:val="22"/>
              </w:rPr>
            </w:pPr>
            <w:r>
              <w:rPr>
                <w:sz w:val="22"/>
              </w:rPr>
              <w:t>Fiscal benefit: EUR 15 million</w:t>
            </w:r>
          </w:p>
        </w:tc>
      </w:tr>
      <w:tr w:rsidR="001C42D5" w:rsidRPr="00222FD2" w14:paraId="5931EF36" w14:textId="77777777" w:rsidTr="00E87849">
        <w:trPr>
          <w:trHeight w:val="494"/>
        </w:trPr>
        <w:tc>
          <w:tcPr>
            <w:tcW w:w="753" w:type="dxa"/>
          </w:tcPr>
          <w:p w14:paraId="194015C9" w14:textId="77777777" w:rsidR="00CB4D47" w:rsidRPr="00222FD2" w:rsidRDefault="00CB4D47" w:rsidP="00222FD2">
            <w:pPr>
              <w:ind w:right="-21"/>
              <w:rPr>
                <w:rFonts w:cs="Times New Roman"/>
                <w:bCs/>
                <w:sz w:val="22"/>
                <w:szCs w:val="22"/>
              </w:rPr>
            </w:pPr>
            <w:bookmarkStart w:id="36" w:name="_Hlk155694961"/>
            <w:r>
              <w:rPr>
                <w:sz w:val="22"/>
              </w:rPr>
              <w:t>1.4.1.</w:t>
            </w:r>
          </w:p>
        </w:tc>
        <w:tc>
          <w:tcPr>
            <w:tcW w:w="3642" w:type="dxa"/>
            <w:shd w:val="clear" w:color="auto" w:fill="auto"/>
          </w:tcPr>
          <w:p w14:paraId="4A9079F0" w14:textId="77777777" w:rsidR="00CB4D47" w:rsidRPr="002B0F9D" w:rsidRDefault="00CB4D47" w:rsidP="00222FD2">
            <w:pPr>
              <w:jc w:val="both"/>
              <w:rPr>
                <w:rFonts w:cs="Times New Roman"/>
                <w:sz w:val="22"/>
                <w:szCs w:val="22"/>
              </w:rPr>
            </w:pPr>
            <w:r>
              <w:rPr>
                <w:sz w:val="22"/>
              </w:rPr>
              <w:t>Implementation of the electronic circulation system for supporting documents (e-invoices).</w:t>
            </w:r>
          </w:p>
        </w:tc>
        <w:tc>
          <w:tcPr>
            <w:tcW w:w="4111" w:type="dxa"/>
          </w:tcPr>
          <w:p w14:paraId="23A2D5B0" w14:textId="77777777" w:rsidR="00CB4D47" w:rsidRPr="002B0F9D" w:rsidRDefault="00CB4D47" w:rsidP="00222FD2">
            <w:pPr>
              <w:jc w:val="both"/>
              <w:rPr>
                <w:rFonts w:cs="Times New Roman"/>
                <w:sz w:val="22"/>
                <w:szCs w:val="22"/>
              </w:rPr>
            </w:pPr>
            <w:r>
              <w:rPr>
                <w:sz w:val="22"/>
              </w:rPr>
              <w:t>Introduction of a mandatory requirement for merchants operating in the B2B segment to use e-invoices in structured electronic form and provision of a technical solution for the circulation of e-invoices.</w:t>
            </w:r>
          </w:p>
        </w:tc>
        <w:tc>
          <w:tcPr>
            <w:tcW w:w="2552" w:type="dxa"/>
          </w:tcPr>
          <w:p w14:paraId="38EC9130" w14:textId="3962C4C0" w:rsidR="00CB4D47" w:rsidRPr="00222FD2" w:rsidRDefault="006B14E6" w:rsidP="00222FD2">
            <w:pPr>
              <w:jc w:val="both"/>
              <w:rPr>
                <w:rFonts w:cs="Times New Roman"/>
                <w:sz w:val="22"/>
                <w:szCs w:val="22"/>
              </w:rPr>
            </w:pPr>
            <w:r>
              <w:rPr>
                <w:sz w:val="22"/>
              </w:rPr>
              <w:t>Ensuring of the use of e-invoices in structured electronic form. Better tracking of VAT payment obligations through the introduction of real-time reporting.</w:t>
            </w:r>
          </w:p>
        </w:tc>
        <w:tc>
          <w:tcPr>
            <w:tcW w:w="1417" w:type="dxa"/>
          </w:tcPr>
          <w:p w14:paraId="668AA684" w14:textId="77777777" w:rsidR="00CB4D47" w:rsidRPr="00222FD2" w:rsidRDefault="00CB4D47" w:rsidP="00222FD2">
            <w:pPr>
              <w:jc w:val="center"/>
              <w:rPr>
                <w:rFonts w:cs="Times New Roman"/>
                <w:bCs/>
                <w:sz w:val="22"/>
                <w:szCs w:val="22"/>
              </w:rPr>
            </w:pPr>
            <w:r>
              <w:rPr>
                <w:sz w:val="22"/>
              </w:rPr>
              <w:t>1. SRS</w:t>
            </w:r>
          </w:p>
          <w:p w14:paraId="70230C1D" w14:textId="77777777" w:rsidR="00CB4D47" w:rsidRPr="00222FD2" w:rsidRDefault="00CB4D47" w:rsidP="00222FD2">
            <w:pPr>
              <w:jc w:val="center"/>
              <w:rPr>
                <w:rFonts w:cs="Times New Roman"/>
                <w:bCs/>
                <w:sz w:val="22"/>
                <w:szCs w:val="22"/>
              </w:rPr>
            </w:pPr>
            <w:r>
              <w:rPr>
                <w:sz w:val="22"/>
              </w:rPr>
              <w:t>2. MoEPRD</w:t>
            </w:r>
          </w:p>
        </w:tc>
        <w:tc>
          <w:tcPr>
            <w:tcW w:w="1418" w:type="dxa"/>
          </w:tcPr>
          <w:p w14:paraId="0B949F89" w14:textId="080FE1CB" w:rsidR="00CB4D47" w:rsidRPr="00222FD2" w:rsidRDefault="00CB4D47" w:rsidP="00222FD2">
            <w:pPr>
              <w:jc w:val="center"/>
              <w:rPr>
                <w:rFonts w:cs="Times New Roman"/>
                <w:bCs/>
                <w:sz w:val="22"/>
                <w:szCs w:val="22"/>
              </w:rPr>
            </w:pPr>
            <w:r>
              <w:rPr>
                <w:sz w:val="22"/>
              </w:rPr>
              <w:t>MoF</w:t>
            </w:r>
          </w:p>
        </w:tc>
        <w:tc>
          <w:tcPr>
            <w:tcW w:w="1417" w:type="dxa"/>
          </w:tcPr>
          <w:p w14:paraId="5FB90CEE" w14:textId="1B059158" w:rsidR="00CB4D47" w:rsidRPr="00222FD2" w:rsidRDefault="00CB4D47" w:rsidP="00222FD2">
            <w:pPr>
              <w:jc w:val="right"/>
              <w:rPr>
                <w:rFonts w:cs="Times New Roman"/>
                <w:bCs/>
                <w:sz w:val="22"/>
                <w:szCs w:val="22"/>
              </w:rPr>
            </w:pPr>
            <w:r>
              <w:rPr>
                <w:sz w:val="22"/>
              </w:rPr>
              <w:t>30.12.2025</w:t>
            </w:r>
          </w:p>
        </w:tc>
      </w:tr>
      <w:bookmarkEnd w:id="36"/>
      <w:tr w:rsidR="001C42D5" w:rsidRPr="00222FD2" w14:paraId="59A56EB1" w14:textId="77777777" w:rsidTr="00E87849">
        <w:trPr>
          <w:trHeight w:val="508"/>
        </w:trPr>
        <w:tc>
          <w:tcPr>
            <w:tcW w:w="753" w:type="dxa"/>
          </w:tcPr>
          <w:p w14:paraId="6BB2C1E8" w14:textId="773B5DF9" w:rsidR="00CB4D47" w:rsidRPr="00222FD2" w:rsidRDefault="00CB4D47" w:rsidP="00222FD2">
            <w:pPr>
              <w:ind w:right="-21"/>
              <w:rPr>
                <w:rFonts w:cs="Times New Roman"/>
                <w:bCs/>
                <w:sz w:val="22"/>
                <w:szCs w:val="22"/>
              </w:rPr>
            </w:pPr>
            <w:r>
              <w:rPr>
                <w:sz w:val="22"/>
              </w:rPr>
              <w:t>1.</w:t>
            </w:r>
            <w:r w:rsidR="00BB3B09">
              <w:rPr>
                <w:sz w:val="22"/>
              </w:rPr>
              <w:t>4.2.</w:t>
            </w:r>
          </w:p>
        </w:tc>
        <w:tc>
          <w:tcPr>
            <w:tcW w:w="3642" w:type="dxa"/>
            <w:shd w:val="clear" w:color="auto" w:fill="auto"/>
          </w:tcPr>
          <w:p w14:paraId="43C5D293" w14:textId="1AE2E753" w:rsidR="00CB4D47" w:rsidRPr="002B0F9D" w:rsidRDefault="00CB4D47" w:rsidP="00222FD2">
            <w:pPr>
              <w:jc w:val="both"/>
              <w:rPr>
                <w:rFonts w:cs="Times New Roman"/>
                <w:sz w:val="22"/>
                <w:szCs w:val="22"/>
              </w:rPr>
            </w:pPr>
            <w:bookmarkStart w:id="37" w:name="_Hlk149908632"/>
            <w:r>
              <w:rPr>
                <w:sz w:val="22"/>
              </w:rPr>
              <w:t>Obligation for businesses with an annual turnover exceeding EUR 50 000 to allow customers to pay also using non-cash payments</w:t>
            </w:r>
            <w:bookmarkEnd w:id="37"/>
            <w:r>
              <w:rPr>
                <w:sz w:val="22"/>
              </w:rPr>
              <w:t>.</w:t>
            </w:r>
          </w:p>
        </w:tc>
        <w:tc>
          <w:tcPr>
            <w:tcW w:w="4111" w:type="dxa"/>
          </w:tcPr>
          <w:p w14:paraId="51ECE651" w14:textId="465F5A50" w:rsidR="00CB4D47" w:rsidRPr="002B0F9D" w:rsidRDefault="00CB4D47" w:rsidP="00222FD2">
            <w:pPr>
              <w:jc w:val="both"/>
              <w:rPr>
                <w:rFonts w:cs="Times New Roman"/>
                <w:sz w:val="22"/>
                <w:szCs w:val="22"/>
              </w:rPr>
            </w:pPr>
            <w:r>
              <w:rPr>
                <w:color w:val="000000" w:themeColor="text1"/>
                <w:sz w:val="22"/>
              </w:rPr>
              <w:t>Reduced cash transactions in trade that will contribute to more transparent tax administration in this sector.</w:t>
            </w:r>
          </w:p>
          <w:p w14:paraId="547E9D8B" w14:textId="77777777" w:rsidR="00177A3D" w:rsidRPr="002B0F9D" w:rsidRDefault="001C1168" w:rsidP="00222FD2">
            <w:pPr>
              <w:jc w:val="both"/>
              <w:rPr>
                <w:rFonts w:cs="Times New Roman"/>
                <w:sz w:val="22"/>
                <w:szCs w:val="22"/>
              </w:rPr>
            </w:pPr>
            <w:r>
              <w:rPr>
                <w:rStyle w:val="cf01"/>
                <w:rFonts w:ascii="Times New Roman" w:hAnsi="Times New Roman"/>
                <w:sz w:val="22"/>
              </w:rPr>
              <w:t>According to the preliminary assessment of the SRS, 779 taxpayers could be affected, whereof 177 taxpayers are active in the trade sector (NACE 46 and NACE 47).</w:t>
            </w:r>
          </w:p>
          <w:p w14:paraId="172C1D75" w14:textId="4D5028F1" w:rsidR="00144313" w:rsidRPr="002B0F9D" w:rsidRDefault="00144313" w:rsidP="00222FD2">
            <w:pPr>
              <w:jc w:val="both"/>
              <w:rPr>
                <w:rFonts w:cs="Times New Roman"/>
                <w:sz w:val="22"/>
                <w:szCs w:val="22"/>
              </w:rPr>
            </w:pPr>
          </w:p>
        </w:tc>
        <w:tc>
          <w:tcPr>
            <w:tcW w:w="2552" w:type="dxa"/>
          </w:tcPr>
          <w:p w14:paraId="1272D2FF" w14:textId="79662A4C" w:rsidR="00CB4D47" w:rsidRPr="00222FD2" w:rsidRDefault="00CB4D47" w:rsidP="00222FD2">
            <w:pPr>
              <w:jc w:val="both"/>
              <w:rPr>
                <w:rFonts w:cs="Times New Roman"/>
                <w:sz w:val="22"/>
                <w:szCs w:val="22"/>
              </w:rPr>
            </w:pPr>
            <w:r>
              <w:rPr>
                <w:sz w:val="22"/>
              </w:rPr>
              <w:t xml:space="preserve">Reduced number of cash transactions in trade. </w:t>
            </w:r>
          </w:p>
        </w:tc>
        <w:tc>
          <w:tcPr>
            <w:tcW w:w="1417" w:type="dxa"/>
          </w:tcPr>
          <w:p w14:paraId="5A152AAC" w14:textId="77777777" w:rsidR="00CB4D47" w:rsidRPr="00222FD2" w:rsidRDefault="00CB4D47" w:rsidP="00222FD2">
            <w:pPr>
              <w:jc w:val="center"/>
              <w:rPr>
                <w:rFonts w:cs="Times New Roman"/>
                <w:bCs/>
                <w:sz w:val="22"/>
                <w:szCs w:val="22"/>
              </w:rPr>
            </w:pPr>
            <w:r>
              <w:rPr>
                <w:sz w:val="22"/>
              </w:rPr>
              <w:t>MoF</w:t>
            </w:r>
          </w:p>
        </w:tc>
        <w:tc>
          <w:tcPr>
            <w:tcW w:w="1418" w:type="dxa"/>
          </w:tcPr>
          <w:p w14:paraId="7912DE80" w14:textId="77777777" w:rsidR="00CB4D47" w:rsidRPr="00222FD2" w:rsidRDefault="00CB4D47" w:rsidP="00222FD2">
            <w:pPr>
              <w:jc w:val="center"/>
              <w:rPr>
                <w:rFonts w:cs="Times New Roman"/>
                <w:bCs/>
                <w:sz w:val="22"/>
                <w:szCs w:val="22"/>
              </w:rPr>
            </w:pPr>
            <w:r>
              <w:rPr>
                <w:sz w:val="22"/>
              </w:rPr>
              <w:t>SRS</w:t>
            </w:r>
          </w:p>
        </w:tc>
        <w:tc>
          <w:tcPr>
            <w:tcW w:w="1417" w:type="dxa"/>
          </w:tcPr>
          <w:p w14:paraId="63EEC26B" w14:textId="77777777" w:rsidR="00CB4D47" w:rsidRPr="00222FD2" w:rsidRDefault="00CB4D47" w:rsidP="00222FD2">
            <w:pPr>
              <w:jc w:val="right"/>
              <w:rPr>
                <w:rFonts w:cs="Times New Roman"/>
                <w:bCs/>
                <w:sz w:val="22"/>
                <w:szCs w:val="22"/>
              </w:rPr>
            </w:pPr>
            <w:r>
              <w:rPr>
                <w:sz w:val="22"/>
              </w:rPr>
              <w:t>30.12.2024</w:t>
            </w:r>
          </w:p>
        </w:tc>
      </w:tr>
      <w:tr w:rsidR="001C42D5" w:rsidRPr="00222FD2" w14:paraId="71A1125D" w14:textId="77777777" w:rsidTr="00E87849">
        <w:trPr>
          <w:trHeight w:val="366"/>
        </w:trPr>
        <w:tc>
          <w:tcPr>
            <w:tcW w:w="753" w:type="dxa"/>
          </w:tcPr>
          <w:p w14:paraId="3A9464C0" w14:textId="77777777" w:rsidR="00CB4D47" w:rsidRPr="00222FD2" w:rsidRDefault="00CB4D47" w:rsidP="00222FD2">
            <w:pPr>
              <w:ind w:right="-21"/>
              <w:rPr>
                <w:rFonts w:cs="Times New Roman"/>
                <w:bCs/>
                <w:color w:val="000000" w:themeColor="text1"/>
                <w:sz w:val="22"/>
                <w:szCs w:val="22"/>
              </w:rPr>
            </w:pPr>
            <w:bookmarkStart w:id="38" w:name="_Hlk147243476"/>
            <w:r>
              <w:rPr>
                <w:color w:val="000000" w:themeColor="text1"/>
                <w:sz w:val="22"/>
              </w:rPr>
              <w:t>1.4.3.</w:t>
            </w:r>
          </w:p>
        </w:tc>
        <w:tc>
          <w:tcPr>
            <w:tcW w:w="3642" w:type="dxa"/>
            <w:shd w:val="clear" w:color="auto" w:fill="auto"/>
          </w:tcPr>
          <w:p w14:paraId="69E9FB87" w14:textId="63D7CAA1" w:rsidR="000E5868" w:rsidRPr="00222FD2" w:rsidRDefault="000E5868" w:rsidP="00222FD2">
            <w:pPr>
              <w:jc w:val="both"/>
              <w:rPr>
                <w:rFonts w:cs="Times New Roman"/>
                <w:color w:val="000000" w:themeColor="text1"/>
                <w:sz w:val="22"/>
                <w:szCs w:val="22"/>
              </w:rPr>
            </w:pPr>
            <w:r>
              <w:rPr>
                <w:color w:val="000000" w:themeColor="text1"/>
                <w:sz w:val="22"/>
              </w:rPr>
              <w:t>Promotion of cashless payments.</w:t>
            </w:r>
          </w:p>
        </w:tc>
        <w:tc>
          <w:tcPr>
            <w:tcW w:w="4111" w:type="dxa"/>
          </w:tcPr>
          <w:p w14:paraId="50BA4C7C" w14:textId="1A1A79C3" w:rsidR="000E5868" w:rsidRPr="00222FD2" w:rsidRDefault="000E5868" w:rsidP="00222FD2">
            <w:pPr>
              <w:jc w:val="both"/>
              <w:rPr>
                <w:rFonts w:eastAsia="Times New Roman" w:cs="Times New Roman"/>
                <w:color w:val="000000" w:themeColor="text1"/>
                <w:sz w:val="22"/>
                <w:szCs w:val="22"/>
              </w:rPr>
            </w:pPr>
            <w:r>
              <w:rPr>
                <w:color w:val="000000" w:themeColor="text1"/>
                <w:sz w:val="22"/>
              </w:rPr>
              <w:t>Encouraging the public and businesses to use more cashless payment solutions in their daily payments, including by promoting financial literacy, educating the public about the benefits of cashless solutions and their safe use, thereby changing cash use habits.</w:t>
            </w:r>
          </w:p>
          <w:p w14:paraId="50636BD1" w14:textId="13A5E851" w:rsidR="00495D7C" w:rsidRPr="00222FD2" w:rsidRDefault="00495D7C" w:rsidP="00222FD2">
            <w:pPr>
              <w:jc w:val="both"/>
              <w:rPr>
                <w:rFonts w:cs="Times New Roman"/>
                <w:color w:val="000000" w:themeColor="text1"/>
                <w:sz w:val="22"/>
                <w:szCs w:val="22"/>
              </w:rPr>
            </w:pPr>
          </w:p>
        </w:tc>
        <w:tc>
          <w:tcPr>
            <w:tcW w:w="2552" w:type="dxa"/>
            <w:shd w:val="clear" w:color="auto" w:fill="auto"/>
          </w:tcPr>
          <w:p w14:paraId="388E073C" w14:textId="5D95C5D9" w:rsidR="000E5868" w:rsidRPr="00222FD2" w:rsidRDefault="000E5868" w:rsidP="001001FD">
            <w:pPr>
              <w:pStyle w:val="ListParagraph"/>
              <w:numPr>
                <w:ilvl w:val="0"/>
                <w:numId w:val="24"/>
              </w:numPr>
              <w:tabs>
                <w:tab w:val="left" w:pos="166"/>
              </w:tabs>
              <w:ind w:left="0" w:firstLine="0"/>
              <w:contextualSpacing w:val="0"/>
              <w:jc w:val="both"/>
              <w:rPr>
                <w:rFonts w:cs="Times New Roman"/>
                <w:color w:val="000000" w:themeColor="text1"/>
                <w:sz w:val="22"/>
                <w:szCs w:val="22"/>
              </w:rPr>
            </w:pPr>
            <w:r>
              <w:rPr>
                <w:color w:val="000000" w:themeColor="text1"/>
                <w:sz w:val="22"/>
              </w:rPr>
              <w:t>Solutions are developed to promote the use of cashless payments.</w:t>
            </w:r>
          </w:p>
          <w:p w14:paraId="4DAA22E9" w14:textId="55D4113D" w:rsidR="000E5868" w:rsidRPr="00222FD2" w:rsidRDefault="00096EFC" w:rsidP="001001FD">
            <w:pPr>
              <w:pStyle w:val="ListParagraph"/>
              <w:numPr>
                <w:ilvl w:val="0"/>
                <w:numId w:val="24"/>
              </w:numPr>
              <w:tabs>
                <w:tab w:val="left" w:pos="166"/>
              </w:tabs>
              <w:ind w:left="0" w:firstLine="0"/>
              <w:contextualSpacing w:val="0"/>
              <w:jc w:val="both"/>
              <w:rPr>
                <w:rFonts w:cs="Times New Roman"/>
                <w:color w:val="000000" w:themeColor="text1"/>
                <w:sz w:val="22"/>
                <w:szCs w:val="22"/>
              </w:rPr>
            </w:pPr>
            <w:r>
              <w:rPr>
                <w:color w:val="000000" w:themeColor="text1"/>
                <w:sz w:val="22"/>
              </w:rPr>
              <w:t>Public financial literacy for the safe use of cashless solutions is enhanced.</w:t>
            </w:r>
          </w:p>
          <w:p w14:paraId="112C21D9" w14:textId="4DA2B0DA" w:rsidR="00B02E2A" w:rsidRPr="00B02E2A" w:rsidRDefault="00096EFC" w:rsidP="00B02E2A">
            <w:pPr>
              <w:pStyle w:val="ListParagraph"/>
              <w:numPr>
                <w:ilvl w:val="0"/>
                <w:numId w:val="24"/>
              </w:numPr>
              <w:tabs>
                <w:tab w:val="left" w:pos="166"/>
              </w:tabs>
              <w:ind w:left="0" w:firstLine="0"/>
              <w:contextualSpacing w:val="0"/>
              <w:jc w:val="both"/>
              <w:rPr>
                <w:rFonts w:cs="Times New Roman"/>
                <w:color w:val="000000" w:themeColor="text1"/>
                <w:sz w:val="22"/>
                <w:szCs w:val="22"/>
              </w:rPr>
            </w:pPr>
            <w:r>
              <w:rPr>
                <w:color w:val="000000" w:themeColor="text1"/>
                <w:sz w:val="22"/>
              </w:rPr>
              <w:t>Public interest in more frequent use of cashless solutions in everyday life is enhanced.</w:t>
            </w:r>
          </w:p>
        </w:tc>
        <w:tc>
          <w:tcPr>
            <w:tcW w:w="1417" w:type="dxa"/>
          </w:tcPr>
          <w:p w14:paraId="385ED8CB" w14:textId="745186E6" w:rsidR="00B97326" w:rsidRPr="00222FD2" w:rsidRDefault="00B97326" w:rsidP="00222FD2">
            <w:pPr>
              <w:jc w:val="center"/>
              <w:rPr>
                <w:rFonts w:cs="Times New Roman"/>
                <w:bCs/>
                <w:color w:val="000000" w:themeColor="text1"/>
                <w:sz w:val="22"/>
                <w:szCs w:val="22"/>
              </w:rPr>
            </w:pPr>
            <w:r>
              <w:rPr>
                <w:color w:val="000000" w:themeColor="text1"/>
                <w:sz w:val="22"/>
              </w:rPr>
              <w:t xml:space="preserve">MoF responsible for the sector </w:t>
            </w:r>
          </w:p>
          <w:p w14:paraId="651B2B0A" w14:textId="35D0D0B5" w:rsidR="00CB4D47" w:rsidRPr="00222FD2" w:rsidRDefault="00B97326" w:rsidP="00222FD2">
            <w:pPr>
              <w:jc w:val="center"/>
              <w:rPr>
                <w:rFonts w:cs="Times New Roman"/>
                <w:color w:val="000000" w:themeColor="text1"/>
                <w:sz w:val="22"/>
                <w:szCs w:val="22"/>
              </w:rPr>
            </w:pPr>
            <w:r>
              <w:rPr>
                <w:color w:val="000000" w:themeColor="text1"/>
                <w:sz w:val="22"/>
              </w:rPr>
              <w:t>(practical action: FLA)</w:t>
            </w:r>
          </w:p>
        </w:tc>
        <w:tc>
          <w:tcPr>
            <w:tcW w:w="1418" w:type="dxa"/>
          </w:tcPr>
          <w:p w14:paraId="5E4F1B16" w14:textId="2C7770DD" w:rsidR="00371EEE" w:rsidRPr="00222FD2" w:rsidRDefault="00371EEE" w:rsidP="00222FD2">
            <w:pPr>
              <w:jc w:val="center"/>
              <w:rPr>
                <w:rFonts w:cs="Times New Roman"/>
                <w:color w:val="000000" w:themeColor="text1"/>
                <w:sz w:val="22"/>
                <w:szCs w:val="22"/>
              </w:rPr>
            </w:pPr>
            <w:r>
              <w:rPr>
                <w:color w:val="000000" w:themeColor="text1"/>
                <w:sz w:val="22"/>
              </w:rPr>
              <w:t>-</w:t>
            </w:r>
          </w:p>
        </w:tc>
        <w:tc>
          <w:tcPr>
            <w:tcW w:w="1417" w:type="dxa"/>
          </w:tcPr>
          <w:p w14:paraId="1BCF0FE2" w14:textId="77777777" w:rsidR="00CB4D47" w:rsidRPr="00222FD2" w:rsidRDefault="00CB4D47" w:rsidP="00222FD2">
            <w:pPr>
              <w:jc w:val="right"/>
              <w:rPr>
                <w:rFonts w:cs="Times New Roman"/>
                <w:color w:val="000000" w:themeColor="text1"/>
                <w:sz w:val="22"/>
                <w:szCs w:val="22"/>
              </w:rPr>
            </w:pPr>
            <w:r>
              <w:rPr>
                <w:color w:val="000000" w:themeColor="text1"/>
                <w:sz w:val="22"/>
              </w:rPr>
              <w:t>30.12.2025</w:t>
            </w:r>
          </w:p>
        </w:tc>
      </w:tr>
      <w:bookmarkEnd w:id="38"/>
      <w:tr w:rsidR="001C42D5" w:rsidRPr="00222FD2" w14:paraId="2DA486A9" w14:textId="77777777" w:rsidTr="00E87849">
        <w:trPr>
          <w:cantSplit/>
          <w:trHeight w:val="71"/>
        </w:trPr>
        <w:tc>
          <w:tcPr>
            <w:tcW w:w="753" w:type="dxa"/>
          </w:tcPr>
          <w:p w14:paraId="0DE25E13" w14:textId="49BD963E" w:rsidR="00CB4D47" w:rsidRPr="00222FD2" w:rsidRDefault="00CB4D47" w:rsidP="00222FD2">
            <w:pPr>
              <w:ind w:right="-21"/>
              <w:rPr>
                <w:rFonts w:cs="Times New Roman"/>
                <w:bCs/>
                <w:sz w:val="22"/>
                <w:szCs w:val="22"/>
              </w:rPr>
            </w:pPr>
            <w:r>
              <w:rPr>
                <w:sz w:val="22"/>
              </w:rPr>
              <w:t>1.4.4.</w:t>
            </w:r>
          </w:p>
        </w:tc>
        <w:tc>
          <w:tcPr>
            <w:tcW w:w="3642" w:type="dxa"/>
            <w:shd w:val="clear" w:color="auto" w:fill="auto"/>
          </w:tcPr>
          <w:p w14:paraId="403FB108" w14:textId="77777777" w:rsidR="00CB4D47" w:rsidRPr="00222FD2" w:rsidRDefault="00CB4D47" w:rsidP="00222FD2">
            <w:pPr>
              <w:jc w:val="both"/>
              <w:rPr>
                <w:rFonts w:cs="Times New Roman"/>
                <w:sz w:val="22"/>
                <w:szCs w:val="22"/>
              </w:rPr>
            </w:pPr>
            <w:r>
              <w:rPr>
                <w:sz w:val="22"/>
              </w:rPr>
              <w:t>Attribution of the statutory provision provided for in the Road Traffic Law with regard to reporting to the SRS also to the registration of the prohibition on alienation to vehicles aged between 5 and 10 years.</w:t>
            </w:r>
          </w:p>
        </w:tc>
        <w:tc>
          <w:tcPr>
            <w:tcW w:w="4111" w:type="dxa"/>
          </w:tcPr>
          <w:p w14:paraId="6677473C" w14:textId="0561BB00" w:rsidR="00CB4D47" w:rsidRPr="00222FD2" w:rsidRDefault="00CB4D47" w:rsidP="00222FD2">
            <w:pPr>
              <w:jc w:val="both"/>
              <w:rPr>
                <w:rFonts w:cs="Times New Roman"/>
                <w:sz w:val="22"/>
                <w:szCs w:val="22"/>
              </w:rPr>
            </w:pPr>
            <w:r>
              <w:rPr>
                <w:sz w:val="22"/>
              </w:rPr>
              <w:t>Encouraging the implementation of measures to reduce tax evasion in the field of trade in used vehicles involving natural persons and preventing tax evasion.</w:t>
            </w:r>
          </w:p>
          <w:p w14:paraId="4B9556B2" w14:textId="77777777" w:rsidR="00186422" w:rsidRDefault="00CB4D47" w:rsidP="00222FD2">
            <w:pPr>
              <w:jc w:val="both"/>
              <w:rPr>
                <w:rFonts w:cs="Times New Roman"/>
                <w:color w:val="000000" w:themeColor="text1"/>
                <w:sz w:val="22"/>
                <w:szCs w:val="22"/>
              </w:rPr>
            </w:pPr>
            <w:r>
              <w:rPr>
                <w:sz w:val="22"/>
              </w:rPr>
              <w:t>Faster, more effective prevention of tax evasion by individuals (PIT, VAT)</w:t>
            </w:r>
            <w:r>
              <w:rPr>
                <w:color w:val="000000" w:themeColor="text1"/>
                <w:sz w:val="22"/>
              </w:rPr>
              <w:t>.</w:t>
            </w:r>
          </w:p>
          <w:p w14:paraId="08F4C601" w14:textId="6967B2EB" w:rsidR="001001FD" w:rsidRPr="00222FD2" w:rsidRDefault="001001FD" w:rsidP="00222FD2">
            <w:pPr>
              <w:jc w:val="both"/>
              <w:rPr>
                <w:rFonts w:cs="Times New Roman"/>
                <w:color w:val="000000" w:themeColor="text1"/>
                <w:sz w:val="22"/>
                <w:szCs w:val="22"/>
              </w:rPr>
            </w:pPr>
          </w:p>
        </w:tc>
        <w:tc>
          <w:tcPr>
            <w:tcW w:w="2552" w:type="dxa"/>
            <w:shd w:val="clear" w:color="auto" w:fill="auto"/>
          </w:tcPr>
          <w:p w14:paraId="315CDBD9" w14:textId="4D295D44" w:rsidR="00CB4D47" w:rsidRPr="00222FD2" w:rsidRDefault="00CB4D47" w:rsidP="00222FD2">
            <w:pPr>
              <w:jc w:val="both"/>
              <w:rPr>
                <w:rFonts w:cs="Times New Roman"/>
                <w:sz w:val="22"/>
                <w:szCs w:val="22"/>
              </w:rPr>
            </w:pPr>
            <w:r>
              <w:rPr>
                <w:sz w:val="22"/>
              </w:rPr>
              <w:t>Increasing tax revenue from the trade of motor vehicles.</w:t>
            </w:r>
          </w:p>
        </w:tc>
        <w:tc>
          <w:tcPr>
            <w:tcW w:w="1417" w:type="dxa"/>
          </w:tcPr>
          <w:p w14:paraId="526AD23F" w14:textId="77777777" w:rsidR="00CB4D47" w:rsidRPr="00222FD2" w:rsidRDefault="00CB4D47" w:rsidP="00222FD2">
            <w:pPr>
              <w:jc w:val="center"/>
              <w:rPr>
                <w:rFonts w:cs="Times New Roman"/>
                <w:sz w:val="22"/>
                <w:szCs w:val="22"/>
              </w:rPr>
            </w:pPr>
            <w:r>
              <w:rPr>
                <w:sz w:val="22"/>
              </w:rPr>
              <w:t>MoF</w:t>
            </w:r>
          </w:p>
          <w:p w14:paraId="6710A07D" w14:textId="77777777" w:rsidR="00CB4D47" w:rsidRPr="00222FD2" w:rsidRDefault="00CB4D47" w:rsidP="00222FD2">
            <w:pPr>
              <w:jc w:val="center"/>
              <w:rPr>
                <w:rFonts w:cs="Times New Roman"/>
                <w:bCs/>
                <w:sz w:val="22"/>
                <w:szCs w:val="22"/>
              </w:rPr>
            </w:pPr>
          </w:p>
        </w:tc>
        <w:tc>
          <w:tcPr>
            <w:tcW w:w="1418" w:type="dxa"/>
          </w:tcPr>
          <w:p w14:paraId="03E9C0F1" w14:textId="11E6ED4F" w:rsidR="00CB4D47" w:rsidRPr="00222FD2" w:rsidRDefault="00CB4D47" w:rsidP="00222FD2">
            <w:pPr>
              <w:jc w:val="center"/>
              <w:rPr>
                <w:rFonts w:cs="Times New Roman"/>
                <w:sz w:val="22"/>
                <w:szCs w:val="22"/>
              </w:rPr>
            </w:pPr>
            <w:r>
              <w:rPr>
                <w:sz w:val="22"/>
              </w:rPr>
              <w:t>SRS,</w:t>
            </w:r>
          </w:p>
          <w:p w14:paraId="399B95BF" w14:textId="694AFFC4" w:rsidR="00CB4D47" w:rsidRPr="00222FD2" w:rsidRDefault="00CB4D47" w:rsidP="00222FD2">
            <w:pPr>
              <w:jc w:val="center"/>
              <w:rPr>
                <w:rFonts w:cs="Times New Roman"/>
                <w:sz w:val="22"/>
                <w:szCs w:val="22"/>
              </w:rPr>
            </w:pPr>
            <w:r>
              <w:rPr>
                <w:sz w:val="22"/>
              </w:rPr>
              <w:t>MoT,</w:t>
            </w:r>
          </w:p>
          <w:p w14:paraId="20CCA312" w14:textId="77777777" w:rsidR="00CB4D47" w:rsidRPr="00222FD2" w:rsidRDefault="00CB4D47" w:rsidP="00222FD2">
            <w:pPr>
              <w:jc w:val="center"/>
              <w:rPr>
                <w:rFonts w:cs="Times New Roman"/>
                <w:sz w:val="22"/>
                <w:szCs w:val="22"/>
              </w:rPr>
            </w:pPr>
            <w:r>
              <w:rPr>
                <w:sz w:val="22"/>
              </w:rPr>
              <w:t>RTSD</w:t>
            </w:r>
          </w:p>
          <w:p w14:paraId="6598A57B" w14:textId="77777777" w:rsidR="00CB4D47" w:rsidRPr="00222FD2" w:rsidRDefault="00CB4D47" w:rsidP="00222FD2">
            <w:pPr>
              <w:jc w:val="center"/>
              <w:rPr>
                <w:rFonts w:cs="Times New Roman"/>
                <w:bCs/>
                <w:sz w:val="22"/>
                <w:szCs w:val="22"/>
              </w:rPr>
            </w:pPr>
          </w:p>
        </w:tc>
        <w:tc>
          <w:tcPr>
            <w:tcW w:w="1417" w:type="dxa"/>
          </w:tcPr>
          <w:p w14:paraId="2C114583" w14:textId="77777777" w:rsidR="00CB4D47" w:rsidRPr="00222FD2" w:rsidRDefault="00CB4D47" w:rsidP="00222FD2">
            <w:pPr>
              <w:jc w:val="right"/>
              <w:rPr>
                <w:rFonts w:cs="Times New Roman"/>
                <w:bCs/>
                <w:sz w:val="22"/>
                <w:szCs w:val="22"/>
              </w:rPr>
            </w:pPr>
            <w:r>
              <w:rPr>
                <w:sz w:val="22"/>
              </w:rPr>
              <w:t>30.12.2024</w:t>
            </w:r>
          </w:p>
        </w:tc>
      </w:tr>
      <w:tr w:rsidR="001C42D5" w:rsidRPr="00222FD2" w14:paraId="30CFCA23" w14:textId="77777777" w:rsidTr="003C1C7B">
        <w:trPr>
          <w:cantSplit/>
          <w:trHeight w:val="397"/>
        </w:trPr>
        <w:tc>
          <w:tcPr>
            <w:tcW w:w="11058" w:type="dxa"/>
            <w:gridSpan w:val="4"/>
            <w:shd w:val="clear" w:color="auto" w:fill="A8D08D" w:themeFill="accent6" w:themeFillTint="99"/>
            <w:vAlign w:val="center"/>
          </w:tcPr>
          <w:p w14:paraId="79052DE3" w14:textId="29FFAACA" w:rsidR="00CB4D47" w:rsidRPr="00222FD2" w:rsidRDefault="00CB4D47" w:rsidP="00222FD2">
            <w:pPr>
              <w:rPr>
                <w:rFonts w:cs="Times New Roman"/>
                <w:b/>
                <w:sz w:val="22"/>
                <w:szCs w:val="22"/>
              </w:rPr>
            </w:pPr>
            <w:r>
              <w:rPr>
                <w:sz w:val="22"/>
              </w:rPr>
              <w:t xml:space="preserve">Course of Action 2 – </w:t>
            </w:r>
            <w:r>
              <w:rPr>
                <w:b/>
                <w:sz w:val="22"/>
              </w:rPr>
              <w:t>Information and data exchange.</w:t>
            </w:r>
          </w:p>
        </w:tc>
        <w:tc>
          <w:tcPr>
            <w:tcW w:w="4252" w:type="dxa"/>
            <w:gridSpan w:val="3"/>
            <w:shd w:val="clear" w:color="auto" w:fill="A8D08D" w:themeFill="accent6" w:themeFillTint="99"/>
            <w:vAlign w:val="center"/>
          </w:tcPr>
          <w:p w14:paraId="68982BA8" w14:textId="59ED5C6C" w:rsidR="00CB4D47" w:rsidRPr="00222FD2" w:rsidRDefault="00CB4D47" w:rsidP="00222FD2">
            <w:pPr>
              <w:rPr>
                <w:rFonts w:cs="Times New Roman"/>
                <w:b/>
                <w:sz w:val="22"/>
                <w:szCs w:val="22"/>
              </w:rPr>
            </w:pPr>
            <w:r>
              <w:rPr>
                <w:b/>
                <w:color w:val="000000" w:themeColor="text1"/>
                <w:sz w:val="22"/>
              </w:rPr>
              <w:t>Fiscal benefit:</w:t>
            </w:r>
            <w:r>
              <w:rPr>
                <w:b/>
                <w:color w:val="0070C0"/>
                <w:sz w:val="22"/>
              </w:rPr>
              <w:t xml:space="preserve"> </w:t>
            </w:r>
            <w:r>
              <w:rPr>
                <w:b/>
                <w:color w:val="000000" w:themeColor="text1"/>
                <w:sz w:val="22"/>
              </w:rPr>
              <w:t>EUR 1 million</w:t>
            </w:r>
          </w:p>
        </w:tc>
      </w:tr>
      <w:tr w:rsidR="001C42D5" w:rsidRPr="00222FD2" w14:paraId="0FD49F0C" w14:textId="77777777" w:rsidTr="003C1C7B">
        <w:trPr>
          <w:cantSplit/>
          <w:trHeight w:val="283"/>
        </w:trPr>
        <w:tc>
          <w:tcPr>
            <w:tcW w:w="11058" w:type="dxa"/>
            <w:gridSpan w:val="4"/>
            <w:shd w:val="clear" w:color="auto" w:fill="FFF2CC" w:themeFill="accent4" w:themeFillTint="33"/>
          </w:tcPr>
          <w:p w14:paraId="35D90341" w14:textId="038EDD64" w:rsidR="00CB4D47" w:rsidRPr="00222FD2" w:rsidRDefault="00CB4D47" w:rsidP="00222FD2">
            <w:pPr>
              <w:rPr>
                <w:rFonts w:cs="Times New Roman"/>
                <w:bCs/>
                <w:sz w:val="22"/>
                <w:szCs w:val="22"/>
              </w:rPr>
            </w:pPr>
            <w:r>
              <w:rPr>
                <w:sz w:val="22"/>
              </w:rPr>
              <w:t>Course of Action 2. Task 1.</w:t>
            </w:r>
            <w:r>
              <w:rPr>
                <w:b/>
                <w:sz w:val="22"/>
              </w:rPr>
              <w:t xml:space="preserve"> Introduction of e-receipts. </w:t>
            </w:r>
          </w:p>
        </w:tc>
        <w:tc>
          <w:tcPr>
            <w:tcW w:w="4252" w:type="dxa"/>
            <w:gridSpan w:val="3"/>
            <w:shd w:val="clear" w:color="auto" w:fill="FFF2CC" w:themeFill="accent4" w:themeFillTint="33"/>
          </w:tcPr>
          <w:p w14:paraId="2E8A6F17" w14:textId="646D0FA9" w:rsidR="00CB4D47" w:rsidRPr="00222FD2" w:rsidRDefault="00CB4D47" w:rsidP="00222FD2">
            <w:pPr>
              <w:rPr>
                <w:rFonts w:cs="Times New Roman"/>
                <w:bCs/>
                <w:sz w:val="22"/>
                <w:szCs w:val="22"/>
              </w:rPr>
            </w:pPr>
            <w:r>
              <w:rPr>
                <w:sz w:val="22"/>
              </w:rPr>
              <w:t>Fiscal benefit: EUR 0.3 million</w:t>
            </w:r>
          </w:p>
        </w:tc>
      </w:tr>
      <w:tr w:rsidR="00E87849" w:rsidRPr="00222FD2" w14:paraId="57B8DCB3" w14:textId="77777777" w:rsidTr="00E87849">
        <w:trPr>
          <w:trHeight w:val="496"/>
        </w:trPr>
        <w:tc>
          <w:tcPr>
            <w:tcW w:w="753" w:type="dxa"/>
            <w:shd w:val="clear" w:color="auto" w:fill="auto"/>
          </w:tcPr>
          <w:p w14:paraId="514860B6" w14:textId="1F5C5685" w:rsidR="00222FD2" w:rsidRPr="00222FD2" w:rsidRDefault="00222FD2" w:rsidP="00222FD2">
            <w:pPr>
              <w:ind w:right="-23"/>
              <w:rPr>
                <w:rFonts w:cs="Times New Roman"/>
                <w:bCs/>
                <w:sz w:val="22"/>
                <w:szCs w:val="22"/>
              </w:rPr>
            </w:pPr>
            <w:r>
              <w:rPr>
                <w:sz w:val="22"/>
              </w:rPr>
              <w:t>2.1.1</w:t>
            </w:r>
          </w:p>
        </w:tc>
        <w:tc>
          <w:tcPr>
            <w:tcW w:w="3642" w:type="dxa"/>
            <w:shd w:val="clear" w:color="auto" w:fill="auto"/>
          </w:tcPr>
          <w:p w14:paraId="094749E3" w14:textId="573C4C2F" w:rsidR="00222FD2" w:rsidRDefault="00222FD2" w:rsidP="002B0F9D">
            <w:pPr>
              <w:ind w:right="-23"/>
              <w:jc w:val="both"/>
              <w:rPr>
                <w:rFonts w:cs="Times New Roman"/>
                <w:bCs/>
                <w:sz w:val="22"/>
                <w:szCs w:val="22"/>
              </w:rPr>
            </w:pPr>
            <w:r>
              <w:rPr>
                <w:sz w:val="22"/>
              </w:rPr>
              <w:t>Introduction of e-receipts as a mandatory requirement for the use of medical and therapeutic services and for the improvement of qualifications, the acquisition of a speciality, the acquisition of education, including interest-based education programmes for children, to be included as eligible expenses in the annual income tax return.</w:t>
            </w:r>
          </w:p>
          <w:p w14:paraId="60B313F6" w14:textId="45B50037" w:rsidR="00B02E2A" w:rsidRPr="00222FD2" w:rsidRDefault="00B02E2A" w:rsidP="00222FD2">
            <w:pPr>
              <w:jc w:val="both"/>
              <w:rPr>
                <w:rFonts w:cs="Times New Roman"/>
                <w:bCs/>
                <w:sz w:val="22"/>
                <w:szCs w:val="22"/>
              </w:rPr>
            </w:pPr>
          </w:p>
        </w:tc>
        <w:tc>
          <w:tcPr>
            <w:tcW w:w="4111" w:type="dxa"/>
            <w:shd w:val="clear" w:color="auto" w:fill="auto"/>
          </w:tcPr>
          <w:p w14:paraId="4BD62109" w14:textId="77777777" w:rsidR="00222FD2" w:rsidRPr="00222FD2" w:rsidRDefault="00222FD2" w:rsidP="004C2DAE">
            <w:pPr>
              <w:ind w:right="-23"/>
              <w:jc w:val="both"/>
              <w:rPr>
                <w:rFonts w:cs="Times New Roman"/>
                <w:bCs/>
                <w:sz w:val="22"/>
                <w:szCs w:val="22"/>
              </w:rPr>
            </w:pPr>
            <w:r>
              <w:rPr>
                <w:sz w:val="22"/>
              </w:rPr>
              <w:t>Reduced time and resources spent on filing and processing annual income tax returns, facilitated exchange of data between institutions and service providers and the SRS, and also faster tax refunds for the population.</w:t>
            </w:r>
          </w:p>
          <w:p w14:paraId="1BB562AF" w14:textId="77777777" w:rsidR="00222FD2" w:rsidRDefault="00661962" w:rsidP="004C2DAE">
            <w:pPr>
              <w:jc w:val="both"/>
              <w:rPr>
                <w:rFonts w:cs="Times New Roman"/>
                <w:bCs/>
                <w:sz w:val="22"/>
                <w:szCs w:val="22"/>
              </w:rPr>
            </w:pPr>
            <w:r>
              <w:rPr>
                <w:color w:val="000000"/>
                <w:sz w:val="22"/>
              </w:rPr>
              <w:t xml:space="preserve">The possibility of simplifying data transfer for service providers has been assessed. </w:t>
            </w:r>
            <w:r>
              <w:rPr>
                <w:sz w:val="22"/>
              </w:rPr>
              <w:t>Where necessary, amendments made to laws and regulations.</w:t>
            </w:r>
          </w:p>
          <w:p w14:paraId="2892092F" w14:textId="624E657A" w:rsidR="002B0F9D" w:rsidRPr="00222FD2" w:rsidRDefault="002B0F9D" w:rsidP="004C2DAE">
            <w:pPr>
              <w:jc w:val="both"/>
              <w:rPr>
                <w:rFonts w:cs="Times New Roman"/>
                <w:bCs/>
                <w:sz w:val="22"/>
                <w:szCs w:val="22"/>
              </w:rPr>
            </w:pPr>
          </w:p>
        </w:tc>
        <w:tc>
          <w:tcPr>
            <w:tcW w:w="2552" w:type="dxa"/>
            <w:shd w:val="clear" w:color="auto" w:fill="auto"/>
          </w:tcPr>
          <w:p w14:paraId="124C4A56" w14:textId="4C062B4F" w:rsidR="00222FD2" w:rsidRPr="00222FD2" w:rsidRDefault="00222FD2" w:rsidP="00222FD2">
            <w:pPr>
              <w:jc w:val="both"/>
              <w:rPr>
                <w:rFonts w:cs="Times New Roman"/>
                <w:bCs/>
                <w:sz w:val="22"/>
                <w:szCs w:val="22"/>
              </w:rPr>
            </w:pPr>
            <w:r>
              <w:rPr>
                <w:sz w:val="22"/>
              </w:rPr>
              <w:t xml:space="preserve">Simplified processes and reduced administrative burden. </w:t>
            </w:r>
          </w:p>
        </w:tc>
        <w:tc>
          <w:tcPr>
            <w:tcW w:w="1417" w:type="dxa"/>
            <w:shd w:val="clear" w:color="auto" w:fill="auto"/>
          </w:tcPr>
          <w:p w14:paraId="23B84BA5" w14:textId="77777777" w:rsidR="00222FD2" w:rsidRPr="00222FD2" w:rsidRDefault="00222FD2" w:rsidP="00661962">
            <w:pPr>
              <w:ind w:right="-23"/>
              <w:jc w:val="center"/>
              <w:rPr>
                <w:rFonts w:cs="Times New Roman"/>
                <w:bCs/>
                <w:sz w:val="22"/>
                <w:szCs w:val="22"/>
              </w:rPr>
            </w:pPr>
            <w:r>
              <w:rPr>
                <w:sz w:val="22"/>
              </w:rPr>
              <w:t>MoF,</w:t>
            </w:r>
          </w:p>
          <w:p w14:paraId="703AB987" w14:textId="79001344" w:rsidR="00222FD2" w:rsidRPr="00222FD2" w:rsidRDefault="00222FD2" w:rsidP="00661962">
            <w:pPr>
              <w:ind w:right="-23"/>
              <w:jc w:val="center"/>
              <w:rPr>
                <w:rFonts w:cs="Times New Roman"/>
                <w:bCs/>
                <w:sz w:val="22"/>
                <w:szCs w:val="22"/>
              </w:rPr>
            </w:pPr>
            <w:r>
              <w:rPr>
                <w:sz w:val="22"/>
              </w:rPr>
              <w:t>SRS</w:t>
            </w:r>
          </w:p>
          <w:p w14:paraId="65BA20D4" w14:textId="201B9E35" w:rsidR="00222FD2" w:rsidRPr="00222FD2" w:rsidRDefault="00222FD2" w:rsidP="00661962">
            <w:pPr>
              <w:jc w:val="center"/>
              <w:rPr>
                <w:rFonts w:cs="Times New Roman"/>
                <w:bCs/>
                <w:sz w:val="22"/>
                <w:szCs w:val="22"/>
              </w:rPr>
            </w:pPr>
          </w:p>
        </w:tc>
        <w:tc>
          <w:tcPr>
            <w:tcW w:w="1418" w:type="dxa"/>
            <w:shd w:val="clear" w:color="auto" w:fill="auto"/>
          </w:tcPr>
          <w:p w14:paraId="17EC5FEA" w14:textId="77777777" w:rsidR="00222FD2" w:rsidRPr="00222FD2" w:rsidRDefault="00222FD2" w:rsidP="00661962">
            <w:pPr>
              <w:ind w:right="-23"/>
              <w:jc w:val="center"/>
              <w:rPr>
                <w:rFonts w:cs="Times New Roman"/>
                <w:bCs/>
                <w:sz w:val="22"/>
                <w:szCs w:val="22"/>
              </w:rPr>
            </w:pPr>
            <w:r>
              <w:rPr>
                <w:sz w:val="22"/>
              </w:rPr>
              <w:t>MoH,</w:t>
            </w:r>
          </w:p>
          <w:p w14:paraId="62284ED3" w14:textId="77777777" w:rsidR="00222FD2" w:rsidRPr="00222FD2" w:rsidRDefault="00222FD2" w:rsidP="00661962">
            <w:pPr>
              <w:ind w:right="-23"/>
              <w:jc w:val="center"/>
              <w:rPr>
                <w:rFonts w:cs="Times New Roman"/>
                <w:bCs/>
                <w:sz w:val="22"/>
                <w:szCs w:val="22"/>
              </w:rPr>
            </w:pPr>
            <w:r>
              <w:rPr>
                <w:sz w:val="22"/>
              </w:rPr>
              <w:t>MoES,</w:t>
            </w:r>
          </w:p>
          <w:p w14:paraId="3F64E50C" w14:textId="77777777" w:rsidR="00222FD2" w:rsidRPr="00222FD2" w:rsidRDefault="00222FD2" w:rsidP="00661962">
            <w:pPr>
              <w:ind w:right="-23"/>
              <w:jc w:val="center"/>
              <w:rPr>
                <w:rFonts w:cs="Times New Roman"/>
                <w:bCs/>
                <w:sz w:val="22"/>
                <w:szCs w:val="22"/>
              </w:rPr>
            </w:pPr>
            <w:r>
              <w:rPr>
                <w:sz w:val="22"/>
              </w:rPr>
              <w:t>MoE</w:t>
            </w:r>
          </w:p>
          <w:p w14:paraId="308A5F26" w14:textId="0B859E6E" w:rsidR="00222FD2" w:rsidRPr="00222FD2" w:rsidRDefault="00222FD2" w:rsidP="00661962">
            <w:pPr>
              <w:jc w:val="center"/>
              <w:rPr>
                <w:rFonts w:cs="Times New Roman"/>
                <w:bCs/>
                <w:sz w:val="22"/>
                <w:szCs w:val="22"/>
              </w:rPr>
            </w:pPr>
          </w:p>
        </w:tc>
        <w:tc>
          <w:tcPr>
            <w:tcW w:w="1417" w:type="dxa"/>
            <w:shd w:val="clear" w:color="auto" w:fill="auto"/>
          </w:tcPr>
          <w:p w14:paraId="1CB3C285" w14:textId="77777777" w:rsidR="00222FD2" w:rsidRPr="00222FD2" w:rsidRDefault="00222FD2" w:rsidP="00222FD2">
            <w:pPr>
              <w:ind w:right="-23"/>
              <w:rPr>
                <w:rFonts w:cs="Times New Roman"/>
                <w:bCs/>
                <w:sz w:val="22"/>
                <w:szCs w:val="22"/>
              </w:rPr>
            </w:pPr>
            <w:r>
              <w:rPr>
                <w:sz w:val="22"/>
              </w:rPr>
              <w:t>30.12.2026</w:t>
            </w:r>
          </w:p>
          <w:p w14:paraId="373A34E5" w14:textId="77777777" w:rsidR="00222FD2" w:rsidRPr="00222FD2" w:rsidRDefault="00222FD2" w:rsidP="00222FD2">
            <w:pPr>
              <w:ind w:right="-23"/>
              <w:rPr>
                <w:rFonts w:cs="Times New Roman"/>
                <w:bCs/>
                <w:sz w:val="22"/>
                <w:szCs w:val="22"/>
              </w:rPr>
            </w:pPr>
          </w:p>
          <w:p w14:paraId="4771117E" w14:textId="5A265487" w:rsidR="00222FD2" w:rsidRPr="00222FD2" w:rsidRDefault="00222FD2" w:rsidP="00222FD2">
            <w:pPr>
              <w:jc w:val="right"/>
              <w:rPr>
                <w:rFonts w:cs="Times New Roman"/>
                <w:bCs/>
                <w:sz w:val="22"/>
                <w:szCs w:val="22"/>
              </w:rPr>
            </w:pPr>
          </w:p>
        </w:tc>
      </w:tr>
      <w:tr w:rsidR="00222FD2" w:rsidRPr="00222FD2" w14:paraId="5BBD15C3" w14:textId="77777777" w:rsidTr="003C1C7B">
        <w:trPr>
          <w:cantSplit/>
          <w:trHeight w:val="283"/>
        </w:trPr>
        <w:tc>
          <w:tcPr>
            <w:tcW w:w="11058" w:type="dxa"/>
            <w:gridSpan w:val="4"/>
            <w:shd w:val="clear" w:color="auto" w:fill="FFF2CC" w:themeFill="accent4" w:themeFillTint="33"/>
          </w:tcPr>
          <w:p w14:paraId="57E01157" w14:textId="1B036F19" w:rsidR="00222FD2" w:rsidRPr="00222FD2" w:rsidRDefault="00222FD2" w:rsidP="00222FD2">
            <w:pPr>
              <w:rPr>
                <w:rFonts w:cs="Times New Roman"/>
                <w:sz w:val="22"/>
                <w:szCs w:val="22"/>
              </w:rPr>
            </w:pPr>
            <w:r>
              <w:rPr>
                <w:sz w:val="22"/>
              </w:rPr>
              <w:t>Course of Action 2. Task 2.</w:t>
            </w:r>
            <w:r>
              <w:rPr>
                <w:b/>
                <w:sz w:val="22"/>
              </w:rPr>
              <w:t xml:space="preserve"> Interinstitutional information exchange and disclosure. </w:t>
            </w:r>
          </w:p>
        </w:tc>
        <w:tc>
          <w:tcPr>
            <w:tcW w:w="4252" w:type="dxa"/>
            <w:gridSpan w:val="3"/>
            <w:shd w:val="clear" w:color="auto" w:fill="FFF2CC" w:themeFill="accent4" w:themeFillTint="33"/>
          </w:tcPr>
          <w:p w14:paraId="58309B27" w14:textId="3EE86431" w:rsidR="00222FD2" w:rsidRPr="00222FD2" w:rsidRDefault="00222FD2" w:rsidP="00222FD2">
            <w:pPr>
              <w:rPr>
                <w:rFonts w:cs="Times New Roman"/>
                <w:sz w:val="22"/>
                <w:szCs w:val="22"/>
              </w:rPr>
            </w:pPr>
            <w:r>
              <w:rPr>
                <w:sz w:val="22"/>
              </w:rPr>
              <w:t>Fiscal benefit: EUR 0.7 million</w:t>
            </w:r>
          </w:p>
        </w:tc>
      </w:tr>
      <w:tr w:rsidR="00E87849" w:rsidRPr="00222FD2" w14:paraId="0A3D3E15" w14:textId="77777777" w:rsidTr="00E87849">
        <w:trPr>
          <w:trHeight w:val="496"/>
        </w:trPr>
        <w:tc>
          <w:tcPr>
            <w:tcW w:w="753" w:type="dxa"/>
            <w:shd w:val="clear" w:color="auto" w:fill="auto"/>
          </w:tcPr>
          <w:p w14:paraId="7A890313" w14:textId="5693CF95" w:rsidR="00352BBD" w:rsidRPr="00352BBD" w:rsidRDefault="00352BBD" w:rsidP="00DF5EBA">
            <w:pPr>
              <w:ind w:right="-23"/>
              <w:rPr>
                <w:sz w:val="22"/>
              </w:rPr>
            </w:pPr>
            <w:r>
              <w:rPr>
                <w:sz w:val="22"/>
              </w:rPr>
              <w:t>2.2.1.</w:t>
            </w:r>
          </w:p>
        </w:tc>
        <w:tc>
          <w:tcPr>
            <w:tcW w:w="3642" w:type="dxa"/>
            <w:shd w:val="clear" w:color="auto" w:fill="auto"/>
          </w:tcPr>
          <w:p w14:paraId="7547F74B" w14:textId="5074BCEA" w:rsidR="00222FD2" w:rsidRPr="002B0F9D" w:rsidRDefault="00222FD2" w:rsidP="00DF5EBA">
            <w:pPr>
              <w:jc w:val="both"/>
              <w:rPr>
                <w:rFonts w:cs="Times New Roman"/>
                <w:sz w:val="22"/>
                <w:szCs w:val="22"/>
              </w:rPr>
            </w:pPr>
            <w:r>
              <w:rPr>
                <w:color w:val="000000" w:themeColor="text1"/>
                <w:sz w:val="22"/>
              </w:rPr>
              <w:t>Public administration and municipal authorities identify their information resources maintained outside of information system</w:t>
            </w:r>
            <w:r>
              <w:t>s</w:t>
            </w:r>
            <w:bookmarkStart w:id="39" w:name="_Hlk149129448"/>
            <w:r>
              <w:rPr>
                <w:color w:val="000000" w:themeColor="text1"/>
                <w:sz w:val="22"/>
              </w:rPr>
              <w:t>, organise the information in the form of structured data and start publishing the datasets needed by other institutions</w:t>
            </w:r>
            <w:bookmarkEnd w:id="39"/>
            <w:r>
              <w:t xml:space="preserve"> </w:t>
            </w:r>
            <w:r>
              <w:rPr>
                <w:color w:val="000000" w:themeColor="text1"/>
                <w:sz w:val="22"/>
              </w:rPr>
              <w:t>to facilitate the exchange and use of information and data between institutions to restrict the shadow economy.</w:t>
            </w:r>
          </w:p>
        </w:tc>
        <w:tc>
          <w:tcPr>
            <w:tcW w:w="4111" w:type="dxa"/>
            <w:shd w:val="clear" w:color="auto" w:fill="auto"/>
          </w:tcPr>
          <w:p w14:paraId="29804828" w14:textId="1AD0004D" w:rsidR="00222FD2" w:rsidRPr="002B0F9D" w:rsidRDefault="00222FD2" w:rsidP="00DF5EBA">
            <w:pPr>
              <w:jc w:val="both"/>
              <w:rPr>
                <w:rFonts w:cs="Times New Roman"/>
                <w:color w:val="000000" w:themeColor="text1"/>
                <w:spacing w:val="-4"/>
                <w:sz w:val="22"/>
                <w:szCs w:val="22"/>
              </w:rPr>
            </w:pPr>
            <w:r>
              <w:rPr>
                <w:color w:val="000000" w:themeColor="text1"/>
                <w:sz w:val="22"/>
              </w:rPr>
              <w:t>Identification of information resources (databases and registers) maintained, structured data and improved information exchange and data use between institutions.</w:t>
            </w:r>
          </w:p>
          <w:p w14:paraId="395CF6A1" w14:textId="77777777" w:rsidR="00222FD2" w:rsidRPr="002B0F9D" w:rsidRDefault="00222FD2" w:rsidP="00DF5EBA">
            <w:pPr>
              <w:jc w:val="both"/>
              <w:rPr>
                <w:rFonts w:cs="Times New Roman"/>
                <w:color w:val="000000" w:themeColor="text1"/>
                <w:spacing w:val="-4"/>
                <w:sz w:val="22"/>
                <w:szCs w:val="22"/>
              </w:rPr>
            </w:pPr>
            <w:r>
              <w:rPr>
                <w:color w:val="000000" w:themeColor="text1"/>
                <w:sz w:val="22"/>
              </w:rPr>
              <w:t xml:space="preserve">Data sources in the pilot project sectors: </w:t>
            </w:r>
          </w:p>
          <w:p w14:paraId="3E6E5EFF"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commercial carriage of passengers by taxi (Taxi Drivers Register);</w:t>
            </w:r>
          </w:p>
          <w:p w14:paraId="2B3F34AE"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SRS information from databases;</w:t>
            </w:r>
          </w:p>
          <w:p w14:paraId="32D4BB19"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Register of Security Guard Activities;</w:t>
            </w:r>
          </w:p>
          <w:p w14:paraId="261A774A"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Register of Educational Institutions of the State Education Information System;</w:t>
            </w:r>
          </w:p>
          <w:p w14:paraId="605F171D"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information on allowances granted by local governments;</w:t>
            </w:r>
          </w:p>
          <w:p w14:paraId="3B06AD72" w14:textId="77777777" w:rsidR="00222FD2" w:rsidRPr="002B0F9D" w:rsidRDefault="00222FD2" w:rsidP="00DF5EBA">
            <w:pPr>
              <w:pStyle w:val="ListParagraph"/>
              <w:numPr>
                <w:ilvl w:val="0"/>
                <w:numId w:val="25"/>
              </w:numPr>
              <w:ind w:left="124" w:hanging="113"/>
              <w:contextualSpacing w:val="0"/>
              <w:jc w:val="both"/>
              <w:rPr>
                <w:rFonts w:cs="Times New Roman"/>
                <w:color w:val="000000" w:themeColor="text1"/>
                <w:spacing w:val="-4"/>
                <w:sz w:val="22"/>
                <w:szCs w:val="22"/>
              </w:rPr>
            </w:pPr>
            <w:r>
              <w:rPr>
                <w:color w:val="000000" w:themeColor="text1"/>
                <w:sz w:val="22"/>
              </w:rPr>
              <w:t>information from the State Environmental Service databases.</w:t>
            </w:r>
          </w:p>
          <w:p w14:paraId="64E70123" w14:textId="0A38B633" w:rsidR="00222FD2" w:rsidRPr="002B0F9D" w:rsidRDefault="00222FD2" w:rsidP="00DF5EBA">
            <w:pPr>
              <w:jc w:val="both"/>
              <w:rPr>
                <w:rFonts w:cs="Times New Roman"/>
                <w:spacing w:val="-4"/>
                <w:sz w:val="22"/>
                <w:szCs w:val="22"/>
              </w:rPr>
            </w:pPr>
            <w:r>
              <w:rPr>
                <w:color w:val="000000" w:themeColor="text1"/>
                <w:sz w:val="22"/>
              </w:rPr>
              <w:t>The SRS identifies information</w:t>
            </w:r>
            <w:r w:rsidRPr="002B0F9D">
              <w:rPr>
                <w:rStyle w:val="FootnoteReference"/>
                <w:rFonts w:cs="Times New Roman"/>
                <w:color w:val="000000" w:themeColor="text1"/>
                <w:spacing w:val="-4"/>
                <w:sz w:val="22"/>
                <w:szCs w:val="22"/>
              </w:rPr>
              <w:footnoteReference w:id="34"/>
            </w:r>
            <w:r>
              <w:rPr>
                <w:color w:val="000000" w:themeColor="text1"/>
                <w:sz w:val="22"/>
              </w:rPr>
              <w:t xml:space="preserve"> (structured data) that is necessary to enable automated processes based on data analysis and is available to other institutions by submitting it to the MoEPRD.</w:t>
            </w:r>
          </w:p>
        </w:tc>
        <w:tc>
          <w:tcPr>
            <w:tcW w:w="2552" w:type="dxa"/>
            <w:shd w:val="clear" w:color="auto" w:fill="auto"/>
          </w:tcPr>
          <w:p w14:paraId="25771543" w14:textId="77777777" w:rsidR="00222FD2" w:rsidRPr="00222FD2" w:rsidRDefault="00222FD2" w:rsidP="00DF5EBA">
            <w:pPr>
              <w:jc w:val="both"/>
              <w:rPr>
                <w:rFonts w:cs="Times New Roman"/>
                <w:sz w:val="22"/>
                <w:szCs w:val="22"/>
              </w:rPr>
            </w:pPr>
            <w:r>
              <w:rPr>
                <w:sz w:val="22"/>
              </w:rPr>
              <w:t>Creation of a single information access point that will provide State administration institutions with data to be used in institutional data analysis solutions and core business processes to identify shadow economy risks.</w:t>
            </w:r>
          </w:p>
          <w:p w14:paraId="64776C00" w14:textId="77777777" w:rsidR="00222FD2" w:rsidRPr="00222FD2" w:rsidRDefault="00222FD2" w:rsidP="00DF5EBA">
            <w:pPr>
              <w:jc w:val="both"/>
              <w:rPr>
                <w:rFonts w:cs="Times New Roman"/>
                <w:sz w:val="22"/>
                <w:szCs w:val="22"/>
              </w:rPr>
            </w:pPr>
            <w:r>
              <w:rPr>
                <w:sz w:val="22"/>
              </w:rPr>
              <w:t>Improved data exchange between public authorities.</w:t>
            </w:r>
          </w:p>
          <w:p w14:paraId="0D239687" w14:textId="1662CB61" w:rsidR="00222FD2" w:rsidRPr="00222FD2" w:rsidRDefault="00222FD2" w:rsidP="00DF5EBA">
            <w:pPr>
              <w:jc w:val="both"/>
              <w:rPr>
                <w:rFonts w:cs="Times New Roman"/>
                <w:bCs/>
                <w:sz w:val="22"/>
                <w:szCs w:val="22"/>
              </w:rPr>
            </w:pPr>
          </w:p>
        </w:tc>
        <w:tc>
          <w:tcPr>
            <w:tcW w:w="1417" w:type="dxa"/>
            <w:shd w:val="clear" w:color="auto" w:fill="auto"/>
          </w:tcPr>
          <w:p w14:paraId="547732D6" w14:textId="77777777" w:rsidR="00222FD2" w:rsidRPr="00BA4056" w:rsidRDefault="00222FD2" w:rsidP="00DF5EBA">
            <w:pPr>
              <w:jc w:val="center"/>
              <w:rPr>
                <w:rFonts w:cs="Times New Roman"/>
                <w:sz w:val="22"/>
                <w:szCs w:val="22"/>
                <w:lang w:val="nb-NO"/>
              </w:rPr>
            </w:pPr>
            <w:r w:rsidRPr="00BA4056">
              <w:rPr>
                <w:sz w:val="22"/>
                <w:lang w:val="nb-NO"/>
              </w:rPr>
              <w:t>MoEPRD</w:t>
            </w:r>
          </w:p>
          <w:p w14:paraId="7BE618BA" w14:textId="77777777" w:rsidR="00222FD2" w:rsidRPr="00BA4056" w:rsidRDefault="00222FD2" w:rsidP="00DF5EBA">
            <w:pPr>
              <w:jc w:val="center"/>
              <w:rPr>
                <w:rFonts w:cs="Times New Roman"/>
                <w:sz w:val="22"/>
                <w:szCs w:val="22"/>
                <w:lang w:val="nb-NO"/>
              </w:rPr>
            </w:pPr>
          </w:p>
          <w:p w14:paraId="454F815E" w14:textId="77777777" w:rsidR="00222FD2" w:rsidRPr="00BA4056" w:rsidRDefault="00222FD2" w:rsidP="00DF5EBA">
            <w:pPr>
              <w:jc w:val="center"/>
              <w:rPr>
                <w:rFonts w:cs="Times New Roman"/>
                <w:sz w:val="22"/>
                <w:szCs w:val="22"/>
                <w:lang w:val="nb-NO"/>
              </w:rPr>
            </w:pPr>
          </w:p>
          <w:p w14:paraId="1622DF46" w14:textId="77777777" w:rsidR="00222FD2" w:rsidRPr="00BA4056" w:rsidRDefault="00222FD2" w:rsidP="00DF5EBA">
            <w:pPr>
              <w:jc w:val="center"/>
              <w:rPr>
                <w:rFonts w:cs="Times New Roman"/>
                <w:sz w:val="22"/>
                <w:szCs w:val="22"/>
                <w:lang w:val="nb-NO"/>
              </w:rPr>
            </w:pPr>
          </w:p>
          <w:p w14:paraId="52DC3807" w14:textId="77777777" w:rsidR="00222FD2" w:rsidRPr="00BA4056" w:rsidRDefault="00222FD2" w:rsidP="00DF5EBA">
            <w:pPr>
              <w:jc w:val="center"/>
              <w:rPr>
                <w:rFonts w:cs="Times New Roman"/>
                <w:color w:val="000000" w:themeColor="text1"/>
                <w:sz w:val="22"/>
                <w:szCs w:val="22"/>
                <w:lang w:val="nb-NO"/>
              </w:rPr>
            </w:pPr>
          </w:p>
          <w:p w14:paraId="655E35D7" w14:textId="77777777" w:rsidR="00222FD2" w:rsidRPr="00BA4056" w:rsidRDefault="00222FD2" w:rsidP="00DF5EBA">
            <w:pPr>
              <w:jc w:val="center"/>
              <w:rPr>
                <w:rFonts w:cs="Times New Roman"/>
                <w:color w:val="000000" w:themeColor="text1"/>
                <w:sz w:val="22"/>
                <w:szCs w:val="22"/>
                <w:lang w:val="nb-NO"/>
              </w:rPr>
            </w:pPr>
          </w:p>
          <w:p w14:paraId="6A445604" w14:textId="77777777" w:rsidR="00222FD2" w:rsidRPr="00BA4056" w:rsidRDefault="00222FD2" w:rsidP="00DF5EBA">
            <w:pPr>
              <w:jc w:val="center"/>
              <w:rPr>
                <w:rFonts w:cs="Times New Roman"/>
                <w:color w:val="000000" w:themeColor="text1"/>
                <w:sz w:val="22"/>
                <w:szCs w:val="22"/>
                <w:lang w:val="nb-NO"/>
              </w:rPr>
            </w:pPr>
            <w:r w:rsidRPr="00BA4056">
              <w:rPr>
                <w:color w:val="000000" w:themeColor="text1"/>
                <w:sz w:val="22"/>
                <w:lang w:val="nb-NO"/>
              </w:rPr>
              <w:t>MoT</w:t>
            </w:r>
          </w:p>
          <w:p w14:paraId="5AA4BA48" w14:textId="77777777" w:rsidR="00222FD2" w:rsidRPr="00BA4056" w:rsidRDefault="00222FD2" w:rsidP="00DF5EBA">
            <w:pPr>
              <w:jc w:val="center"/>
              <w:rPr>
                <w:rFonts w:cs="Times New Roman"/>
                <w:color w:val="000000" w:themeColor="text1"/>
                <w:sz w:val="22"/>
                <w:szCs w:val="22"/>
                <w:lang w:val="nb-NO"/>
              </w:rPr>
            </w:pPr>
            <w:r w:rsidRPr="00BA4056">
              <w:rPr>
                <w:color w:val="000000" w:themeColor="text1"/>
                <w:sz w:val="22"/>
                <w:lang w:val="nb-NO"/>
              </w:rPr>
              <w:t>SRS,</w:t>
            </w:r>
          </w:p>
          <w:p w14:paraId="7C8B4C65" w14:textId="77777777" w:rsidR="00222FD2" w:rsidRPr="00BA4056" w:rsidRDefault="00222FD2" w:rsidP="00DF5EBA">
            <w:pPr>
              <w:jc w:val="center"/>
              <w:rPr>
                <w:rFonts w:cs="Times New Roman"/>
                <w:color w:val="000000" w:themeColor="text1"/>
                <w:sz w:val="22"/>
                <w:szCs w:val="22"/>
                <w:lang w:val="nb-NO"/>
              </w:rPr>
            </w:pPr>
            <w:r w:rsidRPr="00BA4056">
              <w:rPr>
                <w:color w:val="000000" w:themeColor="text1"/>
                <w:sz w:val="22"/>
                <w:lang w:val="nb-NO"/>
              </w:rPr>
              <w:t>MoI IC,</w:t>
            </w:r>
          </w:p>
          <w:p w14:paraId="06FEC2A5" w14:textId="77777777" w:rsidR="00222FD2" w:rsidRPr="00BA4056" w:rsidRDefault="00222FD2" w:rsidP="00DF5EBA">
            <w:pPr>
              <w:jc w:val="center"/>
              <w:rPr>
                <w:rFonts w:cs="Times New Roman"/>
                <w:color w:val="000000" w:themeColor="text1"/>
                <w:sz w:val="22"/>
                <w:szCs w:val="22"/>
                <w:lang w:val="nb-NO"/>
              </w:rPr>
            </w:pPr>
          </w:p>
          <w:p w14:paraId="767DE278" w14:textId="52CC194F" w:rsidR="00222FD2" w:rsidRPr="00222FD2" w:rsidRDefault="00222FD2" w:rsidP="00DF5EBA">
            <w:pPr>
              <w:jc w:val="center"/>
              <w:rPr>
                <w:rFonts w:cs="Times New Roman"/>
                <w:bCs/>
                <w:sz w:val="22"/>
                <w:szCs w:val="22"/>
              </w:rPr>
            </w:pPr>
            <w:r>
              <w:rPr>
                <w:color w:val="000000" w:themeColor="text1"/>
                <w:sz w:val="22"/>
              </w:rPr>
              <w:t>MoES</w:t>
            </w:r>
            <w:r>
              <w:rPr>
                <w:sz w:val="22"/>
              </w:rPr>
              <w:t>,</w:t>
            </w:r>
          </w:p>
          <w:p w14:paraId="56660E14" w14:textId="768E02DE" w:rsidR="00222FD2" w:rsidRPr="00222FD2" w:rsidRDefault="00CE1FC5" w:rsidP="00DF5EBA">
            <w:pPr>
              <w:jc w:val="center"/>
              <w:rPr>
                <w:rFonts w:cs="Times New Roman"/>
                <w:bCs/>
                <w:sz w:val="22"/>
                <w:szCs w:val="22"/>
              </w:rPr>
            </w:pPr>
            <w:r>
              <w:rPr>
                <w:sz w:val="22"/>
              </w:rPr>
              <w:t>local governments,</w:t>
            </w:r>
          </w:p>
          <w:p w14:paraId="2952615B" w14:textId="2436F21B" w:rsidR="00222FD2" w:rsidRPr="00222FD2" w:rsidRDefault="00222FD2" w:rsidP="00DF5EBA">
            <w:pPr>
              <w:jc w:val="center"/>
              <w:rPr>
                <w:rFonts w:cs="Times New Roman"/>
                <w:bCs/>
                <w:sz w:val="22"/>
                <w:szCs w:val="22"/>
              </w:rPr>
            </w:pPr>
            <w:r>
              <w:rPr>
                <w:color w:val="000000" w:themeColor="text1"/>
                <w:sz w:val="22"/>
              </w:rPr>
              <w:t>SES</w:t>
            </w:r>
          </w:p>
        </w:tc>
        <w:tc>
          <w:tcPr>
            <w:tcW w:w="1418" w:type="dxa"/>
            <w:shd w:val="clear" w:color="auto" w:fill="auto"/>
          </w:tcPr>
          <w:p w14:paraId="4BC593FC" w14:textId="6AF2AB4E" w:rsidR="00222FD2" w:rsidRPr="00222FD2" w:rsidRDefault="00222FD2" w:rsidP="00DF5EBA">
            <w:pPr>
              <w:jc w:val="center"/>
              <w:rPr>
                <w:rFonts w:cs="Times New Roman"/>
                <w:bCs/>
                <w:sz w:val="22"/>
                <w:szCs w:val="22"/>
              </w:rPr>
            </w:pPr>
            <w:r>
              <w:rPr>
                <w:sz w:val="22"/>
              </w:rPr>
              <w:t>-</w:t>
            </w:r>
          </w:p>
        </w:tc>
        <w:tc>
          <w:tcPr>
            <w:tcW w:w="1417" w:type="dxa"/>
            <w:shd w:val="clear" w:color="auto" w:fill="auto"/>
          </w:tcPr>
          <w:p w14:paraId="75CB104D" w14:textId="7AA2C3B2" w:rsidR="00222FD2" w:rsidRPr="00222FD2" w:rsidRDefault="00222FD2" w:rsidP="00DF5EBA">
            <w:pPr>
              <w:jc w:val="right"/>
              <w:rPr>
                <w:rFonts w:cs="Times New Roman"/>
                <w:bCs/>
                <w:sz w:val="22"/>
                <w:szCs w:val="22"/>
              </w:rPr>
            </w:pPr>
            <w:r>
              <w:rPr>
                <w:sz w:val="22"/>
              </w:rPr>
              <w:t>30.12.2025</w:t>
            </w:r>
          </w:p>
        </w:tc>
      </w:tr>
      <w:tr w:rsidR="00E87849" w:rsidRPr="00DF5EBA" w14:paraId="0F7780CC" w14:textId="77777777" w:rsidTr="00DF5EBA">
        <w:trPr>
          <w:trHeight w:val="70"/>
        </w:trPr>
        <w:tc>
          <w:tcPr>
            <w:tcW w:w="753" w:type="dxa"/>
          </w:tcPr>
          <w:p w14:paraId="23579121" w14:textId="77777777" w:rsidR="00222FD2" w:rsidRPr="00DF5EBA" w:rsidRDefault="00222FD2" w:rsidP="00DF5EBA">
            <w:pPr>
              <w:ind w:right="-21"/>
              <w:rPr>
                <w:rFonts w:cs="Times New Roman"/>
                <w:bCs/>
                <w:sz w:val="22"/>
                <w:szCs w:val="22"/>
              </w:rPr>
            </w:pPr>
            <w:r>
              <w:rPr>
                <w:sz w:val="22"/>
              </w:rPr>
              <w:t>2.2.2.</w:t>
            </w:r>
          </w:p>
        </w:tc>
        <w:tc>
          <w:tcPr>
            <w:tcW w:w="3642" w:type="dxa"/>
            <w:shd w:val="clear" w:color="auto" w:fill="auto"/>
          </w:tcPr>
          <w:p w14:paraId="71675D40" w14:textId="77777777" w:rsidR="00222FD2" w:rsidRPr="00DF5EBA" w:rsidRDefault="00222FD2" w:rsidP="00DF5EBA">
            <w:pPr>
              <w:jc w:val="both"/>
              <w:rPr>
                <w:rFonts w:cs="Times New Roman"/>
                <w:color w:val="000000" w:themeColor="text1"/>
                <w:sz w:val="22"/>
                <w:szCs w:val="22"/>
              </w:rPr>
            </w:pPr>
            <w:r>
              <w:rPr>
                <w:color w:val="000000" w:themeColor="text1"/>
                <w:sz w:val="22"/>
              </w:rPr>
              <w:t>Integration of existent information systems by State and municipal authorities with the DAGR in order to start receiving data from other</w:t>
            </w:r>
            <w:r>
              <w:rPr>
                <w:sz w:val="22"/>
              </w:rPr>
              <w:t xml:space="preserve"> authorities that is necessary for the analysis and identification of the shadow economy risks in the core business processes.</w:t>
            </w:r>
          </w:p>
        </w:tc>
        <w:tc>
          <w:tcPr>
            <w:tcW w:w="4111" w:type="dxa"/>
          </w:tcPr>
          <w:p w14:paraId="343EF0D3" w14:textId="7FD33B9E" w:rsidR="00222FD2" w:rsidRPr="00DF5EBA" w:rsidRDefault="00222FD2" w:rsidP="00DF5EBA">
            <w:pPr>
              <w:keepNext/>
              <w:widowControl w:val="0"/>
              <w:jc w:val="both"/>
              <w:rPr>
                <w:rFonts w:cs="Times New Roman"/>
                <w:color w:val="000000" w:themeColor="text1"/>
                <w:spacing w:val="-6"/>
                <w:sz w:val="22"/>
                <w:szCs w:val="22"/>
              </w:rPr>
            </w:pPr>
            <w:r>
              <w:rPr>
                <w:sz w:val="22"/>
              </w:rPr>
              <w:t>The technical access rights of the DAGR will be ensured in accordance with the Data Protection Regulation, in the context of the rights enshrined in the legal framework.</w:t>
            </w:r>
          </w:p>
          <w:p w14:paraId="25715E48" w14:textId="42724146" w:rsidR="00222FD2" w:rsidRPr="00DF5EBA" w:rsidRDefault="00222FD2" w:rsidP="00DF5EBA">
            <w:pPr>
              <w:keepNext/>
              <w:widowControl w:val="0"/>
              <w:jc w:val="both"/>
              <w:rPr>
                <w:rFonts w:cs="Times New Roman"/>
                <w:color w:val="000000" w:themeColor="text1"/>
                <w:spacing w:val="-6"/>
                <w:sz w:val="22"/>
                <w:szCs w:val="22"/>
              </w:rPr>
            </w:pPr>
            <w:r>
              <w:rPr>
                <w:color w:val="000000" w:themeColor="text1"/>
                <w:sz w:val="22"/>
              </w:rPr>
              <w:t>Improvement of supervision measures and timely identification of risks in core business processes:</w:t>
            </w:r>
          </w:p>
          <w:p w14:paraId="5B7AE103" w14:textId="0E5FF828" w:rsidR="00DF5EBA" w:rsidRPr="00DF5EBA" w:rsidRDefault="00222FD2" w:rsidP="00DF5EBA">
            <w:pPr>
              <w:pStyle w:val="ListParagraph"/>
              <w:keepNext/>
              <w:widowControl w:val="0"/>
              <w:numPr>
                <w:ilvl w:val="0"/>
                <w:numId w:val="25"/>
              </w:numPr>
              <w:ind w:left="234" w:hanging="218"/>
              <w:jc w:val="both"/>
              <w:rPr>
                <w:rFonts w:cs="Times New Roman"/>
                <w:color w:val="000000" w:themeColor="text1"/>
                <w:spacing w:val="-6"/>
                <w:sz w:val="22"/>
                <w:szCs w:val="22"/>
              </w:rPr>
            </w:pPr>
            <w:r>
              <w:rPr>
                <w:color w:val="000000" w:themeColor="text1"/>
                <w:sz w:val="22"/>
              </w:rPr>
              <w:t>SRS;</w:t>
            </w:r>
          </w:p>
          <w:p w14:paraId="2CA6ACDE" w14:textId="0C638F2A" w:rsidR="00E87849" w:rsidRPr="00DF5EBA" w:rsidRDefault="00222FD2" w:rsidP="00DF5EBA">
            <w:pPr>
              <w:pStyle w:val="ListParagraph"/>
              <w:keepNext/>
              <w:widowControl w:val="0"/>
              <w:numPr>
                <w:ilvl w:val="0"/>
                <w:numId w:val="25"/>
              </w:numPr>
              <w:ind w:left="234" w:hanging="218"/>
              <w:jc w:val="both"/>
              <w:rPr>
                <w:rFonts w:cs="Times New Roman"/>
                <w:color w:val="000000" w:themeColor="text1"/>
                <w:spacing w:val="-6"/>
                <w:sz w:val="22"/>
                <w:szCs w:val="22"/>
              </w:rPr>
            </w:pPr>
            <w:r>
              <w:rPr>
                <w:color w:val="000000" w:themeColor="text1"/>
                <w:sz w:val="22"/>
              </w:rPr>
              <w:t>municipal registers (development can be ensured, including through EU funds</w:t>
            </w:r>
            <w:r w:rsidRPr="00DF5EBA">
              <w:rPr>
                <w:rStyle w:val="FootnoteReference"/>
                <w:rFonts w:cs="Times New Roman"/>
                <w:color w:val="000000" w:themeColor="text1"/>
                <w:spacing w:val="-6"/>
                <w:sz w:val="22"/>
                <w:szCs w:val="22"/>
              </w:rPr>
              <w:footnoteReference w:id="35"/>
            </w:r>
            <w:r>
              <w:rPr>
                <w:color w:val="000000" w:themeColor="text1"/>
                <w:sz w:val="22"/>
              </w:rPr>
              <w:t>).</w:t>
            </w:r>
          </w:p>
        </w:tc>
        <w:tc>
          <w:tcPr>
            <w:tcW w:w="2552" w:type="dxa"/>
          </w:tcPr>
          <w:p w14:paraId="3E92F41B" w14:textId="345DF28D" w:rsidR="00222FD2" w:rsidRPr="00DF5EBA" w:rsidRDefault="00222FD2" w:rsidP="00DF5EBA">
            <w:pPr>
              <w:jc w:val="both"/>
              <w:rPr>
                <w:rFonts w:cs="Times New Roman"/>
                <w:b/>
                <w:bCs/>
                <w:i/>
                <w:iCs/>
                <w:color w:val="000000" w:themeColor="text1"/>
                <w:sz w:val="22"/>
                <w:szCs w:val="22"/>
              </w:rPr>
            </w:pPr>
            <w:r>
              <w:rPr>
                <w:sz w:val="22"/>
              </w:rPr>
              <w:t>Creation of a single information access point that will provide State administration institutions with data to be used in institutional data analysis solutions and core business processes to identify shadow economy risks.</w:t>
            </w:r>
          </w:p>
        </w:tc>
        <w:tc>
          <w:tcPr>
            <w:tcW w:w="1417" w:type="dxa"/>
          </w:tcPr>
          <w:p w14:paraId="26AB8AD9" w14:textId="77777777" w:rsidR="00222FD2" w:rsidRPr="00DF5EBA" w:rsidRDefault="00222FD2" w:rsidP="00DF5EBA">
            <w:pPr>
              <w:jc w:val="center"/>
              <w:rPr>
                <w:rFonts w:cs="Times New Roman"/>
                <w:color w:val="000000" w:themeColor="text1"/>
                <w:sz w:val="22"/>
                <w:szCs w:val="22"/>
              </w:rPr>
            </w:pPr>
            <w:r>
              <w:rPr>
                <w:color w:val="000000" w:themeColor="text1"/>
                <w:sz w:val="22"/>
              </w:rPr>
              <w:t>MoEPRD</w:t>
            </w:r>
          </w:p>
          <w:p w14:paraId="1DFA74E9" w14:textId="77777777" w:rsidR="00222FD2" w:rsidRPr="00DF5EBA" w:rsidRDefault="00222FD2" w:rsidP="00DF5EBA">
            <w:pPr>
              <w:jc w:val="center"/>
              <w:rPr>
                <w:rFonts w:cs="Times New Roman"/>
                <w:color w:val="000000" w:themeColor="text1"/>
                <w:sz w:val="22"/>
                <w:szCs w:val="22"/>
              </w:rPr>
            </w:pPr>
          </w:p>
          <w:p w14:paraId="2C63CC76" w14:textId="77777777" w:rsidR="00222FD2" w:rsidRPr="00DF5EBA" w:rsidRDefault="00222FD2" w:rsidP="00DF5EBA">
            <w:pPr>
              <w:jc w:val="center"/>
              <w:rPr>
                <w:rFonts w:cs="Times New Roman"/>
                <w:color w:val="000000" w:themeColor="text1"/>
                <w:sz w:val="22"/>
                <w:szCs w:val="22"/>
              </w:rPr>
            </w:pPr>
          </w:p>
          <w:p w14:paraId="1D6D4115" w14:textId="77777777" w:rsidR="00222FD2" w:rsidRPr="00DF5EBA" w:rsidRDefault="00222FD2" w:rsidP="00DF5EBA">
            <w:pPr>
              <w:jc w:val="center"/>
              <w:rPr>
                <w:rFonts w:cs="Times New Roman"/>
                <w:color w:val="000000" w:themeColor="text1"/>
                <w:sz w:val="22"/>
                <w:szCs w:val="22"/>
              </w:rPr>
            </w:pPr>
          </w:p>
          <w:p w14:paraId="0E3DAAEE" w14:textId="77777777" w:rsidR="00222FD2" w:rsidRPr="00DF5EBA" w:rsidRDefault="00222FD2" w:rsidP="00DF5EBA">
            <w:pPr>
              <w:jc w:val="center"/>
              <w:rPr>
                <w:rFonts w:cs="Times New Roman"/>
                <w:color w:val="000000" w:themeColor="text1"/>
                <w:sz w:val="22"/>
                <w:szCs w:val="22"/>
              </w:rPr>
            </w:pPr>
          </w:p>
          <w:p w14:paraId="2820A8C8" w14:textId="7A90A92A" w:rsidR="00222FD2" w:rsidRPr="00DF5EBA" w:rsidRDefault="00222FD2" w:rsidP="00DF5EBA">
            <w:pPr>
              <w:jc w:val="center"/>
              <w:rPr>
                <w:rFonts w:cs="Times New Roman"/>
                <w:color w:val="000000" w:themeColor="text1"/>
                <w:sz w:val="22"/>
                <w:szCs w:val="22"/>
              </w:rPr>
            </w:pPr>
            <w:r>
              <w:rPr>
                <w:sz w:val="22"/>
              </w:rPr>
              <w:t>SRS</w:t>
            </w:r>
          </w:p>
          <w:p w14:paraId="388EEF20" w14:textId="34BCE6B4" w:rsidR="00222FD2" w:rsidRPr="00DF5EBA" w:rsidRDefault="00222FD2" w:rsidP="00DF5EBA">
            <w:pPr>
              <w:jc w:val="center"/>
              <w:rPr>
                <w:rFonts w:cs="Times New Roman"/>
                <w:sz w:val="22"/>
                <w:szCs w:val="22"/>
              </w:rPr>
            </w:pPr>
            <w:r>
              <w:rPr>
                <w:color w:val="000000" w:themeColor="text1"/>
                <w:sz w:val="22"/>
              </w:rPr>
              <w:t>local governments</w:t>
            </w:r>
          </w:p>
        </w:tc>
        <w:tc>
          <w:tcPr>
            <w:tcW w:w="1418" w:type="dxa"/>
          </w:tcPr>
          <w:p w14:paraId="7007775B" w14:textId="49EB9B9E" w:rsidR="00222FD2" w:rsidRPr="00DF5EBA" w:rsidRDefault="00222FD2" w:rsidP="00DF5EBA">
            <w:pPr>
              <w:jc w:val="center"/>
              <w:rPr>
                <w:rFonts w:cs="Times New Roman"/>
                <w:bCs/>
                <w:sz w:val="22"/>
                <w:szCs w:val="22"/>
              </w:rPr>
            </w:pPr>
            <w:r>
              <w:rPr>
                <w:color w:val="000000" w:themeColor="text1"/>
                <w:sz w:val="22"/>
              </w:rPr>
              <w:t>-</w:t>
            </w:r>
          </w:p>
          <w:p w14:paraId="4895FA0F" w14:textId="77777777" w:rsidR="00222FD2" w:rsidRPr="00DF5EBA" w:rsidRDefault="00222FD2" w:rsidP="00DF5EBA">
            <w:pPr>
              <w:jc w:val="center"/>
              <w:rPr>
                <w:rFonts w:cs="Times New Roman"/>
                <w:bCs/>
                <w:sz w:val="22"/>
                <w:szCs w:val="22"/>
              </w:rPr>
            </w:pPr>
          </w:p>
          <w:p w14:paraId="394D8EB8" w14:textId="77777777" w:rsidR="00222FD2" w:rsidRPr="00DF5EBA" w:rsidRDefault="00222FD2" w:rsidP="00DF5EBA">
            <w:pPr>
              <w:jc w:val="center"/>
              <w:rPr>
                <w:rFonts w:cs="Times New Roman"/>
                <w:bCs/>
                <w:sz w:val="22"/>
                <w:szCs w:val="22"/>
              </w:rPr>
            </w:pPr>
          </w:p>
          <w:p w14:paraId="42B0F3E4" w14:textId="77777777" w:rsidR="00222FD2" w:rsidRPr="00DF5EBA" w:rsidRDefault="00222FD2" w:rsidP="00DF5EBA">
            <w:pPr>
              <w:jc w:val="center"/>
              <w:rPr>
                <w:rFonts w:cs="Times New Roman"/>
                <w:bCs/>
                <w:sz w:val="22"/>
                <w:szCs w:val="22"/>
              </w:rPr>
            </w:pPr>
          </w:p>
          <w:p w14:paraId="7D72D786" w14:textId="77777777" w:rsidR="00222FD2" w:rsidRPr="00DF5EBA" w:rsidRDefault="00222FD2" w:rsidP="00DF5EBA">
            <w:pPr>
              <w:jc w:val="center"/>
              <w:rPr>
                <w:rFonts w:cs="Times New Roman"/>
                <w:bCs/>
                <w:sz w:val="22"/>
                <w:szCs w:val="22"/>
              </w:rPr>
            </w:pPr>
          </w:p>
          <w:p w14:paraId="4817EC08" w14:textId="77777777" w:rsidR="00222FD2" w:rsidRPr="00DF5EBA" w:rsidRDefault="00222FD2" w:rsidP="00DF5EBA">
            <w:pPr>
              <w:jc w:val="center"/>
              <w:rPr>
                <w:rFonts w:cs="Times New Roman"/>
                <w:bCs/>
                <w:sz w:val="22"/>
                <w:szCs w:val="22"/>
              </w:rPr>
            </w:pPr>
          </w:p>
          <w:p w14:paraId="5E787A30" w14:textId="5598337B" w:rsidR="00222FD2" w:rsidRPr="00DF5EBA" w:rsidRDefault="00222FD2" w:rsidP="00DF5EBA">
            <w:pPr>
              <w:jc w:val="center"/>
              <w:rPr>
                <w:rFonts w:cs="Times New Roman"/>
                <w:bCs/>
                <w:sz w:val="22"/>
                <w:szCs w:val="22"/>
              </w:rPr>
            </w:pPr>
          </w:p>
        </w:tc>
        <w:tc>
          <w:tcPr>
            <w:tcW w:w="1417" w:type="dxa"/>
          </w:tcPr>
          <w:p w14:paraId="4EF45BED" w14:textId="77777777" w:rsidR="00222FD2" w:rsidRPr="00DF5EBA" w:rsidRDefault="00222FD2" w:rsidP="00DF5EBA">
            <w:pPr>
              <w:jc w:val="right"/>
              <w:rPr>
                <w:rFonts w:cs="Times New Roman"/>
                <w:sz w:val="22"/>
                <w:szCs w:val="22"/>
              </w:rPr>
            </w:pPr>
            <w:r>
              <w:rPr>
                <w:sz w:val="22"/>
              </w:rPr>
              <w:t>31.12.2025</w:t>
            </w:r>
          </w:p>
        </w:tc>
      </w:tr>
      <w:tr w:rsidR="00E87849" w:rsidRPr="00222FD2" w14:paraId="709278BB" w14:textId="77777777" w:rsidTr="00E87849">
        <w:trPr>
          <w:trHeight w:val="144"/>
        </w:trPr>
        <w:tc>
          <w:tcPr>
            <w:tcW w:w="753" w:type="dxa"/>
          </w:tcPr>
          <w:p w14:paraId="43F9E256" w14:textId="411A5025" w:rsidR="00222FD2" w:rsidRPr="00222FD2" w:rsidRDefault="00222FD2" w:rsidP="00222FD2">
            <w:pPr>
              <w:rPr>
                <w:rFonts w:cs="Times New Roman"/>
                <w:bCs/>
                <w:sz w:val="22"/>
                <w:szCs w:val="22"/>
              </w:rPr>
            </w:pPr>
            <w:bookmarkStart w:id="40" w:name="_Hlk154742297"/>
            <w:r>
              <w:rPr>
                <w:sz w:val="22"/>
              </w:rPr>
              <w:t>2.2.3.</w:t>
            </w:r>
          </w:p>
        </w:tc>
        <w:tc>
          <w:tcPr>
            <w:tcW w:w="3642" w:type="dxa"/>
            <w:shd w:val="clear" w:color="auto" w:fill="auto"/>
          </w:tcPr>
          <w:p w14:paraId="646CE22B" w14:textId="3D853FBF" w:rsidR="00222FD2" w:rsidRPr="00222FD2" w:rsidRDefault="00222FD2" w:rsidP="00222FD2">
            <w:pPr>
              <w:jc w:val="both"/>
              <w:rPr>
                <w:rFonts w:cs="Times New Roman"/>
                <w:b/>
                <w:bCs/>
                <w:sz w:val="22"/>
                <w:szCs w:val="22"/>
              </w:rPr>
            </w:pPr>
            <w:r>
              <w:rPr>
                <w:sz w:val="22"/>
              </w:rPr>
              <w:t xml:space="preserve">The possibility to improve data exchange between the SRS and the Latvian Insurers Association assessed. </w:t>
            </w:r>
          </w:p>
        </w:tc>
        <w:tc>
          <w:tcPr>
            <w:tcW w:w="4111" w:type="dxa"/>
          </w:tcPr>
          <w:p w14:paraId="402D7F29" w14:textId="4F087B81" w:rsidR="00222FD2" w:rsidRPr="00222FD2" w:rsidRDefault="00222FD2" w:rsidP="00222FD2">
            <w:pPr>
              <w:jc w:val="both"/>
              <w:rPr>
                <w:rFonts w:cs="Times New Roman"/>
                <w:sz w:val="22"/>
                <w:szCs w:val="22"/>
              </w:rPr>
            </w:pPr>
            <w:r>
              <w:rPr>
                <w:sz w:val="22"/>
              </w:rPr>
              <w:t xml:space="preserve">Possibilities to improve data exchange between the SRS and Latvian insurance companies assessed. </w:t>
            </w:r>
          </w:p>
          <w:p w14:paraId="24772DAD" w14:textId="38A83B93" w:rsidR="00B02E2A" w:rsidRPr="00B02E2A" w:rsidRDefault="00222FD2" w:rsidP="00222FD2">
            <w:pPr>
              <w:jc w:val="both"/>
              <w:rPr>
                <w:rFonts w:cs="Times New Roman"/>
                <w:sz w:val="22"/>
                <w:szCs w:val="22"/>
              </w:rPr>
            </w:pPr>
            <w:r>
              <w:rPr>
                <w:sz w:val="22"/>
              </w:rPr>
              <w:t xml:space="preserve">Potential risks related to the processing of personal data assessed and the necessary amendments to the laws and regulations identified. </w:t>
            </w:r>
          </w:p>
        </w:tc>
        <w:tc>
          <w:tcPr>
            <w:tcW w:w="2552" w:type="dxa"/>
          </w:tcPr>
          <w:p w14:paraId="16344028" w14:textId="1240D0B5" w:rsidR="00222FD2" w:rsidRPr="00222FD2" w:rsidRDefault="00222FD2" w:rsidP="00732F30">
            <w:pPr>
              <w:jc w:val="both"/>
              <w:rPr>
                <w:rFonts w:cs="Times New Roman"/>
                <w:color w:val="000000" w:themeColor="text1"/>
                <w:sz w:val="22"/>
                <w:szCs w:val="22"/>
              </w:rPr>
            </w:pPr>
            <w:r>
              <w:rPr>
                <w:color w:val="000000" w:themeColor="text1"/>
                <w:sz w:val="22"/>
              </w:rPr>
              <w:t>Solutions to improve data exchange identified.</w:t>
            </w:r>
          </w:p>
        </w:tc>
        <w:tc>
          <w:tcPr>
            <w:tcW w:w="1417" w:type="dxa"/>
          </w:tcPr>
          <w:p w14:paraId="6D8DE9EA" w14:textId="49CAB65D" w:rsidR="00222FD2" w:rsidRPr="00222FD2" w:rsidRDefault="00222FD2" w:rsidP="00222FD2">
            <w:pPr>
              <w:jc w:val="center"/>
              <w:rPr>
                <w:rFonts w:cs="Times New Roman"/>
                <w:sz w:val="22"/>
                <w:szCs w:val="22"/>
              </w:rPr>
            </w:pPr>
            <w:r>
              <w:rPr>
                <w:sz w:val="22"/>
              </w:rPr>
              <w:t>SRS,</w:t>
            </w:r>
          </w:p>
          <w:p w14:paraId="7853965D" w14:textId="00C2F8B6" w:rsidR="00222FD2" w:rsidRPr="00222FD2" w:rsidRDefault="00222FD2" w:rsidP="00222FD2">
            <w:pPr>
              <w:jc w:val="center"/>
              <w:rPr>
                <w:rFonts w:cs="Times New Roman"/>
                <w:sz w:val="22"/>
                <w:szCs w:val="22"/>
              </w:rPr>
            </w:pPr>
            <w:r>
              <w:rPr>
                <w:sz w:val="22"/>
              </w:rPr>
              <w:t>MoF,</w:t>
            </w:r>
          </w:p>
          <w:p w14:paraId="39BC5E67" w14:textId="3E4CEE75" w:rsidR="00222FD2" w:rsidRPr="00222FD2" w:rsidRDefault="00222FD2" w:rsidP="00222FD2">
            <w:pPr>
              <w:jc w:val="center"/>
              <w:rPr>
                <w:rFonts w:cs="Times New Roman"/>
                <w:sz w:val="22"/>
                <w:szCs w:val="22"/>
              </w:rPr>
            </w:pPr>
            <w:r>
              <w:rPr>
                <w:sz w:val="22"/>
              </w:rPr>
              <w:t>LIA</w:t>
            </w:r>
          </w:p>
          <w:p w14:paraId="0A7E6F8F" w14:textId="6C093B28" w:rsidR="00222FD2" w:rsidRPr="00222FD2" w:rsidRDefault="00222FD2" w:rsidP="00222FD2">
            <w:pPr>
              <w:jc w:val="center"/>
              <w:rPr>
                <w:rFonts w:cs="Times New Roman"/>
                <w:bCs/>
                <w:sz w:val="22"/>
                <w:szCs w:val="22"/>
              </w:rPr>
            </w:pPr>
          </w:p>
        </w:tc>
        <w:tc>
          <w:tcPr>
            <w:tcW w:w="1418" w:type="dxa"/>
          </w:tcPr>
          <w:p w14:paraId="64E96B4E" w14:textId="77777777" w:rsidR="00222FD2" w:rsidRPr="00222FD2" w:rsidRDefault="00222FD2" w:rsidP="00222FD2">
            <w:pPr>
              <w:jc w:val="center"/>
              <w:rPr>
                <w:rFonts w:cs="Times New Roman"/>
                <w:bCs/>
                <w:sz w:val="22"/>
                <w:szCs w:val="22"/>
              </w:rPr>
            </w:pPr>
            <w:r>
              <w:rPr>
                <w:sz w:val="22"/>
              </w:rPr>
              <w:t>DSI</w:t>
            </w:r>
          </w:p>
          <w:p w14:paraId="2F8A8822" w14:textId="79DCAA51" w:rsidR="00222FD2" w:rsidRPr="00222FD2" w:rsidRDefault="00222FD2" w:rsidP="00222FD2">
            <w:pPr>
              <w:jc w:val="center"/>
              <w:rPr>
                <w:rFonts w:cs="Times New Roman"/>
                <w:bCs/>
                <w:sz w:val="22"/>
                <w:szCs w:val="22"/>
              </w:rPr>
            </w:pPr>
          </w:p>
        </w:tc>
        <w:tc>
          <w:tcPr>
            <w:tcW w:w="1417" w:type="dxa"/>
          </w:tcPr>
          <w:p w14:paraId="64140F0E" w14:textId="2E0AF491" w:rsidR="00222FD2" w:rsidRPr="00222FD2" w:rsidRDefault="00222FD2" w:rsidP="00222FD2">
            <w:pPr>
              <w:jc w:val="right"/>
              <w:rPr>
                <w:rFonts w:cs="Times New Roman"/>
                <w:bCs/>
                <w:sz w:val="22"/>
                <w:szCs w:val="22"/>
              </w:rPr>
            </w:pPr>
            <w:r>
              <w:rPr>
                <w:color w:val="000000" w:themeColor="text1"/>
                <w:sz w:val="22"/>
              </w:rPr>
              <w:t>30.12.2025</w:t>
            </w:r>
          </w:p>
        </w:tc>
      </w:tr>
      <w:bookmarkEnd w:id="40"/>
      <w:tr w:rsidR="00222FD2" w:rsidRPr="00222FD2" w14:paraId="76DC3A61" w14:textId="77777777" w:rsidTr="00E87849">
        <w:trPr>
          <w:cantSplit/>
          <w:trHeight w:val="505"/>
        </w:trPr>
        <w:tc>
          <w:tcPr>
            <w:tcW w:w="753" w:type="dxa"/>
          </w:tcPr>
          <w:p w14:paraId="3E2E864F" w14:textId="77777777" w:rsidR="00222FD2" w:rsidRPr="00222FD2" w:rsidRDefault="00222FD2" w:rsidP="00222FD2">
            <w:pPr>
              <w:ind w:right="-21"/>
              <w:rPr>
                <w:rFonts w:cs="Times New Roman"/>
                <w:bCs/>
                <w:sz w:val="22"/>
                <w:szCs w:val="22"/>
              </w:rPr>
            </w:pPr>
            <w:r>
              <w:rPr>
                <w:sz w:val="22"/>
              </w:rPr>
              <w:t>2.2.4.</w:t>
            </w:r>
          </w:p>
        </w:tc>
        <w:tc>
          <w:tcPr>
            <w:tcW w:w="3642" w:type="dxa"/>
            <w:shd w:val="clear" w:color="auto" w:fill="auto"/>
          </w:tcPr>
          <w:p w14:paraId="19E35F97" w14:textId="77777777" w:rsidR="00222FD2" w:rsidRPr="00222FD2" w:rsidRDefault="00222FD2" w:rsidP="00222FD2">
            <w:pPr>
              <w:jc w:val="both"/>
              <w:rPr>
                <w:rFonts w:cs="Times New Roman"/>
                <w:sz w:val="22"/>
                <w:szCs w:val="22"/>
              </w:rPr>
            </w:pPr>
            <w:r>
              <w:rPr>
                <w:sz w:val="22"/>
              </w:rPr>
              <w:t>Expansion of the SRS database</w:t>
            </w:r>
            <w:bookmarkStart w:id="41" w:name="_Hlk128507814"/>
            <w:r>
              <w:rPr>
                <w:sz w:val="22"/>
              </w:rPr>
              <w:t>.</w:t>
            </w:r>
            <w:bookmarkEnd w:id="41"/>
          </w:p>
        </w:tc>
        <w:tc>
          <w:tcPr>
            <w:tcW w:w="4111" w:type="dxa"/>
          </w:tcPr>
          <w:p w14:paraId="1312162F" w14:textId="77777777" w:rsidR="00222FD2" w:rsidRDefault="00222FD2" w:rsidP="00222FD2">
            <w:pPr>
              <w:jc w:val="both"/>
              <w:rPr>
                <w:rFonts w:cs="Times New Roman"/>
                <w:color w:val="000000" w:themeColor="text1"/>
                <w:sz w:val="22"/>
                <w:szCs w:val="22"/>
              </w:rPr>
            </w:pPr>
            <w:r>
              <w:rPr>
                <w:color w:val="000000"/>
                <w:sz w:val="22"/>
              </w:rPr>
              <w:t>Amendments to the law On Taxes and Fees have been drafted, envisaging the publishing of quarterly information on the total amount of taxes paid by merchants, separately indicating the total amount of PIT and MSSIC, and also the average number of persons employed.</w:t>
            </w:r>
          </w:p>
          <w:p w14:paraId="42D6E3FF" w14:textId="6580EC45" w:rsidR="004C2DAE" w:rsidRPr="00222FD2" w:rsidRDefault="004C2DAE" w:rsidP="00222FD2">
            <w:pPr>
              <w:jc w:val="both"/>
              <w:rPr>
                <w:rFonts w:cs="Times New Roman"/>
                <w:color w:val="000000" w:themeColor="text1"/>
                <w:sz w:val="22"/>
                <w:szCs w:val="22"/>
              </w:rPr>
            </w:pPr>
          </w:p>
        </w:tc>
        <w:tc>
          <w:tcPr>
            <w:tcW w:w="2552" w:type="dxa"/>
          </w:tcPr>
          <w:p w14:paraId="2109CA88" w14:textId="27BCD085" w:rsidR="00222FD2" w:rsidRPr="00222FD2" w:rsidRDefault="00222FD2" w:rsidP="00222FD2">
            <w:pPr>
              <w:jc w:val="both"/>
              <w:rPr>
                <w:rFonts w:cs="Times New Roman"/>
                <w:color w:val="000000" w:themeColor="text1"/>
                <w:sz w:val="22"/>
                <w:szCs w:val="22"/>
              </w:rPr>
            </w:pPr>
            <w:r>
              <w:rPr>
                <w:sz w:val="22"/>
              </w:rPr>
              <w:t>Public transparency in the collection of taxes (fees) ensured</w:t>
            </w:r>
            <w:r>
              <w:rPr>
                <w:color w:val="000000" w:themeColor="text1"/>
                <w:sz w:val="22"/>
              </w:rPr>
              <w:t>, the public, cooperation and business partners informed.</w:t>
            </w:r>
          </w:p>
        </w:tc>
        <w:tc>
          <w:tcPr>
            <w:tcW w:w="1417" w:type="dxa"/>
          </w:tcPr>
          <w:p w14:paraId="0FAB7B75" w14:textId="77777777" w:rsidR="00222FD2" w:rsidRPr="00222FD2" w:rsidRDefault="00222FD2" w:rsidP="00222FD2">
            <w:pPr>
              <w:jc w:val="center"/>
              <w:rPr>
                <w:rFonts w:cs="Times New Roman"/>
                <w:bCs/>
                <w:sz w:val="22"/>
                <w:szCs w:val="22"/>
              </w:rPr>
            </w:pPr>
            <w:r>
              <w:rPr>
                <w:sz w:val="22"/>
              </w:rPr>
              <w:t>MoF</w:t>
            </w:r>
          </w:p>
        </w:tc>
        <w:tc>
          <w:tcPr>
            <w:tcW w:w="1418" w:type="dxa"/>
          </w:tcPr>
          <w:p w14:paraId="40ABE5E3" w14:textId="77777777" w:rsidR="00222FD2" w:rsidRPr="00222FD2" w:rsidRDefault="00222FD2" w:rsidP="00222FD2">
            <w:pPr>
              <w:jc w:val="center"/>
              <w:rPr>
                <w:rFonts w:cs="Times New Roman"/>
                <w:bCs/>
                <w:sz w:val="22"/>
                <w:szCs w:val="22"/>
              </w:rPr>
            </w:pPr>
            <w:r>
              <w:rPr>
                <w:sz w:val="22"/>
              </w:rPr>
              <w:t>SRS</w:t>
            </w:r>
          </w:p>
        </w:tc>
        <w:tc>
          <w:tcPr>
            <w:tcW w:w="1417" w:type="dxa"/>
          </w:tcPr>
          <w:p w14:paraId="1D9EF9A7" w14:textId="77777777" w:rsidR="00222FD2" w:rsidRPr="00222FD2" w:rsidRDefault="00222FD2" w:rsidP="00222FD2">
            <w:pPr>
              <w:jc w:val="right"/>
              <w:rPr>
                <w:rFonts w:cs="Times New Roman"/>
                <w:bCs/>
                <w:sz w:val="22"/>
                <w:szCs w:val="22"/>
              </w:rPr>
            </w:pPr>
            <w:r>
              <w:rPr>
                <w:sz w:val="22"/>
              </w:rPr>
              <w:t>30.12.2025</w:t>
            </w:r>
          </w:p>
        </w:tc>
      </w:tr>
      <w:tr w:rsidR="00E87849" w:rsidRPr="00222FD2" w14:paraId="4D7180BE" w14:textId="77777777" w:rsidTr="00E87849">
        <w:trPr>
          <w:trHeight w:val="505"/>
        </w:trPr>
        <w:tc>
          <w:tcPr>
            <w:tcW w:w="753" w:type="dxa"/>
          </w:tcPr>
          <w:p w14:paraId="5FEE8AB6" w14:textId="40F6F751" w:rsidR="00222FD2" w:rsidRPr="00222FD2" w:rsidRDefault="00222FD2" w:rsidP="00222FD2">
            <w:pPr>
              <w:ind w:right="-21"/>
              <w:rPr>
                <w:rFonts w:cs="Times New Roman"/>
                <w:bCs/>
                <w:sz w:val="22"/>
                <w:szCs w:val="22"/>
              </w:rPr>
            </w:pPr>
            <w:r>
              <w:rPr>
                <w:sz w:val="22"/>
              </w:rPr>
              <w:t>2.2.5.</w:t>
            </w:r>
          </w:p>
        </w:tc>
        <w:tc>
          <w:tcPr>
            <w:tcW w:w="3642" w:type="dxa"/>
            <w:shd w:val="clear" w:color="auto" w:fill="auto"/>
          </w:tcPr>
          <w:p w14:paraId="5D4C598F" w14:textId="5A375BE6" w:rsidR="00222FD2" w:rsidRPr="00222FD2" w:rsidRDefault="00222FD2" w:rsidP="00222FD2">
            <w:pPr>
              <w:jc w:val="both"/>
              <w:rPr>
                <w:rFonts w:cs="Times New Roman"/>
                <w:sz w:val="22"/>
                <w:szCs w:val="22"/>
              </w:rPr>
            </w:pPr>
            <w:r>
              <w:rPr>
                <w:sz w:val="22"/>
              </w:rPr>
              <w:t>Communicating to the public the benefits of fully declared labour and the risks of insufficient payment of labour taxes.</w:t>
            </w:r>
          </w:p>
        </w:tc>
        <w:tc>
          <w:tcPr>
            <w:tcW w:w="4111" w:type="dxa"/>
          </w:tcPr>
          <w:p w14:paraId="770343F9" w14:textId="0B5E8E34" w:rsidR="00222FD2" w:rsidRPr="00222FD2" w:rsidRDefault="00222FD2" w:rsidP="004C2DAE">
            <w:pPr>
              <w:tabs>
                <w:tab w:val="left" w:pos="376"/>
              </w:tabs>
              <w:ind w:firstLine="92"/>
              <w:jc w:val="both"/>
              <w:rPr>
                <w:rFonts w:cs="Times New Roman"/>
                <w:sz w:val="22"/>
                <w:szCs w:val="22"/>
              </w:rPr>
            </w:pPr>
            <w:r>
              <w:rPr>
                <w:sz w:val="22"/>
              </w:rPr>
              <w:t>1.</w:t>
            </w:r>
            <w:r>
              <w:rPr>
                <w:sz w:val="22"/>
              </w:rPr>
              <w:tab/>
              <w:t>Development of a visual tool to show the negative impact of not fully declaring taxes and social contributions on an individual.</w:t>
            </w:r>
          </w:p>
          <w:p w14:paraId="5353A6C2" w14:textId="77777777" w:rsidR="00222FD2" w:rsidRPr="00222FD2" w:rsidRDefault="00222FD2" w:rsidP="004C2DAE">
            <w:pPr>
              <w:tabs>
                <w:tab w:val="left" w:pos="376"/>
              </w:tabs>
              <w:ind w:firstLine="92"/>
              <w:jc w:val="both"/>
              <w:rPr>
                <w:rFonts w:cs="Times New Roman"/>
                <w:sz w:val="22"/>
                <w:szCs w:val="22"/>
              </w:rPr>
            </w:pPr>
            <w:r>
              <w:rPr>
                <w:sz w:val="22"/>
              </w:rPr>
              <w:t>2.</w:t>
            </w:r>
            <w:r>
              <w:rPr>
                <w:sz w:val="22"/>
              </w:rPr>
              <w:tab/>
              <w:t>Youth-targeted informative campaign ‘Where is my money?’ on the importance of a tax-paying culture and compliance with labour laws, involving the SRS in various youth education activities and training for school-age children as part of ‘Ready for Life’.</w:t>
            </w:r>
          </w:p>
          <w:p w14:paraId="78914712" w14:textId="77777777" w:rsidR="00B02E2A" w:rsidRDefault="00222FD2" w:rsidP="00B02E2A">
            <w:pPr>
              <w:tabs>
                <w:tab w:val="left" w:pos="376"/>
              </w:tabs>
              <w:ind w:firstLine="92"/>
              <w:jc w:val="both"/>
              <w:rPr>
                <w:rFonts w:cs="Times New Roman"/>
                <w:sz w:val="22"/>
                <w:szCs w:val="22"/>
              </w:rPr>
            </w:pPr>
            <w:r>
              <w:rPr>
                <w:sz w:val="22"/>
              </w:rPr>
              <w:t>3.</w:t>
            </w:r>
            <w:r>
              <w:rPr>
                <w:sz w:val="22"/>
              </w:rPr>
              <w:tab/>
              <w:t>Informing taxpayers about how tax money is spent (infographics, press releases, etc.), improving understanding of how budgets are used for public services, raising tax morale.</w:t>
            </w:r>
          </w:p>
          <w:p w14:paraId="55149CF0" w14:textId="5E91533E" w:rsidR="00B02E2A" w:rsidRPr="00222FD2" w:rsidRDefault="00B02E2A" w:rsidP="00B02E2A">
            <w:pPr>
              <w:tabs>
                <w:tab w:val="left" w:pos="376"/>
              </w:tabs>
              <w:jc w:val="both"/>
              <w:rPr>
                <w:rFonts w:cs="Times New Roman"/>
                <w:sz w:val="22"/>
                <w:szCs w:val="22"/>
              </w:rPr>
            </w:pPr>
          </w:p>
        </w:tc>
        <w:tc>
          <w:tcPr>
            <w:tcW w:w="2552" w:type="dxa"/>
          </w:tcPr>
          <w:p w14:paraId="59F6FF01" w14:textId="77777777" w:rsidR="00222FD2" w:rsidRPr="00222FD2" w:rsidRDefault="00222FD2" w:rsidP="00BA723B">
            <w:pPr>
              <w:tabs>
                <w:tab w:val="left" w:pos="235"/>
              </w:tabs>
              <w:jc w:val="both"/>
              <w:rPr>
                <w:rFonts w:cs="Times New Roman"/>
                <w:sz w:val="22"/>
                <w:szCs w:val="22"/>
              </w:rPr>
            </w:pPr>
            <w:r>
              <w:rPr>
                <w:sz w:val="22"/>
              </w:rPr>
              <w:t xml:space="preserve">1. Improved understanding among youth of the benefits of paying taxes and the advantages of receiving public services. </w:t>
            </w:r>
          </w:p>
          <w:p w14:paraId="12D582CD" w14:textId="73A1B482" w:rsidR="00222FD2" w:rsidRPr="00222FD2" w:rsidRDefault="00222FD2" w:rsidP="00BA723B">
            <w:pPr>
              <w:tabs>
                <w:tab w:val="left" w:pos="235"/>
              </w:tabs>
              <w:jc w:val="both"/>
              <w:rPr>
                <w:rFonts w:cs="Times New Roman"/>
                <w:sz w:val="22"/>
                <w:szCs w:val="22"/>
              </w:rPr>
            </w:pPr>
            <w:r>
              <w:rPr>
                <w:sz w:val="22"/>
              </w:rPr>
              <w:t>2. Number of information and educational events organised.</w:t>
            </w:r>
          </w:p>
        </w:tc>
        <w:tc>
          <w:tcPr>
            <w:tcW w:w="1417" w:type="dxa"/>
          </w:tcPr>
          <w:p w14:paraId="0B1F6BB8" w14:textId="77777777" w:rsidR="00222FD2" w:rsidRPr="00222FD2" w:rsidRDefault="00222FD2" w:rsidP="00222FD2">
            <w:pPr>
              <w:jc w:val="center"/>
              <w:rPr>
                <w:rFonts w:cs="Times New Roman"/>
                <w:bCs/>
                <w:sz w:val="22"/>
                <w:szCs w:val="22"/>
              </w:rPr>
            </w:pPr>
            <w:r>
              <w:rPr>
                <w:sz w:val="22"/>
              </w:rPr>
              <w:t xml:space="preserve">SRS, </w:t>
            </w:r>
          </w:p>
          <w:p w14:paraId="24079D42" w14:textId="0E667190" w:rsidR="00222FD2" w:rsidRPr="00222FD2" w:rsidRDefault="00222FD2" w:rsidP="00222FD2">
            <w:pPr>
              <w:jc w:val="center"/>
              <w:rPr>
                <w:rFonts w:cs="Times New Roman"/>
                <w:bCs/>
                <w:sz w:val="22"/>
                <w:szCs w:val="22"/>
              </w:rPr>
            </w:pPr>
            <w:r>
              <w:rPr>
                <w:sz w:val="22"/>
              </w:rPr>
              <w:t>MoF</w:t>
            </w:r>
          </w:p>
        </w:tc>
        <w:tc>
          <w:tcPr>
            <w:tcW w:w="1418" w:type="dxa"/>
          </w:tcPr>
          <w:p w14:paraId="5328BBF3" w14:textId="2BC5774B" w:rsidR="00222FD2" w:rsidRPr="00222FD2" w:rsidRDefault="00222FD2" w:rsidP="00222FD2">
            <w:pPr>
              <w:jc w:val="center"/>
              <w:rPr>
                <w:rFonts w:cs="Times New Roman"/>
                <w:bCs/>
                <w:sz w:val="22"/>
                <w:szCs w:val="22"/>
              </w:rPr>
            </w:pPr>
            <w:r>
              <w:rPr>
                <w:sz w:val="22"/>
              </w:rPr>
              <w:t>-</w:t>
            </w:r>
          </w:p>
        </w:tc>
        <w:tc>
          <w:tcPr>
            <w:tcW w:w="1417" w:type="dxa"/>
          </w:tcPr>
          <w:p w14:paraId="5CBF4459" w14:textId="1745B162" w:rsidR="00222FD2" w:rsidRPr="00222FD2" w:rsidRDefault="00222FD2" w:rsidP="00222FD2">
            <w:pPr>
              <w:jc w:val="right"/>
              <w:rPr>
                <w:rFonts w:cs="Times New Roman"/>
                <w:bCs/>
                <w:sz w:val="22"/>
                <w:szCs w:val="22"/>
              </w:rPr>
            </w:pPr>
            <w:r>
              <w:rPr>
                <w:sz w:val="22"/>
              </w:rPr>
              <w:t>30.12.2027</w:t>
            </w:r>
          </w:p>
        </w:tc>
      </w:tr>
      <w:tr w:rsidR="00222FD2" w:rsidRPr="00222FD2" w14:paraId="3A60ED86" w14:textId="77777777" w:rsidTr="003C1C7B">
        <w:trPr>
          <w:trHeight w:val="397"/>
        </w:trPr>
        <w:tc>
          <w:tcPr>
            <w:tcW w:w="11058" w:type="dxa"/>
            <w:gridSpan w:val="4"/>
            <w:shd w:val="clear" w:color="auto" w:fill="A8D08D" w:themeFill="accent6" w:themeFillTint="99"/>
            <w:vAlign w:val="center"/>
          </w:tcPr>
          <w:p w14:paraId="0AC8D803" w14:textId="056D2A03" w:rsidR="00222FD2" w:rsidRPr="00222FD2" w:rsidRDefault="00222FD2" w:rsidP="00222FD2">
            <w:pPr>
              <w:rPr>
                <w:rFonts w:cs="Times New Roman"/>
                <w:bCs/>
                <w:color w:val="000000" w:themeColor="text1"/>
                <w:sz w:val="22"/>
                <w:szCs w:val="22"/>
              </w:rPr>
            </w:pPr>
            <w:r>
              <w:rPr>
                <w:color w:val="000000" w:themeColor="text1"/>
                <w:sz w:val="22"/>
              </w:rPr>
              <w:t xml:space="preserve">Course of Action 3 – </w:t>
            </w:r>
            <w:r>
              <w:rPr>
                <w:b/>
                <w:bCs/>
                <w:color w:val="000000" w:themeColor="text1"/>
                <w:sz w:val="22"/>
              </w:rPr>
              <w:t>Measures in the construction sector.</w:t>
            </w:r>
            <w:r>
              <w:rPr>
                <w:color w:val="000000" w:themeColor="text1"/>
                <w:sz w:val="22"/>
              </w:rPr>
              <w:t xml:space="preserve"> </w:t>
            </w:r>
          </w:p>
        </w:tc>
        <w:tc>
          <w:tcPr>
            <w:tcW w:w="4252" w:type="dxa"/>
            <w:gridSpan w:val="3"/>
            <w:shd w:val="clear" w:color="auto" w:fill="A8D08D" w:themeFill="accent6" w:themeFillTint="99"/>
            <w:vAlign w:val="center"/>
          </w:tcPr>
          <w:p w14:paraId="79B89CB6" w14:textId="37C1FFE1" w:rsidR="00222FD2" w:rsidRPr="00222FD2" w:rsidRDefault="00222FD2" w:rsidP="00222FD2">
            <w:pPr>
              <w:rPr>
                <w:rFonts w:cs="Times New Roman"/>
                <w:bCs/>
                <w:color w:val="000000" w:themeColor="text1"/>
                <w:sz w:val="22"/>
                <w:szCs w:val="22"/>
              </w:rPr>
            </w:pPr>
            <w:r>
              <w:rPr>
                <w:b/>
                <w:color w:val="000000" w:themeColor="text1"/>
                <w:sz w:val="22"/>
              </w:rPr>
              <w:t>Fiscal benefit: EUR 16 million</w:t>
            </w:r>
          </w:p>
        </w:tc>
      </w:tr>
      <w:tr w:rsidR="00222FD2" w:rsidRPr="00222FD2" w14:paraId="126FC021" w14:textId="77777777" w:rsidTr="003C1C7B">
        <w:trPr>
          <w:trHeight w:val="283"/>
        </w:trPr>
        <w:tc>
          <w:tcPr>
            <w:tcW w:w="11058" w:type="dxa"/>
            <w:gridSpan w:val="4"/>
            <w:shd w:val="clear" w:color="auto" w:fill="FFF2CC" w:themeFill="accent4" w:themeFillTint="33"/>
          </w:tcPr>
          <w:p w14:paraId="4D284BF3" w14:textId="15EBB5D4" w:rsidR="00222FD2" w:rsidRPr="00222FD2" w:rsidRDefault="00222FD2" w:rsidP="00222FD2">
            <w:pPr>
              <w:rPr>
                <w:rFonts w:cs="Times New Roman"/>
                <w:sz w:val="22"/>
                <w:szCs w:val="22"/>
              </w:rPr>
            </w:pPr>
            <w:r>
              <w:rPr>
                <w:sz w:val="22"/>
              </w:rPr>
              <w:t xml:space="preserve">Course of Action 3. Task 1. </w:t>
            </w:r>
            <w:r>
              <w:rPr>
                <w:b/>
                <w:sz w:val="22"/>
              </w:rPr>
              <w:t>Strengthening of the EDLUS, VEDLUDB, CIS data analytics.</w:t>
            </w:r>
            <w:r>
              <w:rPr>
                <w:sz w:val="22"/>
              </w:rPr>
              <w:t xml:space="preserve"> </w:t>
            </w:r>
          </w:p>
        </w:tc>
        <w:tc>
          <w:tcPr>
            <w:tcW w:w="4252" w:type="dxa"/>
            <w:gridSpan w:val="3"/>
            <w:shd w:val="clear" w:color="auto" w:fill="FFF2CC" w:themeFill="accent4" w:themeFillTint="33"/>
          </w:tcPr>
          <w:p w14:paraId="33850DD0" w14:textId="16955659" w:rsidR="00222FD2" w:rsidRPr="00222FD2" w:rsidRDefault="00222FD2" w:rsidP="00222FD2">
            <w:pPr>
              <w:rPr>
                <w:rFonts w:cs="Times New Roman"/>
                <w:sz w:val="22"/>
                <w:szCs w:val="22"/>
              </w:rPr>
            </w:pPr>
            <w:r>
              <w:rPr>
                <w:sz w:val="22"/>
              </w:rPr>
              <w:t>Fiscal benefit: EUR 7 million</w:t>
            </w:r>
          </w:p>
        </w:tc>
      </w:tr>
      <w:tr w:rsidR="00222FD2" w:rsidRPr="00222FD2" w14:paraId="31F9273A" w14:textId="77777777" w:rsidTr="001001FD">
        <w:trPr>
          <w:trHeight w:val="697"/>
        </w:trPr>
        <w:tc>
          <w:tcPr>
            <w:tcW w:w="753" w:type="dxa"/>
          </w:tcPr>
          <w:p w14:paraId="642A641D" w14:textId="77777777" w:rsidR="00222FD2" w:rsidRPr="00222FD2" w:rsidRDefault="00222FD2" w:rsidP="00222FD2">
            <w:pPr>
              <w:ind w:right="-21"/>
              <w:rPr>
                <w:rFonts w:cs="Times New Roman"/>
                <w:bCs/>
                <w:sz w:val="22"/>
                <w:szCs w:val="22"/>
              </w:rPr>
            </w:pPr>
            <w:r>
              <w:rPr>
                <w:sz w:val="22"/>
              </w:rPr>
              <w:t>3.1.1.</w:t>
            </w:r>
          </w:p>
        </w:tc>
        <w:tc>
          <w:tcPr>
            <w:tcW w:w="3642" w:type="dxa"/>
            <w:shd w:val="clear" w:color="auto" w:fill="auto"/>
          </w:tcPr>
          <w:p w14:paraId="494F9A3B" w14:textId="77777777" w:rsidR="00222FD2" w:rsidRPr="002B0F9D" w:rsidRDefault="00222FD2" w:rsidP="00222FD2">
            <w:pPr>
              <w:widowControl w:val="0"/>
              <w:jc w:val="both"/>
              <w:rPr>
                <w:rFonts w:cs="Times New Roman"/>
                <w:sz w:val="22"/>
                <w:szCs w:val="22"/>
              </w:rPr>
            </w:pPr>
            <w:r>
              <w:rPr>
                <w:sz w:val="22"/>
              </w:rPr>
              <w:t xml:space="preserve">Lowering of the threshold for the EDLUS implementation </w:t>
            </w:r>
          </w:p>
          <w:p w14:paraId="0DDCA047" w14:textId="77777777" w:rsidR="00222FD2" w:rsidRPr="002B0F9D" w:rsidRDefault="00222FD2" w:rsidP="00222FD2">
            <w:pPr>
              <w:widowControl w:val="0"/>
              <w:jc w:val="both"/>
              <w:rPr>
                <w:rFonts w:cs="Times New Roman"/>
                <w:sz w:val="22"/>
                <w:szCs w:val="22"/>
              </w:rPr>
            </w:pPr>
            <w:r>
              <w:rPr>
                <w:sz w:val="22"/>
              </w:rPr>
              <w:t>(from EUR 350 000 to EUR 170 000).</w:t>
            </w:r>
          </w:p>
        </w:tc>
        <w:tc>
          <w:tcPr>
            <w:tcW w:w="4111" w:type="dxa"/>
          </w:tcPr>
          <w:p w14:paraId="63FD8B46" w14:textId="77777777" w:rsidR="00222FD2" w:rsidRPr="00222FD2" w:rsidRDefault="00222FD2" w:rsidP="00222FD2">
            <w:pPr>
              <w:jc w:val="both"/>
              <w:rPr>
                <w:rFonts w:cs="Times New Roman"/>
                <w:color w:val="000000" w:themeColor="text1"/>
                <w:sz w:val="22"/>
                <w:szCs w:val="22"/>
              </w:rPr>
            </w:pPr>
            <w:r>
              <w:rPr>
                <w:color w:val="000000" w:themeColor="text1"/>
                <w:sz w:val="22"/>
              </w:rPr>
              <w:t xml:space="preserve">The use of the EDLUS on construction sites expanded. </w:t>
            </w:r>
          </w:p>
          <w:p w14:paraId="10D4E136" w14:textId="12E10DE7" w:rsidR="00222FD2" w:rsidRPr="00222FD2" w:rsidRDefault="00222FD2" w:rsidP="00222FD2">
            <w:pPr>
              <w:jc w:val="both"/>
              <w:rPr>
                <w:rFonts w:cs="Times New Roman"/>
                <w:color w:val="000000" w:themeColor="text1"/>
                <w:sz w:val="22"/>
                <w:szCs w:val="22"/>
              </w:rPr>
            </w:pPr>
            <w:r>
              <w:rPr>
                <w:color w:val="000000" w:themeColor="text1"/>
                <w:sz w:val="22"/>
              </w:rPr>
              <w:t>Mainly attributable to large and medium-sized construction sites.</w:t>
            </w:r>
          </w:p>
        </w:tc>
        <w:tc>
          <w:tcPr>
            <w:tcW w:w="2552" w:type="dxa"/>
          </w:tcPr>
          <w:p w14:paraId="51D093DB" w14:textId="0053A711" w:rsidR="00222FD2" w:rsidRPr="00222FD2" w:rsidRDefault="00222FD2" w:rsidP="00222FD2">
            <w:pPr>
              <w:jc w:val="both"/>
              <w:rPr>
                <w:rFonts w:cs="Times New Roman"/>
                <w:b/>
                <w:bCs/>
                <w:sz w:val="22"/>
                <w:szCs w:val="22"/>
              </w:rPr>
            </w:pPr>
            <w:r>
              <w:rPr>
                <w:color w:val="000000" w:themeColor="text1"/>
                <w:sz w:val="22"/>
              </w:rPr>
              <w:t>The number of the EDLUS sites and the number of hours of RoE at the VEDLUDB increase.</w:t>
            </w:r>
          </w:p>
        </w:tc>
        <w:tc>
          <w:tcPr>
            <w:tcW w:w="1417" w:type="dxa"/>
          </w:tcPr>
          <w:p w14:paraId="49C51E16" w14:textId="77777777" w:rsidR="00222FD2" w:rsidRPr="00222FD2" w:rsidRDefault="00222FD2" w:rsidP="00222FD2">
            <w:pPr>
              <w:jc w:val="center"/>
              <w:rPr>
                <w:rFonts w:cs="Times New Roman"/>
                <w:bCs/>
                <w:sz w:val="22"/>
                <w:szCs w:val="22"/>
              </w:rPr>
            </w:pPr>
            <w:r>
              <w:rPr>
                <w:sz w:val="22"/>
              </w:rPr>
              <w:t>MoE</w:t>
            </w:r>
          </w:p>
        </w:tc>
        <w:tc>
          <w:tcPr>
            <w:tcW w:w="1418" w:type="dxa"/>
          </w:tcPr>
          <w:p w14:paraId="539B6A55" w14:textId="73E6E227" w:rsidR="00222FD2" w:rsidRPr="00222FD2" w:rsidRDefault="00222FD2" w:rsidP="00222FD2">
            <w:pPr>
              <w:jc w:val="center"/>
              <w:rPr>
                <w:rFonts w:cs="Times New Roman"/>
                <w:bCs/>
                <w:sz w:val="22"/>
                <w:szCs w:val="22"/>
              </w:rPr>
            </w:pPr>
            <w:r>
              <w:rPr>
                <w:sz w:val="22"/>
              </w:rPr>
              <w:t>MoF,</w:t>
            </w:r>
          </w:p>
          <w:p w14:paraId="2A20108E" w14:textId="70F2AB46" w:rsidR="00222FD2" w:rsidRPr="00222FD2" w:rsidRDefault="00222FD2" w:rsidP="00222FD2">
            <w:pPr>
              <w:jc w:val="center"/>
              <w:rPr>
                <w:rFonts w:cs="Times New Roman"/>
                <w:bCs/>
                <w:sz w:val="22"/>
                <w:szCs w:val="22"/>
              </w:rPr>
            </w:pPr>
            <w:r>
              <w:rPr>
                <w:sz w:val="22"/>
              </w:rPr>
              <w:t>LBP</w:t>
            </w:r>
          </w:p>
        </w:tc>
        <w:tc>
          <w:tcPr>
            <w:tcW w:w="1417" w:type="dxa"/>
          </w:tcPr>
          <w:p w14:paraId="2B27D3E8" w14:textId="77777777" w:rsidR="00222FD2" w:rsidRPr="00222FD2" w:rsidRDefault="00222FD2" w:rsidP="00222FD2">
            <w:pPr>
              <w:jc w:val="right"/>
              <w:rPr>
                <w:rFonts w:cs="Times New Roman"/>
                <w:bCs/>
                <w:sz w:val="22"/>
                <w:szCs w:val="22"/>
              </w:rPr>
            </w:pPr>
            <w:r>
              <w:rPr>
                <w:sz w:val="22"/>
              </w:rPr>
              <w:t>30.12.2024</w:t>
            </w:r>
          </w:p>
        </w:tc>
      </w:tr>
      <w:tr w:rsidR="00222FD2" w:rsidRPr="00222FD2" w14:paraId="6C64A57A" w14:textId="77777777" w:rsidTr="00E87849">
        <w:trPr>
          <w:trHeight w:val="367"/>
        </w:trPr>
        <w:tc>
          <w:tcPr>
            <w:tcW w:w="753" w:type="dxa"/>
          </w:tcPr>
          <w:p w14:paraId="3E629B89" w14:textId="77777777" w:rsidR="00222FD2" w:rsidRPr="00222FD2" w:rsidRDefault="00222FD2" w:rsidP="00222FD2">
            <w:pPr>
              <w:ind w:right="-21"/>
              <w:rPr>
                <w:rFonts w:cs="Times New Roman"/>
                <w:bCs/>
                <w:sz w:val="22"/>
                <w:szCs w:val="22"/>
              </w:rPr>
            </w:pPr>
            <w:bookmarkStart w:id="42" w:name="_Hlk146635321"/>
            <w:r>
              <w:rPr>
                <w:sz w:val="22"/>
              </w:rPr>
              <w:t>3.1.2.</w:t>
            </w:r>
          </w:p>
        </w:tc>
        <w:tc>
          <w:tcPr>
            <w:tcW w:w="3642" w:type="dxa"/>
            <w:shd w:val="clear" w:color="auto" w:fill="auto"/>
          </w:tcPr>
          <w:p w14:paraId="67F5AAD6" w14:textId="294FBEE5" w:rsidR="00222FD2" w:rsidRPr="00222FD2" w:rsidRDefault="00222FD2" w:rsidP="00222FD2">
            <w:pPr>
              <w:jc w:val="both"/>
              <w:rPr>
                <w:rFonts w:cs="Times New Roman"/>
                <w:sz w:val="22"/>
                <w:szCs w:val="22"/>
              </w:rPr>
            </w:pPr>
            <w:r>
              <w:rPr>
                <w:sz w:val="22"/>
              </w:rPr>
              <w:t xml:space="preserve">Inclusion of the obligation in laws and regulations for </w:t>
            </w:r>
            <w:r>
              <w:rPr>
                <w:color w:val="000000" w:themeColor="text1"/>
                <w:sz w:val="22"/>
              </w:rPr>
              <w:t xml:space="preserve">the initiator of a construction plan </w:t>
            </w:r>
            <w:r>
              <w:rPr>
                <w:sz w:val="22"/>
              </w:rPr>
              <w:t>to submit to the CIS information on the price of the construction contract, the planned price of the construction works in the case of the constructor, and also to provide for the possibility to make a selection of the costs of implementation of construction plans (price of construction works) by type of use of the structures.</w:t>
            </w:r>
          </w:p>
        </w:tc>
        <w:tc>
          <w:tcPr>
            <w:tcW w:w="4111" w:type="dxa"/>
          </w:tcPr>
          <w:p w14:paraId="56A7CC4D" w14:textId="4BB53210" w:rsidR="00222FD2" w:rsidRPr="00222FD2" w:rsidRDefault="00222FD2" w:rsidP="00222FD2">
            <w:pPr>
              <w:jc w:val="both"/>
              <w:rPr>
                <w:rFonts w:eastAsia="Times New Roman" w:cs="Times New Roman"/>
                <w:color w:val="000000" w:themeColor="text1"/>
                <w:sz w:val="22"/>
                <w:szCs w:val="22"/>
              </w:rPr>
            </w:pPr>
            <w:r>
              <w:rPr>
                <w:color w:val="000000" w:themeColor="text1"/>
                <w:sz w:val="22"/>
              </w:rPr>
              <w:t>Information is provided on the price of the planned construction works according to the types of use. Mainly attributable to large and medium-sized construction sites.</w:t>
            </w:r>
          </w:p>
        </w:tc>
        <w:tc>
          <w:tcPr>
            <w:tcW w:w="2552" w:type="dxa"/>
          </w:tcPr>
          <w:p w14:paraId="3FEC8C18" w14:textId="77777777" w:rsidR="00222FD2" w:rsidRPr="00222FD2" w:rsidRDefault="00222FD2" w:rsidP="00222FD2">
            <w:pPr>
              <w:jc w:val="both"/>
              <w:rPr>
                <w:rFonts w:cs="Times New Roman"/>
                <w:color w:val="000000" w:themeColor="text1"/>
                <w:sz w:val="22"/>
                <w:szCs w:val="22"/>
              </w:rPr>
            </w:pPr>
            <w:r>
              <w:rPr>
                <w:color w:val="000000" w:themeColor="text1"/>
                <w:sz w:val="22"/>
              </w:rPr>
              <w:t>Amendments are made to the regulatory framework.</w:t>
            </w:r>
          </w:p>
          <w:p w14:paraId="7E5589C6" w14:textId="583BEF18" w:rsidR="00222FD2" w:rsidRPr="00222FD2" w:rsidRDefault="00222FD2" w:rsidP="00222FD2">
            <w:pPr>
              <w:jc w:val="both"/>
              <w:rPr>
                <w:rFonts w:cs="Times New Roman"/>
                <w:color w:val="000000" w:themeColor="text1"/>
                <w:sz w:val="22"/>
                <w:szCs w:val="22"/>
              </w:rPr>
            </w:pPr>
            <w:r>
              <w:rPr>
                <w:color w:val="000000" w:themeColor="text1"/>
                <w:sz w:val="22"/>
              </w:rPr>
              <w:t>Improved CIS functionality.</w:t>
            </w:r>
          </w:p>
        </w:tc>
        <w:tc>
          <w:tcPr>
            <w:tcW w:w="1417" w:type="dxa"/>
          </w:tcPr>
          <w:p w14:paraId="32936F09" w14:textId="77777777" w:rsidR="00222FD2" w:rsidRPr="00222FD2" w:rsidRDefault="00222FD2" w:rsidP="00222FD2">
            <w:pPr>
              <w:jc w:val="center"/>
              <w:rPr>
                <w:rFonts w:cs="Times New Roman"/>
                <w:bCs/>
                <w:sz w:val="22"/>
                <w:szCs w:val="22"/>
              </w:rPr>
            </w:pPr>
            <w:r>
              <w:rPr>
                <w:sz w:val="22"/>
              </w:rPr>
              <w:t>MoE</w:t>
            </w:r>
          </w:p>
        </w:tc>
        <w:tc>
          <w:tcPr>
            <w:tcW w:w="1418" w:type="dxa"/>
          </w:tcPr>
          <w:p w14:paraId="5D177AB8" w14:textId="48E1FA36" w:rsidR="00222FD2" w:rsidRPr="00222FD2" w:rsidRDefault="00222FD2" w:rsidP="00222FD2">
            <w:pPr>
              <w:jc w:val="center"/>
              <w:rPr>
                <w:rFonts w:cs="Times New Roman"/>
                <w:bCs/>
                <w:sz w:val="22"/>
                <w:szCs w:val="22"/>
              </w:rPr>
            </w:pPr>
            <w:r>
              <w:rPr>
                <w:sz w:val="22"/>
              </w:rPr>
              <w:t>LBP</w:t>
            </w:r>
          </w:p>
        </w:tc>
        <w:tc>
          <w:tcPr>
            <w:tcW w:w="1417" w:type="dxa"/>
          </w:tcPr>
          <w:p w14:paraId="68CBC580" w14:textId="77777777" w:rsidR="00222FD2" w:rsidRPr="00222FD2" w:rsidRDefault="00222FD2" w:rsidP="00222FD2">
            <w:pPr>
              <w:jc w:val="right"/>
              <w:rPr>
                <w:rFonts w:cs="Times New Roman"/>
                <w:bCs/>
                <w:sz w:val="22"/>
                <w:szCs w:val="22"/>
              </w:rPr>
            </w:pPr>
            <w:r>
              <w:rPr>
                <w:sz w:val="22"/>
              </w:rPr>
              <w:t>30.12.2025</w:t>
            </w:r>
          </w:p>
        </w:tc>
      </w:tr>
      <w:bookmarkEnd w:id="42"/>
      <w:tr w:rsidR="00E87849" w:rsidRPr="00222FD2" w14:paraId="79720153" w14:textId="77777777" w:rsidTr="00E87849">
        <w:trPr>
          <w:trHeight w:val="71"/>
        </w:trPr>
        <w:tc>
          <w:tcPr>
            <w:tcW w:w="753" w:type="dxa"/>
          </w:tcPr>
          <w:p w14:paraId="6C2D1B53" w14:textId="77777777" w:rsidR="00222FD2" w:rsidRPr="00222FD2" w:rsidRDefault="00222FD2" w:rsidP="00222FD2">
            <w:pPr>
              <w:ind w:right="-21"/>
              <w:rPr>
                <w:rFonts w:cs="Times New Roman"/>
                <w:bCs/>
                <w:color w:val="000000" w:themeColor="text1"/>
                <w:sz w:val="22"/>
                <w:szCs w:val="22"/>
              </w:rPr>
            </w:pPr>
            <w:r>
              <w:rPr>
                <w:color w:val="000000" w:themeColor="text1"/>
                <w:sz w:val="22"/>
              </w:rPr>
              <w:t>3.1.3.</w:t>
            </w:r>
          </w:p>
        </w:tc>
        <w:tc>
          <w:tcPr>
            <w:tcW w:w="3642" w:type="dxa"/>
            <w:shd w:val="clear" w:color="auto" w:fill="auto"/>
          </w:tcPr>
          <w:p w14:paraId="197E2F79" w14:textId="5D6DE410" w:rsidR="00222FD2" w:rsidRPr="00222FD2" w:rsidRDefault="00222FD2" w:rsidP="00222FD2">
            <w:pPr>
              <w:jc w:val="both"/>
              <w:rPr>
                <w:rFonts w:cs="Times New Roman"/>
                <w:color w:val="000000" w:themeColor="text1"/>
                <w:sz w:val="22"/>
                <w:szCs w:val="22"/>
              </w:rPr>
            </w:pPr>
            <w:r>
              <w:rPr>
                <w:color w:val="000000" w:themeColor="text1"/>
                <w:sz w:val="22"/>
              </w:rPr>
              <w:t>Improvement of data exchange between the CIS and information systems maintained by the SRS.</w:t>
            </w:r>
          </w:p>
        </w:tc>
        <w:tc>
          <w:tcPr>
            <w:tcW w:w="4111" w:type="dxa"/>
          </w:tcPr>
          <w:p w14:paraId="6E955E6E" w14:textId="0EAB51EC" w:rsidR="00222FD2" w:rsidRPr="004C2DAE" w:rsidRDefault="00222FD2" w:rsidP="00222FD2">
            <w:pPr>
              <w:widowControl w:val="0"/>
              <w:jc w:val="both"/>
              <w:rPr>
                <w:rFonts w:cs="Times New Roman"/>
                <w:color w:val="000000" w:themeColor="text1"/>
                <w:spacing w:val="-2"/>
                <w:sz w:val="22"/>
                <w:szCs w:val="22"/>
              </w:rPr>
            </w:pPr>
            <w:r>
              <w:rPr>
                <w:color w:val="000000" w:themeColor="text1"/>
                <w:sz w:val="22"/>
              </w:rPr>
              <w:t>Establishing of data exchange for better tax administration, setting the scope of mandatory data, including construction costs. Information is exchanged between the CIS and the SRS until the DAGR project is implemented, and after the DAGR project is implemented – using the full DAGR functionality.</w:t>
            </w:r>
          </w:p>
          <w:p w14:paraId="18EFF33A" w14:textId="32DCA914" w:rsidR="00222FD2" w:rsidRPr="004C2DAE" w:rsidRDefault="00222FD2" w:rsidP="00222FD2">
            <w:pPr>
              <w:widowControl w:val="0"/>
              <w:jc w:val="both"/>
              <w:rPr>
                <w:rFonts w:cs="Times New Roman"/>
                <w:color w:val="000000" w:themeColor="text1"/>
                <w:spacing w:val="-2"/>
                <w:sz w:val="22"/>
                <w:szCs w:val="22"/>
              </w:rPr>
            </w:pPr>
            <w:r>
              <w:rPr>
                <w:color w:val="000000" w:themeColor="text1"/>
                <w:sz w:val="22"/>
              </w:rPr>
              <w:t>Mainly attributable to large, medium-sized and small construction sites.</w:t>
            </w:r>
          </w:p>
        </w:tc>
        <w:tc>
          <w:tcPr>
            <w:tcW w:w="2552" w:type="dxa"/>
          </w:tcPr>
          <w:p w14:paraId="4852A95F" w14:textId="4AB59280" w:rsidR="00222FD2" w:rsidRPr="00222FD2" w:rsidRDefault="00222FD2" w:rsidP="00222FD2">
            <w:pPr>
              <w:widowControl w:val="0"/>
              <w:jc w:val="both"/>
              <w:rPr>
                <w:rFonts w:cs="Times New Roman"/>
                <w:sz w:val="22"/>
                <w:szCs w:val="22"/>
              </w:rPr>
            </w:pPr>
            <w:r>
              <w:rPr>
                <w:sz w:val="22"/>
              </w:rPr>
              <w:t xml:space="preserve">Requirements and solutions for adapting information systems have been defined and also proposals have been developed for attracting the necessary additional funding. </w:t>
            </w:r>
          </w:p>
        </w:tc>
        <w:tc>
          <w:tcPr>
            <w:tcW w:w="1417" w:type="dxa"/>
          </w:tcPr>
          <w:p w14:paraId="54FBD49B" w14:textId="1BDF4D5C" w:rsidR="00222FD2" w:rsidRPr="00222FD2" w:rsidRDefault="00222FD2" w:rsidP="00222FD2">
            <w:pPr>
              <w:jc w:val="center"/>
              <w:rPr>
                <w:rFonts w:cs="Times New Roman"/>
                <w:bCs/>
                <w:sz w:val="22"/>
                <w:szCs w:val="22"/>
              </w:rPr>
            </w:pPr>
            <w:r>
              <w:rPr>
                <w:sz w:val="22"/>
              </w:rPr>
              <w:t>SRS,</w:t>
            </w:r>
          </w:p>
          <w:p w14:paraId="75F70B95" w14:textId="77777777" w:rsidR="00222FD2" w:rsidRPr="00222FD2" w:rsidRDefault="00222FD2" w:rsidP="00222FD2">
            <w:pPr>
              <w:jc w:val="center"/>
              <w:rPr>
                <w:rFonts w:cs="Times New Roman"/>
                <w:bCs/>
                <w:sz w:val="22"/>
                <w:szCs w:val="22"/>
              </w:rPr>
            </w:pPr>
            <w:r>
              <w:rPr>
                <w:sz w:val="22"/>
              </w:rPr>
              <w:t xml:space="preserve"> SCCB,</w:t>
            </w:r>
          </w:p>
          <w:p w14:paraId="737EB784" w14:textId="11FE1A85" w:rsidR="00222FD2" w:rsidRPr="00222FD2" w:rsidRDefault="00222FD2" w:rsidP="00222FD2">
            <w:pPr>
              <w:jc w:val="center"/>
              <w:rPr>
                <w:rFonts w:cs="Times New Roman"/>
                <w:bCs/>
                <w:sz w:val="22"/>
                <w:szCs w:val="22"/>
              </w:rPr>
            </w:pPr>
            <w:r>
              <w:rPr>
                <w:sz w:val="22"/>
              </w:rPr>
              <w:t xml:space="preserve">SRDA </w:t>
            </w:r>
          </w:p>
          <w:p w14:paraId="26388F49" w14:textId="5F5343C1" w:rsidR="00222FD2" w:rsidRPr="00222FD2" w:rsidRDefault="00222FD2" w:rsidP="00222FD2">
            <w:pPr>
              <w:jc w:val="center"/>
              <w:rPr>
                <w:rFonts w:cs="Times New Roman"/>
                <w:bCs/>
                <w:sz w:val="22"/>
                <w:szCs w:val="22"/>
              </w:rPr>
            </w:pPr>
          </w:p>
        </w:tc>
        <w:tc>
          <w:tcPr>
            <w:tcW w:w="1418" w:type="dxa"/>
          </w:tcPr>
          <w:p w14:paraId="62DD9AF7" w14:textId="2F7A3037" w:rsidR="00222FD2" w:rsidRPr="00222FD2" w:rsidRDefault="00222FD2" w:rsidP="00222FD2">
            <w:pPr>
              <w:jc w:val="center"/>
              <w:rPr>
                <w:rFonts w:cs="Times New Roman"/>
                <w:bCs/>
                <w:color w:val="000000" w:themeColor="text1"/>
                <w:sz w:val="22"/>
                <w:szCs w:val="22"/>
              </w:rPr>
            </w:pPr>
            <w:r>
              <w:rPr>
                <w:color w:val="000000" w:themeColor="text1"/>
                <w:sz w:val="22"/>
              </w:rPr>
              <w:t>LBP</w:t>
            </w:r>
          </w:p>
        </w:tc>
        <w:tc>
          <w:tcPr>
            <w:tcW w:w="1417" w:type="dxa"/>
          </w:tcPr>
          <w:p w14:paraId="6A8EDF74" w14:textId="55ED322F" w:rsidR="00222FD2" w:rsidRPr="00222FD2" w:rsidRDefault="00222FD2" w:rsidP="00222FD2">
            <w:pPr>
              <w:jc w:val="right"/>
              <w:rPr>
                <w:rFonts w:cs="Times New Roman"/>
                <w:bCs/>
                <w:color w:val="0070C0"/>
                <w:sz w:val="22"/>
                <w:szCs w:val="22"/>
              </w:rPr>
            </w:pPr>
            <w:r>
              <w:rPr>
                <w:sz w:val="22"/>
              </w:rPr>
              <w:t>30.12.2026</w:t>
            </w:r>
          </w:p>
          <w:p w14:paraId="061F4A4C" w14:textId="469F10D0" w:rsidR="00222FD2" w:rsidRPr="00222FD2" w:rsidRDefault="00222FD2" w:rsidP="00222FD2">
            <w:pPr>
              <w:jc w:val="right"/>
              <w:rPr>
                <w:rFonts w:cs="Times New Roman"/>
                <w:bCs/>
                <w:color w:val="000000" w:themeColor="text1"/>
                <w:sz w:val="22"/>
                <w:szCs w:val="22"/>
              </w:rPr>
            </w:pPr>
          </w:p>
        </w:tc>
      </w:tr>
      <w:tr w:rsidR="00222FD2" w:rsidRPr="00222FD2" w14:paraId="6D8811AD" w14:textId="77777777" w:rsidTr="00E87849">
        <w:trPr>
          <w:trHeight w:val="85"/>
        </w:trPr>
        <w:tc>
          <w:tcPr>
            <w:tcW w:w="753" w:type="dxa"/>
          </w:tcPr>
          <w:p w14:paraId="25A9C471" w14:textId="77777777" w:rsidR="00222FD2" w:rsidRPr="00222FD2" w:rsidRDefault="00222FD2" w:rsidP="00222FD2">
            <w:pPr>
              <w:ind w:right="-21"/>
              <w:rPr>
                <w:rFonts w:cs="Times New Roman"/>
                <w:bCs/>
                <w:color w:val="000000" w:themeColor="text1"/>
                <w:sz w:val="22"/>
                <w:szCs w:val="22"/>
              </w:rPr>
            </w:pPr>
            <w:r>
              <w:rPr>
                <w:color w:val="000000" w:themeColor="text1"/>
                <w:sz w:val="22"/>
              </w:rPr>
              <w:t>3.1.4.</w:t>
            </w:r>
          </w:p>
        </w:tc>
        <w:tc>
          <w:tcPr>
            <w:tcW w:w="3642" w:type="dxa"/>
            <w:shd w:val="clear" w:color="auto" w:fill="auto"/>
          </w:tcPr>
          <w:p w14:paraId="7CE1DD1E" w14:textId="1AA6700B" w:rsidR="00222FD2" w:rsidRPr="00222FD2" w:rsidRDefault="00222FD2" w:rsidP="00222FD2">
            <w:pPr>
              <w:jc w:val="both"/>
              <w:rPr>
                <w:rFonts w:cs="Times New Roman"/>
                <w:color w:val="000000" w:themeColor="text1"/>
                <w:sz w:val="22"/>
                <w:szCs w:val="22"/>
              </w:rPr>
            </w:pPr>
            <w:r>
              <w:rPr>
                <w:color w:val="000000" w:themeColor="text1"/>
                <w:sz w:val="22"/>
              </w:rPr>
              <w:t>Reduction of the range of reliability of the VEDLUDB data from 20 per cent to 15 per cent.</w:t>
            </w:r>
          </w:p>
        </w:tc>
        <w:tc>
          <w:tcPr>
            <w:tcW w:w="4111" w:type="dxa"/>
          </w:tcPr>
          <w:p w14:paraId="7FECBF55" w14:textId="77777777" w:rsidR="00222FD2" w:rsidRPr="00222FD2" w:rsidRDefault="00222FD2" w:rsidP="00222FD2">
            <w:pPr>
              <w:jc w:val="both"/>
              <w:rPr>
                <w:rFonts w:cs="Times New Roman"/>
                <w:sz w:val="22"/>
                <w:szCs w:val="22"/>
              </w:rPr>
            </w:pPr>
            <w:r>
              <w:rPr>
                <w:sz w:val="22"/>
              </w:rPr>
              <w:t>Amendments are made to the regulatory framework.</w:t>
            </w:r>
          </w:p>
          <w:p w14:paraId="615C596A" w14:textId="58F3D8D9" w:rsidR="00222FD2" w:rsidRPr="00222FD2" w:rsidRDefault="00222FD2" w:rsidP="00222FD2">
            <w:pPr>
              <w:jc w:val="both"/>
              <w:rPr>
                <w:rFonts w:cs="Times New Roman"/>
                <w:sz w:val="22"/>
                <w:szCs w:val="22"/>
              </w:rPr>
            </w:pPr>
            <w:r>
              <w:rPr>
                <w:color w:val="000000" w:themeColor="text1"/>
                <w:sz w:val="22"/>
              </w:rPr>
              <w:t>Mainly attributable to large and medium-sized construction sites.</w:t>
            </w:r>
          </w:p>
          <w:p w14:paraId="38750E66" w14:textId="469ECA29" w:rsidR="00222FD2" w:rsidRPr="00222FD2" w:rsidRDefault="00222FD2" w:rsidP="00222FD2">
            <w:pPr>
              <w:jc w:val="both"/>
              <w:rPr>
                <w:rFonts w:cs="Times New Roman"/>
                <w:sz w:val="22"/>
                <w:szCs w:val="22"/>
              </w:rPr>
            </w:pPr>
          </w:p>
        </w:tc>
        <w:tc>
          <w:tcPr>
            <w:tcW w:w="2552" w:type="dxa"/>
          </w:tcPr>
          <w:p w14:paraId="7DB635E5" w14:textId="7D7D5142" w:rsidR="00222FD2" w:rsidRPr="004C2DAE" w:rsidRDefault="00222FD2" w:rsidP="00222FD2">
            <w:pPr>
              <w:jc w:val="both"/>
              <w:rPr>
                <w:rFonts w:cs="Times New Roman"/>
                <w:color w:val="FF0000"/>
                <w:spacing w:val="-1"/>
                <w:sz w:val="22"/>
                <w:szCs w:val="22"/>
              </w:rPr>
            </w:pPr>
            <w:r>
              <w:rPr>
                <w:sz w:val="22"/>
              </w:rPr>
              <w:t>The hours declared by employers and the wages and taxes declared by employees increase.</w:t>
            </w:r>
          </w:p>
        </w:tc>
        <w:tc>
          <w:tcPr>
            <w:tcW w:w="1417" w:type="dxa"/>
          </w:tcPr>
          <w:p w14:paraId="523E8009" w14:textId="77777777" w:rsidR="00222FD2" w:rsidRPr="00222FD2" w:rsidRDefault="00222FD2" w:rsidP="00222FD2">
            <w:pPr>
              <w:jc w:val="center"/>
              <w:rPr>
                <w:rFonts w:cs="Times New Roman"/>
                <w:bCs/>
                <w:sz w:val="22"/>
                <w:szCs w:val="22"/>
              </w:rPr>
            </w:pPr>
            <w:r>
              <w:rPr>
                <w:sz w:val="22"/>
              </w:rPr>
              <w:t>MoE</w:t>
            </w:r>
          </w:p>
        </w:tc>
        <w:tc>
          <w:tcPr>
            <w:tcW w:w="1418" w:type="dxa"/>
          </w:tcPr>
          <w:p w14:paraId="42C2BE33" w14:textId="5D350A05" w:rsidR="00222FD2" w:rsidRPr="00222FD2" w:rsidRDefault="00222FD2" w:rsidP="00222FD2">
            <w:pPr>
              <w:jc w:val="center"/>
              <w:rPr>
                <w:rFonts w:cs="Times New Roman"/>
                <w:bCs/>
                <w:sz w:val="22"/>
                <w:szCs w:val="22"/>
              </w:rPr>
            </w:pPr>
            <w:r>
              <w:rPr>
                <w:sz w:val="22"/>
              </w:rPr>
              <w:t>-</w:t>
            </w:r>
          </w:p>
        </w:tc>
        <w:tc>
          <w:tcPr>
            <w:tcW w:w="1417" w:type="dxa"/>
          </w:tcPr>
          <w:p w14:paraId="440777B4" w14:textId="77777777" w:rsidR="00222FD2" w:rsidRPr="00222FD2" w:rsidRDefault="00222FD2" w:rsidP="00222FD2">
            <w:pPr>
              <w:jc w:val="right"/>
              <w:rPr>
                <w:rFonts w:cs="Times New Roman"/>
                <w:bCs/>
                <w:sz w:val="22"/>
                <w:szCs w:val="22"/>
              </w:rPr>
            </w:pPr>
            <w:r>
              <w:rPr>
                <w:sz w:val="22"/>
              </w:rPr>
              <w:t>30.12.2025</w:t>
            </w:r>
          </w:p>
        </w:tc>
      </w:tr>
      <w:tr w:rsidR="00222FD2" w:rsidRPr="00222FD2" w14:paraId="329F930E" w14:textId="77777777" w:rsidTr="004C2DAE">
        <w:trPr>
          <w:trHeight w:val="70"/>
        </w:trPr>
        <w:tc>
          <w:tcPr>
            <w:tcW w:w="753" w:type="dxa"/>
          </w:tcPr>
          <w:p w14:paraId="70DE6F73" w14:textId="62B62844" w:rsidR="00222FD2" w:rsidRPr="00222FD2" w:rsidRDefault="00222FD2" w:rsidP="00222FD2">
            <w:pPr>
              <w:ind w:right="-21"/>
              <w:rPr>
                <w:rFonts w:cs="Times New Roman"/>
                <w:bCs/>
                <w:color w:val="000000" w:themeColor="text1"/>
                <w:sz w:val="22"/>
                <w:szCs w:val="22"/>
              </w:rPr>
            </w:pPr>
            <w:bookmarkStart w:id="43" w:name="_Hlk149062382"/>
            <w:r>
              <w:rPr>
                <w:color w:val="000000" w:themeColor="text1"/>
                <w:sz w:val="22"/>
              </w:rPr>
              <w:t>3.1.5.</w:t>
            </w:r>
          </w:p>
        </w:tc>
        <w:tc>
          <w:tcPr>
            <w:tcW w:w="3642" w:type="dxa"/>
            <w:shd w:val="clear" w:color="auto" w:fill="auto"/>
          </w:tcPr>
          <w:p w14:paraId="20667EB9" w14:textId="118E1231" w:rsidR="00222FD2" w:rsidRPr="00222FD2" w:rsidRDefault="00222FD2" w:rsidP="00222FD2">
            <w:pPr>
              <w:jc w:val="both"/>
              <w:rPr>
                <w:rFonts w:cs="Times New Roman"/>
                <w:color w:val="000000" w:themeColor="text1"/>
                <w:sz w:val="22"/>
                <w:szCs w:val="22"/>
              </w:rPr>
            </w:pPr>
            <w:r>
              <w:rPr>
                <w:color w:val="000000" w:themeColor="text1"/>
                <w:sz w:val="22"/>
              </w:rPr>
              <w:t>Control and monitoring of the use of the EDLUS on construction sites.</w:t>
            </w:r>
          </w:p>
        </w:tc>
        <w:tc>
          <w:tcPr>
            <w:tcW w:w="4111" w:type="dxa"/>
          </w:tcPr>
          <w:p w14:paraId="5B27662A" w14:textId="77777777" w:rsidR="00222FD2" w:rsidRPr="00222FD2" w:rsidRDefault="00222FD2" w:rsidP="00222FD2">
            <w:pPr>
              <w:jc w:val="both"/>
              <w:rPr>
                <w:rFonts w:cs="Times New Roman"/>
                <w:sz w:val="22"/>
                <w:szCs w:val="22"/>
              </w:rPr>
            </w:pPr>
            <w:r>
              <w:rPr>
                <w:sz w:val="22"/>
              </w:rPr>
              <w:t xml:space="preserve">The SRS controls and monitoring of the </w:t>
            </w:r>
            <w:r>
              <w:rPr>
                <w:color w:val="000000" w:themeColor="text1"/>
                <w:sz w:val="22"/>
              </w:rPr>
              <w:t>use of the EDLUS on construction sites</w:t>
            </w:r>
            <w:r>
              <w:rPr>
                <w:sz w:val="22"/>
              </w:rPr>
              <w:t>.</w:t>
            </w:r>
          </w:p>
          <w:p w14:paraId="1B0C8BE2" w14:textId="77777777" w:rsidR="00222FD2" w:rsidRPr="00222FD2" w:rsidRDefault="00222FD2" w:rsidP="00222FD2">
            <w:pPr>
              <w:jc w:val="both"/>
              <w:rPr>
                <w:rFonts w:cs="Times New Roman"/>
                <w:sz w:val="22"/>
                <w:szCs w:val="22"/>
              </w:rPr>
            </w:pPr>
          </w:p>
          <w:p w14:paraId="17184112" w14:textId="1DC75437" w:rsidR="00222FD2" w:rsidRPr="00222FD2" w:rsidRDefault="00222FD2" w:rsidP="00222FD2">
            <w:pPr>
              <w:jc w:val="both"/>
              <w:rPr>
                <w:rFonts w:cs="Times New Roman"/>
                <w:sz w:val="22"/>
                <w:szCs w:val="22"/>
              </w:rPr>
            </w:pPr>
          </w:p>
        </w:tc>
        <w:tc>
          <w:tcPr>
            <w:tcW w:w="2552" w:type="dxa"/>
          </w:tcPr>
          <w:p w14:paraId="18851C6B" w14:textId="618AB29F" w:rsidR="00222FD2" w:rsidRPr="00222FD2" w:rsidRDefault="00222FD2" w:rsidP="00222FD2">
            <w:pPr>
              <w:jc w:val="both"/>
              <w:rPr>
                <w:rFonts w:cs="Times New Roman"/>
                <w:sz w:val="22"/>
                <w:szCs w:val="22"/>
              </w:rPr>
            </w:pPr>
            <w:r>
              <w:rPr>
                <w:sz w:val="22"/>
              </w:rPr>
              <w:t>Prepared report to the Cabinet on the effectiveness of the use of the EDLUS and the control and monitoring measures taken.</w:t>
            </w:r>
          </w:p>
        </w:tc>
        <w:tc>
          <w:tcPr>
            <w:tcW w:w="1417" w:type="dxa"/>
          </w:tcPr>
          <w:p w14:paraId="2DFD6844" w14:textId="4F986400" w:rsidR="00222FD2" w:rsidRPr="00222FD2" w:rsidRDefault="00222FD2" w:rsidP="00222FD2">
            <w:pPr>
              <w:jc w:val="center"/>
              <w:rPr>
                <w:rFonts w:cs="Times New Roman"/>
                <w:bCs/>
                <w:sz w:val="22"/>
                <w:szCs w:val="22"/>
              </w:rPr>
            </w:pPr>
            <w:r>
              <w:rPr>
                <w:sz w:val="22"/>
              </w:rPr>
              <w:t>MoF</w:t>
            </w:r>
          </w:p>
          <w:p w14:paraId="54E3C33C" w14:textId="1955B6D4" w:rsidR="00222FD2" w:rsidRPr="00222FD2" w:rsidRDefault="00222FD2" w:rsidP="00222FD2">
            <w:pPr>
              <w:jc w:val="center"/>
              <w:rPr>
                <w:rFonts w:cs="Times New Roman"/>
                <w:bCs/>
                <w:sz w:val="22"/>
                <w:szCs w:val="22"/>
              </w:rPr>
            </w:pPr>
            <w:r>
              <w:rPr>
                <w:sz w:val="22"/>
              </w:rPr>
              <w:t>(SRS)</w:t>
            </w:r>
          </w:p>
          <w:p w14:paraId="459FF649" w14:textId="4BE8094E" w:rsidR="00222FD2" w:rsidRPr="00222FD2" w:rsidRDefault="00222FD2" w:rsidP="00222FD2">
            <w:pPr>
              <w:jc w:val="center"/>
              <w:rPr>
                <w:rFonts w:cs="Times New Roman"/>
                <w:bCs/>
                <w:sz w:val="22"/>
                <w:szCs w:val="22"/>
              </w:rPr>
            </w:pPr>
          </w:p>
        </w:tc>
        <w:tc>
          <w:tcPr>
            <w:tcW w:w="1418" w:type="dxa"/>
          </w:tcPr>
          <w:p w14:paraId="24912169" w14:textId="77777777" w:rsidR="00222FD2" w:rsidRPr="00222FD2" w:rsidRDefault="00222FD2" w:rsidP="00222FD2">
            <w:pPr>
              <w:jc w:val="center"/>
              <w:rPr>
                <w:rFonts w:cs="Times New Roman"/>
                <w:bCs/>
                <w:sz w:val="22"/>
                <w:szCs w:val="22"/>
              </w:rPr>
            </w:pPr>
            <w:r>
              <w:rPr>
                <w:sz w:val="22"/>
              </w:rPr>
              <w:t>MoE,</w:t>
            </w:r>
          </w:p>
          <w:p w14:paraId="24B817F4" w14:textId="4D9C7DD1" w:rsidR="00222FD2" w:rsidRPr="00222FD2" w:rsidRDefault="00222FD2" w:rsidP="00222FD2">
            <w:pPr>
              <w:jc w:val="center"/>
              <w:rPr>
                <w:rFonts w:cs="Times New Roman"/>
                <w:bCs/>
                <w:sz w:val="22"/>
                <w:szCs w:val="22"/>
              </w:rPr>
            </w:pPr>
            <w:r>
              <w:rPr>
                <w:sz w:val="22"/>
              </w:rPr>
              <w:t>MoW</w:t>
            </w:r>
          </w:p>
        </w:tc>
        <w:tc>
          <w:tcPr>
            <w:tcW w:w="1417" w:type="dxa"/>
          </w:tcPr>
          <w:p w14:paraId="2BC83183" w14:textId="77777777" w:rsidR="00222FD2" w:rsidRPr="00222FD2" w:rsidRDefault="00222FD2" w:rsidP="00222FD2">
            <w:pPr>
              <w:jc w:val="right"/>
              <w:rPr>
                <w:rFonts w:cs="Times New Roman"/>
                <w:bCs/>
                <w:sz w:val="22"/>
                <w:szCs w:val="22"/>
              </w:rPr>
            </w:pPr>
            <w:r>
              <w:rPr>
                <w:sz w:val="22"/>
              </w:rPr>
              <w:t>01.03.2024</w:t>
            </w:r>
          </w:p>
          <w:p w14:paraId="457B9F6B" w14:textId="3CF4D1EA" w:rsidR="00222FD2" w:rsidRPr="00222FD2" w:rsidRDefault="00222FD2" w:rsidP="00222FD2">
            <w:pPr>
              <w:jc w:val="right"/>
              <w:rPr>
                <w:rFonts w:cs="Times New Roman"/>
                <w:bCs/>
                <w:sz w:val="22"/>
                <w:szCs w:val="22"/>
              </w:rPr>
            </w:pPr>
            <w:r>
              <w:rPr>
                <w:sz w:val="22"/>
              </w:rPr>
              <w:t>01.03.2026</w:t>
            </w:r>
          </w:p>
        </w:tc>
      </w:tr>
      <w:bookmarkEnd w:id="43"/>
      <w:tr w:rsidR="00222FD2" w:rsidRPr="00222FD2" w14:paraId="5DD54F2B" w14:textId="77777777" w:rsidTr="003C1C7B">
        <w:trPr>
          <w:trHeight w:val="283"/>
        </w:trPr>
        <w:tc>
          <w:tcPr>
            <w:tcW w:w="11058" w:type="dxa"/>
            <w:gridSpan w:val="4"/>
            <w:shd w:val="clear" w:color="auto" w:fill="FFF2CC" w:themeFill="accent4" w:themeFillTint="33"/>
          </w:tcPr>
          <w:p w14:paraId="05A8ED99" w14:textId="6559BEA1" w:rsidR="00222FD2" w:rsidRPr="00222FD2" w:rsidRDefault="00222FD2" w:rsidP="00222FD2">
            <w:pPr>
              <w:rPr>
                <w:rFonts w:cs="Times New Roman"/>
                <w:sz w:val="22"/>
                <w:szCs w:val="22"/>
              </w:rPr>
            </w:pPr>
            <w:r>
              <w:rPr>
                <w:sz w:val="22"/>
              </w:rPr>
              <w:t xml:space="preserve">Course of Action 3. Task 2. </w:t>
            </w:r>
            <w:r>
              <w:rPr>
                <w:b/>
                <w:sz w:val="22"/>
              </w:rPr>
              <w:t>Requirements for private individuals in the construction process.</w:t>
            </w:r>
            <w:r>
              <w:rPr>
                <w:sz w:val="22"/>
              </w:rPr>
              <w:t xml:space="preserve"> </w:t>
            </w:r>
          </w:p>
        </w:tc>
        <w:tc>
          <w:tcPr>
            <w:tcW w:w="4252" w:type="dxa"/>
            <w:gridSpan w:val="3"/>
            <w:shd w:val="clear" w:color="auto" w:fill="FFF2CC" w:themeFill="accent4" w:themeFillTint="33"/>
          </w:tcPr>
          <w:p w14:paraId="181AF929" w14:textId="3EF30413" w:rsidR="00222FD2" w:rsidRPr="00222FD2" w:rsidRDefault="00222FD2" w:rsidP="00222FD2">
            <w:pPr>
              <w:rPr>
                <w:rFonts w:cs="Times New Roman"/>
                <w:sz w:val="22"/>
                <w:szCs w:val="22"/>
              </w:rPr>
            </w:pPr>
            <w:r>
              <w:rPr>
                <w:sz w:val="22"/>
              </w:rPr>
              <w:t xml:space="preserve">Fiscal benefit: EUR 2 million </w:t>
            </w:r>
          </w:p>
        </w:tc>
      </w:tr>
      <w:tr w:rsidR="00E87849" w:rsidRPr="00222FD2" w14:paraId="09BE4FE2" w14:textId="77777777" w:rsidTr="00E87849">
        <w:trPr>
          <w:trHeight w:val="366"/>
        </w:trPr>
        <w:tc>
          <w:tcPr>
            <w:tcW w:w="753" w:type="dxa"/>
          </w:tcPr>
          <w:p w14:paraId="5B4B0414" w14:textId="77777777" w:rsidR="00222FD2" w:rsidRPr="00222FD2" w:rsidRDefault="00222FD2" w:rsidP="00222FD2">
            <w:pPr>
              <w:ind w:right="-21"/>
              <w:rPr>
                <w:rFonts w:cs="Times New Roman"/>
                <w:bCs/>
                <w:color w:val="000000" w:themeColor="text1"/>
                <w:sz w:val="22"/>
                <w:szCs w:val="22"/>
              </w:rPr>
            </w:pPr>
            <w:bookmarkStart w:id="44" w:name="_Hlk146635393"/>
            <w:r>
              <w:rPr>
                <w:sz w:val="22"/>
              </w:rPr>
              <w:t>3.2.1.</w:t>
            </w:r>
          </w:p>
        </w:tc>
        <w:tc>
          <w:tcPr>
            <w:tcW w:w="3642" w:type="dxa"/>
            <w:shd w:val="clear" w:color="auto" w:fill="auto"/>
          </w:tcPr>
          <w:p w14:paraId="67E85CD6" w14:textId="5EA0219B" w:rsidR="00222FD2" w:rsidRPr="00222FD2" w:rsidRDefault="00222FD2" w:rsidP="00222FD2">
            <w:pPr>
              <w:jc w:val="both"/>
              <w:rPr>
                <w:rFonts w:cs="Times New Roman"/>
                <w:color w:val="000000" w:themeColor="text1"/>
                <w:sz w:val="22"/>
                <w:szCs w:val="22"/>
              </w:rPr>
            </w:pPr>
            <w:r>
              <w:rPr>
                <w:sz w:val="22"/>
              </w:rPr>
              <w:t>In the case of the construction of a residential house, reduction of the area of the construction site where the builder can construct the house on his or her own without involving a construction contractor from 400 m</w:t>
            </w:r>
            <w:r>
              <w:rPr>
                <w:sz w:val="22"/>
                <w:vertAlign w:val="superscript"/>
              </w:rPr>
              <w:t>3</w:t>
            </w:r>
            <w:r>
              <w:rPr>
                <w:sz w:val="22"/>
              </w:rPr>
              <w:t xml:space="preserve"> to 170 m</w:t>
            </w:r>
            <w:r>
              <w:rPr>
                <w:sz w:val="22"/>
                <w:vertAlign w:val="superscript"/>
              </w:rPr>
              <w:t>2</w:t>
            </w:r>
            <w:r>
              <w:rPr>
                <w:sz w:val="22"/>
              </w:rPr>
              <w:t>.</w:t>
            </w:r>
          </w:p>
        </w:tc>
        <w:tc>
          <w:tcPr>
            <w:tcW w:w="4111" w:type="dxa"/>
          </w:tcPr>
          <w:p w14:paraId="583E7B52" w14:textId="339BB731" w:rsidR="00222FD2" w:rsidRPr="00222FD2" w:rsidRDefault="00222FD2" w:rsidP="00222FD2">
            <w:pPr>
              <w:jc w:val="both"/>
              <w:rPr>
                <w:rFonts w:cs="Times New Roman"/>
                <w:color w:val="000000" w:themeColor="text1"/>
                <w:sz w:val="22"/>
                <w:szCs w:val="22"/>
              </w:rPr>
            </w:pPr>
            <w:r>
              <w:rPr>
                <w:sz w:val="22"/>
              </w:rPr>
              <w:t>Amendments to the Construction Regulations of Buildings have been drafted</w:t>
            </w:r>
            <w:r>
              <w:rPr>
                <w:color w:val="000000" w:themeColor="text1"/>
                <w:sz w:val="22"/>
              </w:rPr>
              <w:t>.</w:t>
            </w:r>
          </w:p>
          <w:p w14:paraId="2B965B2A" w14:textId="6B3ED12D" w:rsidR="00222FD2" w:rsidRPr="00222FD2" w:rsidRDefault="00222FD2" w:rsidP="00222FD2">
            <w:pPr>
              <w:jc w:val="both"/>
              <w:rPr>
                <w:rFonts w:cs="Times New Roman"/>
                <w:sz w:val="22"/>
                <w:szCs w:val="22"/>
              </w:rPr>
            </w:pPr>
            <w:r>
              <w:rPr>
                <w:color w:val="000000" w:themeColor="text1"/>
                <w:sz w:val="22"/>
              </w:rPr>
              <w:t>Mainly attributable to small construction sites.</w:t>
            </w:r>
          </w:p>
          <w:p w14:paraId="700DE31C" w14:textId="77777777" w:rsidR="00222FD2" w:rsidRPr="00222FD2" w:rsidRDefault="00222FD2" w:rsidP="00222FD2">
            <w:pPr>
              <w:jc w:val="both"/>
              <w:rPr>
                <w:rFonts w:cs="Times New Roman"/>
                <w:color w:val="000000" w:themeColor="text1"/>
                <w:sz w:val="22"/>
                <w:szCs w:val="22"/>
              </w:rPr>
            </w:pPr>
          </w:p>
        </w:tc>
        <w:tc>
          <w:tcPr>
            <w:tcW w:w="2552" w:type="dxa"/>
            <w:shd w:val="clear" w:color="auto" w:fill="auto"/>
          </w:tcPr>
          <w:p w14:paraId="5817B472" w14:textId="77777777" w:rsidR="00222FD2" w:rsidRPr="00222FD2" w:rsidRDefault="00222FD2" w:rsidP="00B02E2A">
            <w:pPr>
              <w:jc w:val="both"/>
              <w:rPr>
                <w:rFonts w:cs="Times New Roman"/>
                <w:color w:val="000000" w:themeColor="text1"/>
                <w:sz w:val="22"/>
                <w:szCs w:val="22"/>
              </w:rPr>
            </w:pPr>
            <w:r>
              <w:rPr>
                <w:color w:val="000000" w:themeColor="text1"/>
                <w:sz w:val="22"/>
              </w:rPr>
              <w:t>Decreased amount of non-declared private sector services.</w:t>
            </w:r>
          </w:p>
          <w:p w14:paraId="5FCE9FB5" w14:textId="0560726C" w:rsidR="00222FD2" w:rsidRPr="00222FD2" w:rsidRDefault="00222FD2" w:rsidP="00222FD2">
            <w:pPr>
              <w:rPr>
                <w:rFonts w:cs="Times New Roman"/>
                <w:color w:val="000000" w:themeColor="text1"/>
                <w:sz w:val="22"/>
                <w:szCs w:val="22"/>
              </w:rPr>
            </w:pPr>
          </w:p>
        </w:tc>
        <w:tc>
          <w:tcPr>
            <w:tcW w:w="1417" w:type="dxa"/>
          </w:tcPr>
          <w:p w14:paraId="14D1CA62" w14:textId="77777777" w:rsidR="00222FD2" w:rsidRPr="00222FD2" w:rsidRDefault="00222FD2" w:rsidP="00222FD2">
            <w:pPr>
              <w:jc w:val="center"/>
              <w:rPr>
                <w:rFonts w:cs="Times New Roman"/>
                <w:bCs/>
                <w:color w:val="000000" w:themeColor="text1"/>
                <w:sz w:val="22"/>
                <w:szCs w:val="22"/>
              </w:rPr>
            </w:pPr>
            <w:r>
              <w:rPr>
                <w:sz w:val="22"/>
              </w:rPr>
              <w:t>MoE</w:t>
            </w:r>
          </w:p>
        </w:tc>
        <w:tc>
          <w:tcPr>
            <w:tcW w:w="1418" w:type="dxa"/>
          </w:tcPr>
          <w:p w14:paraId="4F4DCD18" w14:textId="66C92DAB" w:rsidR="00222FD2" w:rsidRPr="00222FD2" w:rsidRDefault="00222FD2" w:rsidP="00222FD2">
            <w:pPr>
              <w:jc w:val="center"/>
              <w:rPr>
                <w:rFonts w:cs="Times New Roman"/>
                <w:bCs/>
                <w:color w:val="000000" w:themeColor="text1"/>
                <w:sz w:val="22"/>
                <w:szCs w:val="22"/>
              </w:rPr>
            </w:pPr>
            <w:r>
              <w:rPr>
                <w:color w:val="000000" w:themeColor="text1"/>
                <w:sz w:val="22"/>
              </w:rPr>
              <w:t>-</w:t>
            </w:r>
          </w:p>
        </w:tc>
        <w:tc>
          <w:tcPr>
            <w:tcW w:w="1417" w:type="dxa"/>
          </w:tcPr>
          <w:p w14:paraId="76C1F419" w14:textId="77777777" w:rsidR="00222FD2" w:rsidRPr="00222FD2" w:rsidRDefault="00222FD2" w:rsidP="00222FD2">
            <w:pPr>
              <w:jc w:val="right"/>
              <w:rPr>
                <w:rFonts w:cs="Times New Roman"/>
                <w:color w:val="000000" w:themeColor="text1"/>
                <w:sz w:val="22"/>
                <w:szCs w:val="22"/>
              </w:rPr>
            </w:pPr>
            <w:r>
              <w:rPr>
                <w:sz w:val="22"/>
              </w:rPr>
              <w:t>30.12.2025</w:t>
            </w:r>
          </w:p>
        </w:tc>
      </w:tr>
      <w:tr w:rsidR="00222FD2" w:rsidRPr="00222FD2" w14:paraId="44835EDE" w14:textId="77777777" w:rsidTr="00E87849">
        <w:trPr>
          <w:trHeight w:val="355"/>
        </w:trPr>
        <w:tc>
          <w:tcPr>
            <w:tcW w:w="753" w:type="dxa"/>
          </w:tcPr>
          <w:p w14:paraId="650B3AAF" w14:textId="77777777" w:rsidR="00222FD2" w:rsidRPr="00222FD2" w:rsidRDefault="00222FD2" w:rsidP="00222FD2">
            <w:pPr>
              <w:ind w:right="-21"/>
              <w:rPr>
                <w:rFonts w:cs="Times New Roman"/>
                <w:bCs/>
                <w:sz w:val="22"/>
                <w:szCs w:val="22"/>
              </w:rPr>
            </w:pPr>
            <w:r>
              <w:rPr>
                <w:sz w:val="22"/>
              </w:rPr>
              <w:t>3.2.2.</w:t>
            </w:r>
          </w:p>
        </w:tc>
        <w:tc>
          <w:tcPr>
            <w:tcW w:w="3642" w:type="dxa"/>
            <w:shd w:val="clear" w:color="auto" w:fill="auto"/>
          </w:tcPr>
          <w:p w14:paraId="7AD74481" w14:textId="62E19E73" w:rsidR="00222FD2" w:rsidRPr="00222FD2" w:rsidRDefault="00222FD2" w:rsidP="00222FD2">
            <w:pPr>
              <w:jc w:val="both"/>
              <w:rPr>
                <w:rFonts w:cs="Times New Roman"/>
                <w:sz w:val="22"/>
                <w:szCs w:val="22"/>
              </w:rPr>
            </w:pPr>
            <w:bookmarkStart w:id="45" w:name="_Hlk137452908"/>
            <w:r>
              <w:rPr>
                <w:sz w:val="22"/>
              </w:rPr>
              <w:t>Obligation for a private individual to provide information to the CIS on the origin of the funds intended to be used for the works</w:t>
            </w:r>
            <w:bookmarkEnd w:id="45"/>
            <w:r>
              <w:rPr>
                <w:sz w:val="22"/>
              </w:rPr>
              <w:t>.</w:t>
            </w:r>
          </w:p>
        </w:tc>
        <w:tc>
          <w:tcPr>
            <w:tcW w:w="4111" w:type="dxa"/>
          </w:tcPr>
          <w:p w14:paraId="2F6C0F83" w14:textId="3F522AAB" w:rsidR="00222FD2" w:rsidRPr="00222FD2" w:rsidRDefault="00222FD2" w:rsidP="00222FD2">
            <w:pPr>
              <w:jc w:val="both"/>
              <w:rPr>
                <w:rFonts w:cs="Times New Roman"/>
                <w:sz w:val="22"/>
                <w:szCs w:val="22"/>
              </w:rPr>
            </w:pPr>
            <w:r>
              <w:rPr>
                <w:sz w:val="22"/>
              </w:rPr>
              <w:t>Amendments to the regulatory framework have been drafted with regard to the provision of information by natural persons on the origin of funds.</w:t>
            </w:r>
          </w:p>
          <w:p w14:paraId="5F9BD7CD" w14:textId="35CD2261" w:rsidR="00222FD2" w:rsidRPr="00222FD2" w:rsidRDefault="00222FD2" w:rsidP="00222FD2">
            <w:pPr>
              <w:jc w:val="both"/>
              <w:rPr>
                <w:rFonts w:cs="Times New Roman"/>
                <w:sz w:val="22"/>
                <w:szCs w:val="22"/>
              </w:rPr>
            </w:pPr>
            <w:r>
              <w:rPr>
                <w:color w:val="000000" w:themeColor="text1"/>
                <w:sz w:val="22"/>
              </w:rPr>
              <w:t>Mainly attributable to medium-sized and small construction sites.</w:t>
            </w:r>
          </w:p>
        </w:tc>
        <w:tc>
          <w:tcPr>
            <w:tcW w:w="2552" w:type="dxa"/>
            <w:shd w:val="clear" w:color="auto" w:fill="auto"/>
          </w:tcPr>
          <w:p w14:paraId="78B2AAB0" w14:textId="21C1C5AC" w:rsidR="00222FD2" w:rsidRPr="00222FD2" w:rsidRDefault="00222FD2" w:rsidP="00CE1FC5">
            <w:pPr>
              <w:jc w:val="both"/>
              <w:rPr>
                <w:rFonts w:cs="Times New Roman"/>
                <w:sz w:val="22"/>
                <w:szCs w:val="22"/>
              </w:rPr>
            </w:pPr>
            <w:r>
              <w:rPr>
                <w:color w:val="000000" w:themeColor="text1"/>
                <w:sz w:val="22"/>
              </w:rPr>
              <w:t>Improved CIS functionality</w:t>
            </w:r>
            <w:r>
              <w:rPr>
                <w:sz w:val="22"/>
              </w:rPr>
              <w:t>.</w:t>
            </w:r>
          </w:p>
        </w:tc>
        <w:tc>
          <w:tcPr>
            <w:tcW w:w="1417" w:type="dxa"/>
          </w:tcPr>
          <w:p w14:paraId="794B0C42" w14:textId="77777777" w:rsidR="00222FD2" w:rsidRPr="00222FD2" w:rsidRDefault="00222FD2" w:rsidP="00222FD2">
            <w:pPr>
              <w:jc w:val="center"/>
              <w:rPr>
                <w:rFonts w:cs="Times New Roman"/>
                <w:sz w:val="22"/>
                <w:szCs w:val="22"/>
              </w:rPr>
            </w:pPr>
            <w:r>
              <w:rPr>
                <w:sz w:val="22"/>
              </w:rPr>
              <w:t>MoE</w:t>
            </w:r>
          </w:p>
          <w:p w14:paraId="4F223696" w14:textId="77777777" w:rsidR="00222FD2" w:rsidRPr="00222FD2" w:rsidRDefault="00222FD2" w:rsidP="00222FD2">
            <w:pPr>
              <w:jc w:val="center"/>
              <w:rPr>
                <w:rFonts w:cs="Times New Roman"/>
                <w:bCs/>
                <w:sz w:val="22"/>
                <w:szCs w:val="22"/>
              </w:rPr>
            </w:pPr>
          </w:p>
        </w:tc>
        <w:tc>
          <w:tcPr>
            <w:tcW w:w="1418" w:type="dxa"/>
          </w:tcPr>
          <w:p w14:paraId="6E950702" w14:textId="184AC25A" w:rsidR="00222FD2" w:rsidRPr="00222FD2" w:rsidRDefault="00222FD2" w:rsidP="00222FD2">
            <w:pPr>
              <w:jc w:val="center"/>
              <w:rPr>
                <w:rFonts w:cs="Times New Roman"/>
                <w:sz w:val="22"/>
                <w:szCs w:val="22"/>
              </w:rPr>
            </w:pPr>
            <w:r>
              <w:rPr>
                <w:sz w:val="22"/>
              </w:rPr>
              <w:t>SCCB,</w:t>
            </w:r>
          </w:p>
          <w:p w14:paraId="663AD4DB" w14:textId="77777777" w:rsidR="00222FD2" w:rsidRPr="00222FD2" w:rsidRDefault="00222FD2" w:rsidP="00222FD2">
            <w:pPr>
              <w:jc w:val="center"/>
              <w:rPr>
                <w:rFonts w:cs="Times New Roman"/>
                <w:sz w:val="22"/>
                <w:szCs w:val="22"/>
              </w:rPr>
            </w:pPr>
            <w:r>
              <w:rPr>
                <w:sz w:val="22"/>
              </w:rPr>
              <w:t>MoF</w:t>
            </w:r>
          </w:p>
          <w:p w14:paraId="7A04BC95" w14:textId="77777777" w:rsidR="00222FD2" w:rsidRPr="00222FD2" w:rsidRDefault="00222FD2" w:rsidP="00222FD2">
            <w:pPr>
              <w:jc w:val="center"/>
              <w:rPr>
                <w:rFonts w:cs="Times New Roman"/>
                <w:bCs/>
                <w:color w:val="000000" w:themeColor="text1"/>
                <w:sz w:val="22"/>
                <w:szCs w:val="22"/>
              </w:rPr>
            </w:pPr>
          </w:p>
        </w:tc>
        <w:tc>
          <w:tcPr>
            <w:tcW w:w="1417" w:type="dxa"/>
          </w:tcPr>
          <w:p w14:paraId="22C396F8" w14:textId="77777777" w:rsidR="00222FD2" w:rsidRPr="00222FD2" w:rsidRDefault="00222FD2" w:rsidP="00222FD2">
            <w:pPr>
              <w:jc w:val="right"/>
              <w:rPr>
                <w:rFonts w:cs="Times New Roman"/>
                <w:bCs/>
                <w:sz w:val="22"/>
                <w:szCs w:val="22"/>
              </w:rPr>
            </w:pPr>
            <w:r>
              <w:rPr>
                <w:sz w:val="22"/>
              </w:rPr>
              <w:t>30.12.2025</w:t>
            </w:r>
          </w:p>
        </w:tc>
      </w:tr>
      <w:tr w:rsidR="00222FD2" w:rsidRPr="00222FD2" w14:paraId="27A6148E" w14:textId="77777777" w:rsidTr="00E87849">
        <w:trPr>
          <w:trHeight w:val="355"/>
        </w:trPr>
        <w:tc>
          <w:tcPr>
            <w:tcW w:w="753" w:type="dxa"/>
          </w:tcPr>
          <w:p w14:paraId="33297297" w14:textId="29F66A69" w:rsidR="00222FD2" w:rsidRPr="00222FD2" w:rsidRDefault="00222FD2" w:rsidP="00222FD2">
            <w:pPr>
              <w:ind w:right="-21"/>
              <w:rPr>
                <w:rFonts w:cs="Times New Roman"/>
                <w:bCs/>
                <w:color w:val="000000" w:themeColor="text1"/>
                <w:sz w:val="22"/>
                <w:szCs w:val="22"/>
              </w:rPr>
            </w:pPr>
            <w:bookmarkStart w:id="46" w:name="_Hlk150447893"/>
            <w:bookmarkEnd w:id="44"/>
            <w:r>
              <w:rPr>
                <w:color w:val="000000" w:themeColor="text1"/>
                <w:sz w:val="22"/>
              </w:rPr>
              <w:t>3.2.3.</w:t>
            </w:r>
          </w:p>
        </w:tc>
        <w:tc>
          <w:tcPr>
            <w:tcW w:w="3642" w:type="dxa"/>
          </w:tcPr>
          <w:p w14:paraId="581DC72C" w14:textId="60E4EAAE" w:rsidR="00222FD2" w:rsidRPr="00222FD2" w:rsidRDefault="00222FD2" w:rsidP="00222FD2">
            <w:pPr>
              <w:jc w:val="both"/>
              <w:rPr>
                <w:rFonts w:cs="Times New Roman"/>
                <w:color w:val="000000" w:themeColor="text1"/>
                <w:sz w:val="22"/>
                <w:szCs w:val="22"/>
              </w:rPr>
            </w:pPr>
            <w:r>
              <w:rPr>
                <w:color w:val="000000" w:themeColor="text1"/>
                <w:sz w:val="22"/>
              </w:rPr>
              <w:t>Imposing of the obligation that payments for services for which the client is obliged to submit documents after completion of the construction works envisaged in the project in order to put the building or civil engineering structure into operation are made only in the form of non-cash payments.</w:t>
            </w:r>
          </w:p>
        </w:tc>
        <w:tc>
          <w:tcPr>
            <w:tcW w:w="4111" w:type="dxa"/>
          </w:tcPr>
          <w:p w14:paraId="7716E95E" w14:textId="77777777" w:rsidR="00222FD2" w:rsidRDefault="00222FD2" w:rsidP="00222FD2">
            <w:pPr>
              <w:jc w:val="both"/>
              <w:rPr>
                <w:rFonts w:cs="Times New Roman"/>
                <w:color w:val="000000" w:themeColor="text1"/>
                <w:sz w:val="22"/>
                <w:szCs w:val="22"/>
              </w:rPr>
            </w:pPr>
            <w:r>
              <w:rPr>
                <w:color w:val="000000" w:themeColor="text1"/>
                <w:sz w:val="22"/>
              </w:rPr>
              <w:t>The regulatory framework has been amended to ensure that, after completion of the construction works envisaged in the project, payments for such services as performance surveys, electrical wiring inspections, inspections of heating appliances, equipment and the technical condition of chimneys and natural ventilation ducts are made only in the form of non-cash payments.</w:t>
            </w:r>
          </w:p>
          <w:p w14:paraId="096EC54B" w14:textId="393CA489" w:rsidR="0001725E" w:rsidRPr="00222FD2" w:rsidRDefault="0001725E" w:rsidP="00222FD2">
            <w:pPr>
              <w:jc w:val="both"/>
              <w:rPr>
                <w:rFonts w:cs="Times New Roman"/>
                <w:color w:val="000000" w:themeColor="text1"/>
                <w:sz w:val="22"/>
                <w:szCs w:val="22"/>
              </w:rPr>
            </w:pPr>
          </w:p>
        </w:tc>
        <w:tc>
          <w:tcPr>
            <w:tcW w:w="2552" w:type="dxa"/>
          </w:tcPr>
          <w:p w14:paraId="79938DB5" w14:textId="2A443776" w:rsidR="00222FD2" w:rsidRPr="00222FD2" w:rsidRDefault="00222FD2" w:rsidP="00B02E2A">
            <w:pPr>
              <w:jc w:val="both"/>
              <w:rPr>
                <w:rFonts w:cs="Times New Roman"/>
                <w:color w:val="000000" w:themeColor="text1"/>
                <w:sz w:val="22"/>
                <w:szCs w:val="22"/>
              </w:rPr>
            </w:pPr>
            <w:r>
              <w:rPr>
                <w:color w:val="000000" w:themeColor="text1"/>
                <w:sz w:val="22"/>
              </w:rPr>
              <w:t>Decreased amount of non-declared private sector services.</w:t>
            </w:r>
          </w:p>
        </w:tc>
        <w:tc>
          <w:tcPr>
            <w:tcW w:w="1417" w:type="dxa"/>
          </w:tcPr>
          <w:p w14:paraId="2CB05330" w14:textId="55CD51CA" w:rsidR="00222FD2" w:rsidRPr="00222FD2" w:rsidRDefault="00222FD2" w:rsidP="00222FD2">
            <w:pPr>
              <w:jc w:val="center"/>
              <w:rPr>
                <w:rFonts w:cs="Times New Roman"/>
                <w:color w:val="000000" w:themeColor="text1"/>
                <w:sz w:val="22"/>
                <w:szCs w:val="22"/>
              </w:rPr>
            </w:pPr>
            <w:r>
              <w:rPr>
                <w:color w:val="000000" w:themeColor="text1"/>
                <w:sz w:val="22"/>
              </w:rPr>
              <w:t>MoF</w:t>
            </w:r>
          </w:p>
        </w:tc>
        <w:tc>
          <w:tcPr>
            <w:tcW w:w="1418" w:type="dxa"/>
          </w:tcPr>
          <w:p w14:paraId="03742ACA" w14:textId="3D63189F" w:rsidR="00222FD2" w:rsidRPr="00222FD2" w:rsidRDefault="00222FD2" w:rsidP="00222FD2">
            <w:pPr>
              <w:jc w:val="center"/>
              <w:rPr>
                <w:rFonts w:cs="Times New Roman"/>
                <w:color w:val="000000" w:themeColor="text1"/>
                <w:sz w:val="22"/>
                <w:szCs w:val="22"/>
              </w:rPr>
            </w:pPr>
            <w:r>
              <w:rPr>
                <w:color w:val="000000" w:themeColor="text1"/>
                <w:sz w:val="22"/>
              </w:rPr>
              <w:t>MoE</w:t>
            </w:r>
          </w:p>
        </w:tc>
        <w:tc>
          <w:tcPr>
            <w:tcW w:w="1417" w:type="dxa"/>
          </w:tcPr>
          <w:p w14:paraId="1A9A2C66" w14:textId="56EFC48A" w:rsidR="00222FD2" w:rsidRPr="00222FD2" w:rsidRDefault="00222FD2" w:rsidP="00222FD2">
            <w:pPr>
              <w:jc w:val="right"/>
              <w:rPr>
                <w:rFonts w:cs="Times New Roman"/>
                <w:bCs/>
                <w:color w:val="000000" w:themeColor="text1"/>
                <w:sz w:val="22"/>
                <w:szCs w:val="22"/>
              </w:rPr>
            </w:pPr>
            <w:r>
              <w:rPr>
                <w:color w:val="000000" w:themeColor="text1"/>
                <w:sz w:val="22"/>
              </w:rPr>
              <w:t>30.06.2024</w:t>
            </w:r>
          </w:p>
        </w:tc>
      </w:tr>
      <w:bookmarkEnd w:id="46"/>
      <w:tr w:rsidR="00222FD2" w:rsidRPr="00222FD2" w14:paraId="3B9A6FB2" w14:textId="77777777" w:rsidTr="003C1C7B">
        <w:trPr>
          <w:trHeight w:val="283"/>
        </w:trPr>
        <w:tc>
          <w:tcPr>
            <w:tcW w:w="11058" w:type="dxa"/>
            <w:gridSpan w:val="4"/>
            <w:shd w:val="clear" w:color="auto" w:fill="FFF2CC" w:themeFill="accent4" w:themeFillTint="33"/>
          </w:tcPr>
          <w:p w14:paraId="0C3D28A5" w14:textId="4808E674" w:rsidR="00222FD2" w:rsidRPr="00222FD2" w:rsidRDefault="00222FD2" w:rsidP="00222FD2">
            <w:pPr>
              <w:rPr>
                <w:rFonts w:cs="Times New Roman"/>
                <w:sz w:val="22"/>
                <w:szCs w:val="22"/>
              </w:rPr>
            </w:pPr>
            <w:r>
              <w:rPr>
                <w:sz w:val="22"/>
              </w:rPr>
              <w:t xml:space="preserve">Course of Action 3. Task 3. </w:t>
            </w:r>
            <w:r>
              <w:rPr>
                <w:b/>
                <w:sz w:val="22"/>
              </w:rPr>
              <w:t xml:space="preserve">Strengthening of the public-private partnership in the construction sector. </w:t>
            </w:r>
          </w:p>
        </w:tc>
        <w:tc>
          <w:tcPr>
            <w:tcW w:w="4252" w:type="dxa"/>
            <w:gridSpan w:val="3"/>
            <w:shd w:val="clear" w:color="auto" w:fill="FFF2CC" w:themeFill="accent4" w:themeFillTint="33"/>
          </w:tcPr>
          <w:p w14:paraId="7EDB3C04" w14:textId="659A9A8E" w:rsidR="00222FD2" w:rsidRPr="00222FD2" w:rsidRDefault="00222FD2" w:rsidP="00222FD2">
            <w:pPr>
              <w:rPr>
                <w:rFonts w:cs="Times New Roman"/>
                <w:sz w:val="22"/>
                <w:szCs w:val="22"/>
              </w:rPr>
            </w:pPr>
            <w:r>
              <w:rPr>
                <w:sz w:val="22"/>
              </w:rPr>
              <w:t>Fiscal benefit: EUR 7 million</w:t>
            </w:r>
          </w:p>
        </w:tc>
      </w:tr>
      <w:tr w:rsidR="00222FD2" w:rsidRPr="00222FD2" w14:paraId="74EF907B" w14:textId="77777777" w:rsidTr="00E87849">
        <w:trPr>
          <w:trHeight w:val="96"/>
        </w:trPr>
        <w:tc>
          <w:tcPr>
            <w:tcW w:w="753" w:type="dxa"/>
            <w:shd w:val="clear" w:color="auto" w:fill="auto"/>
          </w:tcPr>
          <w:p w14:paraId="2EBBDE73" w14:textId="7C917980" w:rsidR="00222FD2" w:rsidRPr="00222FD2" w:rsidRDefault="009754C9" w:rsidP="00222FD2">
            <w:pPr>
              <w:ind w:right="-21"/>
              <w:rPr>
                <w:rFonts w:cs="Times New Roman"/>
                <w:bCs/>
                <w:sz w:val="22"/>
                <w:szCs w:val="22"/>
              </w:rPr>
            </w:pPr>
            <w:r>
              <w:rPr>
                <w:sz w:val="22"/>
              </w:rPr>
              <w:t>3.3.1.</w:t>
            </w:r>
          </w:p>
        </w:tc>
        <w:tc>
          <w:tcPr>
            <w:tcW w:w="3642" w:type="dxa"/>
            <w:shd w:val="clear" w:color="auto" w:fill="auto"/>
          </w:tcPr>
          <w:p w14:paraId="7851B2FF" w14:textId="10F6466F" w:rsidR="00222FD2" w:rsidRPr="00222FD2" w:rsidRDefault="00222FD2" w:rsidP="00222FD2">
            <w:pPr>
              <w:jc w:val="both"/>
              <w:rPr>
                <w:rFonts w:cs="Times New Roman"/>
                <w:strike/>
                <w:color w:val="000000" w:themeColor="text1"/>
                <w:sz w:val="22"/>
                <w:szCs w:val="22"/>
              </w:rPr>
            </w:pPr>
            <w:r>
              <w:rPr>
                <w:color w:val="000000" w:themeColor="text1"/>
                <w:sz w:val="22"/>
              </w:rPr>
              <w:t>Encouraging the construction sector association to revise the general agreements in line with the current wage levels in the sector.</w:t>
            </w:r>
          </w:p>
        </w:tc>
        <w:tc>
          <w:tcPr>
            <w:tcW w:w="4111" w:type="dxa"/>
            <w:shd w:val="clear" w:color="auto" w:fill="auto"/>
          </w:tcPr>
          <w:p w14:paraId="714CDCF1" w14:textId="32E30B43" w:rsidR="00222FD2" w:rsidRPr="00222FD2" w:rsidRDefault="00222FD2" w:rsidP="00222FD2">
            <w:pPr>
              <w:jc w:val="both"/>
              <w:rPr>
                <w:rFonts w:cs="Times New Roman"/>
                <w:sz w:val="22"/>
                <w:szCs w:val="22"/>
              </w:rPr>
            </w:pPr>
            <w:r>
              <w:rPr>
                <w:color w:val="000000" w:themeColor="text1"/>
                <w:sz w:val="22"/>
              </w:rPr>
              <w:t>Supplementing the terms of general agreements with appropriate remuneration in construction according to occupation and qualifications.</w:t>
            </w:r>
          </w:p>
        </w:tc>
        <w:tc>
          <w:tcPr>
            <w:tcW w:w="2552" w:type="dxa"/>
            <w:shd w:val="clear" w:color="auto" w:fill="auto"/>
          </w:tcPr>
          <w:p w14:paraId="2CC4F094" w14:textId="2E14BC71" w:rsidR="00222FD2" w:rsidRPr="00222FD2" w:rsidRDefault="00222FD2" w:rsidP="00222FD2">
            <w:pPr>
              <w:jc w:val="both"/>
              <w:rPr>
                <w:rFonts w:cs="Times New Roman"/>
                <w:strike/>
                <w:sz w:val="22"/>
                <w:szCs w:val="22"/>
              </w:rPr>
            </w:pPr>
            <w:r>
              <w:rPr>
                <w:sz w:val="22"/>
              </w:rPr>
              <w:t>Voluntary tax compliance has increased, including labour tax revenues to the budget.</w:t>
            </w:r>
          </w:p>
        </w:tc>
        <w:tc>
          <w:tcPr>
            <w:tcW w:w="1417" w:type="dxa"/>
            <w:shd w:val="clear" w:color="auto" w:fill="auto"/>
          </w:tcPr>
          <w:p w14:paraId="01CF33CF" w14:textId="68766DAE" w:rsidR="00222FD2" w:rsidRPr="00222FD2" w:rsidRDefault="00222FD2" w:rsidP="00222FD2">
            <w:pPr>
              <w:jc w:val="center"/>
              <w:rPr>
                <w:rFonts w:cs="Times New Roman"/>
                <w:bCs/>
                <w:color w:val="000000" w:themeColor="text1"/>
                <w:sz w:val="22"/>
                <w:szCs w:val="22"/>
              </w:rPr>
            </w:pPr>
            <w:r>
              <w:rPr>
                <w:color w:val="000000" w:themeColor="text1"/>
                <w:sz w:val="22"/>
              </w:rPr>
              <w:t>MoE responsible for the sector (practical action: LBNA,</w:t>
            </w:r>
          </w:p>
          <w:p w14:paraId="1A4E2E51" w14:textId="03A949A8" w:rsidR="00222FD2" w:rsidRPr="00222FD2" w:rsidRDefault="00222FD2" w:rsidP="00222FD2">
            <w:pPr>
              <w:jc w:val="center"/>
              <w:rPr>
                <w:rFonts w:cs="Times New Roman"/>
                <w:bCs/>
                <w:strike/>
                <w:color w:val="000000" w:themeColor="text1"/>
                <w:sz w:val="22"/>
                <w:szCs w:val="22"/>
              </w:rPr>
            </w:pPr>
            <w:r>
              <w:rPr>
                <w:color w:val="000000" w:themeColor="text1"/>
                <w:sz w:val="22"/>
              </w:rPr>
              <w:t>LBAS)</w:t>
            </w:r>
            <w:r>
              <w:rPr>
                <w:strike/>
                <w:color w:val="000000" w:themeColor="text1"/>
                <w:sz w:val="22"/>
              </w:rPr>
              <w:t xml:space="preserve"> </w:t>
            </w:r>
          </w:p>
        </w:tc>
        <w:tc>
          <w:tcPr>
            <w:tcW w:w="1418" w:type="dxa"/>
            <w:shd w:val="clear" w:color="auto" w:fill="auto"/>
          </w:tcPr>
          <w:p w14:paraId="2A1185C0" w14:textId="79ED4510" w:rsidR="00222FD2" w:rsidRPr="00222FD2" w:rsidRDefault="00222FD2" w:rsidP="00222FD2">
            <w:pPr>
              <w:jc w:val="center"/>
              <w:rPr>
                <w:rFonts w:cs="Times New Roman"/>
                <w:bCs/>
                <w:color w:val="000000" w:themeColor="text1"/>
                <w:sz w:val="22"/>
                <w:szCs w:val="22"/>
              </w:rPr>
            </w:pPr>
            <w:r>
              <w:rPr>
                <w:color w:val="000000" w:themeColor="text1"/>
                <w:sz w:val="22"/>
              </w:rPr>
              <w:t>MoE,</w:t>
            </w:r>
          </w:p>
          <w:p w14:paraId="5441F31C" w14:textId="0E7D9C5E" w:rsidR="00222FD2" w:rsidRPr="00222FD2" w:rsidRDefault="00222FD2" w:rsidP="00222FD2">
            <w:pPr>
              <w:jc w:val="center"/>
              <w:rPr>
                <w:rFonts w:cs="Times New Roman"/>
                <w:bCs/>
                <w:color w:val="000000" w:themeColor="text1"/>
                <w:sz w:val="22"/>
                <w:szCs w:val="22"/>
              </w:rPr>
            </w:pPr>
            <w:r>
              <w:rPr>
                <w:color w:val="000000" w:themeColor="text1"/>
                <w:sz w:val="22"/>
              </w:rPr>
              <w:t>MoW,</w:t>
            </w:r>
          </w:p>
          <w:p w14:paraId="44539704" w14:textId="7099D035" w:rsidR="00222FD2" w:rsidRPr="00222FD2" w:rsidRDefault="00222FD2" w:rsidP="00222FD2">
            <w:pPr>
              <w:jc w:val="center"/>
              <w:rPr>
                <w:rFonts w:cs="Times New Roman"/>
                <w:bCs/>
                <w:color w:val="000000" w:themeColor="text1"/>
                <w:sz w:val="22"/>
                <w:szCs w:val="22"/>
              </w:rPr>
            </w:pPr>
            <w:r>
              <w:rPr>
                <w:color w:val="000000" w:themeColor="text1"/>
                <w:sz w:val="22"/>
              </w:rPr>
              <w:t>LBP</w:t>
            </w:r>
          </w:p>
        </w:tc>
        <w:tc>
          <w:tcPr>
            <w:tcW w:w="1417" w:type="dxa"/>
            <w:shd w:val="clear" w:color="auto" w:fill="auto"/>
          </w:tcPr>
          <w:p w14:paraId="55D55A21" w14:textId="52F8CAEB" w:rsidR="00222FD2" w:rsidRPr="00222FD2" w:rsidRDefault="00222FD2" w:rsidP="00222FD2">
            <w:pPr>
              <w:jc w:val="right"/>
              <w:rPr>
                <w:rFonts w:cs="Times New Roman"/>
                <w:bCs/>
                <w:sz w:val="22"/>
                <w:szCs w:val="22"/>
              </w:rPr>
            </w:pPr>
            <w:r>
              <w:rPr>
                <w:sz w:val="22"/>
              </w:rPr>
              <w:t>30.12.2027</w:t>
            </w:r>
          </w:p>
        </w:tc>
      </w:tr>
      <w:tr w:rsidR="00222FD2" w:rsidRPr="00222FD2" w14:paraId="5C7CD3A5" w14:textId="77777777" w:rsidTr="00E87849">
        <w:trPr>
          <w:trHeight w:val="96"/>
        </w:trPr>
        <w:tc>
          <w:tcPr>
            <w:tcW w:w="753" w:type="dxa"/>
            <w:shd w:val="clear" w:color="auto" w:fill="auto"/>
          </w:tcPr>
          <w:p w14:paraId="2A26AB39" w14:textId="2B31B8F5" w:rsidR="00222FD2" w:rsidRPr="00222FD2" w:rsidRDefault="00222FD2" w:rsidP="00222FD2">
            <w:pPr>
              <w:ind w:right="-21"/>
              <w:rPr>
                <w:rFonts w:cs="Times New Roman"/>
                <w:bCs/>
                <w:color w:val="000000" w:themeColor="text1"/>
                <w:sz w:val="22"/>
                <w:szCs w:val="22"/>
              </w:rPr>
            </w:pPr>
            <w:r>
              <w:rPr>
                <w:color w:val="000000" w:themeColor="text1"/>
                <w:sz w:val="22"/>
              </w:rPr>
              <w:t>3.3.2.</w:t>
            </w:r>
          </w:p>
        </w:tc>
        <w:tc>
          <w:tcPr>
            <w:tcW w:w="3642" w:type="dxa"/>
            <w:shd w:val="clear" w:color="auto" w:fill="auto"/>
          </w:tcPr>
          <w:p w14:paraId="28837383" w14:textId="4B7DB548" w:rsidR="00222FD2" w:rsidRPr="00222FD2" w:rsidRDefault="00222FD2" w:rsidP="00222FD2">
            <w:pPr>
              <w:widowControl w:val="0"/>
              <w:jc w:val="both"/>
              <w:rPr>
                <w:rFonts w:cs="Times New Roman"/>
                <w:color w:val="000000" w:themeColor="text1"/>
                <w:sz w:val="22"/>
                <w:szCs w:val="22"/>
              </w:rPr>
            </w:pPr>
            <w:r>
              <w:rPr>
                <w:color w:val="000000" w:themeColor="text1"/>
                <w:sz w:val="22"/>
              </w:rPr>
              <w:t xml:space="preserve">Supplementation of public procurement guidelines, encouraging the use of the EDLUS to determine the most economically advantageous tender where this will not be mandatory. </w:t>
            </w:r>
          </w:p>
        </w:tc>
        <w:tc>
          <w:tcPr>
            <w:tcW w:w="4111" w:type="dxa"/>
            <w:shd w:val="clear" w:color="auto" w:fill="auto"/>
          </w:tcPr>
          <w:p w14:paraId="55F33F35" w14:textId="1978C084" w:rsidR="00222FD2" w:rsidRPr="00222FD2" w:rsidRDefault="00222FD2" w:rsidP="00222FD2">
            <w:pPr>
              <w:widowControl w:val="0"/>
              <w:jc w:val="both"/>
              <w:rPr>
                <w:rFonts w:cs="Times New Roman"/>
                <w:color w:val="000000" w:themeColor="text1"/>
                <w:sz w:val="22"/>
                <w:szCs w:val="22"/>
              </w:rPr>
            </w:pPr>
            <w:r>
              <w:rPr>
                <w:color w:val="000000" w:themeColor="text1"/>
                <w:sz w:val="22"/>
              </w:rPr>
              <w:t>Public procurement guidelines have been supplemented.</w:t>
            </w:r>
          </w:p>
        </w:tc>
        <w:tc>
          <w:tcPr>
            <w:tcW w:w="2552" w:type="dxa"/>
            <w:shd w:val="clear" w:color="auto" w:fill="auto"/>
          </w:tcPr>
          <w:p w14:paraId="6FCCAD31" w14:textId="2F8C6A43" w:rsidR="00222FD2" w:rsidRPr="00222FD2" w:rsidRDefault="00222FD2" w:rsidP="00222FD2">
            <w:pPr>
              <w:jc w:val="both"/>
              <w:rPr>
                <w:rFonts w:cs="Times New Roman"/>
                <w:color w:val="000000" w:themeColor="text1"/>
                <w:sz w:val="22"/>
                <w:szCs w:val="22"/>
              </w:rPr>
            </w:pPr>
            <w:r>
              <w:rPr>
                <w:color w:val="000000" w:themeColor="text1"/>
                <w:sz w:val="22"/>
              </w:rPr>
              <w:t>Increased number of the EDLUS users.</w:t>
            </w:r>
          </w:p>
        </w:tc>
        <w:tc>
          <w:tcPr>
            <w:tcW w:w="1417" w:type="dxa"/>
            <w:shd w:val="clear" w:color="auto" w:fill="auto"/>
          </w:tcPr>
          <w:p w14:paraId="07D8DEC7" w14:textId="70F59AB9" w:rsidR="00222FD2" w:rsidRPr="00222FD2" w:rsidRDefault="00222FD2" w:rsidP="00222FD2">
            <w:pPr>
              <w:jc w:val="center"/>
              <w:rPr>
                <w:rFonts w:cs="Times New Roman"/>
                <w:bCs/>
                <w:color w:val="000000" w:themeColor="text1"/>
                <w:sz w:val="22"/>
                <w:szCs w:val="22"/>
              </w:rPr>
            </w:pPr>
            <w:r>
              <w:rPr>
                <w:color w:val="000000" w:themeColor="text1"/>
                <w:sz w:val="22"/>
              </w:rPr>
              <w:t>MoE and MoF responsible for the sector (practical action: LBNA,</w:t>
            </w:r>
          </w:p>
          <w:p w14:paraId="39123612" w14:textId="77777777" w:rsidR="00222FD2" w:rsidRDefault="00222FD2" w:rsidP="00222FD2">
            <w:pPr>
              <w:jc w:val="center"/>
              <w:rPr>
                <w:rFonts w:cs="Times New Roman"/>
                <w:bCs/>
                <w:color w:val="000000" w:themeColor="text1"/>
                <w:sz w:val="22"/>
                <w:szCs w:val="22"/>
              </w:rPr>
            </w:pPr>
            <w:r>
              <w:rPr>
                <w:color w:val="000000" w:themeColor="text1"/>
                <w:sz w:val="22"/>
              </w:rPr>
              <w:t>IUB)</w:t>
            </w:r>
          </w:p>
          <w:p w14:paraId="1A1D21F2" w14:textId="3C38640A" w:rsidR="0001725E" w:rsidRPr="00222FD2" w:rsidRDefault="0001725E" w:rsidP="00222FD2">
            <w:pPr>
              <w:jc w:val="center"/>
              <w:rPr>
                <w:rFonts w:cs="Times New Roman"/>
                <w:bCs/>
                <w:color w:val="000000" w:themeColor="text1"/>
                <w:sz w:val="22"/>
                <w:szCs w:val="22"/>
              </w:rPr>
            </w:pPr>
          </w:p>
        </w:tc>
        <w:tc>
          <w:tcPr>
            <w:tcW w:w="1418" w:type="dxa"/>
            <w:shd w:val="clear" w:color="auto" w:fill="auto"/>
          </w:tcPr>
          <w:p w14:paraId="6AABFF2D" w14:textId="4083415F" w:rsidR="00222FD2" w:rsidRPr="00222FD2" w:rsidRDefault="00222FD2" w:rsidP="00222FD2">
            <w:pPr>
              <w:jc w:val="center"/>
              <w:rPr>
                <w:rFonts w:cs="Times New Roman"/>
                <w:bCs/>
                <w:color w:val="000000" w:themeColor="text1"/>
                <w:sz w:val="22"/>
                <w:szCs w:val="22"/>
              </w:rPr>
            </w:pPr>
            <w:r>
              <w:rPr>
                <w:color w:val="000000" w:themeColor="text1"/>
                <w:sz w:val="22"/>
              </w:rPr>
              <w:t>LBP</w:t>
            </w:r>
          </w:p>
        </w:tc>
        <w:tc>
          <w:tcPr>
            <w:tcW w:w="1417" w:type="dxa"/>
            <w:shd w:val="clear" w:color="auto" w:fill="auto"/>
          </w:tcPr>
          <w:p w14:paraId="63695F60" w14:textId="307A667F" w:rsidR="00222FD2" w:rsidRPr="00222FD2" w:rsidRDefault="00222FD2" w:rsidP="00222FD2">
            <w:pPr>
              <w:jc w:val="right"/>
              <w:rPr>
                <w:rFonts w:cs="Times New Roman"/>
                <w:bCs/>
                <w:color w:val="000000" w:themeColor="text1"/>
                <w:sz w:val="22"/>
                <w:szCs w:val="22"/>
              </w:rPr>
            </w:pPr>
            <w:r>
              <w:rPr>
                <w:color w:val="000000" w:themeColor="text1"/>
                <w:sz w:val="22"/>
              </w:rPr>
              <w:t>30.06.2024</w:t>
            </w:r>
          </w:p>
        </w:tc>
      </w:tr>
      <w:tr w:rsidR="00E87849" w:rsidRPr="00222FD2" w14:paraId="6E5C74E2" w14:textId="77777777" w:rsidTr="00E87849">
        <w:trPr>
          <w:trHeight w:val="96"/>
        </w:trPr>
        <w:tc>
          <w:tcPr>
            <w:tcW w:w="753" w:type="dxa"/>
            <w:shd w:val="clear" w:color="auto" w:fill="auto"/>
          </w:tcPr>
          <w:p w14:paraId="550C56E2" w14:textId="65163E06" w:rsidR="00222FD2" w:rsidRPr="00222FD2" w:rsidRDefault="00222FD2" w:rsidP="00222FD2">
            <w:pPr>
              <w:ind w:right="-21"/>
              <w:rPr>
                <w:rFonts w:cs="Times New Roman"/>
                <w:bCs/>
                <w:color w:val="000000" w:themeColor="text1"/>
                <w:sz w:val="22"/>
                <w:szCs w:val="22"/>
              </w:rPr>
            </w:pPr>
            <w:r>
              <w:rPr>
                <w:color w:val="000000" w:themeColor="text1"/>
                <w:sz w:val="22"/>
              </w:rPr>
              <w:t>3.3.3.</w:t>
            </w:r>
          </w:p>
        </w:tc>
        <w:tc>
          <w:tcPr>
            <w:tcW w:w="3642" w:type="dxa"/>
            <w:shd w:val="clear" w:color="auto" w:fill="auto"/>
          </w:tcPr>
          <w:p w14:paraId="556DEDC6" w14:textId="7245D47B" w:rsidR="00222FD2" w:rsidRPr="00222FD2" w:rsidRDefault="00222FD2" w:rsidP="00222FD2">
            <w:pPr>
              <w:widowControl w:val="0"/>
              <w:jc w:val="both"/>
              <w:rPr>
                <w:rFonts w:cs="Times New Roman"/>
                <w:color w:val="000000" w:themeColor="text1"/>
                <w:sz w:val="22"/>
                <w:szCs w:val="22"/>
              </w:rPr>
            </w:pPr>
            <w:r>
              <w:rPr>
                <w:sz w:val="22"/>
              </w:rPr>
              <w:t>Improvement of the legal framework and strengthening of supervision to prevent the construction of illegal engineering networks.</w:t>
            </w:r>
          </w:p>
        </w:tc>
        <w:tc>
          <w:tcPr>
            <w:tcW w:w="4111" w:type="dxa"/>
            <w:shd w:val="clear" w:color="auto" w:fill="auto"/>
          </w:tcPr>
          <w:p w14:paraId="3D09C8D0" w14:textId="7892830E" w:rsidR="00222FD2" w:rsidRPr="00222FD2" w:rsidRDefault="00222FD2" w:rsidP="0037198A">
            <w:pPr>
              <w:pStyle w:val="ListParagraph"/>
              <w:widowControl w:val="0"/>
              <w:numPr>
                <w:ilvl w:val="0"/>
                <w:numId w:val="33"/>
              </w:numPr>
              <w:tabs>
                <w:tab w:val="left" w:pos="376"/>
              </w:tabs>
              <w:ind w:left="0" w:firstLine="92"/>
              <w:contextualSpacing w:val="0"/>
              <w:jc w:val="both"/>
              <w:rPr>
                <w:rFonts w:cs="Times New Roman"/>
                <w:color w:val="000000" w:themeColor="text1"/>
                <w:sz w:val="22"/>
                <w:szCs w:val="22"/>
              </w:rPr>
            </w:pPr>
            <w:r>
              <w:rPr>
                <w:color w:val="000000" w:themeColor="text1"/>
                <w:sz w:val="22"/>
              </w:rPr>
              <w:t xml:space="preserve">Improved and simplified legal framework for preventing illegal construction and dismantling of illegal electronic communications networks or illegal overhead lines. </w:t>
            </w:r>
          </w:p>
          <w:p w14:paraId="6D9CCF69" w14:textId="3768ADE3" w:rsidR="00222FD2" w:rsidRPr="00222FD2" w:rsidRDefault="00222FD2" w:rsidP="0037198A">
            <w:pPr>
              <w:pStyle w:val="ListParagraph"/>
              <w:widowControl w:val="0"/>
              <w:numPr>
                <w:ilvl w:val="0"/>
                <w:numId w:val="33"/>
              </w:numPr>
              <w:tabs>
                <w:tab w:val="left" w:pos="376"/>
              </w:tabs>
              <w:ind w:left="0" w:firstLine="92"/>
              <w:contextualSpacing w:val="0"/>
              <w:jc w:val="both"/>
              <w:rPr>
                <w:rFonts w:cs="Times New Roman"/>
                <w:color w:val="000000" w:themeColor="text1"/>
                <w:sz w:val="22"/>
                <w:szCs w:val="22"/>
              </w:rPr>
            </w:pPr>
            <w:r>
              <w:rPr>
                <w:color w:val="000000" w:themeColor="text1"/>
                <w:sz w:val="22"/>
              </w:rPr>
              <w:t>Enhanced supervision to ensure that only companies registered in the in the Register of Construction Merchants carry out construction work. Administrative liability imposed for carrying out work without registration.</w:t>
            </w:r>
          </w:p>
          <w:p w14:paraId="73FD7F3C" w14:textId="6E3F7B94" w:rsidR="00222FD2" w:rsidRPr="00222FD2" w:rsidRDefault="00222FD2" w:rsidP="0037198A">
            <w:pPr>
              <w:pStyle w:val="ListParagraph"/>
              <w:widowControl w:val="0"/>
              <w:tabs>
                <w:tab w:val="left" w:pos="376"/>
              </w:tabs>
              <w:ind w:left="0"/>
              <w:contextualSpacing w:val="0"/>
              <w:jc w:val="both"/>
              <w:rPr>
                <w:rFonts w:cs="Times New Roman"/>
                <w:color w:val="000000" w:themeColor="text1"/>
                <w:sz w:val="22"/>
                <w:szCs w:val="22"/>
              </w:rPr>
            </w:pPr>
            <w:r>
              <w:rPr>
                <w:color w:val="000000" w:themeColor="text1"/>
                <w:sz w:val="22"/>
              </w:rPr>
              <w:t>Municipalities have a detailed plan in place to survey, detect and dismantle (including forcibly dismantle) illegally and improperly constructed electronic communications networks within a set timeframe.</w:t>
            </w:r>
          </w:p>
          <w:p w14:paraId="46DC5DA1" w14:textId="630F1A62" w:rsidR="00222FD2" w:rsidRDefault="00222FD2" w:rsidP="00EF0F7B">
            <w:pPr>
              <w:pStyle w:val="ListParagraph"/>
              <w:widowControl w:val="0"/>
              <w:tabs>
                <w:tab w:val="left" w:pos="376"/>
              </w:tabs>
              <w:ind w:left="0"/>
              <w:contextualSpacing w:val="0"/>
              <w:jc w:val="both"/>
              <w:rPr>
                <w:rFonts w:cs="Times New Roman"/>
                <w:color w:val="000000" w:themeColor="text1"/>
                <w:sz w:val="22"/>
                <w:szCs w:val="22"/>
              </w:rPr>
            </w:pPr>
            <w:r>
              <w:rPr>
                <w:color w:val="000000" w:themeColor="text1"/>
                <w:sz w:val="22"/>
              </w:rPr>
              <w:t>Completed assessment of the necessary solutions to ensure that municipalities, when granting immovable property tax rebates, would verify compliance with construction legislation, including legislation governing electronic communications networks. Informative material on the process of detection and dismantling of illegally constructed electronic communications networks has been developed, communication with construction authorities has been ensured and awareness and involvement of local authorities has been promoted. Communication with owners of electronic communications networks, urging them to take the steps required by the regulation to legalise their networks and informing them of the consequences of failing to do so.</w:t>
            </w:r>
          </w:p>
          <w:p w14:paraId="5B7B89E9" w14:textId="77777777" w:rsidR="0001725E" w:rsidRDefault="0001725E" w:rsidP="0001725E">
            <w:pPr>
              <w:widowControl w:val="0"/>
              <w:tabs>
                <w:tab w:val="left" w:pos="376"/>
              </w:tabs>
              <w:jc w:val="both"/>
              <w:rPr>
                <w:rFonts w:cs="Times New Roman"/>
                <w:color w:val="000000" w:themeColor="text1"/>
              </w:rPr>
            </w:pPr>
          </w:p>
          <w:p w14:paraId="75479E51" w14:textId="2E0B941E" w:rsidR="0001725E" w:rsidRPr="0001725E" w:rsidRDefault="0001725E" w:rsidP="0001725E">
            <w:pPr>
              <w:widowControl w:val="0"/>
              <w:tabs>
                <w:tab w:val="left" w:pos="376"/>
              </w:tabs>
              <w:jc w:val="both"/>
              <w:rPr>
                <w:rFonts w:cs="Times New Roman"/>
                <w:color w:val="000000" w:themeColor="text1"/>
              </w:rPr>
            </w:pPr>
          </w:p>
        </w:tc>
        <w:tc>
          <w:tcPr>
            <w:tcW w:w="2552" w:type="dxa"/>
            <w:shd w:val="clear" w:color="auto" w:fill="auto"/>
          </w:tcPr>
          <w:p w14:paraId="502E1979" w14:textId="51C70BE9" w:rsidR="00222FD2" w:rsidRPr="00222FD2" w:rsidRDefault="00222FD2" w:rsidP="00222FD2">
            <w:pPr>
              <w:jc w:val="both"/>
              <w:rPr>
                <w:rFonts w:cs="Times New Roman"/>
                <w:color w:val="000000" w:themeColor="text1"/>
                <w:sz w:val="22"/>
                <w:szCs w:val="22"/>
              </w:rPr>
            </w:pPr>
            <w:r>
              <w:rPr>
                <w:color w:val="000000" w:themeColor="text1"/>
                <w:sz w:val="22"/>
              </w:rPr>
              <w:t>Reduction of illegal construction.</w:t>
            </w:r>
          </w:p>
          <w:p w14:paraId="4D380BB9" w14:textId="77777777" w:rsidR="00222FD2" w:rsidRPr="00222FD2" w:rsidRDefault="00222FD2" w:rsidP="00222FD2">
            <w:pPr>
              <w:jc w:val="both"/>
              <w:rPr>
                <w:rFonts w:cs="Times New Roman"/>
                <w:color w:val="000000" w:themeColor="text1"/>
                <w:sz w:val="22"/>
                <w:szCs w:val="22"/>
              </w:rPr>
            </w:pPr>
          </w:p>
          <w:p w14:paraId="57917E03" w14:textId="58591E84" w:rsidR="00222FD2" w:rsidRPr="00222FD2" w:rsidRDefault="00222FD2" w:rsidP="00222FD2">
            <w:pPr>
              <w:jc w:val="both"/>
              <w:rPr>
                <w:rFonts w:cs="Times New Roman"/>
                <w:color w:val="000000" w:themeColor="text1"/>
                <w:sz w:val="22"/>
                <w:szCs w:val="22"/>
              </w:rPr>
            </w:pPr>
            <w:r>
              <w:rPr>
                <w:color w:val="000000" w:themeColor="text1"/>
                <w:sz w:val="22"/>
              </w:rPr>
              <w:t>At least 50 per cent of the non-compliant electronic communications networks in five largest municipalities removed (dismantled and/or legalised) by 2027.</w:t>
            </w:r>
          </w:p>
        </w:tc>
        <w:tc>
          <w:tcPr>
            <w:tcW w:w="1417" w:type="dxa"/>
            <w:shd w:val="clear" w:color="auto" w:fill="auto"/>
          </w:tcPr>
          <w:p w14:paraId="4DEFDBC9" w14:textId="77777777" w:rsidR="00222FD2" w:rsidRPr="00222FD2" w:rsidRDefault="00222FD2" w:rsidP="00222FD2">
            <w:pPr>
              <w:jc w:val="center"/>
              <w:rPr>
                <w:rFonts w:cs="Times New Roman"/>
                <w:bCs/>
                <w:color w:val="000000" w:themeColor="text1"/>
                <w:sz w:val="22"/>
                <w:szCs w:val="22"/>
              </w:rPr>
            </w:pPr>
            <w:r>
              <w:rPr>
                <w:color w:val="000000" w:themeColor="text1"/>
                <w:sz w:val="22"/>
              </w:rPr>
              <w:t>1., 3. MoE, MoT</w:t>
            </w:r>
          </w:p>
          <w:p w14:paraId="039C2B36" w14:textId="0B9A8841" w:rsidR="00222FD2" w:rsidRPr="00222FD2" w:rsidRDefault="00222FD2" w:rsidP="00222FD2">
            <w:pPr>
              <w:jc w:val="center"/>
              <w:rPr>
                <w:rFonts w:cs="Times New Roman"/>
                <w:bCs/>
                <w:color w:val="000000" w:themeColor="text1"/>
                <w:sz w:val="22"/>
                <w:szCs w:val="22"/>
              </w:rPr>
            </w:pPr>
            <w:r>
              <w:rPr>
                <w:color w:val="000000" w:themeColor="text1"/>
                <w:sz w:val="22"/>
              </w:rPr>
              <w:t>2. MoEPRD, LIKTA</w:t>
            </w:r>
          </w:p>
        </w:tc>
        <w:tc>
          <w:tcPr>
            <w:tcW w:w="1418" w:type="dxa"/>
            <w:shd w:val="clear" w:color="auto" w:fill="auto"/>
          </w:tcPr>
          <w:p w14:paraId="114899D0" w14:textId="77777777" w:rsidR="00222FD2" w:rsidRPr="00222FD2" w:rsidRDefault="00222FD2" w:rsidP="00222FD2">
            <w:pPr>
              <w:jc w:val="center"/>
              <w:rPr>
                <w:rFonts w:cs="Times New Roman"/>
                <w:bCs/>
                <w:color w:val="000000" w:themeColor="text1"/>
                <w:sz w:val="22"/>
                <w:szCs w:val="22"/>
              </w:rPr>
            </w:pPr>
            <w:r>
              <w:rPr>
                <w:color w:val="000000" w:themeColor="text1"/>
                <w:sz w:val="22"/>
              </w:rPr>
              <w:t>1. LIKTA</w:t>
            </w:r>
          </w:p>
          <w:p w14:paraId="19325C3C" w14:textId="0D3E1732" w:rsidR="00222FD2" w:rsidRPr="00222FD2" w:rsidRDefault="00222FD2" w:rsidP="00222FD2">
            <w:pPr>
              <w:jc w:val="center"/>
              <w:rPr>
                <w:rFonts w:cs="Times New Roman"/>
                <w:bCs/>
                <w:color w:val="000000" w:themeColor="text1"/>
                <w:sz w:val="22"/>
                <w:szCs w:val="22"/>
              </w:rPr>
            </w:pPr>
            <w:r>
              <w:rPr>
                <w:color w:val="000000" w:themeColor="text1"/>
                <w:sz w:val="22"/>
              </w:rPr>
              <w:t>2. LALRG</w:t>
            </w:r>
          </w:p>
        </w:tc>
        <w:tc>
          <w:tcPr>
            <w:tcW w:w="1417" w:type="dxa"/>
            <w:shd w:val="clear" w:color="auto" w:fill="auto"/>
          </w:tcPr>
          <w:p w14:paraId="3C092451" w14:textId="58790A5C" w:rsidR="00222FD2" w:rsidRPr="00222FD2" w:rsidRDefault="00222FD2" w:rsidP="00222FD2">
            <w:pPr>
              <w:jc w:val="right"/>
              <w:rPr>
                <w:rFonts w:cs="Times New Roman"/>
                <w:bCs/>
                <w:color w:val="000000" w:themeColor="text1"/>
                <w:sz w:val="22"/>
                <w:szCs w:val="22"/>
              </w:rPr>
            </w:pPr>
            <w:r>
              <w:rPr>
                <w:color w:val="000000" w:themeColor="text1"/>
                <w:sz w:val="22"/>
              </w:rPr>
              <w:t>30.06.2025</w:t>
            </w:r>
          </w:p>
        </w:tc>
      </w:tr>
      <w:tr w:rsidR="00222FD2" w:rsidRPr="00222FD2" w14:paraId="24CA1BC4" w14:textId="77777777" w:rsidTr="003C1C7B">
        <w:trPr>
          <w:trHeight w:val="397"/>
        </w:trPr>
        <w:tc>
          <w:tcPr>
            <w:tcW w:w="11058" w:type="dxa"/>
            <w:gridSpan w:val="4"/>
            <w:shd w:val="clear" w:color="auto" w:fill="A8D08D" w:themeFill="accent6" w:themeFillTint="99"/>
            <w:vAlign w:val="center"/>
          </w:tcPr>
          <w:p w14:paraId="7D0BA835" w14:textId="0592132E" w:rsidR="00222FD2" w:rsidRPr="00222FD2" w:rsidRDefault="00222FD2" w:rsidP="00222FD2">
            <w:pPr>
              <w:rPr>
                <w:rFonts w:cs="Times New Roman"/>
                <w:b/>
                <w:color w:val="000000" w:themeColor="text1"/>
                <w:sz w:val="22"/>
                <w:szCs w:val="22"/>
              </w:rPr>
            </w:pPr>
            <w:bookmarkStart w:id="47" w:name="_Hlk140509648"/>
            <w:r>
              <w:rPr>
                <w:color w:val="000000" w:themeColor="text1"/>
                <w:sz w:val="22"/>
              </w:rPr>
              <w:t xml:space="preserve">Course of Action 4 – </w:t>
            </w:r>
            <w:r>
              <w:rPr>
                <w:b/>
                <w:bCs/>
                <w:color w:val="000000" w:themeColor="text1"/>
                <w:sz w:val="22"/>
              </w:rPr>
              <w:t>Measures in the health sector.</w:t>
            </w:r>
          </w:p>
        </w:tc>
        <w:tc>
          <w:tcPr>
            <w:tcW w:w="4252" w:type="dxa"/>
            <w:gridSpan w:val="3"/>
            <w:shd w:val="clear" w:color="auto" w:fill="A8D08D" w:themeFill="accent6" w:themeFillTint="99"/>
            <w:vAlign w:val="center"/>
          </w:tcPr>
          <w:p w14:paraId="227CB21F" w14:textId="0CDC5D48" w:rsidR="00222FD2" w:rsidRPr="00222FD2" w:rsidRDefault="00222FD2" w:rsidP="00222FD2">
            <w:pPr>
              <w:rPr>
                <w:rFonts w:cs="Times New Roman"/>
                <w:b/>
                <w:color w:val="000000" w:themeColor="text1"/>
                <w:sz w:val="22"/>
                <w:szCs w:val="22"/>
              </w:rPr>
            </w:pPr>
            <w:r>
              <w:rPr>
                <w:b/>
                <w:color w:val="000000" w:themeColor="text1"/>
                <w:sz w:val="22"/>
              </w:rPr>
              <w:t>Fiscal benefit: EUR 7 million</w:t>
            </w:r>
          </w:p>
        </w:tc>
      </w:tr>
      <w:tr w:rsidR="00222FD2" w:rsidRPr="00222FD2" w14:paraId="785763BF" w14:textId="77777777" w:rsidTr="003C1C7B">
        <w:trPr>
          <w:trHeight w:val="283"/>
        </w:trPr>
        <w:tc>
          <w:tcPr>
            <w:tcW w:w="11058" w:type="dxa"/>
            <w:gridSpan w:val="4"/>
            <w:shd w:val="clear" w:color="auto" w:fill="FFF2CC" w:themeFill="accent4" w:themeFillTint="33"/>
          </w:tcPr>
          <w:p w14:paraId="58EC66EA" w14:textId="1F795F8C" w:rsidR="00222FD2" w:rsidRPr="00222FD2" w:rsidRDefault="00222FD2" w:rsidP="00222FD2">
            <w:pPr>
              <w:rPr>
                <w:rFonts w:cs="Times New Roman"/>
                <w:i/>
                <w:iCs/>
                <w:sz w:val="22"/>
                <w:szCs w:val="22"/>
              </w:rPr>
            </w:pPr>
            <w:bookmarkStart w:id="48" w:name="_Hlk140510710"/>
            <w:r>
              <w:rPr>
                <w:sz w:val="22"/>
              </w:rPr>
              <w:t xml:space="preserve">Course of Action 4. Task 1. </w:t>
            </w:r>
            <w:r>
              <w:rPr>
                <w:b/>
                <w:sz w:val="22"/>
              </w:rPr>
              <w:t>Strengthening of data analytics in the health sector.</w:t>
            </w:r>
          </w:p>
        </w:tc>
        <w:tc>
          <w:tcPr>
            <w:tcW w:w="4252" w:type="dxa"/>
            <w:gridSpan w:val="3"/>
            <w:shd w:val="clear" w:color="auto" w:fill="FFF2CC" w:themeFill="accent4" w:themeFillTint="33"/>
          </w:tcPr>
          <w:p w14:paraId="7897F322" w14:textId="0E53427F" w:rsidR="00222FD2" w:rsidRPr="00222FD2" w:rsidRDefault="00222FD2" w:rsidP="00222FD2">
            <w:pPr>
              <w:rPr>
                <w:rFonts w:cs="Times New Roman"/>
                <w:i/>
                <w:iCs/>
                <w:sz w:val="22"/>
                <w:szCs w:val="22"/>
              </w:rPr>
            </w:pPr>
            <w:r>
              <w:rPr>
                <w:sz w:val="22"/>
              </w:rPr>
              <w:t>Fiscal benefit: EUR 2 million</w:t>
            </w:r>
            <w:r>
              <w:rPr>
                <w:b/>
                <w:sz w:val="22"/>
              </w:rPr>
              <w:t xml:space="preserve"> </w:t>
            </w:r>
          </w:p>
        </w:tc>
      </w:tr>
      <w:bookmarkEnd w:id="47"/>
      <w:bookmarkEnd w:id="48"/>
      <w:tr w:rsidR="00222FD2" w:rsidRPr="00222FD2" w14:paraId="465863D7" w14:textId="77777777" w:rsidTr="00E87849">
        <w:trPr>
          <w:trHeight w:val="225"/>
        </w:trPr>
        <w:tc>
          <w:tcPr>
            <w:tcW w:w="753" w:type="dxa"/>
          </w:tcPr>
          <w:p w14:paraId="4B9A9517" w14:textId="77777777" w:rsidR="00222FD2" w:rsidRPr="00222FD2" w:rsidRDefault="00222FD2" w:rsidP="00222FD2">
            <w:pPr>
              <w:ind w:right="-21"/>
              <w:rPr>
                <w:rFonts w:cs="Times New Roman"/>
                <w:b/>
                <w:color w:val="000000" w:themeColor="text1"/>
                <w:sz w:val="22"/>
                <w:szCs w:val="22"/>
              </w:rPr>
            </w:pPr>
            <w:r>
              <w:rPr>
                <w:sz w:val="22"/>
              </w:rPr>
              <w:t>4.1.1.</w:t>
            </w:r>
          </w:p>
        </w:tc>
        <w:tc>
          <w:tcPr>
            <w:tcW w:w="3642" w:type="dxa"/>
            <w:shd w:val="clear" w:color="auto" w:fill="auto"/>
          </w:tcPr>
          <w:p w14:paraId="04567331" w14:textId="317E260B" w:rsidR="00222FD2" w:rsidRPr="00222FD2" w:rsidRDefault="00222FD2" w:rsidP="00222FD2">
            <w:pPr>
              <w:jc w:val="both"/>
              <w:rPr>
                <w:rFonts w:cs="Times New Roman"/>
                <w:color w:val="000000" w:themeColor="text1"/>
                <w:sz w:val="22"/>
                <w:szCs w:val="22"/>
              </w:rPr>
            </w:pPr>
            <w:r>
              <w:rPr>
                <w:color w:val="000000" w:themeColor="text1"/>
                <w:sz w:val="22"/>
              </w:rPr>
              <w:t>Provision of e-referral data and related specialist reports, laboratory referrals and results data in the patient’s electronic health records in the Unified Electronic Information System of the Health Sector (including assessment o</w:t>
            </w:r>
            <w:r w:rsidR="00B7706A">
              <w:rPr>
                <w:color w:val="000000" w:themeColor="text1"/>
                <w:sz w:val="22"/>
              </w:rPr>
              <w:t>f t</w:t>
            </w:r>
            <w:r>
              <w:rPr>
                <w:sz w:val="22"/>
              </w:rPr>
              <w:t>he possibility of providing this data in a structured format)</w:t>
            </w:r>
            <w:r>
              <w:rPr>
                <w:color w:val="000000" w:themeColor="text1"/>
                <w:sz w:val="22"/>
              </w:rPr>
              <w:t>.</w:t>
            </w:r>
          </w:p>
        </w:tc>
        <w:tc>
          <w:tcPr>
            <w:tcW w:w="4111" w:type="dxa"/>
          </w:tcPr>
          <w:p w14:paraId="1C6F1308" w14:textId="07B6487A" w:rsidR="00222FD2" w:rsidRPr="00222FD2" w:rsidRDefault="00222FD2" w:rsidP="00222FD2">
            <w:pPr>
              <w:jc w:val="both"/>
              <w:rPr>
                <w:rFonts w:cs="Times New Roman"/>
                <w:sz w:val="22"/>
                <w:szCs w:val="22"/>
              </w:rPr>
            </w:pPr>
            <w:r>
              <w:rPr>
                <w:sz w:val="22"/>
              </w:rPr>
              <w:t>1. Assessment of the necessary amendments to laws and regulations.</w:t>
            </w:r>
          </w:p>
          <w:p w14:paraId="6380ACCF" w14:textId="60DCDFA4" w:rsidR="00222FD2" w:rsidRPr="00222FD2" w:rsidRDefault="00222FD2" w:rsidP="00222FD2">
            <w:pPr>
              <w:jc w:val="both"/>
              <w:rPr>
                <w:rFonts w:cs="Times New Roman"/>
                <w:b/>
                <w:color w:val="000000" w:themeColor="text1"/>
                <w:sz w:val="22"/>
                <w:szCs w:val="22"/>
              </w:rPr>
            </w:pPr>
            <w:r>
              <w:rPr>
                <w:sz w:val="22"/>
              </w:rPr>
              <w:t>2. Amendments have been made to Cabinet Regulation No. 265 of 4 April 2006, Procedures for Keeping Medical Documents, and Cabinet Regulation No. 134 of 11 March 2014, Regulations Regarding the Unified Electronic Information System of the Health Sector.</w:t>
            </w:r>
          </w:p>
        </w:tc>
        <w:tc>
          <w:tcPr>
            <w:tcW w:w="2552" w:type="dxa"/>
            <w:shd w:val="clear" w:color="auto" w:fill="auto"/>
          </w:tcPr>
          <w:p w14:paraId="5A725EA2" w14:textId="5F00D98D" w:rsidR="00222FD2" w:rsidRPr="00222FD2" w:rsidRDefault="00222FD2" w:rsidP="00497643">
            <w:pPr>
              <w:jc w:val="both"/>
              <w:rPr>
                <w:rFonts w:cs="Times New Roman"/>
                <w:sz w:val="22"/>
                <w:szCs w:val="22"/>
              </w:rPr>
            </w:pPr>
            <w:r>
              <w:rPr>
                <w:sz w:val="22"/>
              </w:rPr>
              <w:t>Information is provided to supervisory authorities for the analysis of the volume of health services according medical treatment institutions and doctors.</w:t>
            </w:r>
          </w:p>
        </w:tc>
        <w:tc>
          <w:tcPr>
            <w:tcW w:w="1417" w:type="dxa"/>
          </w:tcPr>
          <w:p w14:paraId="70A55A18" w14:textId="0E2B0BD1" w:rsidR="00222FD2" w:rsidRPr="00222FD2" w:rsidRDefault="00222FD2" w:rsidP="00222FD2">
            <w:pPr>
              <w:jc w:val="center"/>
              <w:rPr>
                <w:rFonts w:cs="Times New Roman"/>
                <w:sz w:val="22"/>
                <w:szCs w:val="22"/>
              </w:rPr>
            </w:pPr>
            <w:r>
              <w:rPr>
                <w:sz w:val="22"/>
              </w:rPr>
              <w:t>1. MoH, NHS</w:t>
            </w:r>
          </w:p>
          <w:p w14:paraId="127E447B" w14:textId="0997A0A7" w:rsidR="00222FD2" w:rsidRPr="00222FD2" w:rsidRDefault="00222FD2" w:rsidP="00222FD2">
            <w:pPr>
              <w:jc w:val="center"/>
              <w:rPr>
                <w:rFonts w:cs="Times New Roman"/>
                <w:b/>
                <w:strike/>
                <w:color w:val="000000" w:themeColor="text1"/>
                <w:sz w:val="22"/>
                <w:szCs w:val="22"/>
              </w:rPr>
            </w:pPr>
            <w:r>
              <w:rPr>
                <w:sz w:val="22"/>
              </w:rPr>
              <w:t>2. NHS, HI, SRS, MoH</w:t>
            </w:r>
          </w:p>
        </w:tc>
        <w:tc>
          <w:tcPr>
            <w:tcW w:w="1418" w:type="dxa"/>
          </w:tcPr>
          <w:p w14:paraId="1115DC9B" w14:textId="486DC102" w:rsidR="00222FD2" w:rsidRPr="00222FD2" w:rsidRDefault="00222FD2" w:rsidP="00222FD2">
            <w:pPr>
              <w:jc w:val="center"/>
              <w:rPr>
                <w:rFonts w:cs="Times New Roman"/>
                <w:b/>
                <w:strike/>
                <w:color w:val="000000" w:themeColor="text1"/>
                <w:sz w:val="22"/>
                <w:szCs w:val="22"/>
              </w:rPr>
            </w:pPr>
            <w:r>
              <w:rPr>
                <w:color w:val="000000" w:themeColor="text1"/>
                <w:sz w:val="22"/>
              </w:rPr>
              <w:t>-</w:t>
            </w:r>
          </w:p>
        </w:tc>
        <w:tc>
          <w:tcPr>
            <w:tcW w:w="1417" w:type="dxa"/>
          </w:tcPr>
          <w:p w14:paraId="0EBCE973" w14:textId="1F6F010D" w:rsidR="00222FD2" w:rsidRPr="00222FD2" w:rsidRDefault="00222FD2" w:rsidP="00222FD2">
            <w:pPr>
              <w:jc w:val="right"/>
              <w:rPr>
                <w:rFonts w:cs="Times New Roman"/>
                <w:sz w:val="22"/>
                <w:szCs w:val="22"/>
              </w:rPr>
            </w:pPr>
            <w:r>
              <w:rPr>
                <w:sz w:val="22"/>
              </w:rPr>
              <w:t>1. 01.01.2025</w:t>
            </w:r>
          </w:p>
          <w:p w14:paraId="00548AAB" w14:textId="18BBB89C" w:rsidR="00222FD2" w:rsidRPr="00222FD2" w:rsidRDefault="00222FD2" w:rsidP="00222FD2">
            <w:pPr>
              <w:jc w:val="right"/>
              <w:rPr>
                <w:rFonts w:cs="Times New Roman"/>
                <w:b/>
                <w:strike/>
                <w:color w:val="000000" w:themeColor="text1"/>
                <w:sz w:val="22"/>
                <w:szCs w:val="22"/>
              </w:rPr>
            </w:pPr>
            <w:r>
              <w:rPr>
                <w:sz w:val="22"/>
              </w:rPr>
              <w:t>2. 30.12.2027</w:t>
            </w:r>
          </w:p>
        </w:tc>
      </w:tr>
      <w:tr w:rsidR="00E87849" w:rsidRPr="00222FD2" w14:paraId="344586E8" w14:textId="77777777" w:rsidTr="00E87849">
        <w:trPr>
          <w:trHeight w:val="225"/>
        </w:trPr>
        <w:tc>
          <w:tcPr>
            <w:tcW w:w="753" w:type="dxa"/>
          </w:tcPr>
          <w:p w14:paraId="0311DD4E" w14:textId="490C121E" w:rsidR="00222FD2" w:rsidRPr="00222FD2" w:rsidRDefault="00222FD2" w:rsidP="00222FD2">
            <w:pPr>
              <w:jc w:val="both"/>
              <w:rPr>
                <w:rFonts w:cs="Times New Roman"/>
                <w:color w:val="000000" w:themeColor="text1"/>
                <w:sz w:val="22"/>
                <w:szCs w:val="22"/>
              </w:rPr>
            </w:pPr>
            <w:r>
              <w:rPr>
                <w:sz w:val="22"/>
              </w:rPr>
              <w:t>4.1.2.</w:t>
            </w:r>
          </w:p>
        </w:tc>
        <w:tc>
          <w:tcPr>
            <w:tcW w:w="3642" w:type="dxa"/>
            <w:shd w:val="clear" w:color="auto" w:fill="auto"/>
          </w:tcPr>
          <w:p w14:paraId="0F64E82B" w14:textId="670A57F9" w:rsidR="00222FD2" w:rsidRPr="00222FD2" w:rsidRDefault="00222FD2" w:rsidP="00222FD2">
            <w:pPr>
              <w:jc w:val="both"/>
              <w:rPr>
                <w:rFonts w:cs="Times New Roman"/>
                <w:sz w:val="22"/>
                <w:szCs w:val="22"/>
              </w:rPr>
            </w:pPr>
            <w:r>
              <w:rPr>
                <w:sz w:val="22"/>
              </w:rPr>
              <w:t>Extension of the possibilities of the SRS IS to compare the income declared by taxpayers in the health sector with the data declared in the annual income declaration of natural persons in the D4 annex.</w:t>
            </w:r>
          </w:p>
        </w:tc>
        <w:tc>
          <w:tcPr>
            <w:tcW w:w="4111" w:type="dxa"/>
            <w:shd w:val="clear" w:color="auto" w:fill="auto"/>
          </w:tcPr>
          <w:p w14:paraId="7FBF7625" w14:textId="2B2AC44D" w:rsidR="00222FD2" w:rsidRPr="00222FD2" w:rsidRDefault="00222FD2" w:rsidP="00222FD2">
            <w:pPr>
              <w:jc w:val="both"/>
              <w:rPr>
                <w:rFonts w:cs="Times New Roman"/>
                <w:sz w:val="22"/>
                <w:szCs w:val="22"/>
              </w:rPr>
            </w:pPr>
            <w:r>
              <w:rPr>
                <w:sz w:val="22"/>
              </w:rPr>
              <w:t xml:space="preserve">Completed extension of the possibilities of the SRS IS to compare the income declared by taxpayers in the health sector with the data declared in the annual income declaration of natural persons in the D4 annex. </w:t>
            </w:r>
          </w:p>
          <w:p w14:paraId="53803ADF" w14:textId="1A6D1788" w:rsidR="00222FD2" w:rsidRPr="00222FD2" w:rsidRDefault="00222FD2" w:rsidP="00222FD2">
            <w:pPr>
              <w:widowControl w:val="0"/>
              <w:tabs>
                <w:tab w:val="left" w:pos="160"/>
              </w:tabs>
              <w:jc w:val="both"/>
              <w:rPr>
                <w:rFonts w:cs="Times New Roman"/>
                <w:color w:val="000000" w:themeColor="text1"/>
                <w:sz w:val="22"/>
                <w:szCs w:val="22"/>
              </w:rPr>
            </w:pPr>
            <w:r>
              <w:rPr>
                <w:color w:val="000000" w:themeColor="text1"/>
                <w:sz w:val="22"/>
              </w:rPr>
              <w:t>The necessity and possibility to separately identify dental expenses in the D4 annex of the declaration has been assessed.</w:t>
            </w:r>
          </w:p>
          <w:p w14:paraId="785DEEB9" w14:textId="55E4D6B2" w:rsidR="00222FD2" w:rsidRPr="00222FD2" w:rsidRDefault="00222FD2" w:rsidP="00222FD2">
            <w:pPr>
              <w:jc w:val="both"/>
              <w:rPr>
                <w:rFonts w:cs="Times New Roman"/>
                <w:sz w:val="22"/>
                <w:szCs w:val="22"/>
              </w:rPr>
            </w:pPr>
            <w:r>
              <w:rPr>
                <w:color w:val="000000" w:themeColor="text1"/>
                <w:sz w:val="22"/>
              </w:rPr>
              <w:t>Ensured in-depth risk assessment of the dental sector.</w:t>
            </w:r>
          </w:p>
        </w:tc>
        <w:tc>
          <w:tcPr>
            <w:tcW w:w="2552" w:type="dxa"/>
            <w:shd w:val="clear" w:color="auto" w:fill="auto"/>
          </w:tcPr>
          <w:p w14:paraId="469C1DA7" w14:textId="0CEF71BD" w:rsidR="00222FD2" w:rsidRPr="00222FD2" w:rsidRDefault="00222FD2" w:rsidP="00222FD2">
            <w:pPr>
              <w:jc w:val="both"/>
              <w:rPr>
                <w:rFonts w:cs="Times New Roman"/>
                <w:color w:val="000000" w:themeColor="text1"/>
                <w:sz w:val="22"/>
                <w:szCs w:val="22"/>
              </w:rPr>
            </w:pPr>
            <w:r>
              <w:rPr>
                <w:sz w:val="22"/>
              </w:rPr>
              <w:t>Increased voluntary tax compliance.</w:t>
            </w:r>
          </w:p>
        </w:tc>
        <w:tc>
          <w:tcPr>
            <w:tcW w:w="1417" w:type="dxa"/>
          </w:tcPr>
          <w:p w14:paraId="49EEBD73" w14:textId="77777777" w:rsidR="00222FD2" w:rsidRPr="00222FD2" w:rsidRDefault="00222FD2" w:rsidP="00222FD2">
            <w:pPr>
              <w:jc w:val="center"/>
              <w:rPr>
                <w:rFonts w:cs="Times New Roman"/>
                <w:sz w:val="22"/>
                <w:szCs w:val="22"/>
              </w:rPr>
            </w:pPr>
            <w:r>
              <w:rPr>
                <w:sz w:val="22"/>
              </w:rPr>
              <w:t xml:space="preserve">SRS, </w:t>
            </w:r>
          </w:p>
          <w:p w14:paraId="6E2A5F9D" w14:textId="6D3FF6DF" w:rsidR="00222FD2" w:rsidRPr="00222FD2" w:rsidRDefault="00222FD2" w:rsidP="00222FD2">
            <w:pPr>
              <w:jc w:val="center"/>
              <w:rPr>
                <w:rFonts w:cs="Times New Roman"/>
                <w:color w:val="000000" w:themeColor="text1"/>
                <w:sz w:val="22"/>
                <w:szCs w:val="22"/>
              </w:rPr>
            </w:pPr>
            <w:r>
              <w:rPr>
                <w:sz w:val="22"/>
              </w:rPr>
              <w:t>MoF</w:t>
            </w:r>
          </w:p>
        </w:tc>
        <w:tc>
          <w:tcPr>
            <w:tcW w:w="1418" w:type="dxa"/>
          </w:tcPr>
          <w:p w14:paraId="6AA302F8" w14:textId="1061EB81" w:rsidR="00222FD2" w:rsidRPr="00222FD2" w:rsidRDefault="00222FD2" w:rsidP="00222FD2">
            <w:pPr>
              <w:jc w:val="center"/>
              <w:rPr>
                <w:rFonts w:cs="Times New Roman"/>
                <w:color w:val="000000" w:themeColor="text1"/>
                <w:sz w:val="22"/>
                <w:szCs w:val="22"/>
              </w:rPr>
            </w:pPr>
            <w:r>
              <w:rPr>
                <w:color w:val="000000" w:themeColor="text1"/>
                <w:sz w:val="22"/>
              </w:rPr>
              <w:t>-</w:t>
            </w:r>
          </w:p>
        </w:tc>
        <w:tc>
          <w:tcPr>
            <w:tcW w:w="1417" w:type="dxa"/>
          </w:tcPr>
          <w:p w14:paraId="0AB5C488" w14:textId="77777777" w:rsidR="00222FD2" w:rsidRPr="00222FD2" w:rsidRDefault="00222FD2" w:rsidP="00222FD2">
            <w:pPr>
              <w:jc w:val="right"/>
              <w:rPr>
                <w:rFonts w:cs="Times New Roman"/>
                <w:color w:val="FF0000"/>
                <w:sz w:val="22"/>
                <w:szCs w:val="22"/>
              </w:rPr>
            </w:pPr>
            <w:r>
              <w:rPr>
                <w:sz w:val="22"/>
              </w:rPr>
              <w:t>30.12.2024</w:t>
            </w:r>
          </w:p>
          <w:p w14:paraId="7A41401D" w14:textId="77777777" w:rsidR="00222FD2" w:rsidRPr="00222FD2" w:rsidRDefault="00222FD2" w:rsidP="00222FD2">
            <w:pPr>
              <w:jc w:val="right"/>
              <w:rPr>
                <w:rFonts w:cs="Times New Roman"/>
                <w:bCs/>
                <w:sz w:val="22"/>
                <w:szCs w:val="22"/>
              </w:rPr>
            </w:pPr>
          </w:p>
        </w:tc>
      </w:tr>
      <w:tr w:rsidR="00222FD2" w:rsidRPr="00222FD2" w14:paraId="0D813119" w14:textId="77777777" w:rsidTr="00E87849">
        <w:trPr>
          <w:trHeight w:val="225"/>
        </w:trPr>
        <w:tc>
          <w:tcPr>
            <w:tcW w:w="753" w:type="dxa"/>
          </w:tcPr>
          <w:p w14:paraId="62CC7029" w14:textId="6F1FDADE" w:rsidR="00222FD2" w:rsidRPr="00222FD2" w:rsidRDefault="00222FD2" w:rsidP="00222FD2">
            <w:pPr>
              <w:rPr>
                <w:rFonts w:cs="Times New Roman"/>
                <w:sz w:val="22"/>
                <w:szCs w:val="22"/>
              </w:rPr>
            </w:pPr>
            <w:r>
              <w:rPr>
                <w:sz w:val="22"/>
              </w:rPr>
              <w:t xml:space="preserve">4.1.3. </w:t>
            </w:r>
          </w:p>
        </w:tc>
        <w:tc>
          <w:tcPr>
            <w:tcW w:w="3642" w:type="dxa"/>
            <w:shd w:val="clear" w:color="auto" w:fill="auto"/>
          </w:tcPr>
          <w:p w14:paraId="57F7B8EC" w14:textId="77777777" w:rsidR="00222FD2" w:rsidRPr="00222FD2" w:rsidRDefault="00222FD2" w:rsidP="00222FD2">
            <w:pPr>
              <w:jc w:val="both"/>
              <w:rPr>
                <w:rFonts w:cs="Times New Roman"/>
                <w:sz w:val="22"/>
                <w:szCs w:val="22"/>
              </w:rPr>
            </w:pPr>
            <w:r>
              <w:rPr>
                <w:sz w:val="22"/>
              </w:rPr>
              <w:t>Implementation of the risk framework in the NHS data storage systems and use of the results thereof in the supervision of the NHS service providers.</w:t>
            </w:r>
          </w:p>
        </w:tc>
        <w:tc>
          <w:tcPr>
            <w:tcW w:w="4111" w:type="dxa"/>
          </w:tcPr>
          <w:p w14:paraId="62F9CB9D" w14:textId="720E977C" w:rsidR="00222FD2" w:rsidRPr="0037198A" w:rsidRDefault="00222FD2" w:rsidP="00222FD2">
            <w:pPr>
              <w:jc w:val="both"/>
              <w:rPr>
                <w:rFonts w:cs="Times New Roman"/>
                <w:sz w:val="22"/>
                <w:szCs w:val="22"/>
              </w:rPr>
            </w:pPr>
            <w:r>
              <w:rPr>
                <w:color w:val="000000" w:themeColor="text1"/>
                <w:sz w:val="22"/>
              </w:rPr>
              <w:t>Improved NHS data accumulation systems, including risk management controls</w:t>
            </w:r>
            <w:r>
              <w:rPr>
                <w:sz w:val="22"/>
              </w:rPr>
              <w:t>.</w:t>
            </w:r>
          </w:p>
        </w:tc>
        <w:tc>
          <w:tcPr>
            <w:tcW w:w="2552" w:type="dxa"/>
            <w:shd w:val="clear" w:color="auto" w:fill="auto"/>
          </w:tcPr>
          <w:p w14:paraId="240520DA" w14:textId="52048A25" w:rsidR="00222FD2" w:rsidRPr="00222FD2" w:rsidRDefault="00222FD2" w:rsidP="00222FD2">
            <w:pPr>
              <w:jc w:val="both"/>
              <w:rPr>
                <w:rFonts w:cs="Times New Roman"/>
                <w:color w:val="000000" w:themeColor="text1"/>
                <w:sz w:val="22"/>
                <w:szCs w:val="22"/>
              </w:rPr>
            </w:pPr>
            <w:r>
              <w:rPr>
                <w:color w:val="000000" w:themeColor="text1"/>
                <w:sz w:val="22"/>
              </w:rPr>
              <w:t>Risk management controls are integrated with the NHS data storage system and are used in daily work.</w:t>
            </w:r>
          </w:p>
        </w:tc>
        <w:tc>
          <w:tcPr>
            <w:tcW w:w="1417" w:type="dxa"/>
          </w:tcPr>
          <w:p w14:paraId="73CA045D" w14:textId="6178C3DA" w:rsidR="00222FD2" w:rsidRPr="00222FD2" w:rsidRDefault="00222FD2" w:rsidP="00222FD2">
            <w:pPr>
              <w:jc w:val="center"/>
              <w:rPr>
                <w:rFonts w:cs="Times New Roman"/>
                <w:sz w:val="22"/>
                <w:szCs w:val="22"/>
              </w:rPr>
            </w:pPr>
            <w:r>
              <w:rPr>
                <w:sz w:val="22"/>
              </w:rPr>
              <w:t>NHS</w:t>
            </w:r>
          </w:p>
        </w:tc>
        <w:tc>
          <w:tcPr>
            <w:tcW w:w="1418" w:type="dxa"/>
          </w:tcPr>
          <w:p w14:paraId="28165454" w14:textId="04B6292F" w:rsidR="00222FD2" w:rsidRPr="00222FD2" w:rsidRDefault="00222FD2" w:rsidP="00222FD2">
            <w:pPr>
              <w:jc w:val="center"/>
              <w:rPr>
                <w:rFonts w:cs="Times New Roman"/>
                <w:color w:val="000000" w:themeColor="text1"/>
                <w:sz w:val="22"/>
                <w:szCs w:val="22"/>
              </w:rPr>
            </w:pPr>
            <w:r>
              <w:rPr>
                <w:color w:val="000000" w:themeColor="text1"/>
                <w:sz w:val="22"/>
              </w:rPr>
              <w:t>HI</w:t>
            </w:r>
          </w:p>
        </w:tc>
        <w:tc>
          <w:tcPr>
            <w:tcW w:w="1417" w:type="dxa"/>
          </w:tcPr>
          <w:p w14:paraId="5A87241C" w14:textId="77777777" w:rsidR="00222FD2" w:rsidRPr="00222FD2" w:rsidRDefault="00222FD2" w:rsidP="00222FD2">
            <w:pPr>
              <w:jc w:val="right"/>
              <w:rPr>
                <w:rFonts w:cs="Times New Roman"/>
                <w:color w:val="000000" w:themeColor="text1"/>
                <w:sz w:val="22"/>
                <w:szCs w:val="22"/>
              </w:rPr>
            </w:pPr>
            <w:r>
              <w:rPr>
                <w:color w:val="000000" w:themeColor="text1"/>
                <w:sz w:val="22"/>
              </w:rPr>
              <w:t>30.12.2027</w:t>
            </w:r>
          </w:p>
        </w:tc>
      </w:tr>
      <w:tr w:rsidR="00222FD2" w:rsidRPr="00222FD2" w14:paraId="6CCC354C" w14:textId="77777777" w:rsidTr="003C1C7B">
        <w:trPr>
          <w:trHeight w:val="283"/>
        </w:trPr>
        <w:tc>
          <w:tcPr>
            <w:tcW w:w="11058" w:type="dxa"/>
            <w:gridSpan w:val="4"/>
            <w:shd w:val="clear" w:color="auto" w:fill="FFF2CC" w:themeFill="accent4" w:themeFillTint="33"/>
          </w:tcPr>
          <w:p w14:paraId="76572A0C" w14:textId="417E20B7" w:rsidR="00222FD2" w:rsidRPr="00222FD2" w:rsidRDefault="00222FD2" w:rsidP="00222FD2">
            <w:pPr>
              <w:rPr>
                <w:rFonts w:cs="Times New Roman"/>
                <w:bCs/>
                <w:sz w:val="22"/>
                <w:szCs w:val="22"/>
              </w:rPr>
            </w:pPr>
            <w:bookmarkStart w:id="49" w:name="_Hlk140510485"/>
            <w:r>
              <w:rPr>
                <w:sz w:val="22"/>
              </w:rPr>
              <w:t xml:space="preserve">Course of Action 4. Task 2. </w:t>
            </w:r>
            <w:r>
              <w:rPr>
                <w:b/>
                <w:sz w:val="22"/>
              </w:rPr>
              <w:t xml:space="preserve">Definition of a clear legal framework in the health sector. </w:t>
            </w:r>
          </w:p>
        </w:tc>
        <w:tc>
          <w:tcPr>
            <w:tcW w:w="4252" w:type="dxa"/>
            <w:gridSpan w:val="3"/>
            <w:shd w:val="clear" w:color="auto" w:fill="FFF2CC" w:themeFill="accent4" w:themeFillTint="33"/>
          </w:tcPr>
          <w:p w14:paraId="30454747" w14:textId="16E1809F" w:rsidR="00222FD2" w:rsidRPr="00222FD2" w:rsidRDefault="00222FD2" w:rsidP="00222FD2">
            <w:pPr>
              <w:rPr>
                <w:rFonts w:cs="Times New Roman"/>
                <w:bCs/>
                <w:sz w:val="22"/>
                <w:szCs w:val="22"/>
              </w:rPr>
            </w:pPr>
            <w:r>
              <w:rPr>
                <w:sz w:val="22"/>
              </w:rPr>
              <w:t>Fiscal benefit: EUR 0.25 million</w:t>
            </w:r>
          </w:p>
        </w:tc>
      </w:tr>
      <w:bookmarkEnd w:id="49"/>
      <w:tr w:rsidR="00E87849" w:rsidRPr="00222FD2" w14:paraId="6E09B6C4" w14:textId="77777777" w:rsidTr="00E87849">
        <w:trPr>
          <w:trHeight w:val="225"/>
        </w:trPr>
        <w:tc>
          <w:tcPr>
            <w:tcW w:w="753" w:type="dxa"/>
          </w:tcPr>
          <w:p w14:paraId="4BC07647" w14:textId="341C6BEA" w:rsidR="00222FD2" w:rsidRPr="00222FD2" w:rsidRDefault="00222FD2" w:rsidP="00222FD2">
            <w:pPr>
              <w:rPr>
                <w:rFonts w:cs="Times New Roman"/>
                <w:color w:val="000000" w:themeColor="text1"/>
                <w:sz w:val="22"/>
                <w:szCs w:val="22"/>
              </w:rPr>
            </w:pPr>
            <w:r>
              <w:rPr>
                <w:sz w:val="22"/>
              </w:rPr>
              <w:t xml:space="preserve">4.2.1. </w:t>
            </w:r>
          </w:p>
        </w:tc>
        <w:tc>
          <w:tcPr>
            <w:tcW w:w="3642" w:type="dxa"/>
            <w:shd w:val="clear" w:color="auto" w:fill="auto"/>
          </w:tcPr>
          <w:p w14:paraId="31866287" w14:textId="28D58FD8" w:rsidR="00222FD2" w:rsidRPr="00222FD2" w:rsidRDefault="00222FD2" w:rsidP="00222FD2">
            <w:pPr>
              <w:jc w:val="both"/>
              <w:rPr>
                <w:rFonts w:cs="Times New Roman"/>
                <w:color w:val="000000" w:themeColor="text1"/>
                <w:sz w:val="22"/>
                <w:szCs w:val="22"/>
              </w:rPr>
            </w:pPr>
            <w:r>
              <w:rPr>
                <w:sz w:val="22"/>
              </w:rPr>
              <w:t>Ensuring of the same terminology for medical treatment institution units and branches in the laws and regulations governing business and healthcare.</w:t>
            </w:r>
          </w:p>
        </w:tc>
        <w:tc>
          <w:tcPr>
            <w:tcW w:w="4111" w:type="dxa"/>
          </w:tcPr>
          <w:p w14:paraId="63F731D8" w14:textId="0AA24627" w:rsidR="00222FD2" w:rsidRPr="00222FD2" w:rsidRDefault="00222FD2" w:rsidP="00222FD2">
            <w:pPr>
              <w:jc w:val="both"/>
              <w:rPr>
                <w:rFonts w:cs="Times New Roman"/>
                <w:color w:val="000000" w:themeColor="text1"/>
                <w:sz w:val="22"/>
                <w:szCs w:val="22"/>
              </w:rPr>
            </w:pPr>
            <w:r>
              <w:rPr>
                <w:color w:val="000000" w:themeColor="text1"/>
                <w:sz w:val="22"/>
              </w:rPr>
              <w:t>1. Completed assessment of laws and regulations.</w:t>
            </w:r>
          </w:p>
          <w:p w14:paraId="13252703" w14:textId="2866EA84" w:rsidR="00222FD2" w:rsidRPr="00222FD2" w:rsidRDefault="00222FD2" w:rsidP="00222FD2">
            <w:pPr>
              <w:jc w:val="both"/>
              <w:rPr>
                <w:rFonts w:cs="Times New Roman"/>
                <w:color w:val="000000" w:themeColor="text1"/>
                <w:sz w:val="22"/>
                <w:szCs w:val="22"/>
              </w:rPr>
            </w:pPr>
            <w:r>
              <w:rPr>
                <w:sz w:val="22"/>
              </w:rPr>
              <w:t xml:space="preserve">2. </w:t>
            </w:r>
            <w:r>
              <w:rPr>
                <w:color w:val="000000" w:themeColor="text1"/>
                <w:sz w:val="22"/>
              </w:rPr>
              <w:t xml:space="preserve">Amendments have been made to </w:t>
            </w:r>
            <w:r>
              <w:rPr>
                <w:sz w:val="22"/>
              </w:rPr>
              <w:t xml:space="preserve">laws and regulations, ensuring that the terminology for medical treatment institution units and branches is the same in the laws and regulations governing business and healthcare. </w:t>
            </w:r>
          </w:p>
        </w:tc>
        <w:tc>
          <w:tcPr>
            <w:tcW w:w="2552" w:type="dxa"/>
            <w:shd w:val="clear" w:color="auto" w:fill="auto"/>
          </w:tcPr>
          <w:p w14:paraId="74F0B1E6" w14:textId="0F3F8FDD" w:rsidR="00222FD2" w:rsidRPr="00222FD2" w:rsidRDefault="00222FD2" w:rsidP="00222FD2">
            <w:pPr>
              <w:jc w:val="both"/>
              <w:rPr>
                <w:rFonts w:cs="Times New Roman"/>
                <w:color w:val="000000" w:themeColor="text1"/>
                <w:sz w:val="22"/>
                <w:szCs w:val="22"/>
              </w:rPr>
            </w:pPr>
            <w:r>
              <w:rPr>
                <w:sz w:val="22"/>
              </w:rPr>
              <w:t xml:space="preserve">Improved Register of Medical Treatment Institutions. </w:t>
            </w:r>
          </w:p>
        </w:tc>
        <w:tc>
          <w:tcPr>
            <w:tcW w:w="1417" w:type="dxa"/>
          </w:tcPr>
          <w:p w14:paraId="50E5CD60" w14:textId="77777777" w:rsidR="00222FD2" w:rsidRPr="00222FD2" w:rsidRDefault="00222FD2" w:rsidP="00222FD2">
            <w:pPr>
              <w:jc w:val="center"/>
              <w:rPr>
                <w:rFonts w:cs="Times New Roman"/>
                <w:color w:val="000000" w:themeColor="text1"/>
                <w:sz w:val="22"/>
                <w:szCs w:val="22"/>
              </w:rPr>
            </w:pPr>
            <w:r>
              <w:rPr>
                <w:color w:val="000000" w:themeColor="text1"/>
                <w:sz w:val="22"/>
              </w:rPr>
              <w:t>1. HI, MoH</w:t>
            </w:r>
          </w:p>
          <w:p w14:paraId="1B04A96E" w14:textId="35CDEB78" w:rsidR="00222FD2" w:rsidRPr="00222FD2" w:rsidRDefault="00222FD2" w:rsidP="00222FD2">
            <w:pPr>
              <w:jc w:val="center"/>
              <w:rPr>
                <w:rFonts w:cs="Times New Roman"/>
                <w:color w:val="000000" w:themeColor="text1"/>
                <w:sz w:val="22"/>
                <w:szCs w:val="22"/>
              </w:rPr>
            </w:pPr>
            <w:r>
              <w:rPr>
                <w:color w:val="000000" w:themeColor="text1"/>
                <w:sz w:val="22"/>
              </w:rPr>
              <w:t>2. MoH</w:t>
            </w:r>
          </w:p>
        </w:tc>
        <w:tc>
          <w:tcPr>
            <w:tcW w:w="1418" w:type="dxa"/>
          </w:tcPr>
          <w:p w14:paraId="1CE4945D" w14:textId="5E612952" w:rsidR="00222FD2" w:rsidRPr="00222FD2" w:rsidRDefault="00222FD2" w:rsidP="00222FD2">
            <w:pPr>
              <w:jc w:val="center"/>
              <w:rPr>
                <w:rFonts w:cs="Times New Roman"/>
                <w:color w:val="000000" w:themeColor="text1"/>
                <w:sz w:val="22"/>
                <w:szCs w:val="22"/>
              </w:rPr>
            </w:pPr>
            <w:r>
              <w:rPr>
                <w:color w:val="000000" w:themeColor="text1"/>
                <w:sz w:val="22"/>
              </w:rPr>
              <w:t>1. MoE, MoJ, HEA</w:t>
            </w:r>
          </w:p>
          <w:p w14:paraId="6962B50D" w14:textId="78F94FCA" w:rsidR="00222FD2" w:rsidRPr="00222FD2" w:rsidRDefault="00222FD2" w:rsidP="00222FD2">
            <w:pPr>
              <w:jc w:val="center"/>
              <w:rPr>
                <w:rFonts w:cs="Times New Roman"/>
                <w:color w:val="000000" w:themeColor="text1"/>
                <w:sz w:val="22"/>
                <w:szCs w:val="22"/>
              </w:rPr>
            </w:pPr>
            <w:r>
              <w:rPr>
                <w:color w:val="000000" w:themeColor="text1"/>
                <w:sz w:val="22"/>
              </w:rPr>
              <w:t>2. MoE, MoJ, HEA</w:t>
            </w:r>
          </w:p>
          <w:p w14:paraId="081C7E7E" w14:textId="1EEA6647" w:rsidR="00222FD2" w:rsidRPr="00222FD2" w:rsidRDefault="00222FD2" w:rsidP="00222FD2">
            <w:pPr>
              <w:jc w:val="center"/>
              <w:rPr>
                <w:rFonts w:cs="Times New Roman"/>
                <w:color w:val="000000" w:themeColor="text1"/>
                <w:sz w:val="22"/>
                <w:szCs w:val="22"/>
              </w:rPr>
            </w:pPr>
          </w:p>
        </w:tc>
        <w:tc>
          <w:tcPr>
            <w:tcW w:w="1417" w:type="dxa"/>
          </w:tcPr>
          <w:p w14:paraId="482D5EEC" w14:textId="77777777" w:rsidR="00222FD2" w:rsidRPr="00222FD2" w:rsidRDefault="00222FD2" w:rsidP="00222FD2">
            <w:pPr>
              <w:jc w:val="right"/>
              <w:rPr>
                <w:rFonts w:cs="Times New Roman"/>
                <w:sz w:val="22"/>
                <w:szCs w:val="22"/>
              </w:rPr>
            </w:pPr>
            <w:r>
              <w:rPr>
                <w:sz w:val="22"/>
              </w:rPr>
              <w:t>1. 30.06.2024</w:t>
            </w:r>
          </w:p>
          <w:p w14:paraId="0F9F5197" w14:textId="77777777" w:rsidR="00222FD2" w:rsidRPr="00222FD2" w:rsidRDefault="00222FD2" w:rsidP="00222FD2">
            <w:pPr>
              <w:jc w:val="right"/>
              <w:rPr>
                <w:rFonts w:cs="Times New Roman"/>
                <w:bCs/>
                <w:sz w:val="22"/>
                <w:szCs w:val="22"/>
              </w:rPr>
            </w:pPr>
            <w:r>
              <w:rPr>
                <w:sz w:val="22"/>
              </w:rPr>
              <w:t>2. 30.12.2024</w:t>
            </w:r>
          </w:p>
        </w:tc>
      </w:tr>
      <w:tr w:rsidR="00E87849" w:rsidRPr="00222FD2" w14:paraId="52D1F675" w14:textId="77777777" w:rsidTr="00E87849">
        <w:trPr>
          <w:trHeight w:val="225"/>
        </w:trPr>
        <w:tc>
          <w:tcPr>
            <w:tcW w:w="753" w:type="dxa"/>
          </w:tcPr>
          <w:p w14:paraId="19DBC71B" w14:textId="34D4179B" w:rsidR="00222FD2" w:rsidRPr="00222FD2" w:rsidRDefault="00866EC6" w:rsidP="00222FD2">
            <w:pPr>
              <w:rPr>
                <w:rFonts w:cs="Times New Roman"/>
                <w:color w:val="000000" w:themeColor="text1"/>
                <w:sz w:val="22"/>
                <w:szCs w:val="22"/>
              </w:rPr>
            </w:pPr>
            <w:r>
              <w:rPr>
                <w:sz w:val="22"/>
              </w:rPr>
              <w:t>4.2.2.</w:t>
            </w:r>
          </w:p>
        </w:tc>
        <w:tc>
          <w:tcPr>
            <w:tcW w:w="3642" w:type="dxa"/>
            <w:shd w:val="clear" w:color="auto" w:fill="auto"/>
          </w:tcPr>
          <w:p w14:paraId="1F721D8B" w14:textId="537EDFE5" w:rsidR="00222FD2" w:rsidRPr="00222FD2" w:rsidRDefault="00222FD2" w:rsidP="00222FD2">
            <w:pPr>
              <w:jc w:val="both"/>
              <w:rPr>
                <w:rFonts w:cs="Times New Roman"/>
                <w:color w:val="000000" w:themeColor="text1"/>
                <w:sz w:val="22"/>
                <w:szCs w:val="22"/>
              </w:rPr>
            </w:pPr>
            <w:r>
              <w:rPr>
                <w:sz w:val="22"/>
              </w:rPr>
              <w:t xml:space="preserve">Considering of the possibility of separate identification of telemedicine service providers in the Register of Medical Treatment Institutions. </w:t>
            </w:r>
          </w:p>
        </w:tc>
        <w:tc>
          <w:tcPr>
            <w:tcW w:w="4111" w:type="dxa"/>
          </w:tcPr>
          <w:p w14:paraId="17FD156F" w14:textId="257A7C71" w:rsidR="00222FD2" w:rsidRPr="00222FD2" w:rsidRDefault="00222FD2" w:rsidP="00222FD2">
            <w:pPr>
              <w:ind w:left="6"/>
              <w:jc w:val="both"/>
              <w:rPr>
                <w:rFonts w:cs="Times New Roman"/>
                <w:color w:val="000000" w:themeColor="text1"/>
                <w:sz w:val="22"/>
                <w:szCs w:val="22"/>
              </w:rPr>
            </w:pPr>
            <w:r>
              <w:rPr>
                <w:sz w:val="22"/>
              </w:rPr>
              <w:t>Assessment of the possibility of including telemedicine service providers in the Register of Medical Treatment Institutions.</w:t>
            </w:r>
          </w:p>
          <w:p w14:paraId="4137FB49" w14:textId="43346FC9" w:rsidR="00222FD2" w:rsidRPr="00222FD2" w:rsidRDefault="00222FD2" w:rsidP="00222FD2">
            <w:pPr>
              <w:ind w:left="6"/>
              <w:jc w:val="both"/>
              <w:rPr>
                <w:rFonts w:cs="Times New Roman"/>
                <w:color w:val="000000" w:themeColor="text1"/>
                <w:sz w:val="22"/>
                <w:szCs w:val="22"/>
              </w:rPr>
            </w:pPr>
            <w:r>
              <w:rPr>
                <w:sz w:val="22"/>
              </w:rPr>
              <w:t>In the event of a positive decision, amendments to laws and regulations and changes to the Register of Medical Treatment Institutions are made.</w:t>
            </w:r>
            <w:r>
              <w:rPr>
                <w:color w:val="000000" w:themeColor="text1"/>
                <w:sz w:val="22"/>
              </w:rPr>
              <w:t xml:space="preserve"> </w:t>
            </w:r>
          </w:p>
        </w:tc>
        <w:tc>
          <w:tcPr>
            <w:tcW w:w="2552" w:type="dxa"/>
            <w:shd w:val="clear" w:color="auto" w:fill="auto"/>
          </w:tcPr>
          <w:p w14:paraId="00ABE17B" w14:textId="7DCE04A3" w:rsidR="00222FD2" w:rsidRPr="00222FD2" w:rsidRDefault="00222FD2" w:rsidP="00222FD2">
            <w:pPr>
              <w:jc w:val="both"/>
              <w:rPr>
                <w:rFonts w:cs="Times New Roman"/>
                <w:sz w:val="22"/>
                <w:szCs w:val="22"/>
              </w:rPr>
            </w:pPr>
            <w:r>
              <w:rPr>
                <w:color w:val="000000" w:themeColor="text1"/>
                <w:sz w:val="22"/>
              </w:rPr>
              <w:t>Information on telemedicine service providers is available in the Register of Medical Treatment Institutions.</w:t>
            </w:r>
          </w:p>
        </w:tc>
        <w:tc>
          <w:tcPr>
            <w:tcW w:w="1417" w:type="dxa"/>
          </w:tcPr>
          <w:p w14:paraId="14FAAD20" w14:textId="77777777" w:rsidR="00222FD2" w:rsidRPr="00222FD2" w:rsidRDefault="00222FD2" w:rsidP="00222FD2">
            <w:pPr>
              <w:jc w:val="center"/>
              <w:rPr>
                <w:rFonts w:cs="Times New Roman"/>
                <w:sz w:val="22"/>
                <w:szCs w:val="22"/>
              </w:rPr>
            </w:pPr>
            <w:r>
              <w:rPr>
                <w:sz w:val="22"/>
              </w:rPr>
              <w:t xml:space="preserve">HI, </w:t>
            </w:r>
          </w:p>
          <w:p w14:paraId="5DE10C30" w14:textId="3450A5F0" w:rsidR="00222FD2" w:rsidRPr="00222FD2" w:rsidRDefault="00222FD2" w:rsidP="00222FD2">
            <w:pPr>
              <w:jc w:val="center"/>
              <w:rPr>
                <w:rFonts w:cs="Times New Roman"/>
                <w:sz w:val="22"/>
                <w:szCs w:val="22"/>
              </w:rPr>
            </w:pPr>
            <w:r>
              <w:rPr>
                <w:sz w:val="22"/>
              </w:rPr>
              <w:t>MoH</w:t>
            </w:r>
          </w:p>
          <w:p w14:paraId="1D9D8447" w14:textId="6C1125F4" w:rsidR="00222FD2" w:rsidRPr="00222FD2" w:rsidRDefault="00222FD2" w:rsidP="00222FD2">
            <w:pPr>
              <w:jc w:val="center"/>
              <w:rPr>
                <w:rFonts w:cs="Times New Roman"/>
                <w:color w:val="000000" w:themeColor="text1"/>
                <w:sz w:val="22"/>
                <w:szCs w:val="22"/>
              </w:rPr>
            </w:pPr>
          </w:p>
        </w:tc>
        <w:tc>
          <w:tcPr>
            <w:tcW w:w="1418" w:type="dxa"/>
          </w:tcPr>
          <w:p w14:paraId="3EE84E6B" w14:textId="21DB5899" w:rsidR="00222FD2" w:rsidRPr="00222FD2" w:rsidRDefault="00222FD2" w:rsidP="00222FD2">
            <w:pPr>
              <w:jc w:val="center"/>
              <w:rPr>
                <w:rFonts w:cs="Times New Roman"/>
                <w:color w:val="000000" w:themeColor="text1"/>
                <w:sz w:val="22"/>
                <w:szCs w:val="22"/>
              </w:rPr>
            </w:pPr>
            <w:r>
              <w:rPr>
                <w:color w:val="000000" w:themeColor="text1"/>
                <w:sz w:val="22"/>
              </w:rPr>
              <w:t>-</w:t>
            </w:r>
          </w:p>
        </w:tc>
        <w:tc>
          <w:tcPr>
            <w:tcW w:w="1417" w:type="dxa"/>
          </w:tcPr>
          <w:p w14:paraId="7115224E" w14:textId="77777777" w:rsidR="00222FD2" w:rsidRPr="00222FD2" w:rsidRDefault="00222FD2" w:rsidP="00222FD2">
            <w:pPr>
              <w:jc w:val="right"/>
              <w:rPr>
                <w:rFonts w:cs="Times New Roman"/>
                <w:bCs/>
                <w:sz w:val="22"/>
                <w:szCs w:val="22"/>
              </w:rPr>
            </w:pPr>
            <w:r>
              <w:rPr>
                <w:sz w:val="22"/>
              </w:rPr>
              <w:t>30.12.2025</w:t>
            </w:r>
          </w:p>
        </w:tc>
      </w:tr>
      <w:tr w:rsidR="00E87849" w:rsidRPr="00222FD2" w14:paraId="2D292F6D" w14:textId="77777777" w:rsidTr="00E87849">
        <w:trPr>
          <w:trHeight w:val="225"/>
        </w:trPr>
        <w:tc>
          <w:tcPr>
            <w:tcW w:w="753" w:type="dxa"/>
          </w:tcPr>
          <w:p w14:paraId="0BC8BA67" w14:textId="4E6D4BDF" w:rsidR="00222FD2" w:rsidRPr="00222FD2" w:rsidRDefault="00222FD2" w:rsidP="00222FD2">
            <w:pPr>
              <w:rPr>
                <w:rFonts w:cs="Times New Roman"/>
                <w:sz w:val="22"/>
                <w:szCs w:val="22"/>
              </w:rPr>
            </w:pPr>
            <w:r>
              <w:rPr>
                <w:sz w:val="22"/>
              </w:rPr>
              <w:t>4.2.3.</w:t>
            </w:r>
          </w:p>
        </w:tc>
        <w:tc>
          <w:tcPr>
            <w:tcW w:w="3642" w:type="dxa"/>
            <w:shd w:val="clear" w:color="auto" w:fill="auto"/>
          </w:tcPr>
          <w:p w14:paraId="2EA3B3D9" w14:textId="77777777" w:rsidR="00222FD2" w:rsidRPr="00222FD2" w:rsidRDefault="00222FD2" w:rsidP="00222FD2">
            <w:pPr>
              <w:jc w:val="both"/>
              <w:rPr>
                <w:rFonts w:cs="Times New Roman"/>
                <w:sz w:val="22"/>
                <w:szCs w:val="22"/>
              </w:rPr>
            </w:pPr>
            <w:bookmarkStart w:id="50" w:name="_Hlk149930352"/>
            <w:r>
              <w:rPr>
                <w:sz w:val="22"/>
              </w:rPr>
              <w:t>Linking of the recertification of dental specialities to the volume requirements for dental services.</w:t>
            </w:r>
            <w:bookmarkEnd w:id="50"/>
          </w:p>
        </w:tc>
        <w:tc>
          <w:tcPr>
            <w:tcW w:w="4111" w:type="dxa"/>
          </w:tcPr>
          <w:p w14:paraId="593748AC" w14:textId="70683A9B" w:rsidR="00222FD2" w:rsidRPr="00222FD2" w:rsidRDefault="00222FD2" w:rsidP="00222FD2">
            <w:pPr>
              <w:jc w:val="both"/>
              <w:rPr>
                <w:rFonts w:eastAsia="Calibri" w:cs="Times New Roman"/>
                <w:b/>
                <w:sz w:val="22"/>
                <w:szCs w:val="22"/>
              </w:rPr>
            </w:pPr>
            <w:r>
              <w:rPr>
                <w:sz w:val="22"/>
              </w:rPr>
              <w:t>The scope of requirements for dental services in the recertification criteria for dental specialities set by the certifying bodies are introduced.</w:t>
            </w:r>
            <w:r>
              <w:rPr>
                <w:color w:val="000000" w:themeColor="text1"/>
                <w:sz w:val="22"/>
              </w:rPr>
              <w:t xml:space="preserve"> </w:t>
            </w:r>
          </w:p>
        </w:tc>
        <w:tc>
          <w:tcPr>
            <w:tcW w:w="2552" w:type="dxa"/>
            <w:shd w:val="clear" w:color="auto" w:fill="auto"/>
          </w:tcPr>
          <w:p w14:paraId="38EBDB35" w14:textId="6CEE0B13" w:rsidR="00222FD2" w:rsidRPr="00222FD2" w:rsidRDefault="00222FD2" w:rsidP="00222FD2">
            <w:pPr>
              <w:jc w:val="both"/>
              <w:rPr>
                <w:rFonts w:cs="Times New Roman"/>
                <w:color w:val="000000" w:themeColor="text1"/>
                <w:sz w:val="22"/>
                <w:szCs w:val="22"/>
              </w:rPr>
            </w:pPr>
            <w:r>
              <w:rPr>
                <w:color w:val="000000" w:themeColor="text1"/>
                <w:sz w:val="22"/>
              </w:rPr>
              <w:t>Promoted tax payments for dental services.</w:t>
            </w:r>
          </w:p>
        </w:tc>
        <w:tc>
          <w:tcPr>
            <w:tcW w:w="1417" w:type="dxa"/>
          </w:tcPr>
          <w:p w14:paraId="498FE5F1" w14:textId="77777777" w:rsidR="00222FD2" w:rsidRPr="00222FD2" w:rsidRDefault="00222FD2" w:rsidP="00222FD2">
            <w:pPr>
              <w:jc w:val="center"/>
              <w:rPr>
                <w:rFonts w:cs="Times New Roman"/>
                <w:sz w:val="22"/>
                <w:szCs w:val="22"/>
              </w:rPr>
            </w:pPr>
            <w:r>
              <w:rPr>
                <w:sz w:val="22"/>
              </w:rPr>
              <w:t>MoH</w:t>
            </w:r>
          </w:p>
          <w:p w14:paraId="56333513" w14:textId="1F6D41E6" w:rsidR="00222FD2" w:rsidRPr="00222FD2" w:rsidRDefault="00222FD2" w:rsidP="00222FD2">
            <w:pPr>
              <w:jc w:val="center"/>
              <w:rPr>
                <w:rFonts w:cs="Times New Roman"/>
                <w:sz w:val="22"/>
                <w:szCs w:val="22"/>
              </w:rPr>
            </w:pPr>
            <w:r>
              <w:rPr>
                <w:sz w:val="22"/>
              </w:rPr>
              <w:t>(in cooperation with the LMA,</w:t>
            </w:r>
          </w:p>
          <w:p w14:paraId="4B45493C" w14:textId="1D48C7A1" w:rsidR="00E87849" w:rsidRPr="00222FD2" w:rsidRDefault="00222FD2" w:rsidP="0037198A">
            <w:pPr>
              <w:jc w:val="center"/>
              <w:rPr>
                <w:rFonts w:cs="Times New Roman"/>
                <w:sz w:val="22"/>
                <w:szCs w:val="22"/>
              </w:rPr>
            </w:pPr>
            <w:r>
              <w:rPr>
                <w:sz w:val="22"/>
              </w:rPr>
              <w:t xml:space="preserve">LDA) </w:t>
            </w:r>
          </w:p>
        </w:tc>
        <w:tc>
          <w:tcPr>
            <w:tcW w:w="1418" w:type="dxa"/>
          </w:tcPr>
          <w:p w14:paraId="3B4BADE2" w14:textId="7DCF943C" w:rsidR="00222FD2" w:rsidRPr="00222FD2" w:rsidRDefault="00222FD2" w:rsidP="00222FD2">
            <w:pPr>
              <w:jc w:val="center"/>
              <w:rPr>
                <w:rFonts w:cs="Times New Roman"/>
                <w:sz w:val="22"/>
                <w:szCs w:val="22"/>
              </w:rPr>
            </w:pPr>
            <w:r>
              <w:rPr>
                <w:sz w:val="22"/>
              </w:rPr>
              <w:t>-</w:t>
            </w:r>
          </w:p>
          <w:p w14:paraId="66D0F051" w14:textId="77777777" w:rsidR="00222FD2" w:rsidRPr="00222FD2" w:rsidRDefault="00222FD2" w:rsidP="00222FD2">
            <w:pPr>
              <w:jc w:val="center"/>
              <w:rPr>
                <w:rFonts w:cs="Times New Roman"/>
                <w:color w:val="000000" w:themeColor="text1"/>
                <w:sz w:val="22"/>
                <w:szCs w:val="22"/>
              </w:rPr>
            </w:pPr>
          </w:p>
        </w:tc>
        <w:tc>
          <w:tcPr>
            <w:tcW w:w="1417" w:type="dxa"/>
          </w:tcPr>
          <w:p w14:paraId="78A04071" w14:textId="77777777" w:rsidR="00222FD2" w:rsidRPr="00222FD2" w:rsidRDefault="00222FD2" w:rsidP="00222FD2">
            <w:pPr>
              <w:jc w:val="right"/>
              <w:rPr>
                <w:rFonts w:cs="Times New Roman"/>
                <w:sz w:val="22"/>
                <w:szCs w:val="22"/>
              </w:rPr>
            </w:pPr>
            <w:r>
              <w:rPr>
                <w:sz w:val="22"/>
              </w:rPr>
              <w:t>31.12.2024</w:t>
            </w:r>
          </w:p>
          <w:p w14:paraId="36D53A45" w14:textId="77777777" w:rsidR="00222FD2" w:rsidRPr="00222FD2" w:rsidRDefault="00222FD2" w:rsidP="00222FD2">
            <w:pPr>
              <w:jc w:val="right"/>
              <w:rPr>
                <w:rFonts w:cs="Times New Roman"/>
                <w:sz w:val="22"/>
                <w:szCs w:val="22"/>
              </w:rPr>
            </w:pPr>
          </w:p>
        </w:tc>
      </w:tr>
      <w:tr w:rsidR="00222FD2" w:rsidRPr="00222FD2" w14:paraId="3533D175" w14:textId="77777777" w:rsidTr="003C1C7B">
        <w:trPr>
          <w:trHeight w:val="283"/>
        </w:trPr>
        <w:tc>
          <w:tcPr>
            <w:tcW w:w="11058" w:type="dxa"/>
            <w:gridSpan w:val="4"/>
            <w:shd w:val="clear" w:color="auto" w:fill="FFF2CC" w:themeFill="accent4" w:themeFillTint="33"/>
          </w:tcPr>
          <w:p w14:paraId="52643DBB" w14:textId="2CEA76EE" w:rsidR="00222FD2" w:rsidRPr="00222FD2" w:rsidRDefault="00222FD2" w:rsidP="00222FD2">
            <w:pPr>
              <w:rPr>
                <w:rFonts w:cs="Times New Roman"/>
                <w:sz w:val="22"/>
                <w:szCs w:val="22"/>
              </w:rPr>
            </w:pPr>
            <w:bookmarkStart w:id="51" w:name="_Hlk140510193"/>
            <w:r>
              <w:rPr>
                <w:sz w:val="22"/>
              </w:rPr>
              <w:t xml:space="preserve">Course of Action 4. Task 3. </w:t>
            </w:r>
            <w:r>
              <w:rPr>
                <w:b/>
                <w:sz w:val="22"/>
              </w:rPr>
              <w:t>Strengthening of the public-private partnership in the health sector.</w:t>
            </w:r>
          </w:p>
        </w:tc>
        <w:tc>
          <w:tcPr>
            <w:tcW w:w="4252" w:type="dxa"/>
            <w:gridSpan w:val="3"/>
            <w:shd w:val="clear" w:color="auto" w:fill="FFF2CC" w:themeFill="accent4" w:themeFillTint="33"/>
          </w:tcPr>
          <w:p w14:paraId="200D3195" w14:textId="4EE22C32" w:rsidR="00222FD2" w:rsidRPr="00222FD2" w:rsidRDefault="00222FD2" w:rsidP="00222FD2">
            <w:pPr>
              <w:rPr>
                <w:rFonts w:cs="Times New Roman"/>
                <w:sz w:val="22"/>
                <w:szCs w:val="22"/>
              </w:rPr>
            </w:pPr>
            <w:r>
              <w:rPr>
                <w:sz w:val="22"/>
              </w:rPr>
              <w:t>Fiscal benefit: EUR 3 million</w:t>
            </w:r>
          </w:p>
        </w:tc>
      </w:tr>
      <w:bookmarkEnd w:id="51"/>
      <w:tr w:rsidR="00222FD2" w:rsidRPr="00222FD2" w14:paraId="3203D6BD" w14:textId="77777777" w:rsidTr="00E87849">
        <w:trPr>
          <w:trHeight w:val="225"/>
        </w:trPr>
        <w:tc>
          <w:tcPr>
            <w:tcW w:w="753" w:type="dxa"/>
          </w:tcPr>
          <w:p w14:paraId="1FF7556A" w14:textId="77777777" w:rsidR="00222FD2" w:rsidRPr="00222FD2" w:rsidRDefault="00222FD2" w:rsidP="00222FD2">
            <w:pPr>
              <w:jc w:val="both"/>
              <w:rPr>
                <w:rFonts w:cs="Times New Roman"/>
                <w:color w:val="000000" w:themeColor="text1"/>
                <w:sz w:val="22"/>
                <w:szCs w:val="22"/>
              </w:rPr>
            </w:pPr>
            <w:r>
              <w:rPr>
                <w:sz w:val="22"/>
              </w:rPr>
              <w:t>4.3.1.</w:t>
            </w:r>
          </w:p>
        </w:tc>
        <w:tc>
          <w:tcPr>
            <w:tcW w:w="3642" w:type="dxa"/>
            <w:shd w:val="clear" w:color="auto" w:fill="auto"/>
          </w:tcPr>
          <w:p w14:paraId="204130E9" w14:textId="77777777" w:rsidR="00222FD2" w:rsidRDefault="00222FD2" w:rsidP="00222FD2">
            <w:pPr>
              <w:jc w:val="both"/>
              <w:rPr>
                <w:rFonts w:cs="Times New Roman"/>
                <w:sz w:val="22"/>
                <w:szCs w:val="22"/>
              </w:rPr>
            </w:pPr>
            <w:r>
              <w:rPr>
                <w:sz w:val="22"/>
              </w:rPr>
              <w:t>Encouraging of sectoral associations to conclude collective agreements in sectors with a high scale of the shadow economy, including health and beauty care sectors.</w:t>
            </w:r>
          </w:p>
          <w:p w14:paraId="5385521C" w14:textId="58EB195B" w:rsidR="00E87849" w:rsidRPr="00222FD2" w:rsidRDefault="00E87849" w:rsidP="00222FD2">
            <w:pPr>
              <w:jc w:val="both"/>
              <w:rPr>
                <w:rFonts w:cs="Times New Roman"/>
                <w:sz w:val="22"/>
                <w:szCs w:val="22"/>
              </w:rPr>
            </w:pPr>
          </w:p>
        </w:tc>
        <w:tc>
          <w:tcPr>
            <w:tcW w:w="4111" w:type="dxa"/>
          </w:tcPr>
          <w:p w14:paraId="2A12622C" w14:textId="114FA254" w:rsidR="00222FD2" w:rsidRPr="00222FD2" w:rsidRDefault="00222FD2" w:rsidP="00222FD2">
            <w:pPr>
              <w:jc w:val="both"/>
              <w:rPr>
                <w:rFonts w:cs="Times New Roman"/>
                <w:color w:val="000000" w:themeColor="text1"/>
                <w:sz w:val="22"/>
                <w:szCs w:val="22"/>
              </w:rPr>
            </w:pPr>
            <w:r>
              <w:rPr>
                <w:sz w:val="22"/>
              </w:rPr>
              <w:t>By concluding sectoral collective agreements, the minimum wage/hourly rate is determined for persons employed in the sector</w:t>
            </w:r>
            <w:r>
              <w:rPr>
                <w:color w:val="000000" w:themeColor="text1"/>
                <w:sz w:val="22"/>
              </w:rPr>
              <w:t xml:space="preserve"> that will encourage the conformity of private sector wages with actual wages.</w:t>
            </w:r>
          </w:p>
        </w:tc>
        <w:tc>
          <w:tcPr>
            <w:tcW w:w="2552" w:type="dxa"/>
            <w:shd w:val="clear" w:color="auto" w:fill="auto"/>
          </w:tcPr>
          <w:p w14:paraId="1E4D08AE" w14:textId="37589E55" w:rsidR="00222FD2" w:rsidRPr="00222FD2" w:rsidRDefault="00222FD2" w:rsidP="00222FD2">
            <w:pPr>
              <w:jc w:val="both"/>
              <w:rPr>
                <w:rFonts w:cs="Times New Roman"/>
                <w:sz w:val="22"/>
                <w:szCs w:val="22"/>
              </w:rPr>
            </w:pPr>
            <w:r>
              <w:rPr>
                <w:sz w:val="22"/>
              </w:rPr>
              <w:t>Increase in PIT and MSSIC as a result of the monitoring of the general agreements.</w:t>
            </w:r>
          </w:p>
        </w:tc>
        <w:tc>
          <w:tcPr>
            <w:tcW w:w="1417" w:type="dxa"/>
          </w:tcPr>
          <w:p w14:paraId="2B60C4A6" w14:textId="0D1E1323" w:rsidR="00222FD2" w:rsidRPr="00222FD2" w:rsidRDefault="00222FD2" w:rsidP="00222FD2">
            <w:pPr>
              <w:jc w:val="center"/>
              <w:rPr>
                <w:rFonts w:cs="Times New Roman"/>
                <w:color w:val="000000" w:themeColor="text1"/>
                <w:sz w:val="22"/>
                <w:szCs w:val="22"/>
              </w:rPr>
            </w:pPr>
            <w:r>
              <w:rPr>
                <w:sz w:val="22"/>
              </w:rPr>
              <w:t>MoH</w:t>
            </w:r>
          </w:p>
          <w:p w14:paraId="0C52B4C2" w14:textId="77BC71F5" w:rsidR="00222FD2" w:rsidRPr="00222FD2" w:rsidRDefault="00222FD2" w:rsidP="00222FD2">
            <w:pPr>
              <w:jc w:val="center"/>
              <w:rPr>
                <w:rFonts w:cs="Times New Roman"/>
                <w:sz w:val="22"/>
                <w:szCs w:val="22"/>
              </w:rPr>
            </w:pPr>
            <w:r>
              <w:rPr>
                <w:sz w:val="22"/>
              </w:rPr>
              <w:t>(in cooperation with the LDDK,</w:t>
            </w:r>
          </w:p>
          <w:p w14:paraId="079CFED9" w14:textId="6410CD31" w:rsidR="00222FD2" w:rsidRPr="00222FD2" w:rsidRDefault="00222FD2" w:rsidP="00222FD2">
            <w:pPr>
              <w:jc w:val="center"/>
              <w:rPr>
                <w:rFonts w:cs="Times New Roman"/>
                <w:sz w:val="22"/>
                <w:szCs w:val="22"/>
              </w:rPr>
            </w:pPr>
            <w:r>
              <w:rPr>
                <w:sz w:val="22"/>
              </w:rPr>
              <w:t>LVSADA,</w:t>
            </w:r>
          </w:p>
          <w:p w14:paraId="5BED3D22" w14:textId="24C22F90" w:rsidR="00222FD2" w:rsidRPr="00222FD2" w:rsidRDefault="00222FD2" w:rsidP="00222FD2">
            <w:pPr>
              <w:jc w:val="center"/>
              <w:rPr>
                <w:rFonts w:cs="Times New Roman"/>
                <w:sz w:val="22"/>
                <w:szCs w:val="22"/>
              </w:rPr>
            </w:pPr>
            <w:r>
              <w:rPr>
                <w:sz w:val="22"/>
              </w:rPr>
              <w:t>LBAS) in respect of the health sector</w:t>
            </w:r>
          </w:p>
        </w:tc>
        <w:tc>
          <w:tcPr>
            <w:tcW w:w="1418" w:type="dxa"/>
          </w:tcPr>
          <w:p w14:paraId="72798575" w14:textId="51EF795E" w:rsidR="00222FD2" w:rsidRPr="00222FD2" w:rsidRDefault="00222FD2" w:rsidP="00222FD2">
            <w:pPr>
              <w:jc w:val="center"/>
              <w:rPr>
                <w:rFonts w:cs="Times New Roman"/>
                <w:sz w:val="22"/>
                <w:szCs w:val="22"/>
              </w:rPr>
            </w:pPr>
            <w:r>
              <w:rPr>
                <w:sz w:val="22"/>
              </w:rPr>
              <w:t>HEA,</w:t>
            </w:r>
          </w:p>
          <w:p w14:paraId="3B01E146" w14:textId="1E9D595A" w:rsidR="00222FD2" w:rsidRPr="00222FD2" w:rsidRDefault="00222FD2" w:rsidP="00222FD2">
            <w:pPr>
              <w:jc w:val="center"/>
              <w:rPr>
                <w:rFonts w:cs="Times New Roman"/>
                <w:color w:val="000000" w:themeColor="text1"/>
                <w:sz w:val="22"/>
                <w:szCs w:val="22"/>
              </w:rPr>
            </w:pPr>
            <w:r>
              <w:rPr>
                <w:color w:val="000000" w:themeColor="text1"/>
                <w:sz w:val="22"/>
              </w:rPr>
              <w:t>MoE</w:t>
            </w:r>
          </w:p>
        </w:tc>
        <w:tc>
          <w:tcPr>
            <w:tcW w:w="1417" w:type="dxa"/>
          </w:tcPr>
          <w:p w14:paraId="00D5E3F3" w14:textId="68E767B2" w:rsidR="00222FD2" w:rsidRPr="00222FD2" w:rsidRDefault="00222FD2" w:rsidP="00222FD2">
            <w:pPr>
              <w:jc w:val="right"/>
              <w:rPr>
                <w:rFonts w:cs="Times New Roman"/>
                <w:color w:val="000000" w:themeColor="text1"/>
                <w:sz w:val="22"/>
                <w:szCs w:val="22"/>
              </w:rPr>
            </w:pPr>
            <w:r>
              <w:rPr>
                <w:color w:val="000000" w:themeColor="text1"/>
                <w:sz w:val="22"/>
              </w:rPr>
              <w:t>30.12.2024</w:t>
            </w:r>
          </w:p>
          <w:p w14:paraId="2896889E" w14:textId="77777777" w:rsidR="00222FD2" w:rsidRPr="00222FD2" w:rsidRDefault="00222FD2" w:rsidP="00222FD2">
            <w:pPr>
              <w:jc w:val="right"/>
              <w:rPr>
                <w:rFonts w:cs="Times New Roman"/>
                <w:bCs/>
                <w:sz w:val="22"/>
                <w:szCs w:val="22"/>
              </w:rPr>
            </w:pPr>
          </w:p>
        </w:tc>
      </w:tr>
      <w:tr w:rsidR="00222FD2" w:rsidRPr="00222FD2" w14:paraId="42A11803" w14:textId="77777777" w:rsidTr="00E87849">
        <w:trPr>
          <w:trHeight w:val="225"/>
        </w:trPr>
        <w:tc>
          <w:tcPr>
            <w:tcW w:w="753" w:type="dxa"/>
          </w:tcPr>
          <w:p w14:paraId="5851DE9F" w14:textId="77777777" w:rsidR="00222FD2" w:rsidRPr="00222FD2" w:rsidRDefault="00222FD2" w:rsidP="00222FD2">
            <w:pPr>
              <w:jc w:val="both"/>
              <w:rPr>
                <w:rFonts w:cs="Times New Roman"/>
                <w:color w:val="000000" w:themeColor="text1"/>
                <w:sz w:val="22"/>
                <w:szCs w:val="22"/>
              </w:rPr>
            </w:pPr>
            <w:r>
              <w:rPr>
                <w:sz w:val="22"/>
              </w:rPr>
              <w:t>4.3.2.</w:t>
            </w:r>
          </w:p>
        </w:tc>
        <w:tc>
          <w:tcPr>
            <w:tcW w:w="3642" w:type="dxa"/>
            <w:shd w:val="clear" w:color="auto" w:fill="auto"/>
          </w:tcPr>
          <w:p w14:paraId="57D666AB" w14:textId="1EB9D769" w:rsidR="00E87849" w:rsidRPr="00222FD2" w:rsidRDefault="00222FD2" w:rsidP="00B02E2A">
            <w:pPr>
              <w:jc w:val="both"/>
              <w:rPr>
                <w:rFonts w:cs="Times New Roman"/>
                <w:color w:val="000000" w:themeColor="text1"/>
                <w:sz w:val="22"/>
                <w:szCs w:val="22"/>
              </w:rPr>
            </w:pPr>
            <w:r>
              <w:rPr>
                <w:sz w:val="22"/>
              </w:rPr>
              <w:t>Conclusion of a cooperation agreement (memorandum) between the HI, CRPC, SRS, HEA and other non-governmental organisations on provision of information concerning dishonest commercial practices in the health service and beauty care sectors.</w:t>
            </w:r>
          </w:p>
        </w:tc>
        <w:tc>
          <w:tcPr>
            <w:tcW w:w="4111" w:type="dxa"/>
          </w:tcPr>
          <w:p w14:paraId="572D9BAA" w14:textId="6AA5126A" w:rsidR="00222FD2" w:rsidRPr="00222FD2" w:rsidRDefault="00222FD2" w:rsidP="00222FD2">
            <w:pPr>
              <w:jc w:val="both"/>
              <w:rPr>
                <w:rFonts w:cs="Times New Roman"/>
                <w:color w:val="000000" w:themeColor="text1"/>
                <w:sz w:val="22"/>
                <w:szCs w:val="22"/>
              </w:rPr>
            </w:pPr>
            <w:r>
              <w:rPr>
                <w:sz w:val="22"/>
              </w:rPr>
              <w:t>A cooperation agreement has been signed between the HI, CRPC, SRS, HEA and other public organisations and the exchange of information on dishonest commercial practices in the health service and beauty care sectors has been ensured.</w:t>
            </w:r>
          </w:p>
        </w:tc>
        <w:tc>
          <w:tcPr>
            <w:tcW w:w="2552" w:type="dxa"/>
            <w:shd w:val="clear" w:color="auto" w:fill="auto"/>
          </w:tcPr>
          <w:p w14:paraId="0BB9B808" w14:textId="354EF41D" w:rsidR="00222FD2" w:rsidRPr="00222FD2" w:rsidRDefault="00222FD2" w:rsidP="00222FD2">
            <w:pPr>
              <w:jc w:val="both"/>
              <w:rPr>
                <w:rFonts w:cs="Times New Roman"/>
                <w:sz w:val="22"/>
                <w:szCs w:val="22"/>
              </w:rPr>
            </w:pPr>
            <w:r>
              <w:rPr>
                <w:sz w:val="22"/>
              </w:rPr>
              <w:t>Increased voluntary tax compliance.</w:t>
            </w:r>
          </w:p>
        </w:tc>
        <w:tc>
          <w:tcPr>
            <w:tcW w:w="1417" w:type="dxa"/>
          </w:tcPr>
          <w:p w14:paraId="4DE5416E" w14:textId="54D7146D" w:rsidR="00222FD2" w:rsidRPr="00222FD2" w:rsidRDefault="00222FD2" w:rsidP="00222FD2">
            <w:pPr>
              <w:jc w:val="center"/>
              <w:rPr>
                <w:rFonts w:cs="Times New Roman"/>
                <w:sz w:val="22"/>
                <w:szCs w:val="22"/>
              </w:rPr>
            </w:pPr>
            <w:r>
              <w:rPr>
                <w:sz w:val="22"/>
              </w:rPr>
              <w:t xml:space="preserve">HI, </w:t>
            </w:r>
          </w:p>
          <w:p w14:paraId="3862F4AA" w14:textId="5A3782CC" w:rsidR="00222FD2" w:rsidRPr="00222FD2" w:rsidRDefault="00222FD2" w:rsidP="00222FD2">
            <w:pPr>
              <w:jc w:val="center"/>
              <w:rPr>
                <w:rFonts w:cs="Times New Roman"/>
                <w:sz w:val="22"/>
                <w:szCs w:val="22"/>
              </w:rPr>
            </w:pPr>
            <w:r>
              <w:rPr>
                <w:sz w:val="22"/>
              </w:rPr>
              <w:t>CRPC,</w:t>
            </w:r>
          </w:p>
          <w:p w14:paraId="04E4A08A" w14:textId="1EA1A6DA" w:rsidR="00222FD2" w:rsidRPr="00222FD2" w:rsidRDefault="00222FD2" w:rsidP="00222FD2">
            <w:pPr>
              <w:jc w:val="center"/>
              <w:rPr>
                <w:rFonts w:cs="Times New Roman"/>
                <w:sz w:val="22"/>
                <w:szCs w:val="22"/>
              </w:rPr>
            </w:pPr>
            <w:r>
              <w:rPr>
                <w:sz w:val="22"/>
              </w:rPr>
              <w:t>SRS,</w:t>
            </w:r>
          </w:p>
          <w:p w14:paraId="246514AE" w14:textId="5118B4BE" w:rsidR="00222FD2" w:rsidRPr="00222FD2" w:rsidRDefault="00222FD2" w:rsidP="00222FD2">
            <w:pPr>
              <w:jc w:val="center"/>
              <w:rPr>
                <w:rFonts w:cs="Times New Roman"/>
                <w:sz w:val="22"/>
                <w:szCs w:val="22"/>
              </w:rPr>
            </w:pPr>
            <w:r>
              <w:rPr>
                <w:sz w:val="22"/>
              </w:rPr>
              <w:t>(in cooperation with the HEA,</w:t>
            </w:r>
          </w:p>
          <w:p w14:paraId="6ED5B444" w14:textId="6B27E66A" w:rsidR="00222FD2" w:rsidRPr="00222FD2" w:rsidRDefault="00222FD2" w:rsidP="00222FD2">
            <w:pPr>
              <w:jc w:val="center"/>
              <w:rPr>
                <w:rFonts w:cs="Times New Roman"/>
                <w:color w:val="000000" w:themeColor="text1"/>
                <w:sz w:val="22"/>
                <w:szCs w:val="22"/>
              </w:rPr>
            </w:pPr>
            <w:r>
              <w:rPr>
                <w:sz w:val="22"/>
              </w:rPr>
              <w:t xml:space="preserve"> NGOs</w:t>
            </w:r>
            <w:r>
              <w:rPr>
                <w:color w:val="000000" w:themeColor="text1"/>
                <w:sz w:val="22"/>
              </w:rPr>
              <w:t>)</w:t>
            </w:r>
          </w:p>
        </w:tc>
        <w:tc>
          <w:tcPr>
            <w:tcW w:w="1418" w:type="dxa"/>
          </w:tcPr>
          <w:p w14:paraId="177178BC" w14:textId="7C97A4C8" w:rsidR="00222FD2" w:rsidRPr="00222FD2" w:rsidRDefault="00222FD2" w:rsidP="00222FD2">
            <w:pPr>
              <w:jc w:val="center"/>
              <w:rPr>
                <w:rFonts w:cs="Times New Roman"/>
                <w:color w:val="000000" w:themeColor="text1"/>
                <w:sz w:val="22"/>
                <w:szCs w:val="22"/>
              </w:rPr>
            </w:pPr>
            <w:r>
              <w:rPr>
                <w:color w:val="000000" w:themeColor="text1"/>
                <w:sz w:val="22"/>
              </w:rPr>
              <w:t>-</w:t>
            </w:r>
          </w:p>
        </w:tc>
        <w:tc>
          <w:tcPr>
            <w:tcW w:w="1417" w:type="dxa"/>
          </w:tcPr>
          <w:p w14:paraId="77318AA7" w14:textId="77777777" w:rsidR="00222FD2" w:rsidRPr="00222FD2" w:rsidRDefault="00222FD2" w:rsidP="00222FD2">
            <w:pPr>
              <w:jc w:val="right"/>
              <w:rPr>
                <w:rFonts w:cs="Times New Roman"/>
                <w:bCs/>
                <w:sz w:val="22"/>
                <w:szCs w:val="22"/>
              </w:rPr>
            </w:pPr>
            <w:r>
              <w:rPr>
                <w:color w:val="000000" w:themeColor="text1"/>
                <w:sz w:val="22"/>
              </w:rPr>
              <w:t>31.12.2024</w:t>
            </w:r>
          </w:p>
        </w:tc>
      </w:tr>
      <w:tr w:rsidR="00222FD2" w:rsidRPr="00222FD2" w14:paraId="0F0DF54F" w14:textId="77777777" w:rsidTr="003C1C7B">
        <w:trPr>
          <w:trHeight w:val="283"/>
        </w:trPr>
        <w:tc>
          <w:tcPr>
            <w:tcW w:w="11058" w:type="dxa"/>
            <w:gridSpan w:val="4"/>
            <w:shd w:val="clear" w:color="auto" w:fill="FFF2CC" w:themeFill="accent4" w:themeFillTint="33"/>
          </w:tcPr>
          <w:p w14:paraId="6CB08F34" w14:textId="13041DFF" w:rsidR="00222FD2" w:rsidRPr="00222FD2" w:rsidRDefault="00222FD2" w:rsidP="00222FD2">
            <w:pPr>
              <w:rPr>
                <w:rFonts w:cs="Times New Roman"/>
                <w:sz w:val="22"/>
                <w:szCs w:val="22"/>
              </w:rPr>
            </w:pPr>
            <w:r>
              <w:rPr>
                <w:sz w:val="22"/>
              </w:rPr>
              <w:t xml:space="preserve">Course of Action 4. Task 4. </w:t>
            </w:r>
            <w:r>
              <w:rPr>
                <w:b/>
                <w:sz w:val="22"/>
              </w:rPr>
              <w:t>Provision of information and public education measures in the health sector.</w:t>
            </w:r>
          </w:p>
        </w:tc>
        <w:tc>
          <w:tcPr>
            <w:tcW w:w="4252" w:type="dxa"/>
            <w:gridSpan w:val="3"/>
            <w:shd w:val="clear" w:color="auto" w:fill="FFF2CC" w:themeFill="accent4" w:themeFillTint="33"/>
          </w:tcPr>
          <w:p w14:paraId="392301EF" w14:textId="2BC972FE" w:rsidR="00222FD2" w:rsidRPr="00222FD2" w:rsidRDefault="00222FD2" w:rsidP="00222FD2">
            <w:pPr>
              <w:rPr>
                <w:rFonts w:cs="Times New Roman"/>
                <w:sz w:val="22"/>
                <w:szCs w:val="22"/>
              </w:rPr>
            </w:pPr>
            <w:r>
              <w:rPr>
                <w:sz w:val="22"/>
              </w:rPr>
              <w:t>Fiscal benefit: EUR 0.5 million</w:t>
            </w:r>
          </w:p>
        </w:tc>
      </w:tr>
      <w:tr w:rsidR="00222FD2" w:rsidRPr="00222FD2" w14:paraId="4F271D2C" w14:textId="77777777" w:rsidTr="00E87849">
        <w:trPr>
          <w:trHeight w:val="1220"/>
        </w:trPr>
        <w:tc>
          <w:tcPr>
            <w:tcW w:w="753" w:type="dxa"/>
            <w:shd w:val="clear" w:color="auto" w:fill="auto"/>
          </w:tcPr>
          <w:p w14:paraId="2588961E" w14:textId="1AAE94CB" w:rsidR="00222FD2" w:rsidRPr="00222FD2" w:rsidRDefault="00222FD2" w:rsidP="00222FD2">
            <w:pPr>
              <w:jc w:val="both"/>
              <w:rPr>
                <w:rFonts w:cs="Times New Roman"/>
                <w:color w:val="000000" w:themeColor="text1"/>
                <w:sz w:val="22"/>
                <w:szCs w:val="22"/>
              </w:rPr>
            </w:pPr>
            <w:r>
              <w:rPr>
                <w:sz w:val="22"/>
              </w:rPr>
              <w:t>4.4.1.</w:t>
            </w:r>
          </w:p>
        </w:tc>
        <w:tc>
          <w:tcPr>
            <w:tcW w:w="3642" w:type="dxa"/>
            <w:shd w:val="clear" w:color="auto" w:fill="auto"/>
          </w:tcPr>
          <w:p w14:paraId="03F3BC24" w14:textId="14D5A028" w:rsidR="00222FD2" w:rsidRPr="00222FD2" w:rsidRDefault="00222FD2" w:rsidP="00222FD2">
            <w:pPr>
              <w:jc w:val="both"/>
              <w:rPr>
                <w:rFonts w:cs="Times New Roman"/>
                <w:color w:val="000000" w:themeColor="text1"/>
                <w:sz w:val="22"/>
                <w:szCs w:val="22"/>
              </w:rPr>
            </w:pPr>
            <w:r>
              <w:rPr>
                <w:sz w:val="22"/>
              </w:rPr>
              <w:t>Organisation of an informative campaign to inform people about the health risks of informal beauty care and equivalent services</w:t>
            </w:r>
            <w:r>
              <w:rPr>
                <w:color w:val="000000" w:themeColor="text1"/>
                <w:sz w:val="22"/>
              </w:rPr>
              <w:t>.</w:t>
            </w:r>
          </w:p>
        </w:tc>
        <w:tc>
          <w:tcPr>
            <w:tcW w:w="4111" w:type="dxa"/>
            <w:shd w:val="clear" w:color="auto" w:fill="auto"/>
          </w:tcPr>
          <w:p w14:paraId="3885703E" w14:textId="33D813ED" w:rsidR="00222FD2" w:rsidRPr="00222FD2" w:rsidRDefault="00222FD2" w:rsidP="00222FD2">
            <w:pPr>
              <w:jc w:val="both"/>
              <w:rPr>
                <w:rFonts w:cs="Times New Roman"/>
                <w:color w:val="000000" w:themeColor="text1"/>
                <w:sz w:val="22"/>
                <w:szCs w:val="22"/>
              </w:rPr>
            </w:pPr>
            <w:r>
              <w:rPr>
                <w:sz w:val="22"/>
              </w:rPr>
              <w:t>Communication implemented and an informative campaign organised to inform about the health risks of informal beauty care and equivalent services (including the importance of proof of payment).</w:t>
            </w:r>
          </w:p>
        </w:tc>
        <w:tc>
          <w:tcPr>
            <w:tcW w:w="2552" w:type="dxa"/>
            <w:shd w:val="clear" w:color="auto" w:fill="auto"/>
          </w:tcPr>
          <w:p w14:paraId="722FD915" w14:textId="66D00E72" w:rsidR="00222FD2" w:rsidRPr="00222FD2" w:rsidRDefault="00222FD2" w:rsidP="00222FD2">
            <w:pPr>
              <w:jc w:val="both"/>
              <w:rPr>
                <w:rFonts w:cs="Times New Roman"/>
                <w:color w:val="000000" w:themeColor="text1"/>
                <w:sz w:val="22"/>
                <w:szCs w:val="22"/>
              </w:rPr>
            </w:pPr>
            <w:r>
              <w:rPr>
                <w:color w:val="000000" w:themeColor="text1"/>
                <w:sz w:val="22"/>
              </w:rPr>
              <w:t>One informative campaign organised.</w:t>
            </w:r>
          </w:p>
        </w:tc>
        <w:tc>
          <w:tcPr>
            <w:tcW w:w="1417" w:type="dxa"/>
            <w:shd w:val="clear" w:color="auto" w:fill="auto"/>
          </w:tcPr>
          <w:p w14:paraId="30A7DD50" w14:textId="0AEBF874" w:rsidR="00222FD2" w:rsidRPr="00222FD2" w:rsidRDefault="00222FD2" w:rsidP="00222FD2">
            <w:pPr>
              <w:jc w:val="center"/>
              <w:rPr>
                <w:rFonts w:cs="Times New Roman"/>
                <w:sz w:val="22"/>
                <w:szCs w:val="22"/>
              </w:rPr>
            </w:pPr>
            <w:r>
              <w:rPr>
                <w:sz w:val="22"/>
              </w:rPr>
              <w:t>SPKC,</w:t>
            </w:r>
          </w:p>
          <w:p w14:paraId="2535ED4D" w14:textId="4E7D7E53" w:rsidR="00222FD2" w:rsidRPr="00222FD2" w:rsidRDefault="00222FD2" w:rsidP="00222FD2">
            <w:pPr>
              <w:jc w:val="center"/>
              <w:rPr>
                <w:rFonts w:cs="Times New Roman"/>
                <w:sz w:val="22"/>
                <w:szCs w:val="22"/>
              </w:rPr>
            </w:pPr>
            <w:r>
              <w:rPr>
                <w:sz w:val="22"/>
              </w:rPr>
              <w:t>HI,</w:t>
            </w:r>
          </w:p>
          <w:p w14:paraId="1895FDE6" w14:textId="345B4E46" w:rsidR="00222FD2" w:rsidRPr="00222FD2" w:rsidRDefault="00222FD2" w:rsidP="00222FD2">
            <w:pPr>
              <w:jc w:val="center"/>
              <w:rPr>
                <w:rFonts w:cs="Times New Roman"/>
                <w:sz w:val="22"/>
                <w:szCs w:val="22"/>
              </w:rPr>
            </w:pPr>
            <w:r>
              <w:rPr>
                <w:sz w:val="22"/>
              </w:rPr>
              <w:t>(in cooperation with HEA),</w:t>
            </w:r>
          </w:p>
          <w:p w14:paraId="41BC2F96" w14:textId="185C5AC2" w:rsidR="00222FD2" w:rsidRPr="00222FD2" w:rsidRDefault="00222FD2" w:rsidP="00222FD2">
            <w:pPr>
              <w:jc w:val="center"/>
              <w:rPr>
                <w:rFonts w:cs="Times New Roman"/>
                <w:sz w:val="22"/>
                <w:szCs w:val="22"/>
                <w:highlight w:val="yellow"/>
              </w:rPr>
            </w:pPr>
            <w:r>
              <w:rPr>
                <w:sz w:val="22"/>
              </w:rPr>
              <w:t>CRPC</w:t>
            </w:r>
          </w:p>
          <w:p w14:paraId="32E20215" w14:textId="37E583D3" w:rsidR="00222FD2" w:rsidRPr="00222FD2" w:rsidRDefault="00222FD2" w:rsidP="00222FD2">
            <w:pPr>
              <w:jc w:val="center"/>
              <w:rPr>
                <w:rFonts w:cs="Times New Roman"/>
                <w:sz w:val="22"/>
                <w:szCs w:val="22"/>
              </w:rPr>
            </w:pPr>
          </w:p>
        </w:tc>
        <w:tc>
          <w:tcPr>
            <w:tcW w:w="1418" w:type="dxa"/>
            <w:shd w:val="clear" w:color="auto" w:fill="auto"/>
          </w:tcPr>
          <w:p w14:paraId="7C44A268" w14:textId="0F47BA83" w:rsidR="00222FD2" w:rsidRPr="00222FD2" w:rsidRDefault="00222FD2" w:rsidP="00222FD2">
            <w:pPr>
              <w:jc w:val="center"/>
              <w:rPr>
                <w:rFonts w:cs="Times New Roman"/>
                <w:color w:val="000000" w:themeColor="text1"/>
                <w:sz w:val="22"/>
                <w:szCs w:val="22"/>
              </w:rPr>
            </w:pPr>
            <w:r>
              <w:rPr>
                <w:sz w:val="22"/>
              </w:rPr>
              <w:t>SRS</w:t>
            </w:r>
          </w:p>
        </w:tc>
        <w:tc>
          <w:tcPr>
            <w:tcW w:w="1417" w:type="dxa"/>
            <w:shd w:val="clear" w:color="auto" w:fill="auto"/>
          </w:tcPr>
          <w:p w14:paraId="7017766D" w14:textId="0865DDA2" w:rsidR="00222FD2" w:rsidRPr="00222FD2" w:rsidRDefault="00222FD2" w:rsidP="00222FD2">
            <w:pPr>
              <w:jc w:val="right"/>
              <w:rPr>
                <w:rFonts w:cs="Times New Roman"/>
                <w:bCs/>
                <w:sz w:val="22"/>
                <w:szCs w:val="22"/>
              </w:rPr>
            </w:pPr>
            <w:r>
              <w:rPr>
                <w:sz w:val="22"/>
              </w:rPr>
              <w:t>30.12.2027</w:t>
            </w:r>
          </w:p>
        </w:tc>
      </w:tr>
      <w:tr w:rsidR="00222FD2" w:rsidRPr="00222FD2" w14:paraId="63B52495" w14:textId="77777777" w:rsidTr="00E87849">
        <w:trPr>
          <w:trHeight w:val="225"/>
        </w:trPr>
        <w:tc>
          <w:tcPr>
            <w:tcW w:w="753" w:type="dxa"/>
          </w:tcPr>
          <w:p w14:paraId="7CBF86B8" w14:textId="298174C2" w:rsidR="00222FD2" w:rsidRPr="00222FD2" w:rsidRDefault="00222FD2" w:rsidP="00222FD2">
            <w:pPr>
              <w:rPr>
                <w:rFonts w:cs="Times New Roman"/>
                <w:color w:val="000000" w:themeColor="text1"/>
                <w:sz w:val="22"/>
                <w:szCs w:val="22"/>
              </w:rPr>
            </w:pPr>
            <w:r>
              <w:rPr>
                <w:sz w:val="22"/>
              </w:rPr>
              <w:t>4.4.2.</w:t>
            </w:r>
          </w:p>
        </w:tc>
        <w:tc>
          <w:tcPr>
            <w:tcW w:w="3642" w:type="dxa"/>
            <w:shd w:val="clear" w:color="auto" w:fill="auto"/>
          </w:tcPr>
          <w:p w14:paraId="5AA03342" w14:textId="77777777" w:rsidR="00222FD2" w:rsidRPr="00222FD2" w:rsidRDefault="00222FD2" w:rsidP="00222FD2">
            <w:pPr>
              <w:jc w:val="both"/>
              <w:rPr>
                <w:rFonts w:cs="Times New Roman"/>
                <w:color w:val="000000" w:themeColor="text1"/>
                <w:sz w:val="22"/>
                <w:szCs w:val="22"/>
              </w:rPr>
            </w:pPr>
            <w:r>
              <w:rPr>
                <w:sz w:val="22"/>
              </w:rPr>
              <w:t>Educating of medical practitioners on the necessity to register economic activities with the SRS or the appropriate form of entrepreneurial activity in the Enterprises Register (if systematic activities are carried out in exchange for remuneration) and the Register of Medical Treatment Institutions to prevent cases where activities are not properly registered but the service is provided in a medical treatment institution where premises are rented.</w:t>
            </w:r>
          </w:p>
        </w:tc>
        <w:tc>
          <w:tcPr>
            <w:tcW w:w="4111" w:type="dxa"/>
          </w:tcPr>
          <w:p w14:paraId="4F083F49" w14:textId="6D469D03" w:rsidR="00222FD2" w:rsidRPr="00222FD2" w:rsidRDefault="00222FD2" w:rsidP="00222FD2">
            <w:pPr>
              <w:jc w:val="both"/>
              <w:rPr>
                <w:rFonts w:cs="Times New Roman"/>
                <w:sz w:val="22"/>
                <w:szCs w:val="22"/>
              </w:rPr>
            </w:pPr>
            <w:r>
              <w:rPr>
                <w:sz w:val="22"/>
              </w:rPr>
              <w:t>Medical practitioners are informed of the necessity to register their economic activities with the SRS or the appropriate form of entrepreneurial activity in the Register of Enterprises and the Register of Medical Treatment Institutions.</w:t>
            </w:r>
          </w:p>
        </w:tc>
        <w:tc>
          <w:tcPr>
            <w:tcW w:w="2552" w:type="dxa"/>
            <w:shd w:val="clear" w:color="auto" w:fill="auto"/>
          </w:tcPr>
          <w:p w14:paraId="0A70A56B" w14:textId="77777777" w:rsidR="00222FD2" w:rsidRPr="004C2DAE" w:rsidRDefault="00222FD2" w:rsidP="00222FD2">
            <w:pPr>
              <w:jc w:val="both"/>
              <w:rPr>
                <w:rFonts w:cs="Times New Roman"/>
                <w:color w:val="000000" w:themeColor="text1"/>
                <w:sz w:val="22"/>
                <w:szCs w:val="22"/>
              </w:rPr>
            </w:pPr>
            <w:r>
              <w:rPr>
                <w:color w:val="000000" w:themeColor="text1"/>
                <w:sz w:val="22"/>
              </w:rPr>
              <w:t>1. Informative material for medical treatment institutions has been prepared.</w:t>
            </w:r>
          </w:p>
          <w:p w14:paraId="1E86C1CE" w14:textId="77777777" w:rsidR="00222FD2" w:rsidRPr="004C2DAE" w:rsidRDefault="00222FD2" w:rsidP="00222FD2">
            <w:pPr>
              <w:jc w:val="both"/>
              <w:rPr>
                <w:rFonts w:cs="Times New Roman"/>
                <w:color w:val="000000" w:themeColor="text1"/>
                <w:sz w:val="22"/>
                <w:szCs w:val="22"/>
              </w:rPr>
            </w:pPr>
            <w:r>
              <w:rPr>
                <w:color w:val="000000" w:themeColor="text1"/>
                <w:sz w:val="22"/>
              </w:rPr>
              <w:t>2. The informative material has been published on the websites of the HI and the professional organisations of medical practitioners.</w:t>
            </w:r>
          </w:p>
          <w:p w14:paraId="32C5BDB3" w14:textId="5AA36A18" w:rsidR="00222FD2" w:rsidRPr="004C2DAE" w:rsidRDefault="00222FD2" w:rsidP="00222FD2">
            <w:pPr>
              <w:jc w:val="both"/>
              <w:rPr>
                <w:rFonts w:cs="Times New Roman"/>
                <w:color w:val="000000" w:themeColor="text1"/>
                <w:sz w:val="22"/>
                <w:szCs w:val="22"/>
              </w:rPr>
            </w:pPr>
            <w:r>
              <w:rPr>
                <w:color w:val="000000" w:themeColor="text1"/>
                <w:sz w:val="22"/>
              </w:rPr>
              <w:t>3. Professional organisations of medical practitioners are informed of the necessity to register their economic activities with the SRS or the appropriate form of entrepreneurial activity in the Register of Enterprises and the Register of Medical Treatment Institutions.</w:t>
            </w:r>
          </w:p>
        </w:tc>
        <w:tc>
          <w:tcPr>
            <w:tcW w:w="1417" w:type="dxa"/>
          </w:tcPr>
          <w:p w14:paraId="702DEB20" w14:textId="77777777" w:rsidR="00222FD2" w:rsidRPr="00222FD2" w:rsidRDefault="00222FD2" w:rsidP="00222FD2">
            <w:pPr>
              <w:jc w:val="center"/>
              <w:rPr>
                <w:rFonts w:cs="Times New Roman"/>
                <w:sz w:val="22"/>
                <w:szCs w:val="22"/>
              </w:rPr>
            </w:pPr>
            <w:r>
              <w:rPr>
                <w:sz w:val="22"/>
              </w:rPr>
              <w:t xml:space="preserve">HI, </w:t>
            </w:r>
          </w:p>
          <w:p w14:paraId="670B48E7" w14:textId="19F1E6BF" w:rsidR="00222FD2" w:rsidRPr="00222FD2" w:rsidRDefault="00222FD2" w:rsidP="00222FD2">
            <w:pPr>
              <w:jc w:val="center"/>
              <w:rPr>
                <w:rFonts w:cs="Times New Roman"/>
                <w:color w:val="000000" w:themeColor="text1"/>
                <w:sz w:val="22"/>
                <w:szCs w:val="22"/>
              </w:rPr>
            </w:pPr>
            <w:r>
              <w:rPr>
                <w:sz w:val="22"/>
              </w:rPr>
              <w:t>SRS</w:t>
            </w:r>
          </w:p>
        </w:tc>
        <w:tc>
          <w:tcPr>
            <w:tcW w:w="1418" w:type="dxa"/>
          </w:tcPr>
          <w:p w14:paraId="36F8ADB2" w14:textId="77777777" w:rsidR="00222FD2" w:rsidRPr="00222FD2" w:rsidRDefault="00222FD2" w:rsidP="00222FD2">
            <w:pPr>
              <w:jc w:val="center"/>
              <w:rPr>
                <w:rFonts w:cs="Times New Roman"/>
                <w:color w:val="000000" w:themeColor="text1"/>
                <w:sz w:val="22"/>
                <w:szCs w:val="22"/>
              </w:rPr>
            </w:pPr>
            <w:r>
              <w:rPr>
                <w:color w:val="000000" w:themeColor="text1"/>
                <w:sz w:val="22"/>
              </w:rPr>
              <w:t>LMA</w:t>
            </w:r>
          </w:p>
        </w:tc>
        <w:tc>
          <w:tcPr>
            <w:tcW w:w="1417" w:type="dxa"/>
          </w:tcPr>
          <w:p w14:paraId="27E325DC" w14:textId="77777777" w:rsidR="00222FD2" w:rsidRPr="00222FD2" w:rsidRDefault="00222FD2" w:rsidP="00222FD2">
            <w:pPr>
              <w:jc w:val="right"/>
              <w:rPr>
                <w:rFonts w:cs="Times New Roman"/>
                <w:sz w:val="22"/>
                <w:szCs w:val="22"/>
              </w:rPr>
            </w:pPr>
            <w:r>
              <w:rPr>
                <w:sz w:val="22"/>
              </w:rPr>
              <w:t xml:space="preserve">30.12.2025 </w:t>
            </w:r>
          </w:p>
          <w:p w14:paraId="5030302E" w14:textId="77777777" w:rsidR="00222FD2" w:rsidRPr="00222FD2" w:rsidRDefault="00222FD2" w:rsidP="00222FD2">
            <w:pPr>
              <w:jc w:val="right"/>
              <w:rPr>
                <w:rFonts w:cs="Times New Roman"/>
                <w:bCs/>
                <w:sz w:val="22"/>
                <w:szCs w:val="22"/>
              </w:rPr>
            </w:pPr>
          </w:p>
        </w:tc>
      </w:tr>
      <w:tr w:rsidR="00222FD2" w:rsidRPr="00222FD2" w14:paraId="55F80C5B" w14:textId="77777777" w:rsidTr="00E87849">
        <w:trPr>
          <w:trHeight w:val="225"/>
        </w:trPr>
        <w:tc>
          <w:tcPr>
            <w:tcW w:w="753" w:type="dxa"/>
          </w:tcPr>
          <w:p w14:paraId="14122F20" w14:textId="6668FDBB" w:rsidR="00222FD2" w:rsidRPr="00222FD2" w:rsidRDefault="00222FD2" w:rsidP="00222FD2">
            <w:pPr>
              <w:rPr>
                <w:rFonts w:cs="Times New Roman"/>
                <w:bCs/>
                <w:sz w:val="22"/>
                <w:szCs w:val="22"/>
              </w:rPr>
            </w:pPr>
            <w:r>
              <w:rPr>
                <w:sz w:val="22"/>
              </w:rPr>
              <w:t xml:space="preserve">4.4.3. </w:t>
            </w:r>
          </w:p>
        </w:tc>
        <w:tc>
          <w:tcPr>
            <w:tcW w:w="3642" w:type="dxa"/>
            <w:shd w:val="clear" w:color="auto" w:fill="auto"/>
          </w:tcPr>
          <w:p w14:paraId="18A6A164" w14:textId="7DF2BA2C" w:rsidR="00222FD2" w:rsidRPr="00222FD2" w:rsidRDefault="00222FD2" w:rsidP="00222FD2">
            <w:pPr>
              <w:jc w:val="both"/>
              <w:rPr>
                <w:rFonts w:cs="Times New Roman"/>
                <w:sz w:val="22"/>
                <w:szCs w:val="22"/>
              </w:rPr>
            </w:pPr>
            <w:r>
              <w:rPr>
                <w:sz w:val="22"/>
              </w:rPr>
              <w:t>Educating of the public about the Register of Medical Practitioners and Medical Treatment Support Personnel and the Register of Medical Treatment Institutions and the use thereof prior to receiving healthcare services.</w:t>
            </w:r>
          </w:p>
        </w:tc>
        <w:tc>
          <w:tcPr>
            <w:tcW w:w="4111" w:type="dxa"/>
          </w:tcPr>
          <w:p w14:paraId="37D04F79" w14:textId="3660687E" w:rsidR="00222FD2" w:rsidRPr="00222FD2" w:rsidRDefault="00222FD2" w:rsidP="00222FD2">
            <w:pPr>
              <w:jc w:val="both"/>
              <w:rPr>
                <w:rFonts w:cs="Times New Roman"/>
                <w:sz w:val="22"/>
                <w:szCs w:val="22"/>
              </w:rPr>
            </w:pPr>
            <w:r>
              <w:rPr>
                <w:sz w:val="22"/>
              </w:rPr>
              <w:t>Public awareness of the importance of registers in receiving quality healthcare.</w:t>
            </w:r>
          </w:p>
        </w:tc>
        <w:tc>
          <w:tcPr>
            <w:tcW w:w="2552" w:type="dxa"/>
          </w:tcPr>
          <w:p w14:paraId="1C059FFE" w14:textId="490272DA" w:rsidR="00222FD2" w:rsidRPr="00222FD2" w:rsidRDefault="00222FD2" w:rsidP="00222FD2">
            <w:pPr>
              <w:jc w:val="both"/>
              <w:rPr>
                <w:rFonts w:cs="Times New Roman"/>
                <w:color w:val="000000" w:themeColor="text1"/>
                <w:sz w:val="22"/>
                <w:szCs w:val="22"/>
              </w:rPr>
            </w:pPr>
            <w:r>
              <w:rPr>
                <w:color w:val="000000" w:themeColor="text1"/>
                <w:sz w:val="22"/>
              </w:rPr>
              <w:t xml:space="preserve">Public awareness activities on the social networks and website of the HI, and also in the media. </w:t>
            </w:r>
          </w:p>
        </w:tc>
        <w:tc>
          <w:tcPr>
            <w:tcW w:w="1417" w:type="dxa"/>
          </w:tcPr>
          <w:p w14:paraId="1ED78C4C" w14:textId="77777777" w:rsidR="00222FD2" w:rsidRPr="00222FD2" w:rsidRDefault="00222FD2" w:rsidP="00222FD2">
            <w:pPr>
              <w:jc w:val="center"/>
              <w:rPr>
                <w:rFonts w:cs="Times New Roman"/>
                <w:bCs/>
                <w:sz w:val="22"/>
                <w:szCs w:val="22"/>
              </w:rPr>
            </w:pPr>
            <w:r>
              <w:rPr>
                <w:sz w:val="22"/>
              </w:rPr>
              <w:t>HI</w:t>
            </w:r>
          </w:p>
        </w:tc>
        <w:tc>
          <w:tcPr>
            <w:tcW w:w="1418" w:type="dxa"/>
          </w:tcPr>
          <w:p w14:paraId="4E2DFBDA" w14:textId="77777777" w:rsidR="00222FD2" w:rsidRPr="00222FD2" w:rsidRDefault="00222FD2" w:rsidP="00222FD2">
            <w:pPr>
              <w:jc w:val="center"/>
              <w:rPr>
                <w:rFonts w:cs="Times New Roman"/>
                <w:bCs/>
                <w:sz w:val="22"/>
                <w:szCs w:val="22"/>
              </w:rPr>
            </w:pPr>
            <w:r>
              <w:rPr>
                <w:sz w:val="22"/>
              </w:rPr>
              <w:t>LPOT</w:t>
            </w:r>
          </w:p>
        </w:tc>
        <w:tc>
          <w:tcPr>
            <w:tcW w:w="1417" w:type="dxa"/>
          </w:tcPr>
          <w:p w14:paraId="5523B588" w14:textId="77777777" w:rsidR="00222FD2" w:rsidRPr="00222FD2" w:rsidRDefault="00222FD2" w:rsidP="00222FD2">
            <w:pPr>
              <w:jc w:val="right"/>
              <w:rPr>
                <w:rFonts w:cs="Times New Roman"/>
                <w:bCs/>
                <w:sz w:val="22"/>
                <w:szCs w:val="22"/>
              </w:rPr>
            </w:pPr>
            <w:r>
              <w:rPr>
                <w:sz w:val="22"/>
              </w:rPr>
              <w:t>30.12.2025</w:t>
            </w:r>
          </w:p>
        </w:tc>
      </w:tr>
      <w:tr w:rsidR="00222FD2" w:rsidRPr="00222FD2" w14:paraId="34C82F91" w14:textId="77777777" w:rsidTr="003C1C7B">
        <w:trPr>
          <w:trHeight w:val="283"/>
        </w:trPr>
        <w:tc>
          <w:tcPr>
            <w:tcW w:w="11058" w:type="dxa"/>
            <w:gridSpan w:val="4"/>
            <w:shd w:val="clear" w:color="auto" w:fill="FFF2CC" w:themeFill="accent4" w:themeFillTint="33"/>
          </w:tcPr>
          <w:p w14:paraId="0432B511" w14:textId="6ADB4468" w:rsidR="00222FD2" w:rsidRPr="00222FD2" w:rsidRDefault="00222FD2" w:rsidP="00222FD2">
            <w:pPr>
              <w:rPr>
                <w:rFonts w:cs="Times New Roman"/>
                <w:bCs/>
                <w:sz w:val="22"/>
                <w:szCs w:val="22"/>
              </w:rPr>
            </w:pPr>
            <w:r>
              <w:rPr>
                <w:sz w:val="22"/>
              </w:rPr>
              <w:t xml:space="preserve">Course of Action 4. Task 5. </w:t>
            </w:r>
            <w:r>
              <w:rPr>
                <w:b/>
                <w:sz w:val="22"/>
              </w:rPr>
              <w:t xml:space="preserve">Definition of a clear legal framework in the beauty care sector. </w:t>
            </w:r>
          </w:p>
        </w:tc>
        <w:tc>
          <w:tcPr>
            <w:tcW w:w="4252" w:type="dxa"/>
            <w:gridSpan w:val="3"/>
            <w:shd w:val="clear" w:color="auto" w:fill="FFF2CC" w:themeFill="accent4" w:themeFillTint="33"/>
          </w:tcPr>
          <w:p w14:paraId="5B570784" w14:textId="78DC3167" w:rsidR="00222FD2" w:rsidRPr="00222FD2" w:rsidRDefault="00222FD2" w:rsidP="00222FD2">
            <w:pPr>
              <w:rPr>
                <w:rFonts w:cs="Times New Roman"/>
                <w:bCs/>
                <w:sz w:val="22"/>
                <w:szCs w:val="22"/>
              </w:rPr>
            </w:pPr>
            <w:r>
              <w:rPr>
                <w:sz w:val="22"/>
              </w:rPr>
              <w:t>Fiscal benefit: EUR 0.25 million</w:t>
            </w:r>
            <w:r>
              <w:rPr>
                <w:b/>
                <w:sz w:val="22"/>
              </w:rPr>
              <w:t xml:space="preserve"> </w:t>
            </w:r>
          </w:p>
        </w:tc>
      </w:tr>
      <w:tr w:rsidR="00222FD2" w:rsidRPr="00222FD2" w14:paraId="5450898C" w14:textId="77777777" w:rsidTr="00E87849">
        <w:trPr>
          <w:trHeight w:val="225"/>
        </w:trPr>
        <w:tc>
          <w:tcPr>
            <w:tcW w:w="753" w:type="dxa"/>
          </w:tcPr>
          <w:p w14:paraId="1F886A4F" w14:textId="7DA61974" w:rsidR="00222FD2" w:rsidRPr="00222FD2" w:rsidRDefault="00222FD2" w:rsidP="00222FD2">
            <w:pPr>
              <w:jc w:val="both"/>
              <w:rPr>
                <w:rFonts w:cs="Times New Roman"/>
                <w:color w:val="000000" w:themeColor="text1"/>
                <w:sz w:val="22"/>
                <w:szCs w:val="22"/>
              </w:rPr>
            </w:pPr>
            <w:bookmarkStart w:id="52" w:name="_Hlk153803156"/>
            <w:r>
              <w:rPr>
                <w:color w:val="000000" w:themeColor="text1"/>
                <w:sz w:val="22"/>
              </w:rPr>
              <w:t>4.5.1.</w:t>
            </w:r>
          </w:p>
        </w:tc>
        <w:tc>
          <w:tcPr>
            <w:tcW w:w="3642" w:type="dxa"/>
            <w:shd w:val="clear" w:color="auto" w:fill="auto"/>
          </w:tcPr>
          <w:p w14:paraId="4F631CF5" w14:textId="59B7C07A" w:rsidR="00222FD2" w:rsidRPr="00222FD2" w:rsidRDefault="00222FD2" w:rsidP="00222FD2">
            <w:pPr>
              <w:jc w:val="both"/>
              <w:rPr>
                <w:rFonts w:cs="Times New Roman"/>
                <w:strike/>
                <w:color w:val="000000" w:themeColor="text1"/>
                <w:sz w:val="22"/>
                <w:szCs w:val="22"/>
              </w:rPr>
            </w:pPr>
            <w:r>
              <w:rPr>
                <w:color w:val="000000" w:themeColor="text1"/>
                <w:sz w:val="22"/>
              </w:rPr>
              <w:t>Revision of the laws and regulations regarding beauty care services for the purpose of promoting safe provision of beauty care services to consumers by medical practitioners.</w:t>
            </w:r>
          </w:p>
        </w:tc>
        <w:tc>
          <w:tcPr>
            <w:tcW w:w="4111" w:type="dxa"/>
            <w:shd w:val="clear" w:color="auto" w:fill="auto"/>
          </w:tcPr>
          <w:p w14:paraId="4A45EA7B" w14:textId="590FD2C6" w:rsidR="00222FD2" w:rsidRPr="00222FD2" w:rsidRDefault="00222FD2" w:rsidP="00222FD2">
            <w:pPr>
              <w:jc w:val="both"/>
              <w:rPr>
                <w:rFonts w:cs="Times New Roman"/>
                <w:color w:val="000000" w:themeColor="text1"/>
                <w:sz w:val="22"/>
                <w:szCs w:val="22"/>
              </w:rPr>
            </w:pPr>
            <w:r>
              <w:rPr>
                <w:color w:val="000000" w:themeColor="text1"/>
                <w:sz w:val="22"/>
              </w:rPr>
              <w:t>1. The laws and regulations that are binding in the field of the provision of beauty care services have been revised (Cabinet Regulation No. 268 of 24 March 2009, Regulations Regarding the Competence of Medical Practitioners and Students of First Level or Second Level Professional Higher Medical Education Programmes in Medical Practice and the Scope of Theoretical and Practical Knowledge Thereof, and Cabinet Regulation No. 264 of 23 May 2017, Regulations Regarding the Classification of Professions, Basic Tasks and Basic Qualification Requirements Corresponding to the Profession, etc.).</w:t>
            </w:r>
          </w:p>
          <w:p w14:paraId="1B4FACD8" w14:textId="77777777" w:rsidR="00222FD2" w:rsidRPr="00222FD2" w:rsidRDefault="00222FD2" w:rsidP="00222FD2">
            <w:pPr>
              <w:jc w:val="both"/>
              <w:rPr>
                <w:rFonts w:cs="Times New Roman"/>
                <w:color w:val="000000" w:themeColor="text1"/>
                <w:sz w:val="22"/>
                <w:szCs w:val="22"/>
              </w:rPr>
            </w:pPr>
            <w:r>
              <w:rPr>
                <w:color w:val="000000" w:themeColor="text1"/>
                <w:sz w:val="22"/>
              </w:rPr>
              <w:t>Possibilities to impose stricter administrative liability in the event of repeated offences have been assessed</w:t>
            </w:r>
            <w:bookmarkEnd w:id="52"/>
            <w:r>
              <w:rPr>
                <w:color w:val="000000" w:themeColor="text1"/>
                <w:sz w:val="22"/>
              </w:rPr>
              <w:t>.</w:t>
            </w:r>
          </w:p>
          <w:p w14:paraId="3EC5FCB7" w14:textId="4CC68F01" w:rsidR="00222FD2" w:rsidRPr="00222FD2" w:rsidRDefault="00222FD2" w:rsidP="00222FD2">
            <w:pPr>
              <w:jc w:val="both"/>
              <w:rPr>
                <w:rFonts w:cs="Times New Roman"/>
                <w:color w:val="000000" w:themeColor="text1"/>
                <w:sz w:val="22"/>
                <w:szCs w:val="22"/>
              </w:rPr>
            </w:pPr>
            <w:r>
              <w:rPr>
                <w:color w:val="000000" w:themeColor="text1"/>
                <w:sz w:val="22"/>
              </w:rPr>
              <w:t>2. Laws and regulations have been drafted in accordance with the assessment.</w:t>
            </w:r>
          </w:p>
        </w:tc>
        <w:tc>
          <w:tcPr>
            <w:tcW w:w="2552" w:type="dxa"/>
            <w:shd w:val="clear" w:color="auto" w:fill="auto"/>
          </w:tcPr>
          <w:p w14:paraId="6AF3CD17" w14:textId="7B390E02" w:rsidR="00222FD2" w:rsidRPr="00222FD2" w:rsidRDefault="00222FD2" w:rsidP="00222FD2">
            <w:pPr>
              <w:jc w:val="both"/>
              <w:rPr>
                <w:rFonts w:cs="Times New Roman"/>
                <w:color w:val="000000" w:themeColor="text1"/>
                <w:sz w:val="22"/>
                <w:szCs w:val="22"/>
              </w:rPr>
            </w:pPr>
            <w:r>
              <w:rPr>
                <w:color w:val="000000" w:themeColor="text1"/>
                <w:sz w:val="22"/>
              </w:rPr>
              <w:t>Safe provision of beauty care services by medical practitioners to consumers has been promoted.</w:t>
            </w:r>
          </w:p>
        </w:tc>
        <w:tc>
          <w:tcPr>
            <w:tcW w:w="1417" w:type="dxa"/>
          </w:tcPr>
          <w:p w14:paraId="052BDA71" w14:textId="77777777" w:rsidR="00222FD2" w:rsidRPr="00222FD2" w:rsidRDefault="00222FD2" w:rsidP="00222FD2">
            <w:pPr>
              <w:jc w:val="center"/>
              <w:rPr>
                <w:rFonts w:cs="Times New Roman"/>
                <w:color w:val="000000" w:themeColor="text1"/>
                <w:sz w:val="22"/>
                <w:szCs w:val="22"/>
              </w:rPr>
            </w:pPr>
            <w:r>
              <w:rPr>
                <w:color w:val="000000" w:themeColor="text1"/>
                <w:sz w:val="22"/>
              </w:rPr>
              <w:t>HI,</w:t>
            </w:r>
          </w:p>
          <w:p w14:paraId="260FD1B6" w14:textId="351BC39B" w:rsidR="00222FD2" w:rsidRPr="00222FD2" w:rsidRDefault="00222FD2" w:rsidP="00222FD2">
            <w:pPr>
              <w:jc w:val="center"/>
              <w:rPr>
                <w:rFonts w:cs="Times New Roman"/>
                <w:color w:val="000000" w:themeColor="text1"/>
                <w:sz w:val="22"/>
                <w:szCs w:val="22"/>
              </w:rPr>
            </w:pPr>
            <w:r>
              <w:rPr>
                <w:color w:val="000000" w:themeColor="text1"/>
                <w:sz w:val="22"/>
              </w:rPr>
              <w:t>MoH</w:t>
            </w:r>
          </w:p>
        </w:tc>
        <w:tc>
          <w:tcPr>
            <w:tcW w:w="1418" w:type="dxa"/>
          </w:tcPr>
          <w:p w14:paraId="33097E5C" w14:textId="77777777" w:rsidR="00222FD2" w:rsidRPr="00222FD2" w:rsidRDefault="00222FD2" w:rsidP="00222FD2">
            <w:pPr>
              <w:jc w:val="center"/>
              <w:rPr>
                <w:rFonts w:cs="Times New Roman"/>
                <w:color w:val="000000" w:themeColor="text1"/>
                <w:sz w:val="22"/>
                <w:szCs w:val="22"/>
              </w:rPr>
            </w:pPr>
            <w:r>
              <w:rPr>
                <w:color w:val="000000" w:themeColor="text1"/>
                <w:sz w:val="22"/>
              </w:rPr>
              <w:t xml:space="preserve">MoES, </w:t>
            </w:r>
          </w:p>
          <w:p w14:paraId="53FFCA33" w14:textId="47EC490F" w:rsidR="00222FD2" w:rsidRPr="00222FD2" w:rsidRDefault="00222FD2" w:rsidP="00222FD2">
            <w:pPr>
              <w:jc w:val="center"/>
              <w:rPr>
                <w:rFonts w:cs="Times New Roman"/>
                <w:color w:val="000000" w:themeColor="text1"/>
                <w:sz w:val="22"/>
                <w:szCs w:val="22"/>
              </w:rPr>
            </w:pPr>
            <w:r>
              <w:rPr>
                <w:color w:val="000000" w:themeColor="text1"/>
                <w:sz w:val="22"/>
              </w:rPr>
              <w:t xml:space="preserve">MoW, </w:t>
            </w:r>
          </w:p>
          <w:p w14:paraId="47ECEB63" w14:textId="7302F862" w:rsidR="00222FD2" w:rsidRPr="00222FD2" w:rsidRDefault="00222FD2" w:rsidP="00222FD2">
            <w:pPr>
              <w:jc w:val="center"/>
              <w:rPr>
                <w:rFonts w:cs="Times New Roman"/>
                <w:color w:val="000000" w:themeColor="text1"/>
                <w:sz w:val="22"/>
                <w:szCs w:val="22"/>
              </w:rPr>
            </w:pPr>
            <w:r>
              <w:rPr>
                <w:color w:val="000000" w:themeColor="text1"/>
                <w:sz w:val="22"/>
              </w:rPr>
              <w:t>MoE</w:t>
            </w:r>
          </w:p>
        </w:tc>
        <w:tc>
          <w:tcPr>
            <w:tcW w:w="1417" w:type="dxa"/>
          </w:tcPr>
          <w:p w14:paraId="670F1E9D" w14:textId="143C1B3B" w:rsidR="00222FD2" w:rsidRPr="00222FD2" w:rsidRDefault="00222FD2" w:rsidP="00222FD2">
            <w:pPr>
              <w:jc w:val="right"/>
              <w:rPr>
                <w:rFonts w:cs="Times New Roman"/>
                <w:color w:val="000000" w:themeColor="text1"/>
                <w:sz w:val="22"/>
                <w:szCs w:val="22"/>
              </w:rPr>
            </w:pPr>
            <w:r>
              <w:rPr>
                <w:color w:val="000000" w:themeColor="text1"/>
                <w:sz w:val="22"/>
              </w:rPr>
              <w:t>1. 30.12.2024</w:t>
            </w:r>
          </w:p>
          <w:p w14:paraId="4A164B38" w14:textId="5C659CF0" w:rsidR="00222FD2" w:rsidRPr="00222FD2" w:rsidRDefault="00222FD2" w:rsidP="00222FD2">
            <w:pPr>
              <w:jc w:val="right"/>
              <w:rPr>
                <w:rFonts w:cs="Times New Roman"/>
                <w:color w:val="000000" w:themeColor="text1"/>
                <w:sz w:val="22"/>
                <w:szCs w:val="22"/>
              </w:rPr>
            </w:pPr>
            <w:r>
              <w:rPr>
                <w:color w:val="000000" w:themeColor="text1"/>
                <w:sz w:val="22"/>
              </w:rPr>
              <w:t>2. 30.12.2025</w:t>
            </w:r>
          </w:p>
        </w:tc>
      </w:tr>
      <w:tr w:rsidR="00222FD2" w:rsidRPr="00222FD2" w14:paraId="1AE0D7F2" w14:textId="77777777" w:rsidTr="00E87849">
        <w:trPr>
          <w:trHeight w:val="225"/>
        </w:trPr>
        <w:tc>
          <w:tcPr>
            <w:tcW w:w="753" w:type="dxa"/>
          </w:tcPr>
          <w:p w14:paraId="59E5C9BC" w14:textId="67D02E3B" w:rsidR="00222FD2" w:rsidRPr="00222FD2" w:rsidRDefault="00222FD2" w:rsidP="00222FD2">
            <w:pPr>
              <w:rPr>
                <w:rFonts w:cs="Times New Roman"/>
                <w:color w:val="000000" w:themeColor="text1"/>
                <w:sz w:val="22"/>
                <w:szCs w:val="22"/>
              </w:rPr>
            </w:pPr>
            <w:r>
              <w:rPr>
                <w:color w:val="000000" w:themeColor="text1"/>
                <w:sz w:val="22"/>
              </w:rPr>
              <w:t>4.5.2.</w:t>
            </w:r>
          </w:p>
        </w:tc>
        <w:tc>
          <w:tcPr>
            <w:tcW w:w="3642" w:type="dxa"/>
            <w:shd w:val="clear" w:color="auto" w:fill="auto"/>
          </w:tcPr>
          <w:p w14:paraId="5F7916F9" w14:textId="36B2404C" w:rsidR="00222FD2" w:rsidRPr="00222FD2" w:rsidRDefault="00222FD2" w:rsidP="00222FD2">
            <w:pPr>
              <w:jc w:val="both"/>
              <w:rPr>
                <w:rFonts w:cs="Times New Roman"/>
                <w:color w:val="000000" w:themeColor="text1"/>
                <w:sz w:val="22"/>
                <w:szCs w:val="22"/>
              </w:rPr>
            </w:pPr>
            <w:r>
              <w:rPr>
                <w:color w:val="000000" w:themeColor="text1"/>
                <w:sz w:val="22"/>
              </w:rPr>
              <w:t>Revision of the profession standard for beauty specialists (in cosmetology) and the standard for cosmetologists in accordance with the European Standard for Aesthetic Medicine, eliminating fundamental inconsistencies.</w:t>
            </w:r>
          </w:p>
        </w:tc>
        <w:tc>
          <w:tcPr>
            <w:tcW w:w="4111" w:type="dxa"/>
            <w:shd w:val="clear" w:color="auto" w:fill="auto"/>
          </w:tcPr>
          <w:p w14:paraId="43733AF4" w14:textId="704A938D" w:rsidR="00222FD2" w:rsidRPr="00222FD2" w:rsidRDefault="00222FD2" w:rsidP="00222FD2">
            <w:pPr>
              <w:jc w:val="both"/>
              <w:rPr>
                <w:rFonts w:cs="Times New Roman"/>
                <w:color w:val="000000" w:themeColor="text1"/>
                <w:sz w:val="22"/>
                <w:szCs w:val="22"/>
              </w:rPr>
            </w:pPr>
            <w:r>
              <w:rPr>
                <w:color w:val="000000" w:themeColor="text1"/>
                <w:sz w:val="22"/>
              </w:rPr>
              <w:t xml:space="preserve">The inconsistencies between the profession standard for beauty specialists (in cosmetology) and the profession standard for cosmetologists have been resolved. </w:t>
            </w:r>
          </w:p>
          <w:p w14:paraId="36A97D14" w14:textId="77777777" w:rsidR="00222FD2" w:rsidRPr="00222FD2" w:rsidRDefault="00222FD2" w:rsidP="00222FD2">
            <w:pPr>
              <w:jc w:val="both"/>
              <w:rPr>
                <w:rFonts w:cs="Times New Roman"/>
                <w:strike/>
                <w:color w:val="000000" w:themeColor="text1"/>
                <w:sz w:val="22"/>
                <w:szCs w:val="22"/>
              </w:rPr>
            </w:pPr>
          </w:p>
        </w:tc>
        <w:tc>
          <w:tcPr>
            <w:tcW w:w="2552" w:type="dxa"/>
            <w:shd w:val="clear" w:color="auto" w:fill="auto"/>
          </w:tcPr>
          <w:p w14:paraId="1F304B53" w14:textId="7BC9DC1F" w:rsidR="00222FD2" w:rsidRPr="00222FD2" w:rsidRDefault="00222FD2" w:rsidP="00CE1FC5">
            <w:pPr>
              <w:jc w:val="both"/>
              <w:rPr>
                <w:rFonts w:cs="Times New Roman"/>
                <w:color w:val="000000" w:themeColor="text1"/>
                <w:sz w:val="22"/>
                <w:szCs w:val="22"/>
              </w:rPr>
            </w:pPr>
            <w:r>
              <w:rPr>
                <w:color w:val="000000" w:themeColor="text1"/>
                <w:sz w:val="22"/>
              </w:rPr>
              <w:t xml:space="preserve"> 1. The profession standard for beauty specialists (in cosmetology) has been clarified.</w:t>
            </w:r>
          </w:p>
          <w:p w14:paraId="1AC66793" w14:textId="326044B7" w:rsidR="00222FD2" w:rsidRPr="00222FD2" w:rsidRDefault="00222FD2" w:rsidP="00CE1FC5">
            <w:pPr>
              <w:ind w:left="85" w:hanging="85"/>
              <w:jc w:val="both"/>
              <w:rPr>
                <w:rFonts w:cs="Times New Roman"/>
                <w:color w:val="000000" w:themeColor="text1"/>
                <w:sz w:val="22"/>
                <w:szCs w:val="22"/>
              </w:rPr>
            </w:pPr>
            <w:r>
              <w:rPr>
                <w:color w:val="000000" w:themeColor="text1"/>
                <w:sz w:val="22"/>
              </w:rPr>
              <w:t xml:space="preserve">2. The profession standard for cosmetologists has been clarified. </w:t>
            </w:r>
          </w:p>
        </w:tc>
        <w:tc>
          <w:tcPr>
            <w:tcW w:w="1417" w:type="dxa"/>
          </w:tcPr>
          <w:p w14:paraId="135BFB13" w14:textId="77777777" w:rsidR="00222FD2" w:rsidRPr="00222FD2" w:rsidRDefault="00222FD2" w:rsidP="00222FD2">
            <w:pPr>
              <w:jc w:val="center"/>
              <w:rPr>
                <w:rFonts w:cs="Times New Roman"/>
                <w:color w:val="000000" w:themeColor="text1"/>
                <w:sz w:val="22"/>
                <w:szCs w:val="22"/>
              </w:rPr>
            </w:pPr>
            <w:r>
              <w:rPr>
                <w:color w:val="000000" w:themeColor="text1"/>
                <w:sz w:val="22"/>
              </w:rPr>
              <w:t>MoH</w:t>
            </w:r>
          </w:p>
          <w:p w14:paraId="488043A0" w14:textId="06E4D34B" w:rsidR="00222FD2" w:rsidRPr="00222FD2" w:rsidRDefault="00222FD2" w:rsidP="00222FD2">
            <w:pPr>
              <w:jc w:val="center"/>
              <w:rPr>
                <w:rFonts w:cs="Times New Roman"/>
                <w:color w:val="000000" w:themeColor="text1"/>
                <w:sz w:val="22"/>
                <w:szCs w:val="22"/>
              </w:rPr>
            </w:pPr>
          </w:p>
        </w:tc>
        <w:tc>
          <w:tcPr>
            <w:tcW w:w="1418" w:type="dxa"/>
          </w:tcPr>
          <w:p w14:paraId="7BAF2710" w14:textId="35C977C2" w:rsidR="00222FD2" w:rsidRPr="00222FD2" w:rsidRDefault="00222FD2" w:rsidP="00222FD2">
            <w:pPr>
              <w:jc w:val="center"/>
              <w:rPr>
                <w:rFonts w:cs="Times New Roman"/>
                <w:color w:val="000000" w:themeColor="text1"/>
                <w:sz w:val="22"/>
                <w:szCs w:val="22"/>
              </w:rPr>
            </w:pPr>
            <w:r>
              <w:rPr>
                <w:color w:val="000000" w:themeColor="text1"/>
                <w:sz w:val="22"/>
              </w:rPr>
              <w:t>LKKA, LSSA, LDDK, UPOMPL,</w:t>
            </w:r>
          </w:p>
          <w:p w14:paraId="00833094" w14:textId="77777777" w:rsidR="00222FD2" w:rsidRPr="00222FD2" w:rsidRDefault="00222FD2" w:rsidP="00222FD2">
            <w:pPr>
              <w:jc w:val="center"/>
              <w:rPr>
                <w:rFonts w:cs="Times New Roman"/>
                <w:color w:val="000000" w:themeColor="text1"/>
                <w:sz w:val="22"/>
                <w:szCs w:val="22"/>
              </w:rPr>
            </w:pPr>
            <w:r>
              <w:rPr>
                <w:color w:val="000000" w:themeColor="text1"/>
                <w:sz w:val="22"/>
              </w:rPr>
              <w:t>MoW,</w:t>
            </w:r>
          </w:p>
          <w:p w14:paraId="097A9E22" w14:textId="138AA6DC" w:rsidR="00222FD2" w:rsidRPr="00222FD2" w:rsidRDefault="00222FD2" w:rsidP="00222FD2">
            <w:pPr>
              <w:jc w:val="center"/>
              <w:rPr>
                <w:rFonts w:cs="Times New Roman"/>
                <w:color w:val="000000" w:themeColor="text1"/>
                <w:sz w:val="22"/>
                <w:szCs w:val="22"/>
              </w:rPr>
            </w:pPr>
            <w:r>
              <w:rPr>
                <w:color w:val="000000" w:themeColor="text1"/>
                <w:sz w:val="22"/>
              </w:rPr>
              <w:t xml:space="preserve">MoES (NCE) </w:t>
            </w:r>
          </w:p>
        </w:tc>
        <w:tc>
          <w:tcPr>
            <w:tcW w:w="1417" w:type="dxa"/>
          </w:tcPr>
          <w:p w14:paraId="401121A5" w14:textId="49300BC1" w:rsidR="00222FD2" w:rsidRPr="00222FD2" w:rsidRDefault="00222FD2" w:rsidP="00222FD2">
            <w:pPr>
              <w:jc w:val="right"/>
              <w:rPr>
                <w:rFonts w:cs="Times New Roman"/>
                <w:color w:val="000000" w:themeColor="text1"/>
                <w:sz w:val="22"/>
                <w:szCs w:val="22"/>
              </w:rPr>
            </w:pPr>
            <w:r>
              <w:rPr>
                <w:color w:val="000000" w:themeColor="text1"/>
                <w:sz w:val="22"/>
              </w:rPr>
              <w:t>1. 30.12.2024</w:t>
            </w:r>
          </w:p>
          <w:p w14:paraId="6C447F9F" w14:textId="533FD00A" w:rsidR="00222FD2" w:rsidRPr="00222FD2" w:rsidRDefault="00222FD2" w:rsidP="00222FD2">
            <w:pPr>
              <w:jc w:val="right"/>
              <w:rPr>
                <w:rFonts w:cs="Times New Roman"/>
                <w:color w:val="000000" w:themeColor="text1"/>
                <w:sz w:val="22"/>
                <w:szCs w:val="22"/>
              </w:rPr>
            </w:pPr>
            <w:r>
              <w:rPr>
                <w:color w:val="000000" w:themeColor="text1"/>
                <w:sz w:val="22"/>
              </w:rPr>
              <w:t>2. 30.12.2024</w:t>
            </w:r>
          </w:p>
        </w:tc>
      </w:tr>
      <w:tr w:rsidR="00222FD2" w:rsidRPr="00222FD2" w14:paraId="22D011E9" w14:textId="77777777" w:rsidTr="00E87849">
        <w:trPr>
          <w:trHeight w:val="225"/>
        </w:trPr>
        <w:tc>
          <w:tcPr>
            <w:tcW w:w="753" w:type="dxa"/>
          </w:tcPr>
          <w:p w14:paraId="3EC92905" w14:textId="3174D0EC" w:rsidR="00222FD2" w:rsidRPr="00222FD2" w:rsidRDefault="00222FD2" w:rsidP="00222FD2">
            <w:pPr>
              <w:jc w:val="both"/>
              <w:rPr>
                <w:rFonts w:cs="Times New Roman"/>
                <w:color w:val="000000" w:themeColor="text1"/>
                <w:sz w:val="22"/>
                <w:szCs w:val="22"/>
              </w:rPr>
            </w:pPr>
            <w:r>
              <w:rPr>
                <w:sz w:val="22"/>
              </w:rPr>
              <w:t>4.5.3.</w:t>
            </w:r>
          </w:p>
        </w:tc>
        <w:tc>
          <w:tcPr>
            <w:tcW w:w="3642" w:type="dxa"/>
            <w:shd w:val="clear" w:color="auto" w:fill="auto"/>
          </w:tcPr>
          <w:p w14:paraId="463770F2" w14:textId="77777777" w:rsidR="00222FD2" w:rsidRPr="00222FD2" w:rsidRDefault="00222FD2" w:rsidP="00222FD2">
            <w:pPr>
              <w:jc w:val="both"/>
              <w:rPr>
                <w:rFonts w:cs="Times New Roman"/>
                <w:sz w:val="22"/>
                <w:szCs w:val="22"/>
              </w:rPr>
            </w:pPr>
            <w:r>
              <w:rPr>
                <w:sz w:val="22"/>
              </w:rPr>
              <w:t xml:space="preserve">Restriction of the use of the word ‘clinic’ and other words that may convey the impression of the provision of medical services in the names of companies providing unrelated services. </w:t>
            </w:r>
          </w:p>
        </w:tc>
        <w:tc>
          <w:tcPr>
            <w:tcW w:w="4111" w:type="dxa"/>
            <w:shd w:val="clear" w:color="auto" w:fill="auto"/>
          </w:tcPr>
          <w:p w14:paraId="57F4BC5E" w14:textId="17E8F77C" w:rsidR="00222FD2" w:rsidRPr="00222FD2" w:rsidRDefault="00222FD2" w:rsidP="00222FD2">
            <w:pPr>
              <w:jc w:val="both"/>
              <w:rPr>
                <w:rFonts w:cs="Times New Roman"/>
                <w:sz w:val="22"/>
                <w:szCs w:val="22"/>
              </w:rPr>
            </w:pPr>
            <w:r>
              <w:rPr>
                <w:sz w:val="22"/>
              </w:rPr>
              <w:t xml:space="preserve">Restricted use of the word ‘clinic’ and other words that may convey the impression of the provision of medical services in the names of companies. </w:t>
            </w:r>
          </w:p>
          <w:p w14:paraId="62EB54C9" w14:textId="77777777" w:rsidR="00222FD2" w:rsidRPr="00222FD2" w:rsidRDefault="00222FD2" w:rsidP="00222FD2">
            <w:pPr>
              <w:jc w:val="both"/>
              <w:rPr>
                <w:rFonts w:cs="Times New Roman"/>
                <w:color w:val="000000" w:themeColor="text1"/>
                <w:sz w:val="22"/>
                <w:szCs w:val="22"/>
              </w:rPr>
            </w:pPr>
          </w:p>
        </w:tc>
        <w:tc>
          <w:tcPr>
            <w:tcW w:w="2552" w:type="dxa"/>
            <w:shd w:val="clear" w:color="auto" w:fill="auto"/>
          </w:tcPr>
          <w:p w14:paraId="79209FC6" w14:textId="07C846F9" w:rsidR="00222FD2" w:rsidRPr="00222FD2" w:rsidRDefault="00222FD2" w:rsidP="00222FD2">
            <w:pPr>
              <w:jc w:val="both"/>
              <w:rPr>
                <w:rFonts w:cs="Times New Roman"/>
                <w:color w:val="000000" w:themeColor="text1"/>
                <w:sz w:val="22"/>
                <w:szCs w:val="22"/>
              </w:rPr>
            </w:pPr>
            <w:r>
              <w:rPr>
                <w:color w:val="000000" w:themeColor="text1"/>
                <w:sz w:val="22"/>
              </w:rPr>
              <w:t>The right of consumers to receive objective information about the service provider has been ensured, thereby reducing the risks of misleading choice associated with misleading names of service provision places.</w:t>
            </w:r>
          </w:p>
        </w:tc>
        <w:tc>
          <w:tcPr>
            <w:tcW w:w="1417" w:type="dxa"/>
          </w:tcPr>
          <w:p w14:paraId="739E5953" w14:textId="77777777" w:rsidR="00222FD2" w:rsidRPr="00222FD2" w:rsidRDefault="00222FD2" w:rsidP="00222FD2">
            <w:pPr>
              <w:jc w:val="center"/>
              <w:rPr>
                <w:rFonts w:cs="Times New Roman"/>
                <w:sz w:val="22"/>
                <w:szCs w:val="22"/>
              </w:rPr>
            </w:pPr>
            <w:r>
              <w:rPr>
                <w:sz w:val="22"/>
              </w:rPr>
              <w:t>MoJ</w:t>
            </w:r>
          </w:p>
          <w:p w14:paraId="1CD5C2A9" w14:textId="77777777" w:rsidR="00222FD2" w:rsidRPr="00222FD2" w:rsidRDefault="00222FD2" w:rsidP="00222FD2">
            <w:pPr>
              <w:jc w:val="center"/>
              <w:rPr>
                <w:rFonts w:cs="Times New Roman"/>
                <w:color w:val="000000" w:themeColor="text1"/>
                <w:sz w:val="22"/>
                <w:szCs w:val="22"/>
              </w:rPr>
            </w:pPr>
          </w:p>
        </w:tc>
        <w:tc>
          <w:tcPr>
            <w:tcW w:w="1418" w:type="dxa"/>
          </w:tcPr>
          <w:p w14:paraId="4F998A76" w14:textId="77777777" w:rsidR="00222FD2" w:rsidRPr="00222FD2" w:rsidRDefault="00222FD2" w:rsidP="00222FD2">
            <w:pPr>
              <w:jc w:val="center"/>
              <w:rPr>
                <w:rFonts w:cs="Times New Roman"/>
                <w:sz w:val="22"/>
                <w:szCs w:val="22"/>
              </w:rPr>
            </w:pPr>
            <w:r>
              <w:rPr>
                <w:sz w:val="22"/>
              </w:rPr>
              <w:t>MoH</w:t>
            </w:r>
          </w:p>
          <w:p w14:paraId="5061AC21" w14:textId="77777777" w:rsidR="00222FD2" w:rsidRPr="00222FD2" w:rsidRDefault="00222FD2" w:rsidP="00222FD2">
            <w:pPr>
              <w:jc w:val="center"/>
              <w:rPr>
                <w:rFonts w:cs="Times New Roman"/>
                <w:color w:val="000000" w:themeColor="text1"/>
                <w:sz w:val="22"/>
                <w:szCs w:val="22"/>
              </w:rPr>
            </w:pPr>
          </w:p>
        </w:tc>
        <w:tc>
          <w:tcPr>
            <w:tcW w:w="1417" w:type="dxa"/>
          </w:tcPr>
          <w:p w14:paraId="4E1550F8" w14:textId="77777777" w:rsidR="00222FD2" w:rsidRPr="00222FD2" w:rsidRDefault="00222FD2" w:rsidP="00222FD2">
            <w:pPr>
              <w:jc w:val="right"/>
              <w:rPr>
                <w:rFonts w:cs="Times New Roman"/>
                <w:color w:val="000000" w:themeColor="text1"/>
                <w:sz w:val="22"/>
                <w:szCs w:val="22"/>
              </w:rPr>
            </w:pPr>
            <w:r>
              <w:rPr>
                <w:color w:val="000000" w:themeColor="text1"/>
                <w:sz w:val="22"/>
              </w:rPr>
              <w:t>30.12.2024</w:t>
            </w:r>
          </w:p>
        </w:tc>
      </w:tr>
      <w:tr w:rsidR="00222FD2" w:rsidRPr="00222FD2" w14:paraId="32CF7B7B" w14:textId="77777777" w:rsidTr="003C1C7B">
        <w:trPr>
          <w:trHeight w:val="283"/>
        </w:trPr>
        <w:tc>
          <w:tcPr>
            <w:tcW w:w="11058" w:type="dxa"/>
            <w:gridSpan w:val="4"/>
            <w:shd w:val="clear" w:color="auto" w:fill="FFF2CC" w:themeFill="accent4" w:themeFillTint="33"/>
          </w:tcPr>
          <w:p w14:paraId="595BB796" w14:textId="5F6B0193" w:rsidR="00222FD2" w:rsidRPr="00222FD2" w:rsidRDefault="00222FD2" w:rsidP="00222FD2">
            <w:pPr>
              <w:rPr>
                <w:rFonts w:cs="Times New Roman"/>
                <w:sz w:val="22"/>
                <w:szCs w:val="22"/>
              </w:rPr>
            </w:pPr>
            <w:r>
              <w:rPr>
                <w:sz w:val="22"/>
              </w:rPr>
              <w:t xml:space="preserve">Course of Action 4. Task 6. </w:t>
            </w:r>
            <w:r>
              <w:rPr>
                <w:b/>
                <w:sz w:val="22"/>
              </w:rPr>
              <w:t xml:space="preserve">Strengthening of data </w:t>
            </w:r>
            <w:r>
              <w:rPr>
                <w:b/>
                <w:color w:val="000000" w:themeColor="text1"/>
                <w:sz w:val="22"/>
              </w:rPr>
              <w:t>exchange</w:t>
            </w:r>
            <w:r>
              <w:rPr>
                <w:b/>
                <w:color w:val="FF0000"/>
                <w:sz w:val="22"/>
              </w:rPr>
              <w:t xml:space="preserve"> </w:t>
            </w:r>
            <w:r>
              <w:rPr>
                <w:b/>
                <w:sz w:val="22"/>
              </w:rPr>
              <w:t xml:space="preserve">and analytics in the beauty care sector. </w:t>
            </w:r>
          </w:p>
        </w:tc>
        <w:tc>
          <w:tcPr>
            <w:tcW w:w="4252" w:type="dxa"/>
            <w:gridSpan w:val="3"/>
            <w:shd w:val="clear" w:color="auto" w:fill="FFF2CC" w:themeFill="accent4" w:themeFillTint="33"/>
          </w:tcPr>
          <w:p w14:paraId="234BECFD" w14:textId="494068E6" w:rsidR="00222FD2" w:rsidRPr="00222FD2" w:rsidRDefault="00222FD2" w:rsidP="00222FD2">
            <w:pPr>
              <w:rPr>
                <w:rFonts w:cs="Times New Roman"/>
                <w:sz w:val="22"/>
                <w:szCs w:val="22"/>
              </w:rPr>
            </w:pPr>
            <w:r>
              <w:rPr>
                <w:sz w:val="22"/>
              </w:rPr>
              <w:t>Fiscal benefit: EUR 1 million</w:t>
            </w:r>
          </w:p>
        </w:tc>
      </w:tr>
      <w:tr w:rsidR="00222FD2" w:rsidRPr="00222FD2" w14:paraId="11BC2A5B" w14:textId="77777777" w:rsidTr="00E87849">
        <w:trPr>
          <w:trHeight w:val="213"/>
        </w:trPr>
        <w:tc>
          <w:tcPr>
            <w:tcW w:w="753" w:type="dxa"/>
          </w:tcPr>
          <w:p w14:paraId="6EA306DA" w14:textId="64DAE52B" w:rsidR="00222FD2" w:rsidRPr="00222FD2" w:rsidRDefault="00222FD2" w:rsidP="00222FD2">
            <w:pPr>
              <w:jc w:val="both"/>
              <w:rPr>
                <w:rFonts w:cs="Times New Roman"/>
                <w:b/>
                <w:color w:val="000000" w:themeColor="text1"/>
                <w:sz w:val="22"/>
                <w:szCs w:val="22"/>
              </w:rPr>
            </w:pPr>
            <w:r>
              <w:rPr>
                <w:color w:val="000000" w:themeColor="text1"/>
                <w:sz w:val="22"/>
              </w:rPr>
              <w:t>4.6.1.</w:t>
            </w:r>
          </w:p>
        </w:tc>
        <w:tc>
          <w:tcPr>
            <w:tcW w:w="3642" w:type="dxa"/>
            <w:shd w:val="clear" w:color="auto" w:fill="auto"/>
          </w:tcPr>
          <w:p w14:paraId="7F4ADECA" w14:textId="77777777" w:rsidR="00222FD2" w:rsidRPr="00222FD2" w:rsidRDefault="00222FD2" w:rsidP="00222FD2">
            <w:pPr>
              <w:jc w:val="both"/>
              <w:rPr>
                <w:rFonts w:cs="Times New Roman"/>
                <w:color w:val="000000" w:themeColor="text1"/>
                <w:sz w:val="22"/>
                <w:szCs w:val="22"/>
              </w:rPr>
            </w:pPr>
            <w:r>
              <w:rPr>
                <w:color w:val="000000" w:themeColor="text1"/>
                <w:sz w:val="22"/>
              </w:rPr>
              <w:t xml:space="preserve">Registration of cosmetologists and beauty specialists (in cosmetology) </w:t>
            </w:r>
          </w:p>
          <w:p w14:paraId="7651E67D" w14:textId="77777777" w:rsidR="00222FD2" w:rsidRPr="00222FD2" w:rsidRDefault="00222FD2" w:rsidP="00222FD2">
            <w:pPr>
              <w:jc w:val="both"/>
              <w:rPr>
                <w:rFonts w:cs="Times New Roman"/>
                <w:color w:val="000000" w:themeColor="text1"/>
                <w:sz w:val="22"/>
                <w:szCs w:val="22"/>
              </w:rPr>
            </w:pPr>
            <w:r>
              <w:rPr>
                <w:color w:val="000000" w:themeColor="text1"/>
                <w:sz w:val="22"/>
              </w:rPr>
              <w:t>in the SRS database and linking to the Single Register of Health Professionals.</w:t>
            </w:r>
          </w:p>
        </w:tc>
        <w:tc>
          <w:tcPr>
            <w:tcW w:w="4111" w:type="dxa"/>
            <w:shd w:val="clear" w:color="auto" w:fill="auto"/>
          </w:tcPr>
          <w:p w14:paraId="2C44AE22" w14:textId="77777777" w:rsidR="00222FD2" w:rsidRPr="00222FD2" w:rsidRDefault="00222FD2" w:rsidP="004C2DAE">
            <w:pPr>
              <w:jc w:val="both"/>
              <w:rPr>
                <w:rFonts w:cs="Times New Roman"/>
                <w:color w:val="000000" w:themeColor="text1"/>
                <w:sz w:val="22"/>
                <w:szCs w:val="22"/>
              </w:rPr>
            </w:pPr>
            <w:r>
              <w:rPr>
                <w:color w:val="000000" w:themeColor="text1"/>
                <w:sz w:val="22"/>
              </w:rPr>
              <w:t xml:space="preserve">Cosmetologists and beauty specialists (in cosmetology) employed in the beauty care sector are included in the SRS database which will be linked to the new Single Register of Health Professionals. </w:t>
            </w:r>
          </w:p>
          <w:p w14:paraId="1BCE5034" w14:textId="407A654F" w:rsidR="00222FD2" w:rsidRPr="00222FD2" w:rsidRDefault="00222FD2" w:rsidP="004C2DAE">
            <w:pPr>
              <w:ind w:firstLine="92"/>
              <w:jc w:val="both"/>
              <w:rPr>
                <w:rFonts w:cs="Times New Roman"/>
                <w:color w:val="000000" w:themeColor="text1"/>
                <w:spacing w:val="-2"/>
                <w:sz w:val="22"/>
                <w:szCs w:val="22"/>
              </w:rPr>
            </w:pPr>
            <w:r>
              <w:rPr>
                <w:color w:val="000000" w:themeColor="text1"/>
                <w:sz w:val="22"/>
              </w:rPr>
              <w:t>1. The possibility making amendments to the following laws and regulations has been assessed:</w:t>
            </w:r>
          </w:p>
          <w:p w14:paraId="54E78B12" w14:textId="33FB754B" w:rsidR="00222FD2" w:rsidRPr="00222FD2" w:rsidRDefault="00222FD2" w:rsidP="004C2DAE">
            <w:pPr>
              <w:jc w:val="both"/>
              <w:rPr>
                <w:rFonts w:cs="Times New Roman"/>
                <w:color w:val="000000" w:themeColor="text1"/>
                <w:spacing w:val="-2"/>
                <w:sz w:val="22"/>
                <w:szCs w:val="22"/>
              </w:rPr>
            </w:pPr>
            <w:r>
              <w:rPr>
                <w:color w:val="000000" w:themeColor="text1"/>
                <w:sz w:val="22"/>
              </w:rPr>
              <w:t>1.1. Cabinet Regulation No. 693 of 8 December 2015, Procedures by which the Beauty Treatment and Tattooing Service Providers shall Inform about the Commencement of the Economic Activity;</w:t>
            </w:r>
          </w:p>
          <w:p w14:paraId="51CF0383" w14:textId="06A3AE33" w:rsidR="00222FD2" w:rsidRPr="00222FD2" w:rsidRDefault="00222FD2" w:rsidP="004C2DAE">
            <w:pPr>
              <w:jc w:val="both"/>
              <w:rPr>
                <w:rFonts w:cs="Times New Roman"/>
                <w:color w:val="000000" w:themeColor="text1"/>
                <w:spacing w:val="-2"/>
                <w:sz w:val="22"/>
                <w:szCs w:val="22"/>
              </w:rPr>
            </w:pPr>
            <w:r>
              <w:rPr>
                <w:color w:val="000000" w:themeColor="text1"/>
                <w:sz w:val="22"/>
              </w:rPr>
              <w:t>1.2. Cabinet Regulation No. 317 of 24 May 2016, Procedures for Establishing, Updating and Maintaining the Register of Medical Practitioners and Medical Treatment Support Personnel.</w:t>
            </w:r>
          </w:p>
          <w:p w14:paraId="1F4D0308" w14:textId="7FFE1DB4" w:rsidR="00222FD2" w:rsidRPr="00222FD2" w:rsidRDefault="00222FD2" w:rsidP="004C2DAE">
            <w:pPr>
              <w:ind w:firstLine="92"/>
              <w:jc w:val="both"/>
              <w:rPr>
                <w:rFonts w:cs="Times New Roman"/>
                <w:color w:val="000000" w:themeColor="text1"/>
                <w:spacing w:val="-2"/>
                <w:sz w:val="22"/>
                <w:szCs w:val="22"/>
              </w:rPr>
            </w:pPr>
            <w:r>
              <w:rPr>
                <w:color w:val="000000" w:themeColor="text1"/>
                <w:sz w:val="22"/>
              </w:rPr>
              <w:t>2. Changes have been made to the SRS information system and data has been exchanged with the Single Register of Health Professionals on cosmetologists and beauty specialists (in cosmetology) employed in the beauty care sector.</w:t>
            </w:r>
          </w:p>
        </w:tc>
        <w:tc>
          <w:tcPr>
            <w:tcW w:w="2552" w:type="dxa"/>
            <w:shd w:val="clear" w:color="auto" w:fill="auto"/>
          </w:tcPr>
          <w:p w14:paraId="4BBF869B" w14:textId="6D6F962A" w:rsidR="00222FD2" w:rsidRPr="00222FD2" w:rsidRDefault="00222FD2" w:rsidP="00222FD2">
            <w:pPr>
              <w:jc w:val="both"/>
              <w:rPr>
                <w:rFonts w:cs="Times New Roman"/>
                <w:color w:val="000000" w:themeColor="text1"/>
                <w:spacing w:val="-2"/>
                <w:sz w:val="22"/>
                <w:szCs w:val="22"/>
              </w:rPr>
            </w:pPr>
            <w:r>
              <w:rPr>
                <w:color w:val="000000" w:themeColor="text1"/>
                <w:sz w:val="22"/>
              </w:rPr>
              <w:t>The number of unregistered economic operators is decreasing.</w:t>
            </w:r>
          </w:p>
          <w:p w14:paraId="7AACDEFF" w14:textId="548D5ED4" w:rsidR="00222FD2" w:rsidRPr="00222FD2" w:rsidRDefault="00222FD2" w:rsidP="00222FD2">
            <w:pPr>
              <w:jc w:val="both"/>
              <w:rPr>
                <w:rFonts w:cs="Times New Roman"/>
                <w:b/>
                <w:color w:val="000000" w:themeColor="text1"/>
                <w:spacing w:val="-2"/>
                <w:sz w:val="22"/>
                <w:szCs w:val="22"/>
              </w:rPr>
            </w:pPr>
          </w:p>
        </w:tc>
        <w:tc>
          <w:tcPr>
            <w:tcW w:w="1417" w:type="dxa"/>
          </w:tcPr>
          <w:p w14:paraId="54F3E096" w14:textId="77777777" w:rsidR="00222FD2" w:rsidRPr="00222FD2" w:rsidRDefault="00222FD2" w:rsidP="00222FD2">
            <w:pPr>
              <w:jc w:val="center"/>
              <w:rPr>
                <w:rFonts w:cs="Times New Roman"/>
                <w:color w:val="000000" w:themeColor="text1"/>
                <w:sz w:val="22"/>
                <w:szCs w:val="22"/>
              </w:rPr>
            </w:pPr>
            <w:r>
              <w:rPr>
                <w:color w:val="000000" w:themeColor="text1"/>
                <w:sz w:val="22"/>
              </w:rPr>
              <w:t>1. HI, MoH</w:t>
            </w:r>
          </w:p>
          <w:p w14:paraId="2AFBAF63" w14:textId="77777777" w:rsidR="00222FD2" w:rsidRPr="00222FD2" w:rsidRDefault="00222FD2" w:rsidP="00222FD2">
            <w:pPr>
              <w:jc w:val="center"/>
              <w:rPr>
                <w:rFonts w:cs="Times New Roman"/>
                <w:color w:val="000000" w:themeColor="text1"/>
                <w:sz w:val="22"/>
                <w:szCs w:val="22"/>
              </w:rPr>
            </w:pPr>
            <w:r>
              <w:rPr>
                <w:color w:val="000000" w:themeColor="text1"/>
                <w:sz w:val="22"/>
              </w:rPr>
              <w:t>2. HI, SRS</w:t>
            </w:r>
          </w:p>
          <w:p w14:paraId="14843B17" w14:textId="77777777" w:rsidR="00222FD2" w:rsidRPr="00222FD2" w:rsidRDefault="00222FD2" w:rsidP="00222FD2">
            <w:pPr>
              <w:jc w:val="center"/>
              <w:rPr>
                <w:rFonts w:cs="Times New Roman"/>
                <w:b/>
                <w:color w:val="000000" w:themeColor="text1"/>
                <w:sz w:val="22"/>
                <w:szCs w:val="22"/>
              </w:rPr>
            </w:pPr>
          </w:p>
        </w:tc>
        <w:tc>
          <w:tcPr>
            <w:tcW w:w="1418" w:type="dxa"/>
          </w:tcPr>
          <w:p w14:paraId="2FDB97D4" w14:textId="77777777" w:rsidR="00222FD2" w:rsidRPr="00222FD2" w:rsidRDefault="00222FD2" w:rsidP="00222FD2">
            <w:pPr>
              <w:jc w:val="center"/>
              <w:rPr>
                <w:rFonts w:cs="Times New Roman"/>
                <w:color w:val="000000" w:themeColor="text1"/>
                <w:sz w:val="22"/>
                <w:szCs w:val="22"/>
              </w:rPr>
            </w:pPr>
            <w:r>
              <w:rPr>
                <w:color w:val="000000" w:themeColor="text1"/>
                <w:sz w:val="22"/>
              </w:rPr>
              <w:t>1. MoE</w:t>
            </w:r>
          </w:p>
          <w:p w14:paraId="165C7BE1" w14:textId="77777777" w:rsidR="00222FD2" w:rsidRPr="00222FD2" w:rsidRDefault="00222FD2" w:rsidP="00222FD2">
            <w:pPr>
              <w:jc w:val="center"/>
              <w:rPr>
                <w:rFonts w:cs="Times New Roman"/>
                <w:b/>
                <w:color w:val="000000" w:themeColor="text1"/>
                <w:sz w:val="22"/>
                <w:szCs w:val="22"/>
              </w:rPr>
            </w:pPr>
          </w:p>
        </w:tc>
        <w:tc>
          <w:tcPr>
            <w:tcW w:w="1417" w:type="dxa"/>
          </w:tcPr>
          <w:p w14:paraId="750934BC" w14:textId="77777777" w:rsidR="00222FD2" w:rsidRPr="00222FD2" w:rsidRDefault="00222FD2" w:rsidP="00222FD2">
            <w:pPr>
              <w:jc w:val="right"/>
              <w:rPr>
                <w:rFonts w:cs="Times New Roman"/>
                <w:color w:val="000000" w:themeColor="text1"/>
                <w:sz w:val="22"/>
                <w:szCs w:val="22"/>
              </w:rPr>
            </w:pPr>
            <w:r>
              <w:rPr>
                <w:color w:val="000000" w:themeColor="text1"/>
                <w:sz w:val="22"/>
              </w:rPr>
              <w:t>1. 30.12.2025</w:t>
            </w:r>
          </w:p>
          <w:p w14:paraId="7D3913DE" w14:textId="77777777" w:rsidR="00222FD2" w:rsidRPr="00222FD2" w:rsidRDefault="00222FD2" w:rsidP="00222FD2">
            <w:pPr>
              <w:jc w:val="right"/>
              <w:rPr>
                <w:rFonts w:cs="Times New Roman"/>
                <w:b/>
                <w:color w:val="000000" w:themeColor="text1"/>
                <w:sz w:val="22"/>
                <w:szCs w:val="22"/>
              </w:rPr>
            </w:pPr>
            <w:r>
              <w:rPr>
                <w:color w:val="000000" w:themeColor="text1"/>
                <w:sz w:val="22"/>
              </w:rPr>
              <w:t>2. 30.12.2027</w:t>
            </w:r>
          </w:p>
        </w:tc>
      </w:tr>
      <w:tr w:rsidR="00222FD2" w:rsidRPr="00222FD2" w14:paraId="255427A3" w14:textId="77777777" w:rsidTr="003C1C7B">
        <w:trPr>
          <w:trHeight w:val="397"/>
        </w:trPr>
        <w:tc>
          <w:tcPr>
            <w:tcW w:w="11058" w:type="dxa"/>
            <w:gridSpan w:val="4"/>
            <w:shd w:val="clear" w:color="auto" w:fill="A8D08D" w:themeFill="accent6" w:themeFillTint="99"/>
            <w:vAlign w:val="center"/>
          </w:tcPr>
          <w:p w14:paraId="731213AF" w14:textId="7D7F592F" w:rsidR="00222FD2" w:rsidRPr="00222FD2" w:rsidRDefault="00222FD2" w:rsidP="00222FD2">
            <w:pPr>
              <w:rPr>
                <w:rFonts w:cs="Times New Roman"/>
                <w:color w:val="000000" w:themeColor="text1"/>
                <w:sz w:val="22"/>
                <w:szCs w:val="22"/>
              </w:rPr>
            </w:pPr>
            <w:r>
              <w:rPr>
                <w:color w:val="000000" w:themeColor="text1"/>
                <w:sz w:val="22"/>
              </w:rPr>
              <w:t xml:space="preserve">Course of Action 5 – </w:t>
            </w:r>
            <w:r>
              <w:rPr>
                <w:b/>
                <w:bCs/>
                <w:color w:val="000000" w:themeColor="text1"/>
                <w:sz w:val="22"/>
              </w:rPr>
              <w:t>Other measures to improve business competitiveness.</w:t>
            </w:r>
            <w:r>
              <w:rPr>
                <w:color w:val="000000" w:themeColor="text1"/>
                <w:sz w:val="22"/>
              </w:rPr>
              <w:t xml:space="preserve"> </w:t>
            </w:r>
          </w:p>
        </w:tc>
        <w:tc>
          <w:tcPr>
            <w:tcW w:w="4252" w:type="dxa"/>
            <w:gridSpan w:val="3"/>
            <w:shd w:val="clear" w:color="auto" w:fill="A8D08D" w:themeFill="accent6" w:themeFillTint="99"/>
            <w:vAlign w:val="center"/>
          </w:tcPr>
          <w:p w14:paraId="37B4920F" w14:textId="7DDD2EDA" w:rsidR="00222FD2" w:rsidRPr="00222FD2" w:rsidRDefault="00222FD2" w:rsidP="00222FD2">
            <w:pPr>
              <w:rPr>
                <w:rFonts w:cs="Times New Roman"/>
                <w:color w:val="000000" w:themeColor="text1"/>
                <w:sz w:val="22"/>
                <w:szCs w:val="22"/>
              </w:rPr>
            </w:pPr>
            <w:r>
              <w:rPr>
                <w:b/>
                <w:color w:val="000000" w:themeColor="text1"/>
                <w:sz w:val="22"/>
              </w:rPr>
              <w:t>Fiscal impact:</w:t>
            </w:r>
            <w:r>
              <w:rPr>
                <w:b/>
                <w:color w:val="0070C0"/>
                <w:sz w:val="22"/>
              </w:rPr>
              <w:t xml:space="preserve"> </w:t>
            </w:r>
            <w:r>
              <w:rPr>
                <w:b/>
                <w:color w:val="000000" w:themeColor="text1"/>
                <w:sz w:val="22"/>
              </w:rPr>
              <w:t>EUR 41 million</w:t>
            </w:r>
          </w:p>
        </w:tc>
      </w:tr>
      <w:tr w:rsidR="00222FD2" w:rsidRPr="00222FD2" w14:paraId="051BE1A3" w14:textId="77777777" w:rsidTr="003C1C7B">
        <w:trPr>
          <w:trHeight w:val="283"/>
        </w:trPr>
        <w:tc>
          <w:tcPr>
            <w:tcW w:w="11058" w:type="dxa"/>
            <w:gridSpan w:val="4"/>
            <w:shd w:val="clear" w:color="auto" w:fill="FFF2CC" w:themeFill="accent4" w:themeFillTint="33"/>
          </w:tcPr>
          <w:p w14:paraId="0AC7DCCF" w14:textId="1EF9F38F" w:rsidR="00222FD2" w:rsidRPr="00222FD2" w:rsidRDefault="00222FD2" w:rsidP="00222FD2">
            <w:pPr>
              <w:rPr>
                <w:rFonts w:cs="Times New Roman"/>
                <w:bCs/>
                <w:sz w:val="22"/>
                <w:szCs w:val="22"/>
              </w:rPr>
            </w:pPr>
            <w:bookmarkStart w:id="53" w:name="_Hlk150428812"/>
            <w:r>
              <w:rPr>
                <w:sz w:val="22"/>
              </w:rPr>
              <w:t xml:space="preserve">Course of Action 5. Task 1. </w:t>
            </w:r>
            <w:r>
              <w:rPr>
                <w:b/>
                <w:sz w:val="22"/>
              </w:rPr>
              <w:t xml:space="preserve">Reduction of the number of companies with long-term negative equity. </w:t>
            </w:r>
          </w:p>
        </w:tc>
        <w:tc>
          <w:tcPr>
            <w:tcW w:w="4252" w:type="dxa"/>
            <w:gridSpan w:val="3"/>
            <w:shd w:val="clear" w:color="auto" w:fill="FFF2CC" w:themeFill="accent4" w:themeFillTint="33"/>
          </w:tcPr>
          <w:p w14:paraId="2881580E" w14:textId="25A7FEDF" w:rsidR="00222FD2" w:rsidRPr="00222FD2" w:rsidRDefault="00222FD2" w:rsidP="00222FD2">
            <w:pPr>
              <w:rPr>
                <w:rFonts w:cs="Times New Roman"/>
                <w:bCs/>
                <w:sz w:val="22"/>
                <w:szCs w:val="22"/>
              </w:rPr>
            </w:pPr>
            <w:r>
              <w:rPr>
                <w:sz w:val="22"/>
              </w:rPr>
              <w:t>Fiscal benefit: EUR 8 million</w:t>
            </w:r>
          </w:p>
        </w:tc>
      </w:tr>
      <w:tr w:rsidR="00E87849" w:rsidRPr="00222FD2" w14:paraId="70B4B785" w14:textId="77777777" w:rsidTr="00E87849">
        <w:trPr>
          <w:trHeight w:val="496"/>
        </w:trPr>
        <w:tc>
          <w:tcPr>
            <w:tcW w:w="753" w:type="dxa"/>
            <w:shd w:val="clear" w:color="auto" w:fill="auto"/>
          </w:tcPr>
          <w:p w14:paraId="19ABE7CF" w14:textId="77777777" w:rsidR="00222FD2" w:rsidRPr="00222FD2" w:rsidRDefault="00222FD2" w:rsidP="00222FD2">
            <w:pPr>
              <w:ind w:right="-23"/>
              <w:rPr>
                <w:rFonts w:cs="Times New Roman"/>
                <w:bCs/>
                <w:sz w:val="22"/>
                <w:szCs w:val="22"/>
              </w:rPr>
            </w:pPr>
            <w:r>
              <w:rPr>
                <w:sz w:val="22"/>
              </w:rPr>
              <w:t>5.1.1.</w:t>
            </w:r>
          </w:p>
        </w:tc>
        <w:tc>
          <w:tcPr>
            <w:tcW w:w="3642" w:type="dxa"/>
            <w:shd w:val="clear" w:color="auto" w:fill="auto"/>
          </w:tcPr>
          <w:p w14:paraId="72E8AF83" w14:textId="09C838F7" w:rsidR="00222FD2" w:rsidRPr="00222FD2" w:rsidRDefault="00222FD2" w:rsidP="00222FD2">
            <w:pPr>
              <w:jc w:val="both"/>
              <w:rPr>
                <w:rFonts w:cs="Times New Roman"/>
                <w:bCs/>
                <w:sz w:val="22"/>
                <w:szCs w:val="22"/>
              </w:rPr>
            </w:pPr>
            <w:r>
              <w:rPr>
                <w:sz w:val="22"/>
              </w:rPr>
              <w:t>Contribution to the reduction of the number of companies with long-term negative equity.</w:t>
            </w:r>
          </w:p>
        </w:tc>
        <w:tc>
          <w:tcPr>
            <w:tcW w:w="4111" w:type="dxa"/>
            <w:shd w:val="clear" w:color="auto" w:fill="auto"/>
          </w:tcPr>
          <w:p w14:paraId="63A22116" w14:textId="496F5C15" w:rsidR="00222FD2" w:rsidRPr="00222FD2" w:rsidRDefault="00222FD2" w:rsidP="00222FD2">
            <w:pPr>
              <w:jc w:val="both"/>
              <w:rPr>
                <w:rFonts w:cs="Times New Roman"/>
                <w:bCs/>
                <w:sz w:val="22"/>
                <w:szCs w:val="22"/>
              </w:rPr>
            </w:pPr>
            <w:r>
              <w:rPr>
                <w:sz w:val="22"/>
              </w:rPr>
              <w:t>Based on international experience, a framework has been developed to encourage the reduction of the number of companies with long-term negative equity (e.g. the experience of Lithuania</w:t>
            </w:r>
            <w:r w:rsidRPr="00222FD2">
              <w:rPr>
                <w:rStyle w:val="FootnoteReference"/>
                <w:rFonts w:cs="Times New Roman"/>
                <w:bCs/>
                <w:sz w:val="22"/>
                <w:szCs w:val="22"/>
              </w:rPr>
              <w:footnoteReference w:id="36"/>
            </w:r>
            <w:r>
              <w:rPr>
                <w:sz w:val="22"/>
              </w:rPr>
              <w:t xml:space="preserve"> or Estonia</w:t>
            </w:r>
            <w:r w:rsidRPr="00222FD2">
              <w:rPr>
                <w:rStyle w:val="FootnoteReference"/>
                <w:rFonts w:cs="Times New Roman"/>
                <w:bCs/>
                <w:sz w:val="22"/>
                <w:szCs w:val="22"/>
              </w:rPr>
              <w:footnoteReference w:id="37"/>
            </w:r>
            <w:r>
              <w:rPr>
                <w:sz w:val="22"/>
              </w:rPr>
              <w:t xml:space="preserve"> could be used, mandatory convening of a board meeting, carrying out an assessment of the situation). </w:t>
            </w:r>
          </w:p>
        </w:tc>
        <w:tc>
          <w:tcPr>
            <w:tcW w:w="2552" w:type="dxa"/>
            <w:shd w:val="clear" w:color="auto" w:fill="auto"/>
          </w:tcPr>
          <w:p w14:paraId="5DDC236E" w14:textId="12314E7F" w:rsidR="00222FD2" w:rsidRPr="00222FD2" w:rsidRDefault="00222FD2" w:rsidP="00222FD2">
            <w:pPr>
              <w:jc w:val="both"/>
              <w:rPr>
                <w:rFonts w:cs="Times New Roman"/>
                <w:bCs/>
                <w:sz w:val="22"/>
                <w:szCs w:val="22"/>
              </w:rPr>
            </w:pPr>
            <w:r>
              <w:rPr>
                <w:sz w:val="22"/>
              </w:rPr>
              <w:t>Reduced number of companies with long-term negative equity.</w:t>
            </w:r>
          </w:p>
        </w:tc>
        <w:tc>
          <w:tcPr>
            <w:tcW w:w="1417" w:type="dxa"/>
            <w:shd w:val="clear" w:color="auto" w:fill="auto"/>
          </w:tcPr>
          <w:p w14:paraId="61481604" w14:textId="77777777" w:rsidR="00222FD2" w:rsidRPr="00222FD2" w:rsidRDefault="00222FD2" w:rsidP="00222FD2">
            <w:pPr>
              <w:jc w:val="center"/>
              <w:rPr>
                <w:rFonts w:cs="Times New Roman"/>
                <w:bCs/>
                <w:sz w:val="22"/>
                <w:szCs w:val="22"/>
              </w:rPr>
            </w:pPr>
            <w:r>
              <w:rPr>
                <w:sz w:val="22"/>
              </w:rPr>
              <w:t>MoJ</w:t>
            </w:r>
          </w:p>
        </w:tc>
        <w:tc>
          <w:tcPr>
            <w:tcW w:w="1418" w:type="dxa"/>
            <w:shd w:val="clear" w:color="auto" w:fill="auto"/>
          </w:tcPr>
          <w:p w14:paraId="5DE2301D" w14:textId="18588DF6" w:rsidR="00222FD2" w:rsidRPr="00222FD2" w:rsidRDefault="00222FD2" w:rsidP="00222FD2">
            <w:pPr>
              <w:jc w:val="center"/>
              <w:rPr>
                <w:rFonts w:cs="Times New Roman"/>
                <w:bCs/>
                <w:sz w:val="22"/>
                <w:szCs w:val="22"/>
              </w:rPr>
            </w:pPr>
            <w:r>
              <w:rPr>
                <w:sz w:val="22"/>
              </w:rPr>
              <w:t>MoF,</w:t>
            </w:r>
          </w:p>
          <w:p w14:paraId="495CC06C" w14:textId="63462E8E" w:rsidR="00222FD2" w:rsidRPr="00222FD2" w:rsidRDefault="00222FD2" w:rsidP="00222FD2">
            <w:pPr>
              <w:jc w:val="center"/>
              <w:rPr>
                <w:rFonts w:cs="Times New Roman"/>
                <w:bCs/>
                <w:sz w:val="22"/>
                <w:szCs w:val="22"/>
              </w:rPr>
            </w:pPr>
            <w:r>
              <w:rPr>
                <w:sz w:val="22"/>
              </w:rPr>
              <w:t>SRS</w:t>
            </w:r>
          </w:p>
          <w:p w14:paraId="72A1D361" w14:textId="77777777" w:rsidR="00222FD2" w:rsidRPr="00222FD2" w:rsidRDefault="00222FD2" w:rsidP="00222FD2">
            <w:pPr>
              <w:jc w:val="center"/>
              <w:rPr>
                <w:rFonts w:cs="Times New Roman"/>
                <w:bCs/>
                <w:sz w:val="22"/>
                <w:szCs w:val="22"/>
              </w:rPr>
            </w:pPr>
          </w:p>
        </w:tc>
        <w:tc>
          <w:tcPr>
            <w:tcW w:w="1417" w:type="dxa"/>
            <w:shd w:val="clear" w:color="auto" w:fill="auto"/>
          </w:tcPr>
          <w:p w14:paraId="45372C8B" w14:textId="77777777" w:rsidR="00222FD2" w:rsidRPr="00222FD2" w:rsidRDefault="00222FD2" w:rsidP="00222FD2">
            <w:pPr>
              <w:jc w:val="right"/>
              <w:rPr>
                <w:rFonts w:cs="Times New Roman"/>
                <w:bCs/>
                <w:sz w:val="22"/>
                <w:szCs w:val="22"/>
              </w:rPr>
            </w:pPr>
            <w:r>
              <w:rPr>
                <w:sz w:val="22"/>
              </w:rPr>
              <w:t>30.12.2025</w:t>
            </w:r>
          </w:p>
        </w:tc>
      </w:tr>
      <w:tr w:rsidR="00222FD2" w:rsidRPr="00222FD2" w14:paraId="174FF13D" w14:textId="77777777" w:rsidTr="00E87849">
        <w:trPr>
          <w:trHeight w:val="354"/>
        </w:trPr>
        <w:tc>
          <w:tcPr>
            <w:tcW w:w="753" w:type="dxa"/>
            <w:shd w:val="clear" w:color="auto" w:fill="auto"/>
          </w:tcPr>
          <w:p w14:paraId="5FF16027" w14:textId="77777777" w:rsidR="00222FD2" w:rsidRPr="00222FD2" w:rsidRDefault="00222FD2" w:rsidP="00222FD2">
            <w:pPr>
              <w:ind w:right="-21"/>
              <w:rPr>
                <w:rFonts w:cs="Times New Roman"/>
                <w:bCs/>
                <w:sz w:val="22"/>
                <w:szCs w:val="22"/>
              </w:rPr>
            </w:pPr>
            <w:bookmarkStart w:id="54" w:name="_Hlk150428526"/>
            <w:r>
              <w:rPr>
                <w:sz w:val="22"/>
              </w:rPr>
              <w:t>5.1.2.</w:t>
            </w:r>
          </w:p>
        </w:tc>
        <w:tc>
          <w:tcPr>
            <w:tcW w:w="3642" w:type="dxa"/>
            <w:shd w:val="clear" w:color="auto" w:fill="auto"/>
          </w:tcPr>
          <w:p w14:paraId="4A02954E" w14:textId="16003FCD" w:rsidR="00222FD2" w:rsidRPr="00222FD2" w:rsidRDefault="00222FD2" w:rsidP="00222FD2">
            <w:pPr>
              <w:jc w:val="both"/>
              <w:rPr>
                <w:rFonts w:cs="Times New Roman"/>
                <w:bCs/>
                <w:sz w:val="22"/>
                <w:szCs w:val="22"/>
              </w:rPr>
            </w:pPr>
            <w:r>
              <w:rPr>
                <w:sz w:val="22"/>
              </w:rPr>
              <w:t>Improvement of simplified winding-up proceedings.</w:t>
            </w:r>
          </w:p>
        </w:tc>
        <w:tc>
          <w:tcPr>
            <w:tcW w:w="4111" w:type="dxa"/>
            <w:shd w:val="clear" w:color="auto" w:fill="auto"/>
          </w:tcPr>
          <w:p w14:paraId="6026A2B5" w14:textId="77629171" w:rsidR="00222FD2" w:rsidRPr="00222FD2" w:rsidRDefault="00222FD2" w:rsidP="00222FD2">
            <w:pPr>
              <w:jc w:val="both"/>
              <w:rPr>
                <w:rFonts w:cs="Times New Roman"/>
                <w:bCs/>
                <w:sz w:val="22"/>
                <w:szCs w:val="22"/>
              </w:rPr>
            </w:pPr>
            <w:r>
              <w:rPr>
                <w:sz w:val="22"/>
              </w:rPr>
              <w:t>The possibility of and, where necessary, amendments to the regulatory framework to improve and speed up the process of simplified winding-up proceedings have been assessed.</w:t>
            </w:r>
          </w:p>
        </w:tc>
        <w:tc>
          <w:tcPr>
            <w:tcW w:w="2552" w:type="dxa"/>
            <w:shd w:val="clear" w:color="auto" w:fill="auto"/>
          </w:tcPr>
          <w:p w14:paraId="453CDDA2" w14:textId="555B344A" w:rsidR="00222FD2" w:rsidRPr="00222FD2" w:rsidRDefault="00222FD2" w:rsidP="00222FD2">
            <w:pPr>
              <w:jc w:val="both"/>
              <w:rPr>
                <w:rFonts w:cs="Times New Roman"/>
                <w:bCs/>
                <w:sz w:val="22"/>
                <w:szCs w:val="22"/>
              </w:rPr>
            </w:pPr>
            <w:r>
              <w:rPr>
                <w:sz w:val="22"/>
              </w:rPr>
              <w:t>Reduced number of companies with long-term negative equity.</w:t>
            </w:r>
          </w:p>
        </w:tc>
        <w:tc>
          <w:tcPr>
            <w:tcW w:w="1417" w:type="dxa"/>
            <w:shd w:val="clear" w:color="auto" w:fill="auto"/>
          </w:tcPr>
          <w:p w14:paraId="4B0F6E90" w14:textId="77777777" w:rsidR="00222FD2" w:rsidRPr="00222FD2" w:rsidRDefault="00222FD2" w:rsidP="00222FD2">
            <w:pPr>
              <w:jc w:val="center"/>
              <w:rPr>
                <w:rFonts w:cs="Times New Roman"/>
                <w:bCs/>
                <w:sz w:val="22"/>
                <w:szCs w:val="22"/>
              </w:rPr>
            </w:pPr>
            <w:r>
              <w:rPr>
                <w:sz w:val="22"/>
              </w:rPr>
              <w:t>MoJ</w:t>
            </w:r>
          </w:p>
        </w:tc>
        <w:tc>
          <w:tcPr>
            <w:tcW w:w="1418" w:type="dxa"/>
            <w:shd w:val="clear" w:color="auto" w:fill="auto"/>
          </w:tcPr>
          <w:p w14:paraId="2A115491" w14:textId="61AC3963" w:rsidR="00222FD2" w:rsidRPr="00222FD2" w:rsidRDefault="00222FD2" w:rsidP="00222FD2">
            <w:pPr>
              <w:jc w:val="center"/>
              <w:rPr>
                <w:rFonts w:cs="Times New Roman"/>
                <w:bCs/>
                <w:sz w:val="22"/>
                <w:szCs w:val="22"/>
              </w:rPr>
            </w:pPr>
            <w:r>
              <w:rPr>
                <w:color w:val="000000" w:themeColor="text1"/>
                <w:sz w:val="22"/>
              </w:rPr>
              <w:t>MoF</w:t>
            </w:r>
          </w:p>
        </w:tc>
        <w:tc>
          <w:tcPr>
            <w:tcW w:w="1417" w:type="dxa"/>
            <w:shd w:val="clear" w:color="auto" w:fill="auto"/>
          </w:tcPr>
          <w:p w14:paraId="75E618BD" w14:textId="77777777" w:rsidR="00222FD2" w:rsidRPr="00222FD2" w:rsidRDefault="00222FD2" w:rsidP="00222FD2">
            <w:pPr>
              <w:jc w:val="right"/>
              <w:rPr>
                <w:rFonts w:cs="Times New Roman"/>
                <w:bCs/>
                <w:sz w:val="22"/>
                <w:szCs w:val="22"/>
              </w:rPr>
            </w:pPr>
            <w:r>
              <w:rPr>
                <w:sz w:val="22"/>
              </w:rPr>
              <w:t>30.12.2025</w:t>
            </w:r>
          </w:p>
        </w:tc>
      </w:tr>
      <w:bookmarkEnd w:id="54"/>
      <w:tr w:rsidR="00222FD2" w:rsidRPr="00222FD2" w14:paraId="199F95F2" w14:textId="77777777" w:rsidTr="00E87849">
        <w:trPr>
          <w:trHeight w:val="355"/>
        </w:trPr>
        <w:tc>
          <w:tcPr>
            <w:tcW w:w="753" w:type="dxa"/>
            <w:shd w:val="clear" w:color="auto" w:fill="auto"/>
          </w:tcPr>
          <w:p w14:paraId="70E67E42" w14:textId="77777777" w:rsidR="00222FD2" w:rsidRPr="00222FD2" w:rsidRDefault="00222FD2" w:rsidP="00222FD2">
            <w:pPr>
              <w:ind w:right="-21"/>
              <w:rPr>
                <w:rFonts w:cs="Times New Roman"/>
                <w:bCs/>
                <w:sz w:val="22"/>
                <w:szCs w:val="22"/>
              </w:rPr>
            </w:pPr>
            <w:r>
              <w:rPr>
                <w:sz w:val="22"/>
              </w:rPr>
              <w:t>5.1.3.</w:t>
            </w:r>
          </w:p>
        </w:tc>
        <w:tc>
          <w:tcPr>
            <w:tcW w:w="3642" w:type="dxa"/>
            <w:shd w:val="clear" w:color="auto" w:fill="auto"/>
          </w:tcPr>
          <w:p w14:paraId="5586A6A8" w14:textId="463F4F8F" w:rsidR="00222FD2" w:rsidRPr="00222FD2" w:rsidRDefault="00222FD2" w:rsidP="00222FD2">
            <w:pPr>
              <w:jc w:val="both"/>
              <w:rPr>
                <w:rFonts w:cs="Times New Roman"/>
                <w:bCs/>
                <w:sz w:val="22"/>
                <w:szCs w:val="22"/>
              </w:rPr>
            </w:pPr>
            <w:r>
              <w:rPr>
                <w:sz w:val="22"/>
              </w:rPr>
              <w:t>In-depth risk assessment of the situation of affiliated companies (creditors) providing long-term investments to companies with negative equity and the causes thereof.</w:t>
            </w:r>
          </w:p>
        </w:tc>
        <w:tc>
          <w:tcPr>
            <w:tcW w:w="4111" w:type="dxa"/>
            <w:shd w:val="clear" w:color="auto" w:fill="auto"/>
          </w:tcPr>
          <w:p w14:paraId="29B45E76" w14:textId="77777777" w:rsidR="00222FD2" w:rsidRPr="00222FD2" w:rsidRDefault="00222FD2" w:rsidP="00222FD2">
            <w:pPr>
              <w:jc w:val="both"/>
              <w:rPr>
                <w:rFonts w:cs="Times New Roman"/>
                <w:bCs/>
                <w:sz w:val="22"/>
                <w:szCs w:val="22"/>
              </w:rPr>
            </w:pPr>
            <w:r>
              <w:rPr>
                <w:sz w:val="22"/>
              </w:rPr>
              <w:t>When assessing specific cases, the risk analysis is important in answering the question why creditors are interested in providing long-term investments to companies with negative equity.</w:t>
            </w:r>
          </w:p>
        </w:tc>
        <w:tc>
          <w:tcPr>
            <w:tcW w:w="2552" w:type="dxa"/>
            <w:shd w:val="clear" w:color="auto" w:fill="auto"/>
          </w:tcPr>
          <w:p w14:paraId="0798B022" w14:textId="57584BDD" w:rsidR="00222FD2" w:rsidRPr="00222FD2" w:rsidRDefault="00222FD2" w:rsidP="00222FD2">
            <w:pPr>
              <w:jc w:val="both"/>
              <w:rPr>
                <w:rFonts w:cs="Times New Roman"/>
                <w:bCs/>
                <w:sz w:val="22"/>
                <w:szCs w:val="22"/>
              </w:rPr>
            </w:pPr>
            <w:r>
              <w:rPr>
                <w:sz w:val="22"/>
              </w:rPr>
              <w:t xml:space="preserve">An evaluation has been prepared. </w:t>
            </w:r>
          </w:p>
        </w:tc>
        <w:tc>
          <w:tcPr>
            <w:tcW w:w="1417" w:type="dxa"/>
            <w:shd w:val="clear" w:color="auto" w:fill="auto"/>
          </w:tcPr>
          <w:p w14:paraId="214136A4" w14:textId="577F80BC" w:rsidR="00222FD2" w:rsidRPr="00222FD2" w:rsidRDefault="00222FD2" w:rsidP="00222FD2">
            <w:pPr>
              <w:jc w:val="center"/>
              <w:rPr>
                <w:rFonts w:cs="Times New Roman"/>
                <w:bCs/>
                <w:sz w:val="22"/>
                <w:szCs w:val="22"/>
              </w:rPr>
            </w:pPr>
            <w:r>
              <w:rPr>
                <w:sz w:val="22"/>
              </w:rPr>
              <w:t>MoF,</w:t>
            </w:r>
          </w:p>
          <w:p w14:paraId="07A9C4F9" w14:textId="40E6AE46" w:rsidR="00222FD2" w:rsidRPr="00222FD2" w:rsidRDefault="00222FD2" w:rsidP="00222FD2">
            <w:pPr>
              <w:jc w:val="center"/>
              <w:rPr>
                <w:rFonts w:cs="Times New Roman"/>
                <w:bCs/>
                <w:color w:val="000000" w:themeColor="text1"/>
                <w:sz w:val="22"/>
                <w:szCs w:val="22"/>
              </w:rPr>
            </w:pPr>
            <w:r>
              <w:rPr>
                <w:sz w:val="22"/>
              </w:rPr>
              <w:t>SRS</w:t>
            </w:r>
          </w:p>
        </w:tc>
        <w:tc>
          <w:tcPr>
            <w:tcW w:w="1418" w:type="dxa"/>
            <w:shd w:val="clear" w:color="auto" w:fill="auto"/>
          </w:tcPr>
          <w:p w14:paraId="7E7F00FC" w14:textId="20EDCB6E" w:rsidR="00222FD2" w:rsidRPr="00222FD2" w:rsidRDefault="00222FD2" w:rsidP="00222FD2">
            <w:pPr>
              <w:jc w:val="center"/>
              <w:rPr>
                <w:rFonts w:cs="Times New Roman"/>
                <w:bCs/>
                <w:sz w:val="22"/>
                <w:szCs w:val="22"/>
              </w:rPr>
            </w:pPr>
            <w:r>
              <w:rPr>
                <w:color w:val="000000" w:themeColor="text1"/>
                <w:sz w:val="22"/>
              </w:rPr>
              <w:t>MoE</w:t>
            </w:r>
          </w:p>
        </w:tc>
        <w:tc>
          <w:tcPr>
            <w:tcW w:w="1417" w:type="dxa"/>
            <w:shd w:val="clear" w:color="auto" w:fill="auto"/>
          </w:tcPr>
          <w:p w14:paraId="6955BF7A" w14:textId="77777777" w:rsidR="00222FD2" w:rsidRPr="00222FD2" w:rsidRDefault="00222FD2" w:rsidP="00222FD2">
            <w:pPr>
              <w:jc w:val="right"/>
              <w:rPr>
                <w:rFonts w:cs="Times New Roman"/>
                <w:bCs/>
                <w:sz w:val="22"/>
                <w:szCs w:val="22"/>
              </w:rPr>
            </w:pPr>
            <w:r>
              <w:rPr>
                <w:sz w:val="22"/>
              </w:rPr>
              <w:t>30.12.2025</w:t>
            </w:r>
          </w:p>
        </w:tc>
      </w:tr>
      <w:tr w:rsidR="00222FD2" w:rsidRPr="00222FD2" w14:paraId="37423C4F" w14:textId="77777777" w:rsidTr="00E87849">
        <w:trPr>
          <w:trHeight w:val="1527"/>
        </w:trPr>
        <w:tc>
          <w:tcPr>
            <w:tcW w:w="753" w:type="dxa"/>
            <w:shd w:val="clear" w:color="auto" w:fill="auto"/>
          </w:tcPr>
          <w:p w14:paraId="1A482A9A" w14:textId="77777777" w:rsidR="00222FD2" w:rsidRPr="00222FD2" w:rsidRDefault="00222FD2" w:rsidP="00222FD2">
            <w:pPr>
              <w:ind w:right="-21"/>
              <w:rPr>
                <w:rFonts w:cs="Times New Roman"/>
                <w:bCs/>
                <w:sz w:val="22"/>
                <w:szCs w:val="22"/>
              </w:rPr>
            </w:pPr>
            <w:r>
              <w:rPr>
                <w:sz w:val="22"/>
              </w:rPr>
              <w:t>5.1.4.</w:t>
            </w:r>
          </w:p>
        </w:tc>
        <w:tc>
          <w:tcPr>
            <w:tcW w:w="3642" w:type="dxa"/>
            <w:shd w:val="clear" w:color="auto" w:fill="auto"/>
          </w:tcPr>
          <w:p w14:paraId="5D970693" w14:textId="77777777" w:rsidR="00222FD2" w:rsidRPr="00222FD2" w:rsidRDefault="00222FD2" w:rsidP="00222FD2">
            <w:pPr>
              <w:jc w:val="both"/>
              <w:rPr>
                <w:rFonts w:cs="Times New Roman"/>
                <w:bCs/>
                <w:sz w:val="22"/>
                <w:szCs w:val="22"/>
              </w:rPr>
            </w:pPr>
            <w:r>
              <w:rPr>
                <w:sz w:val="22"/>
              </w:rPr>
              <w:t>Educating of companies about the consequences and causes of negative equity.</w:t>
            </w:r>
          </w:p>
        </w:tc>
        <w:tc>
          <w:tcPr>
            <w:tcW w:w="4111" w:type="dxa"/>
            <w:shd w:val="clear" w:color="auto" w:fill="auto"/>
          </w:tcPr>
          <w:p w14:paraId="05E40AD3" w14:textId="165615B8" w:rsidR="00222FD2" w:rsidRPr="00222FD2" w:rsidRDefault="00222FD2" w:rsidP="00222FD2">
            <w:pPr>
              <w:jc w:val="both"/>
              <w:rPr>
                <w:rFonts w:cs="Times New Roman"/>
                <w:bCs/>
                <w:sz w:val="22"/>
                <w:szCs w:val="22"/>
              </w:rPr>
            </w:pPr>
            <w:r>
              <w:rPr>
                <w:sz w:val="22"/>
              </w:rPr>
              <w:t>Small and medium-sized companies often lack the financial literacy to operate without negative equity. It is important to educate companies about both the consequences (more difficult attraction of capital) and the causes of negative equity.</w:t>
            </w:r>
          </w:p>
        </w:tc>
        <w:tc>
          <w:tcPr>
            <w:tcW w:w="2552" w:type="dxa"/>
            <w:shd w:val="clear" w:color="auto" w:fill="auto"/>
          </w:tcPr>
          <w:p w14:paraId="187FF6D4" w14:textId="0C53597B" w:rsidR="00222FD2" w:rsidRPr="00222FD2" w:rsidRDefault="00222FD2" w:rsidP="00222FD2">
            <w:pPr>
              <w:jc w:val="both"/>
              <w:rPr>
                <w:rFonts w:cs="Times New Roman"/>
                <w:bCs/>
                <w:sz w:val="22"/>
                <w:szCs w:val="22"/>
              </w:rPr>
            </w:pPr>
            <w:r>
              <w:rPr>
                <w:sz w:val="22"/>
              </w:rPr>
              <w:t>Reduced number of companies with long-term negative equity.</w:t>
            </w:r>
          </w:p>
        </w:tc>
        <w:tc>
          <w:tcPr>
            <w:tcW w:w="1417" w:type="dxa"/>
            <w:shd w:val="clear" w:color="auto" w:fill="auto"/>
          </w:tcPr>
          <w:p w14:paraId="1D7BE3AD" w14:textId="348FF59D" w:rsidR="00222FD2" w:rsidRPr="00222FD2" w:rsidRDefault="00222FD2" w:rsidP="00222FD2">
            <w:pPr>
              <w:jc w:val="center"/>
              <w:rPr>
                <w:rFonts w:cs="Times New Roman"/>
                <w:bCs/>
                <w:color w:val="000000" w:themeColor="text1"/>
                <w:sz w:val="22"/>
                <w:szCs w:val="22"/>
              </w:rPr>
            </w:pPr>
            <w:r>
              <w:rPr>
                <w:color w:val="000000" w:themeColor="text1"/>
                <w:sz w:val="22"/>
              </w:rPr>
              <w:t>MoE responsible for the business sector</w:t>
            </w:r>
          </w:p>
          <w:p w14:paraId="5684FB1F" w14:textId="4C5A845C" w:rsidR="00222FD2" w:rsidRPr="00222FD2" w:rsidRDefault="00222FD2" w:rsidP="00222FD2">
            <w:pPr>
              <w:jc w:val="center"/>
              <w:rPr>
                <w:rFonts w:cs="Times New Roman"/>
                <w:bCs/>
                <w:color w:val="000000" w:themeColor="text1"/>
                <w:sz w:val="22"/>
                <w:szCs w:val="22"/>
              </w:rPr>
            </w:pPr>
            <w:r>
              <w:rPr>
                <w:color w:val="000000" w:themeColor="text1"/>
                <w:sz w:val="22"/>
              </w:rPr>
              <w:t>(practical action: LCCI)</w:t>
            </w:r>
          </w:p>
          <w:p w14:paraId="002CE302" w14:textId="52C67208" w:rsidR="00222FD2" w:rsidRPr="00222FD2" w:rsidRDefault="00222FD2" w:rsidP="00E87849">
            <w:pPr>
              <w:jc w:val="center"/>
              <w:rPr>
                <w:rFonts w:cs="Times New Roman"/>
                <w:bCs/>
                <w:color w:val="000000" w:themeColor="text1"/>
                <w:sz w:val="22"/>
                <w:szCs w:val="22"/>
              </w:rPr>
            </w:pPr>
            <w:r>
              <w:rPr>
                <w:color w:val="000000" w:themeColor="text1"/>
                <w:sz w:val="22"/>
              </w:rPr>
              <w:t>SRS</w:t>
            </w:r>
          </w:p>
        </w:tc>
        <w:tc>
          <w:tcPr>
            <w:tcW w:w="1418" w:type="dxa"/>
            <w:shd w:val="clear" w:color="auto" w:fill="auto"/>
          </w:tcPr>
          <w:p w14:paraId="550D7BD9" w14:textId="5DA2019E" w:rsidR="00222FD2" w:rsidRPr="00222FD2" w:rsidRDefault="00222FD2" w:rsidP="00222FD2">
            <w:pPr>
              <w:jc w:val="center"/>
              <w:rPr>
                <w:rFonts w:cs="Times New Roman"/>
                <w:bCs/>
                <w:color w:val="000000" w:themeColor="text1"/>
                <w:sz w:val="22"/>
                <w:szCs w:val="22"/>
              </w:rPr>
            </w:pPr>
            <w:r>
              <w:rPr>
                <w:color w:val="000000" w:themeColor="text1"/>
                <w:sz w:val="22"/>
              </w:rPr>
              <w:t>LIAA</w:t>
            </w:r>
          </w:p>
        </w:tc>
        <w:tc>
          <w:tcPr>
            <w:tcW w:w="1417" w:type="dxa"/>
            <w:shd w:val="clear" w:color="auto" w:fill="auto"/>
          </w:tcPr>
          <w:p w14:paraId="01550F8D" w14:textId="3D5EB078" w:rsidR="00222FD2" w:rsidRPr="00222FD2" w:rsidRDefault="00222FD2" w:rsidP="00222FD2">
            <w:pPr>
              <w:jc w:val="right"/>
              <w:rPr>
                <w:rFonts w:cs="Times New Roman"/>
                <w:bCs/>
                <w:sz w:val="22"/>
                <w:szCs w:val="22"/>
              </w:rPr>
            </w:pPr>
            <w:r>
              <w:rPr>
                <w:sz w:val="22"/>
              </w:rPr>
              <w:t>30.12.2027</w:t>
            </w:r>
          </w:p>
        </w:tc>
      </w:tr>
      <w:bookmarkEnd w:id="53"/>
      <w:tr w:rsidR="00222FD2" w:rsidRPr="00222FD2" w14:paraId="2B8C2B80" w14:textId="77777777" w:rsidTr="003C1C7B">
        <w:trPr>
          <w:trHeight w:val="283"/>
        </w:trPr>
        <w:tc>
          <w:tcPr>
            <w:tcW w:w="11058" w:type="dxa"/>
            <w:gridSpan w:val="4"/>
            <w:shd w:val="clear" w:color="auto" w:fill="FFF2CC" w:themeFill="accent4" w:themeFillTint="33"/>
          </w:tcPr>
          <w:p w14:paraId="35983F3C" w14:textId="3238E38B" w:rsidR="00222FD2" w:rsidRPr="00222FD2" w:rsidRDefault="00222FD2" w:rsidP="00222FD2">
            <w:pPr>
              <w:rPr>
                <w:rFonts w:cs="Times New Roman"/>
                <w:bCs/>
                <w:sz w:val="22"/>
                <w:szCs w:val="22"/>
              </w:rPr>
            </w:pPr>
            <w:r>
              <w:rPr>
                <w:sz w:val="22"/>
              </w:rPr>
              <w:t xml:space="preserve">Course of Action 5. Task 2. </w:t>
            </w:r>
            <w:r>
              <w:rPr>
                <w:b/>
                <w:sz w:val="22"/>
              </w:rPr>
              <w:t xml:space="preserve">Reduction of the circulation of illegal excisable goods. </w:t>
            </w:r>
          </w:p>
        </w:tc>
        <w:tc>
          <w:tcPr>
            <w:tcW w:w="4252" w:type="dxa"/>
            <w:gridSpan w:val="3"/>
            <w:shd w:val="clear" w:color="auto" w:fill="FFF2CC" w:themeFill="accent4" w:themeFillTint="33"/>
          </w:tcPr>
          <w:p w14:paraId="0310835D" w14:textId="67A13B10" w:rsidR="00222FD2" w:rsidRPr="00222FD2" w:rsidRDefault="00222FD2" w:rsidP="00222FD2">
            <w:pPr>
              <w:rPr>
                <w:rFonts w:cs="Times New Roman"/>
                <w:bCs/>
                <w:sz w:val="22"/>
                <w:szCs w:val="22"/>
              </w:rPr>
            </w:pPr>
            <w:r>
              <w:rPr>
                <w:sz w:val="22"/>
              </w:rPr>
              <w:t>Fiscal benefit: EUR 33 million</w:t>
            </w:r>
          </w:p>
        </w:tc>
      </w:tr>
      <w:tr w:rsidR="00E87849" w:rsidRPr="00222FD2" w14:paraId="44E30C54" w14:textId="77777777" w:rsidTr="00E87849">
        <w:trPr>
          <w:trHeight w:val="77"/>
        </w:trPr>
        <w:tc>
          <w:tcPr>
            <w:tcW w:w="753" w:type="dxa"/>
          </w:tcPr>
          <w:p w14:paraId="3B6DA77E" w14:textId="319AAC53" w:rsidR="00222FD2" w:rsidRPr="00222FD2" w:rsidRDefault="00222FD2" w:rsidP="00222FD2">
            <w:pPr>
              <w:ind w:left="-108" w:right="-21"/>
              <w:jc w:val="both"/>
              <w:rPr>
                <w:rFonts w:cs="Times New Roman"/>
                <w:bCs/>
                <w:sz w:val="22"/>
                <w:szCs w:val="22"/>
              </w:rPr>
            </w:pPr>
            <w:bookmarkStart w:id="55" w:name="_Hlk149909447"/>
            <w:r>
              <w:rPr>
                <w:sz w:val="22"/>
              </w:rPr>
              <w:t xml:space="preserve"> 5.</w:t>
            </w:r>
            <w:r w:rsidR="007B0C33">
              <w:rPr>
                <w:sz w:val="22"/>
              </w:rPr>
              <w:t>2.</w:t>
            </w:r>
            <w:r>
              <w:rPr>
                <w:sz w:val="22"/>
              </w:rPr>
              <w:t>1.</w:t>
            </w:r>
          </w:p>
        </w:tc>
        <w:tc>
          <w:tcPr>
            <w:tcW w:w="3642" w:type="dxa"/>
          </w:tcPr>
          <w:p w14:paraId="78BF5D05" w14:textId="04D39915" w:rsidR="00222FD2" w:rsidRPr="00222FD2" w:rsidRDefault="00222FD2" w:rsidP="00222FD2">
            <w:pPr>
              <w:ind w:right="-21"/>
              <w:jc w:val="both"/>
              <w:rPr>
                <w:rFonts w:cs="Times New Roman"/>
                <w:bCs/>
                <w:sz w:val="22"/>
                <w:szCs w:val="22"/>
              </w:rPr>
            </w:pPr>
            <w:r>
              <w:rPr>
                <w:sz w:val="22"/>
              </w:rPr>
              <w:t>Reduction of the illegal market for excisable goods.</w:t>
            </w:r>
          </w:p>
        </w:tc>
        <w:tc>
          <w:tcPr>
            <w:tcW w:w="4111" w:type="dxa"/>
          </w:tcPr>
          <w:p w14:paraId="1FACA7B8" w14:textId="69114CD7" w:rsidR="00222FD2" w:rsidRPr="00222FD2" w:rsidRDefault="00222FD2" w:rsidP="00222FD2">
            <w:pPr>
              <w:ind w:right="-23"/>
              <w:jc w:val="both"/>
              <w:rPr>
                <w:rFonts w:eastAsia="Times New Roman" w:cs="Times New Roman"/>
                <w:sz w:val="22"/>
                <w:szCs w:val="22"/>
              </w:rPr>
            </w:pPr>
            <w:r>
              <w:rPr>
                <w:sz w:val="22"/>
              </w:rPr>
              <w:t xml:space="preserve">1. Measures are taken to reduce the market share of illegal excisable goods (cigarettes, fuel, alcohol, etc.). </w:t>
            </w:r>
          </w:p>
          <w:p w14:paraId="60607742" w14:textId="0B3A5A60" w:rsidR="00222FD2" w:rsidRPr="00222FD2" w:rsidRDefault="00222FD2" w:rsidP="00222FD2">
            <w:pPr>
              <w:ind w:right="-21"/>
              <w:jc w:val="both"/>
              <w:rPr>
                <w:rFonts w:cs="Times New Roman"/>
                <w:bCs/>
                <w:sz w:val="22"/>
                <w:szCs w:val="22"/>
              </w:rPr>
            </w:pPr>
            <w:r>
              <w:rPr>
                <w:sz w:val="22"/>
              </w:rPr>
              <w:t>2. In order to prevent distortions of competition, it is necessary to address the issue of increased controls on vehicles registered in Central Asian countries and Russia. Where necessary, appropriate amendments to laws and regulations have been made to restrict the import of fuel into Latvia, including through cooperation with the Baltic States.</w:t>
            </w:r>
          </w:p>
        </w:tc>
        <w:tc>
          <w:tcPr>
            <w:tcW w:w="2552" w:type="dxa"/>
          </w:tcPr>
          <w:p w14:paraId="0D4713FB" w14:textId="1146828E" w:rsidR="00222FD2" w:rsidRPr="00222FD2" w:rsidRDefault="00222FD2" w:rsidP="00222FD2">
            <w:pPr>
              <w:ind w:right="-23"/>
              <w:jc w:val="both"/>
              <w:rPr>
                <w:rFonts w:cs="Times New Roman"/>
                <w:bCs/>
                <w:sz w:val="22"/>
                <w:szCs w:val="22"/>
              </w:rPr>
            </w:pPr>
            <w:r>
              <w:rPr>
                <w:sz w:val="22"/>
              </w:rPr>
              <w:t>Increased excise duty revenue and reduced damage to the State.</w:t>
            </w:r>
          </w:p>
          <w:p w14:paraId="1ADF6F97" w14:textId="3F777F52" w:rsidR="00222FD2" w:rsidRPr="00222FD2" w:rsidRDefault="00D34F0E" w:rsidP="00222FD2">
            <w:pPr>
              <w:ind w:right="-23"/>
              <w:jc w:val="both"/>
              <w:rPr>
                <w:rFonts w:eastAsia="Times New Roman" w:cs="Times New Roman"/>
                <w:sz w:val="22"/>
                <w:szCs w:val="22"/>
              </w:rPr>
            </w:pPr>
            <w:r>
              <w:rPr>
                <w:noProof/>
                <w:lang w:val="lv-LV" w:eastAsia="zh-CN"/>
              </w:rPr>
              <mc:AlternateContent>
                <mc:Choice Requires="wps">
                  <w:drawing>
                    <wp:anchor distT="0" distB="0" distL="114300" distR="114300" simplePos="0" relativeHeight="251667456" behindDoc="0" locked="0" layoutInCell="1" allowOverlap="1" wp14:anchorId="665C4461" wp14:editId="7CB82409">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4BB5C29D" w14:textId="77777777" w:rsidR="00D34F0E" w:rsidRPr="00E903A3" w:rsidRDefault="00D34F0E" w:rsidP="00D34F0E">
                                  <w:pPr>
                                    <w:ind w:right="-23"/>
                                    <w:jc w:val="both"/>
                                    <w:rPr>
                                      <w:rFonts w:ascii="Times New Roman" w:hAnsi="Times New Roman"/>
                                      <w:szCs w:val="24"/>
                                    </w:rPr>
                                  </w:pPr>
                                  <w:r>
                                    <w:t>Tax revenues could increase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5C4461" id="Text Box 1" o:spid="_x0000_s1101" type="#_x0000_t202" style="position:absolute;left:0;text-align:left;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" filled="f" strokeweight=".5pt">
                      <v:textbox style="mso-fit-shape-to-text:t">
                        <w:txbxContent>
                          <w:p w14:paraId="4BB5C29D" w14:textId="77777777" w:rsidR="00D34F0E" w:rsidRPr="00E903A3" w:rsidRDefault="00D34F0E" w:rsidP="00D34F0E">
                            <w:pPr>
                              <w:ind w:right="-23"/>
                              <w:jc w:val="both"/>
                              <w:rPr>
                                <w:rFonts w:ascii="Times New Roman" w:hAnsi="Times New Roman"/>
                                <w:szCs w:val="24"/>
                              </w:rPr>
                            </w:pPr>
                            <w:r>
                              <w:t>Tax revenues could increase</w:t>
                            </w:r>
                          </w:p>
                        </w:txbxContent>
                      </v:textbox>
                      <w10:wrap type="square"/>
                    </v:shape>
                  </w:pict>
                </mc:Fallback>
              </mc:AlternateContent>
            </w:r>
            <w:r w:rsidR="00222FD2">
              <w:rPr>
                <w:sz w:val="22"/>
              </w:rPr>
              <w:t xml:space="preserve"> between three to five per cent as a result of measures to restrict the illegal market. </w:t>
            </w:r>
          </w:p>
          <w:p w14:paraId="1BC8CA7C" w14:textId="30F85CAC" w:rsidR="00222FD2" w:rsidRPr="00222FD2" w:rsidRDefault="00222FD2" w:rsidP="00222FD2">
            <w:pPr>
              <w:ind w:right="-23"/>
              <w:jc w:val="both"/>
              <w:rPr>
                <w:rFonts w:cs="Times New Roman"/>
                <w:bCs/>
                <w:sz w:val="22"/>
                <w:szCs w:val="22"/>
              </w:rPr>
            </w:pPr>
            <w:r>
              <w:rPr>
                <w:sz w:val="22"/>
              </w:rPr>
              <w:t>The restrictions and control measures introduced to restrict the illegal excise market, including cigarette smuggling, have reduced the scope of damage caused to the State and the excise duty gap for cigarettes.</w:t>
            </w:r>
          </w:p>
          <w:p w14:paraId="6FCC1549" w14:textId="01259680" w:rsidR="00222FD2" w:rsidRPr="00222FD2" w:rsidRDefault="00222FD2" w:rsidP="00222FD2">
            <w:pPr>
              <w:ind w:right="-23"/>
              <w:jc w:val="both"/>
              <w:rPr>
                <w:rFonts w:cs="Times New Roman"/>
                <w:bCs/>
                <w:sz w:val="22"/>
                <w:szCs w:val="22"/>
              </w:rPr>
            </w:pPr>
            <w:r>
              <w:rPr>
                <w:sz w:val="22"/>
              </w:rPr>
              <w:t>Consumption of fuels of undetermined origin has decreased.</w:t>
            </w:r>
          </w:p>
        </w:tc>
        <w:tc>
          <w:tcPr>
            <w:tcW w:w="1417" w:type="dxa"/>
          </w:tcPr>
          <w:p w14:paraId="5A4646A0" w14:textId="0777DD98" w:rsidR="00222FD2" w:rsidRPr="00222FD2" w:rsidRDefault="00222FD2" w:rsidP="00222FD2">
            <w:pPr>
              <w:ind w:right="-21"/>
              <w:jc w:val="center"/>
              <w:rPr>
                <w:rFonts w:cs="Times New Roman"/>
                <w:bCs/>
                <w:sz w:val="22"/>
                <w:szCs w:val="22"/>
              </w:rPr>
            </w:pPr>
            <w:r>
              <w:rPr>
                <w:sz w:val="22"/>
              </w:rPr>
              <w:t>1. SRS</w:t>
            </w:r>
          </w:p>
          <w:p w14:paraId="70B4EC4A" w14:textId="2EA78D2B" w:rsidR="00222FD2" w:rsidRPr="00222FD2" w:rsidRDefault="00222FD2" w:rsidP="00222FD2">
            <w:pPr>
              <w:ind w:right="-21"/>
              <w:jc w:val="center"/>
              <w:rPr>
                <w:rFonts w:cs="Times New Roman"/>
                <w:bCs/>
                <w:sz w:val="22"/>
                <w:szCs w:val="22"/>
              </w:rPr>
            </w:pPr>
            <w:r>
              <w:rPr>
                <w:sz w:val="22"/>
              </w:rPr>
              <w:t>2. MoF,</w:t>
            </w:r>
          </w:p>
          <w:p w14:paraId="76D26A2F" w14:textId="310FE4D6" w:rsidR="00222FD2" w:rsidRPr="00222FD2" w:rsidRDefault="00222FD2" w:rsidP="00222FD2">
            <w:pPr>
              <w:ind w:right="-21"/>
              <w:jc w:val="center"/>
              <w:rPr>
                <w:rFonts w:cs="Times New Roman"/>
                <w:bCs/>
                <w:sz w:val="22"/>
                <w:szCs w:val="22"/>
              </w:rPr>
            </w:pPr>
            <w:r>
              <w:rPr>
                <w:sz w:val="22"/>
              </w:rPr>
              <w:t>VSIA “</w:t>
            </w:r>
            <w:r>
              <w:rPr>
                <w:sz w:val="20"/>
              </w:rPr>
              <w:t>Road Transport Directorate</w:t>
            </w:r>
            <w:r>
              <w:rPr>
                <w:sz w:val="22"/>
              </w:rPr>
              <w:t>”,</w:t>
            </w:r>
          </w:p>
          <w:p w14:paraId="03598A75" w14:textId="58C067BC" w:rsidR="00222FD2" w:rsidRPr="00222FD2" w:rsidRDefault="00222FD2" w:rsidP="00222FD2">
            <w:pPr>
              <w:ind w:right="-21"/>
              <w:jc w:val="center"/>
              <w:rPr>
                <w:rFonts w:cs="Times New Roman"/>
                <w:bCs/>
                <w:sz w:val="22"/>
                <w:szCs w:val="22"/>
              </w:rPr>
            </w:pPr>
            <w:r>
              <w:rPr>
                <w:sz w:val="22"/>
              </w:rPr>
              <w:t>SRS</w:t>
            </w:r>
          </w:p>
        </w:tc>
        <w:tc>
          <w:tcPr>
            <w:tcW w:w="1418" w:type="dxa"/>
          </w:tcPr>
          <w:p w14:paraId="1FD32D7D" w14:textId="5A96B7BD" w:rsidR="00222FD2" w:rsidRPr="00222FD2" w:rsidRDefault="00222FD2" w:rsidP="00222FD2">
            <w:pPr>
              <w:ind w:right="-21"/>
              <w:jc w:val="center"/>
              <w:rPr>
                <w:rFonts w:cs="Times New Roman"/>
                <w:bCs/>
                <w:sz w:val="22"/>
                <w:szCs w:val="22"/>
              </w:rPr>
            </w:pPr>
            <w:r>
              <w:rPr>
                <w:sz w:val="22"/>
              </w:rPr>
              <w:t>1., 2.</w:t>
            </w:r>
          </w:p>
          <w:p w14:paraId="5206F31E" w14:textId="2A91360C" w:rsidR="00222FD2" w:rsidRPr="00222FD2" w:rsidRDefault="00222FD2" w:rsidP="00222FD2">
            <w:pPr>
              <w:ind w:right="-21"/>
              <w:jc w:val="center"/>
              <w:rPr>
                <w:rFonts w:cs="Times New Roman"/>
                <w:bCs/>
                <w:sz w:val="22"/>
                <w:szCs w:val="22"/>
              </w:rPr>
            </w:pPr>
            <w:r>
              <w:rPr>
                <w:sz w:val="22"/>
              </w:rPr>
              <w:t xml:space="preserve">SP, </w:t>
            </w:r>
          </w:p>
          <w:p w14:paraId="7F51EEC9" w14:textId="77777777" w:rsidR="00222FD2" w:rsidRPr="00222FD2" w:rsidRDefault="00222FD2" w:rsidP="00222FD2">
            <w:pPr>
              <w:ind w:right="-21"/>
              <w:jc w:val="center"/>
              <w:rPr>
                <w:rFonts w:cs="Times New Roman"/>
                <w:bCs/>
                <w:sz w:val="22"/>
                <w:szCs w:val="22"/>
              </w:rPr>
            </w:pPr>
            <w:r>
              <w:rPr>
                <w:sz w:val="22"/>
              </w:rPr>
              <w:t>SBG,</w:t>
            </w:r>
          </w:p>
          <w:p w14:paraId="1D216493" w14:textId="40E0F2D5" w:rsidR="00222FD2" w:rsidRPr="00222FD2" w:rsidRDefault="00222FD2" w:rsidP="00222FD2">
            <w:pPr>
              <w:ind w:right="-21"/>
              <w:jc w:val="center"/>
              <w:rPr>
                <w:rFonts w:cs="Times New Roman"/>
                <w:bCs/>
                <w:sz w:val="22"/>
                <w:szCs w:val="22"/>
              </w:rPr>
            </w:pPr>
            <w:r>
              <w:rPr>
                <w:sz w:val="22"/>
              </w:rPr>
              <w:t>MoT</w:t>
            </w:r>
          </w:p>
        </w:tc>
        <w:tc>
          <w:tcPr>
            <w:tcW w:w="1417" w:type="dxa"/>
          </w:tcPr>
          <w:p w14:paraId="3204BECD" w14:textId="71665AF5" w:rsidR="00222FD2" w:rsidRPr="00222FD2" w:rsidRDefault="00222FD2" w:rsidP="00222FD2">
            <w:pPr>
              <w:ind w:left="-106" w:right="-21"/>
              <w:jc w:val="right"/>
              <w:rPr>
                <w:rFonts w:cs="Times New Roman"/>
                <w:bCs/>
                <w:sz w:val="22"/>
                <w:szCs w:val="22"/>
              </w:rPr>
            </w:pPr>
            <w:r>
              <w:rPr>
                <w:sz w:val="22"/>
              </w:rPr>
              <w:t>1. 30.12.2026</w:t>
            </w:r>
          </w:p>
          <w:p w14:paraId="3CF3FB3A" w14:textId="7B2D3B31" w:rsidR="00222FD2" w:rsidRPr="00222FD2" w:rsidRDefault="00222FD2" w:rsidP="00222FD2">
            <w:pPr>
              <w:ind w:left="-106" w:right="-21"/>
              <w:jc w:val="right"/>
              <w:rPr>
                <w:rFonts w:cs="Times New Roman"/>
                <w:bCs/>
                <w:sz w:val="22"/>
                <w:szCs w:val="22"/>
              </w:rPr>
            </w:pPr>
            <w:r>
              <w:rPr>
                <w:sz w:val="22"/>
              </w:rPr>
              <w:t>2. 30.12.2025</w:t>
            </w:r>
          </w:p>
          <w:p w14:paraId="251C2C7A" w14:textId="7196CBC2" w:rsidR="00222FD2" w:rsidRPr="00222FD2" w:rsidRDefault="00222FD2" w:rsidP="00222FD2">
            <w:pPr>
              <w:ind w:left="-106" w:right="-21"/>
              <w:jc w:val="right"/>
              <w:rPr>
                <w:rFonts w:cs="Times New Roman"/>
                <w:bCs/>
                <w:sz w:val="22"/>
                <w:szCs w:val="22"/>
              </w:rPr>
            </w:pPr>
          </w:p>
        </w:tc>
      </w:tr>
      <w:bookmarkEnd w:id="55"/>
    </w:tbl>
    <w:p w14:paraId="2DDF248B" w14:textId="6489BBD0" w:rsidR="005A2074" w:rsidRPr="00222FD2" w:rsidRDefault="005A2074" w:rsidP="00222FD2">
      <w:pPr>
        <w:rPr>
          <w:rFonts w:ascii="Times New Roman" w:hAnsi="Times New Roman" w:cs="Times New Roman"/>
          <w:shd w:val="clear" w:color="auto" w:fill="FFFFFF"/>
        </w:rPr>
      </w:pPr>
      <w:r>
        <w:br w:type="page"/>
      </w:r>
    </w:p>
    <w:p w14:paraId="5927C6FB" w14:textId="33715045" w:rsidR="00594743" w:rsidRPr="008400F3" w:rsidRDefault="00594743" w:rsidP="00594743">
      <w:pPr>
        <w:pStyle w:val="Style4"/>
        <w:spacing w:before="0"/>
      </w:pPr>
      <w:bookmarkStart w:id="56" w:name="_Toc166237506"/>
      <w:bookmarkStart w:id="57" w:name="_Hlk146200828"/>
      <w:r>
        <w:t xml:space="preserve">5. </w:t>
      </w:r>
      <w:bookmarkStart w:id="58" w:name="_Hlk145705141"/>
      <w:r>
        <w:t>Resultative Indicators of the Plan</w:t>
      </w:r>
      <w:bookmarkEnd w:id="56"/>
      <w:r>
        <w:t xml:space="preserve"> </w:t>
      </w:r>
      <w:bookmarkEnd w:id="58"/>
    </w:p>
    <w:p w14:paraId="1B38FE3A" w14:textId="77777777" w:rsidR="00594743" w:rsidRDefault="00594743" w:rsidP="00594743">
      <w:pPr>
        <w:rPr>
          <w:rFonts w:ascii="Times New Roman" w:hAnsi="Times New Roman" w:cs="Times New Roman"/>
          <w:sz w:val="24"/>
          <w:szCs w:val="24"/>
          <w:shd w:val="clear" w:color="auto" w:fill="FFFFFF"/>
        </w:rPr>
      </w:pPr>
    </w:p>
    <w:p w14:paraId="747DC24C" w14:textId="24D0DFA0" w:rsidR="00594743" w:rsidRDefault="00AE293F" w:rsidP="00C42BB3">
      <w:pPr>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Measurable resultative indicators have been developed to assess the effectiveness of the measures implemented in accordance with the plan in priority sectors and to analyse the dynamics of business tax compliance. </w:t>
      </w:r>
    </w:p>
    <w:p w14:paraId="4C1DAF19" w14:textId="77777777" w:rsidR="00594743" w:rsidRDefault="00594743" w:rsidP="009C57A1">
      <w:pPr>
        <w:rPr>
          <w:rFonts w:ascii="Times New Roman" w:hAnsi="Times New Roman" w:cs="Times New Roman"/>
          <w:sz w:val="24"/>
          <w:szCs w:val="24"/>
          <w:shd w:val="clear" w:color="auto" w:fill="FFFFFF"/>
        </w:rPr>
      </w:pPr>
    </w:p>
    <w:p w14:paraId="4AEF38D2" w14:textId="77777777" w:rsidR="00C42BB3" w:rsidRDefault="00C42BB3" w:rsidP="009C57A1">
      <w:pPr>
        <w:rPr>
          <w:rFonts w:ascii="Times New Roman" w:hAnsi="Times New Roman" w:cs="Times New Roman"/>
          <w:sz w:val="24"/>
          <w:szCs w:val="24"/>
          <w:shd w:val="clear" w:color="auto" w:fill="FFFFFF"/>
        </w:rPr>
      </w:pPr>
    </w:p>
    <w:p w14:paraId="1249E752" w14:textId="77777777" w:rsidR="00D3500D" w:rsidRPr="00C42BB3" w:rsidRDefault="00D3500D" w:rsidP="00D3500D">
      <w:pPr>
        <w:rPr>
          <w:rFonts w:ascii="Times New Roman" w:hAnsi="Times New Roman" w:cs="Times New Roman"/>
          <w:sz w:val="20"/>
          <w:szCs w:val="20"/>
        </w:rPr>
      </w:pPr>
      <w:r>
        <w:rPr>
          <w:rFonts w:ascii="Times New Roman" w:hAnsi="Times New Roman"/>
          <w:b/>
          <w:color w:val="000000"/>
          <w:sz w:val="20"/>
        </w:rPr>
        <w:t>Construction of buildings (NACE code 41)</w:t>
      </w:r>
    </w:p>
    <w:tbl>
      <w:tblPr>
        <w:tblW w:w="14884" w:type="dxa"/>
        <w:tblInd w:w="-5" w:type="dxa"/>
        <w:tblLook w:val="04A0" w:firstRow="1" w:lastRow="0" w:firstColumn="1" w:lastColumn="0" w:noHBand="0" w:noVBand="1"/>
      </w:tblPr>
      <w:tblGrid>
        <w:gridCol w:w="6185"/>
        <w:gridCol w:w="1141"/>
        <w:gridCol w:w="1134"/>
        <w:gridCol w:w="1276"/>
        <w:gridCol w:w="1274"/>
        <w:gridCol w:w="1056"/>
        <w:gridCol w:w="2818"/>
      </w:tblGrid>
      <w:tr w:rsidR="00DB4DA0" w:rsidRPr="00DB4DA0" w14:paraId="29843A81" w14:textId="77777777" w:rsidTr="00DB4DA0">
        <w:trPr>
          <w:trHeight w:val="283"/>
        </w:trPr>
        <w:tc>
          <w:tcPr>
            <w:tcW w:w="6185"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4A8F02AB"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6B6629EB"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4963075E"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71E89AC"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27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6994743B" w14:textId="25B415CC"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05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F3BF93C" w14:textId="213AE06E"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818"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3AD57207" w14:textId="77777777" w:rsidR="00064B10" w:rsidRPr="00DB4DA0" w:rsidRDefault="00064B10" w:rsidP="00064B10">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20"/>
              </w:rPr>
              <w:t>Notes</w:t>
            </w:r>
          </w:p>
        </w:tc>
      </w:tr>
      <w:tr w:rsidR="00806C10" w:rsidRPr="00803DB4" w14:paraId="342FE518" w14:textId="77777777" w:rsidTr="00806C10">
        <w:trPr>
          <w:trHeight w:val="669"/>
        </w:trPr>
        <w:tc>
          <w:tcPr>
            <w:tcW w:w="6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C53709" w14:textId="74CD77B7"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D3BBF" w14:textId="3FCE18EE"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A49E24F" w14:textId="609F40A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F7BB4F6" w14:textId="587F2832"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8.3%</w:t>
            </w:r>
          </w:p>
        </w:tc>
        <w:tc>
          <w:tcPr>
            <w:tcW w:w="1274" w:type="dxa"/>
            <w:tcBorders>
              <w:top w:val="single" w:sz="4" w:space="0" w:color="auto"/>
              <w:left w:val="nil"/>
              <w:bottom w:val="single" w:sz="4" w:space="0" w:color="auto"/>
              <w:right w:val="single" w:sz="4" w:space="0" w:color="auto"/>
            </w:tcBorders>
            <w:shd w:val="clear" w:color="auto" w:fill="auto"/>
            <w:vAlign w:val="center"/>
          </w:tcPr>
          <w:p w14:paraId="67DA070C" w14:textId="0E4A46C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056" w:type="dxa"/>
            <w:tcBorders>
              <w:top w:val="single" w:sz="4" w:space="0" w:color="auto"/>
              <w:left w:val="nil"/>
              <w:bottom w:val="single" w:sz="4" w:space="0" w:color="auto"/>
              <w:right w:val="single" w:sz="4" w:space="0" w:color="auto"/>
            </w:tcBorders>
            <w:shd w:val="clear" w:color="auto" w:fill="auto"/>
            <w:vAlign w:val="center"/>
          </w:tcPr>
          <w:p w14:paraId="324D54B7" w14:textId="15674F8E"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7C5E6"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803DB4" w14:paraId="045AAEAB" w14:textId="77777777" w:rsidTr="00806C10">
        <w:trPr>
          <w:trHeight w:val="410"/>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2C7489B6" w14:textId="0976A284"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0DD3C33E" w14:textId="5B532E2C"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49.2%</w:t>
            </w:r>
          </w:p>
        </w:tc>
        <w:tc>
          <w:tcPr>
            <w:tcW w:w="1134" w:type="dxa"/>
            <w:tcBorders>
              <w:top w:val="nil"/>
              <w:left w:val="nil"/>
              <w:bottom w:val="single" w:sz="4" w:space="0" w:color="auto"/>
              <w:right w:val="single" w:sz="4" w:space="0" w:color="auto"/>
            </w:tcBorders>
            <w:shd w:val="clear" w:color="auto" w:fill="auto"/>
            <w:noWrap/>
            <w:vAlign w:val="center"/>
          </w:tcPr>
          <w:p w14:paraId="0FF5D6E0" w14:textId="211F21F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48.7%</w:t>
            </w:r>
          </w:p>
        </w:tc>
        <w:tc>
          <w:tcPr>
            <w:tcW w:w="1276" w:type="dxa"/>
            <w:tcBorders>
              <w:top w:val="nil"/>
              <w:left w:val="nil"/>
              <w:bottom w:val="single" w:sz="4" w:space="0" w:color="auto"/>
              <w:right w:val="single" w:sz="4" w:space="0" w:color="auto"/>
            </w:tcBorders>
            <w:shd w:val="clear" w:color="auto" w:fill="auto"/>
            <w:noWrap/>
            <w:vAlign w:val="center"/>
          </w:tcPr>
          <w:p w14:paraId="65410F70" w14:textId="42676569"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48.2%</w:t>
            </w:r>
          </w:p>
        </w:tc>
        <w:tc>
          <w:tcPr>
            <w:tcW w:w="1274" w:type="dxa"/>
            <w:tcBorders>
              <w:top w:val="nil"/>
              <w:left w:val="nil"/>
              <w:bottom w:val="single" w:sz="4" w:space="0" w:color="auto"/>
              <w:right w:val="single" w:sz="4" w:space="0" w:color="auto"/>
            </w:tcBorders>
            <w:shd w:val="clear" w:color="auto" w:fill="auto"/>
            <w:vAlign w:val="center"/>
          </w:tcPr>
          <w:p w14:paraId="0BFA2125" w14:textId="074CFFA6"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056" w:type="dxa"/>
            <w:tcBorders>
              <w:top w:val="nil"/>
              <w:left w:val="nil"/>
              <w:bottom w:val="single" w:sz="4" w:space="0" w:color="auto"/>
              <w:right w:val="single" w:sz="4" w:space="0" w:color="auto"/>
            </w:tcBorders>
            <w:shd w:val="clear" w:color="auto" w:fill="auto"/>
            <w:vAlign w:val="center"/>
          </w:tcPr>
          <w:p w14:paraId="15D639AC" w14:textId="6331A79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566F3BEC"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3E28FA" w:rsidRPr="00803DB4" w14:paraId="24E5810A" w14:textId="77777777" w:rsidTr="00806C10">
        <w:trPr>
          <w:trHeight w:val="276"/>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25EB991C" w14:textId="1DDC31E4" w:rsidR="003E28FA" w:rsidRPr="00803DB4" w:rsidRDefault="003E28FA" w:rsidP="003E28FA">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5A5D897B" w14:textId="5AA8182D"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42.1%</w:t>
            </w:r>
          </w:p>
        </w:tc>
        <w:tc>
          <w:tcPr>
            <w:tcW w:w="1134" w:type="dxa"/>
            <w:tcBorders>
              <w:top w:val="nil"/>
              <w:left w:val="nil"/>
              <w:bottom w:val="single" w:sz="4" w:space="0" w:color="auto"/>
              <w:right w:val="single" w:sz="4" w:space="0" w:color="auto"/>
            </w:tcBorders>
            <w:shd w:val="clear" w:color="auto" w:fill="auto"/>
            <w:noWrap/>
            <w:vAlign w:val="center"/>
          </w:tcPr>
          <w:p w14:paraId="51702A5F" w14:textId="7DB464A3"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44.0%</w:t>
            </w:r>
          </w:p>
        </w:tc>
        <w:tc>
          <w:tcPr>
            <w:tcW w:w="1276" w:type="dxa"/>
            <w:tcBorders>
              <w:top w:val="nil"/>
              <w:left w:val="nil"/>
              <w:bottom w:val="single" w:sz="4" w:space="0" w:color="auto"/>
              <w:right w:val="single" w:sz="4" w:space="0" w:color="auto"/>
            </w:tcBorders>
            <w:shd w:val="clear" w:color="auto" w:fill="auto"/>
            <w:noWrap/>
            <w:vAlign w:val="center"/>
          </w:tcPr>
          <w:p w14:paraId="57164D8F" w14:textId="0C85CFCF"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45.7%</w:t>
            </w:r>
          </w:p>
        </w:tc>
        <w:tc>
          <w:tcPr>
            <w:tcW w:w="1274" w:type="dxa"/>
            <w:tcBorders>
              <w:top w:val="nil"/>
              <w:left w:val="nil"/>
              <w:bottom w:val="single" w:sz="4" w:space="0" w:color="auto"/>
              <w:right w:val="single" w:sz="4" w:space="0" w:color="auto"/>
            </w:tcBorders>
            <w:shd w:val="clear" w:color="auto" w:fill="auto"/>
            <w:vAlign w:val="center"/>
          </w:tcPr>
          <w:p w14:paraId="0DAA58FE" w14:textId="0481DECB"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47.3%</w:t>
            </w:r>
          </w:p>
        </w:tc>
        <w:tc>
          <w:tcPr>
            <w:tcW w:w="1056" w:type="dxa"/>
            <w:tcBorders>
              <w:top w:val="nil"/>
              <w:left w:val="nil"/>
              <w:bottom w:val="single" w:sz="4" w:space="0" w:color="auto"/>
              <w:right w:val="single" w:sz="4" w:space="0" w:color="auto"/>
            </w:tcBorders>
            <w:shd w:val="clear" w:color="auto" w:fill="auto"/>
            <w:vAlign w:val="center"/>
          </w:tcPr>
          <w:p w14:paraId="5B24CD48" w14:textId="054CB3C4"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48.8%</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2DE42829" w14:textId="77777777" w:rsidR="003E28FA" w:rsidRPr="00803DB4" w:rsidRDefault="003E28FA" w:rsidP="003E28FA">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3E28FA" w:rsidRPr="00803DB4" w14:paraId="0867BBCF" w14:textId="77777777" w:rsidTr="00806C10">
        <w:trPr>
          <w:trHeight w:val="425"/>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139435CD" w14:textId="04449CEE" w:rsidR="003E28FA" w:rsidRPr="00803DB4" w:rsidRDefault="003E28FA" w:rsidP="003E28FA">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37E0B2CB" w14:textId="6A992B82"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38.8%</w:t>
            </w:r>
          </w:p>
        </w:tc>
        <w:tc>
          <w:tcPr>
            <w:tcW w:w="1134" w:type="dxa"/>
            <w:tcBorders>
              <w:top w:val="nil"/>
              <w:left w:val="nil"/>
              <w:bottom w:val="single" w:sz="4" w:space="0" w:color="auto"/>
              <w:right w:val="single" w:sz="4" w:space="0" w:color="auto"/>
            </w:tcBorders>
            <w:shd w:val="clear" w:color="auto" w:fill="auto"/>
            <w:noWrap/>
            <w:vAlign w:val="center"/>
          </w:tcPr>
          <w:p w14:paraId="4237EDDD" w14:textId="11271B1B"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40.6%</w:t>
            </w:r>
          </w:p>
        </w:tc>
        <w:tc>
          <w:tcPr>
            <w:tcW w:w="1276" w:type="dxa"/>
            <w:tcBorders>
              <w:top w:val="nil"/>
              <w:left w:val="nil"/>
              <w:bottom w:val="single" w:sz="4" w:space="0" w:color="auto"/>
              <w:right w:val="single" w:sz="4" w:space="0" w:color="auto"/>
            </w:tcBorders>
            <w:shd w:val="clear" w:color="auto" w:fill="auto"/>
            <w:noWrap/>
            <w:vAlign w:val="center"/>
          </w:tcPr>
          <w:p w14:paraId="76AD0223" w14:textId="24479E79"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42.2%</w:t>
            </w:r>
          </w:p>
        </w:tc>
        <w:tc>
          <w:tcPr>
            <w:tcW w:w="1274" w:type="dxa"/>
            <w:tcBorders>
              <w:top w:val="nil"/>
              <w:left w:val="nil"/>
              <w:bottom w:val="single" w:sz="4" w:space="0" w:color="auto"/>
              <w:right w:val="single" w:sz="4" w:space="0" w:color="auto"/>
            </w:tcBorders>
            <w:shd w:val="clear" w:color="auto" w:fill="auto"/>
            <w:vAlign w:val="center"/>
          </w:tcPr>
          <w:p w14:paraId="6637E429" w14:textId="6A973C41"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43.7%</w:t>
            </w:r>
          </w:p>
        </w:tc>
        <w:tc>
          <w:tcPr>
            <w:tcW w:w="1056" w:type="dxa"/>
            <w:tcBorders>
              <w:top w:val="nil"/>
              <w:left w:val="nil"/>
              <w:bottom w:val="single" w:sz="4" w:space="0" w:color="auto"/>
              <w:right w:val="single" w:sz="4" w:space="0" w:color="auto"/>
            </w:tcBorders>
            <w:shd w:val="clear" w:color="auto" w:fill="auto"/>
            <w:vAlign w:val="center"/>
          </w:tcPr>
          <w:p w14:paraId="0938E505" w14:textId="46EF8193"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45.0%</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66B6A869" w14:textId="77777777" w:rsidR="003E28FA" w:rsidRPr="00803DB4" w:rsidRDefault="003E28FA" w:rsidP="003E28FA">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0E9CAAC0" w14:textId="77777777" w:rsidR="00030C0F" w:rsidRPr="00C42BB3" w:rsidRDefault="00030C0F" w:rsidP="00C42BB3">
      <w:pPr>
        <w:rPr>
          <w:rFonts w:ascii="Times New Roman" w:hAnsi="Times New Roman" w:cs="Times New Roman"/>
          <w:sz w:val="18"/>
          <w:szCs w:val="18"/>
          <w:shd w:val="clear" w:color="auto" w:fill="FFFFFF"/>
        </w:rPr>
      </w:pPr>
    </w:p>
    <w:p w14:paraId="2B4F4438" w14:textId="4985E2BA" w:rsidR="00030C0F" w:rsidRPr="00C42BB3" w:rsidRDefault="00030C0F" w:rsidP="00C42BB3">
      <w:pPr>
        <w:rPr>
          <w:rFonts w:ascii="Times New Roman" w:hAnsi="Times New Roman" w:cs="Times New Roman"/>
          <w:sz w:val="20"/>
          <w:szCs w:val="20"/>
        </w:rPr>
      </w:pPr>
      <w:r>
        <w:rPr>
          <w:rFonts w:ascii="Times New Roman" w:hAnsi="Times New Roman"/>
          <w:b/>
          <w:color w:val="000000"/>
          <w:sz w:val="20"/>
        </w:rPr>
        <w:t>Civil engineering (NACE code 42)</w:t>
      </w:r>
    </w:p>
    <w:tbl>
      <w:tblPr>
        <w:tblW w:w="14884" w:type="dxa"/>
        <w:tblInd w:w="-5" w:type="dxa"/>
        <w:tblLook w:val="04A0" w:firstRow="1" w:lastRow="0" w:firstColumn="1" w:lastColumn="0" w:noHBand="0" w:noVBand="1"/>
      </w:tblPr>
      <w:tblGrid>
        <w:gridCol w:w="6185"/>
        <w:gridCol w:w="1141"/>
        <w:gridCol w:w="1134"/>
        <w:gridCol w:w="1276"/>
        <w:gridCol w:w="1274"/>
        <w:gridCol w:w="1056"/>
        <w:gridCol w:w="2818"/>
      </w:tblGrid>
      <w:tr w:rsidR="00DB4DA0" w:rsidRPr="00DB4DA0" w14:paraId="6A1A7F92" w14:textId="77777777" w:rsidTr="00DB4DA0">
        <w:trPr>
          <w:trHeight w:val="283"/>
        </w:trPr>
        <w:tc>
          <w:tcPr>
            <w:tcW w:w="6185"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1AF8E23A"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590B824B"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29924C11"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6C7CF354"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27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08FBE7A" w14:textId="70AFC988"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05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58B0397" w14:textId="23CC3825"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818"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7115BDAD" w14:textId="77777777" w:rsidR="00064B10" w:rsidRPr="00DB4DA0" w:rsidRDefault="00064B10" w:rsidP="00064B10">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20"/>
              </w:rPr>
              <w:t>Notes</w:t>
            </w:r>
          </w:p>
        </w:tc>
      </w:tr>
      <w:tr w:rsidR="00806C10" w:rsidRPr="00803DB4" w14:paraId="13157C41" w14:textId="77777777" w:rsidTr="00806C10">
        <w:trPr>
          <w:trHeight w:val="597"/>
        </w:trPr>
        <w:tc>
          <w:tcPr>
            <w:tcW w:w="6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CE945" w14:textId="1AB76FD0"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DBEC1" w14:textId="600D64D6"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14.3%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77BBEEB" w14:textId="7CE23CCE"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14.8%</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157F7D1" w14:textId="0E43AD97"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15.3%</w:t>
            </w:r>
          </w:p>
        </w:tc>
        <w:tc>
          <w:tcPr>
            <w:tcW w:w="1274" w:type="dxa"/>
            <w:tcBorders>
              <w:top w:val="single" w:sz="4" w:space="0" w:color="auto"/>
              <w:left w:val="nil"/>
              <w:bottom w:val="single" w:sz="4" w:space="0" w:color="auto"/>
              <w:right w:val="single" w:sz="4" w:space="0" w:color="auto"/>
            </w:tcBorders>
            <w:shd w:val="clear" w:color="auto" w:fill="auto"/>
            <w:vAlign w:val="center"/>
          </w:tcPr>
          <w:p w14:paraId="16CADA7B" w14:textId="3FA8DD5E"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056" w:type="dxa"/>
            <w:tcBorders>
              <w:top w:val="single" w:sz="4" w:space="0" w:color="auto"/>
              <w:left w:val="nil"/>
              <w:bottom w:val="single" w:sz="4" w:space="0" w:color="auto"/>
              <w:right w:val="single" w:sz="4" w:space="0" w:color="auto"/>
            </w:tcBorders>
            <w:shd w:val="clear" w:color="auto" w:fill="auto"/>
            <w:vAlign w:val="center"/>
          </w:tcPr>
          <w:p w14:paraId="7F2C5415" w14:textId="7A1217A9"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29AB2"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803DB4" w14:paraId="558297B9" w14:textId="77777777" w:rsidTr="00806C10">
        <w:trPr>
          <w:trHeight w:val="410"/>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3A4C7812" w14:textId="01124B5C"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22A715B2" w14:textId="4AC67394"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53.0%</w:t>
            </w:r>
          </w:p>
        </w:tc>
        <w:tc>
          <w:tcPr>
            <w:tcW w:w="1134" w:type="dxa"/>
            <w:tcBorders>
              <w:top w:val="nil"/>
              <w:left w:val="nil"/>
              <w:bottom w:val="single" w:sz="4" w:space="0" w:color="auto"/>
              <w:right w:val="single" w:sz="4" w:space="0" w:color="auto"/>
            </w:tcBorders>
            <w:shd w:val="clear" w:color="auto" w:fill="auto"/>
            <w:noWrap/>
            <w:vAlign w:val="center"/>
          </w:tcPr>
          <w:p w14:paraId="7EF80841" w14:textId="3A4CE2B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52.5%</w:t>
            </w:r>
          </w:p>
        </w:tc>
        <w:tc>
          <w:tcPr>
            <w:tcW w:w="1276" w:type="dxa"/>
            <w:tcBorders>
              <w:top w:val="nil"/>
              <w:left w:val="nil"/>
              <w:bottom w:val="single" w:sz="4" w:space="0" w:color="auto"/>
              <w:right w:val="single" w:sz="4" w:space="0" w:color="auto"/>
            </w:tcBorders>
            <w:shd w:val="clear" w:color="auto" w:fill="auto"/>
            <w:noWrap/>
            <w:vAlign w:val="center"/>
          </w:tcPr>
          <w:p w14:paraId="0C61A778" w14:textId="32A13F52"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52.0%</w:t>
            </w:r>
          </w:p>
        </w:tc>
        <w:tc>
          <w:tcPr>
            <w:tcW w:w="1274" w:type="dxa"/>
            <w:tcBorders>
              <w:top w:val="nil"/>
              <w:left w:val="nil"/>
              <w:bottom w:val="single" w:sz="4" w:space="0" w:color="auto"/>
              <w:right w:val="single" w:sz="4" w:space="0" w:color="auto"/>
            </w:tcBorders>
            <w:shd w:val="clear" w:color="auto" w:fill="auto"/>
            <w:vAlign w:val="center"/>
          </w:tcPr>
          <w:p w14:paraId="196251D4" w14:textId="0454982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056" w:type="dxa"/>
            <w:tcBorders>
              <w:top w:val="nil"/>
              <w:left w:val="nil"/>
              <w:bottom w:val="single" w:sz="4" w:space="0" w:color="auto"/>
              <w:right w:val="single" w:sz="4" w:space="0" w:color="auto"/>
            </w:tcBorders>
            <w:shd w:val="clear" w:color="auto" w:fill="auto"/>
            <w:vAlign w:val="center"/>
          </w:tcPr>
          <w:p w14:paraId="6BEA046F" w14:textId="49A76C1D"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0BB90F0A"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3E28FA" w:rsidRPr="00803DB4" w14:paraId="2BF956C9" w14:textId="77777777" w:rsidTr="00806C10">
        <w:trPr>
          <w:trHeight w:val="276"/>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0E036AAD" w14:textId="0EB4ECB3" w:rsidR="003E28FA" w:rsidRPr="00803DB4" w:rsidRDefault="003E28FA" w:rsidP="003E28FA">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342039DA" w14:textId="396ACF22"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63.1%</w:t>
            </w:r>
          </w:p>
        </w:tc>
        <w:tc>
          <w:tcPr>
            <w:tcW w:w="1134" w:type="dxa"/>
            <w:tcBorders>
              <w:top w:val="nil"/>
              <w:left w:val="nil"/>
              <w:bottom w:val="single" w:sz="4" w:space="0" w:color="auto"/>
              <w:right w:val="single" w:sz="4" w:space="0" w:color="auto"/>
            </w:tcBorders>
            <w:shd w:val="clear" w:color="auto" w:fill="auto"/>
            <w:noWrap/>
            <w:vAlign w:val="center"/>
          </w:tcPr>
          <w:p w14:paraId="53583337" w14:textId="51991980"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64.3%</w:t>
            </w:r>
          </w:p>
        </w:tc>
        <w:tc>
          <w:tcPr>
            <w:tcW w:w="1276" w:type="dxa"/>
            <w:tcBorders>
              <w:top w:val="nil"/>
              <w:left w:val="nil"/>
              <w:bottom w:val="single" w:sz="4" w:space="0" w:color="auto"/>
              <w:right w:val="single" w:sz="4" w:space="0" w:color="auto"/>
            </w:tcBorders>
            <w:shd w:val="clear" w:color="auto" w:fill="auto"/>
            <w:noWrap/>
            <w:vAlign w:val="center"/>
          </w:tcPr>
          <w:p w14:paraId="79B1A8B5" w14:textId="79742EA5"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65.4%</w:t>
            </w:r>
          </w:p>
        </w:tc>
        <w:tc>
          <w:tcPr>
            <w:tcW w:w="1274" w:type="dxa"/>
            <w:tcBorders>
              <w:top w:val="nil"/>
              <w:left w:val="nil"/>
              <w:bottom w:val="single" w:sz="4" w:space="0" w:color="auto"/>
              <w:right w:val="single" w:sz="4" w:space="0" w:color="auto"/>
            </w:tcBorders>
            <w:shd w:val="clear" w:color="auto" w:fill="auto"/>
            <w:vAlign w:val="center"/>
          </w:tcPr>
          <w:p w14:paraId="2FA21EE4" w14:textId="792E6666"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66.4%</w:t>
            </w:r>
          </w:p>
        </w:tc>
        <w:tc>
          <w:tcPr>
            <w:tcW w:w="1056" w:type="dxa"/>
            <w:tcBorders>
              <w:top w:val="nil"/>
              <w:left w:val="nil"/>
              <w:bottom w:val="single" w:sz="4" w:space="0" w:color="auto"/>
              <w:right w:val="single" w:sz="4" w:space="0" w:color="auto"/>
            </w:tcBorders>
            <w:shd w:val="clear" w:color="auto" w:fill="auto"/>
            <w:vAlign w:val="center"/>
          </w:tcPr>
          <w:p w14:paraId="7987E379" w14:textId="041B5E01"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67.3%</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6D2E8035" w14:textId="77777777" w:rsidR="003E28FA" w:rsidRPr="00803DB4" w:rsidRDefault="003E28FA" w:rsidP="003E28FA">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3E28FA" w:rsidRPr="00803DB4" w14:paraId="1438B3B9" w14:textId="77777777" w:rsidTr="00806C10">
        <w:trPr>
          <w:trHeight w:val="149"/>
        </w:trPr>
        <w:tc>
          <w:tcPr>
            <w:tcW w:w="6185" w:type="dxa"/>
            <w:tcBorders>
              <w:top w:val="nil"/>
              <w:left w:val="single" w:sz="4" w:space="0" w:color="auto"/>
              <w:bottom w:val="single" w:sz="4" w:space="0" w:color="auto"/>
              <w:right w:val="single" w:sz="4" w:space="0" w:color="auto"/>
            </w:tcBorders>
            <w:shd w:val="clear" w:color="auto" w:fill="auto"/>
            <w:vAlign w:val="center"/>
            <w:hideMark/>
          </w:tcPr>
          <w:p w14:paraId="1783154B" w14:textId="08C8BF1E" w:rsidR="003E28FA" w:rsidRPr="00803DB4" w:rsidRDefault="003E28FA" w:rsidP="003E28FA">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1AD4A189" w14:textId="28F20516"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61.1%</w:t>
            </w:r>
          </w:p>
        </w:tc>
        <w:tc>
          <w:tcPr>
            <w:tcW w:w="1134" w:type="dxa"/>
            <w:tcBorders>
              <w:top w:val="nil"/>
              <w:left w:val="nil"/>
              <w:bottom w:val="single" w:sz="4" w:space="0" w:color="auto"/>
              <w:right w:val="single" w:sz="4" w:space="0" w:color="auto"/>
            </w:tcBorders>
            <w:shd w:val="clear" w:color="auto" w:fill="auto"/>
            <w:noWrap/>
            <w:vAlign w:val="center"/>
          </w:tcPr>
          <w:p w14:paraId="6A45BC97" w14:textId="67B9E3B9"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62.3%</w:t>
            </w:r>
          </w:p>
        </w:tc>
        <w:tc>
          <w:tcPr>
            <w:tcW w:w="1276" w:type="dxa"/>
            <w:tcBorders>
              <w:top w:val="nil"/>
              <w:left w:val="nil"/>
              <w:bottom w:val="single" w:sz="4" w:space="0" w:color="auto"/>
              <w:right w:val="single" w:sz="4" w:space="0" w:color="auto"/>
            </w:tcBorders>
            <w:shd w:val="clear" w:color="auto" w:fill="auto"/>
            <w:noWrap/>
            <w:vAlign w:val="center"/>
          </w:tcPr>
          <w:p w14:paraId="1060D310" w14:textId="61621C07" w:rsidR="003E28FA" w:rsidRPr="00803DB4" w:rsidRDefault="003E28FA" w:rsidP="003E28FA">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63.3%</w:t>
            </w:r>
          </w:p>
        </w:tc>
        <w:tc>
          <w:tcPr>
            <w:tcW w:w="1274" w:type="dxa"/>
            <w:tcBorders>
              <w:top w:val="nil"/>
              <w:left w:val="nil"/>
              <w:bottom w:val="single" w:sz="4" w:space="0" w:color="auto"/>
              <w:right w:val="single" w:sz="4" w:space="0" w:color="auto"/>
            </w:tcBorders>
            <w:shd w:val="clear" w:color="auto" w:fill="auto"/>
            <w:vAlign w:val="center"/>
          </w:tcPr>
          <w:p w14:paraId="6D8DB6FF" w14:textId="0BDA20FF"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64.3%</w:t>
            </w:r>
          </w:p>
        </w:tc>
        <w:tc>
          <w:tcPr>
            <w:tcW w:w="1056" w:type="dxa"/>
            <w:tcBorders>
              <w:top w:val="nil"/>
              <w:left w:val="nil"/>
              <w:bottom w:val="single" w:sz="4" w:space="0" w:color="auto"/>
              <w:right w:val="single" w:sz="4" w:space="0" w:color="auto"/>
            </w:tcBorders>
            <w:shd w:val="clear" w:color="auto" w:fill="auto"/>
            <w:vAlign w:val="center"/>
          </w:tcPr>
          <w:p w14:paraId="70B23897" w14:textId="4A30920E" w:rsidR="003E28FA" w:rsidRPr="00803DB4" w:rsidRDefault="003E28FA"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65.1%</w:t>
            </w:r>
          </w:p>
        </w:tc>
        <w:tc>
          <w:tcPr>
            <w:tcW w:w="2818" w:type="dxa"/>
            <w:tcBorders>
              <w:top w:val="nil"/>
              <w:left w:val="single" w:sz="4" w:space="0" w:color="auto"/>
              <w:bottom w:val="single" w:sz="4" w:space="0" w:color="auto"/>
              <w:right w:val="single" w:sz="4" w:space="0" w:color="auto"/>
            </w:tcBorders>
            <w:shd w:val="clear" w:color="auto" w:fill="auto"/>
            <w:vAlign w:val="center"/>
            <w:hideMark/>
          </w:tcPr>
          <w:p w14:paraId="0031DEB0" w14:textId="77777777" w:rsidR="003E28FA" w:rsidRPr="00803DB4" w:rsidRDefault="003E28FA" w:rsidP="003E28FA">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5E537302" w14:textId="77777777" w:rsidR="00030C0F" w:rsidRDefault="00030C0F" w:rsidP="00030C0F">
      <w:pPr>
        <w:rPr>
          <w:rFonts w:ascii="Times New Roman" w:hAnsi="Times New Roman" w:cs="Times New Roman"/>
          <w:sz w:val="20"/>
          <w:szCs w:val="20"/>
          <w:shd w:val="clear" w:color="auto" w:fill="FFFFFF"/>
        </w:rPr>
      </w:pPr>
    </w:p>
    <w:p w14:paraId="5FCF3E0C" w14:textId="77777777" w:rsidR="00C42BB3" w:rsidRDefault="00C42BB3" w:rsidP="00030C0F">
      <w:pPr>
        <w:rPr>
          <w:rFonts w:ascii="Times New Roman" w:hAnsi="Times New Roman" w:cs="Times New Roman"/>
          <w:sz w:val="20"/>
          <w:szCs w:val="20"/>
          <w:shd w:val="clear" w:color="auto" w:fill="FFFFFF"/>
        </w:rPr>
      </w:pPr>
    </w:p>
    <w:p w14:paraId="2F02D2A5" w14:textId="77777777" w:rsidR="00C42BB3" w:rsidRDefault="00C42BB3" w:rsidP="00030C0F">
      <w:pPr>
        <w:rPr>
          <w:rFonts w:ascii="Times New Roman" w:hAnsi="Times New Roman" w:cs="Times New Roman"/>
          <w:sz w:val="20"/>
          <w:szCs w:val="20"/>
          <w:shd w:val="clear" w:color="auto" w:fill="FFFFFF"/>
        </w:rPr>
      </w:pPr>
    </w:p>
    <w:p w14:paraId="2006A8BF" w14:textId="77777777" w:rsidR="00C42BB3" w:rsidRDefault="00C42BB3" w:rsidP="00030C0F">
      <w:pPr>
        <w:rPr>
          <w:rFonts w:ascii="Times New Roman" w:hAnsi="Times New Roman" w:cs="Times New Roman"/>
          <w:sz w:val="20"/>
          <w:szCs w:val="20"/>
          <w:shd w:val="clear" w:color="auto" w:fill="FFFFFF"/>
        </w:rPr>
      </w:pPr>
    </w:p>
    <w:p w14:paraId="6ABF54F5" w14:textId="77777777" w:rsidR="00C42BB3" w:rsidRDefault="00C42BB3" w:rsidP="00030C0F">
      <w:pPr>
        <w:rPr>
          <w:rFonts w:ascii="Times New Roman" w:hAnsi="Times New Roman" w:cs="Times New Roman"/>
          <w:sz w:val="20"/>
          <w:szCs w:val="20"/>
          <w:shd w:val="clear" w:color="auto" w:fill="FFFFFF"/>
        </w:rPr>
      </w:pPr>
    </w:p>
    <w:p w14:paraId="2D28C965" w14:textId="77777777" w:rsidR="00803DB4" w:rsidRDefault="00803DB4" w:rsidP="00030C0F">
      <w:pPr>
        <w:rPr>
          <w:rFonts w:ascii="Times New Roman" w:hAnsi="Times New Roman" w:cs="Times New Roman"/>
          <w:sz w:val="20"/>
          <w:szCs w:val="20"/>
          <w:shd w:val="clear" w:color="auto" w:fill="FFFFFF"/>
        </w:rPr>
      </w:pPr>
    </w:p>
    <w:p w14:paraId="228C2230" w14:textId="77777777" w:rsidR="00803DB4" w:rsidRDefault="00803DB4" w:rsidP="00030C0F">
      <w:pPr>
        <w:rPr>
          <w:rFonts w:ascii="Times New Roman" w:hAnsi="Times New Roman" w:cs="Times New Roman"/>
          <w:sz w:val="20"/>
          <w:szCs w:val="20"/>
          <w:shd w:val="clear" w:color="auto" w:fill="FFFFFF"/>
        </w:rPr>
      </w:pPr>
    </w:p>
    <w:p w14:paraId="427001C7" w14:textId="48E01305" w:rsidR="00030C0F" w:rsidRPr="00D11D7B" w:rsidRDefault="00030C0F" w:rsidP="00030C0F">
      <w:pPr>
        <w:rPr>
          <w:sz w:val="20"/>
          <w:szCs w:val="20"/>
        </w:rPr>
      </w:pPr>
      <w:r>
        <w:rPr>
          <w:rFonts w:ascii="Times New Roman" w:hAnsi="Times New Roman"/>
          <w:b/>
          <w:color w:val="000000"/>
          <w:sz w:val="20"/>
        </w:rPr>
        <w:t>Specialised construction activities (NACE code 43)</w:t>
      </w:r>
    </w:p>
    <w:tbl>
      <w:tblPr>
        <w:tblW w:w="14884" w:type="dxa"/>
        <w:tblInd w:w="-5" w:type="dxa"/>
        <w:tblLook w:val="04A0" w:firstRow="1" w:lastRow="0" w:firstColumn="1" w:lastColumn="0" w:noHBand="0" w:noVBand="1"/>
      </w:tblPr>
      <w:tblGrid>
        <w:gridCol w:w="6232"/>
        <w:gridCol w:w="1141"/>
        <w:gridCol w:w="1134"/>
        <w:gridCol w:w="1276"/>
        <w:gridCol w:w="1134"/>
        <w:gridCol w:w="1134"/>
        <w:gridCol w:w="2833"/>
      </w:tblGrid>
      <w:tr w:rsidR="00DB4DA0" w:rsidRPr="00DB4DA0" w14:paraId="2BF193D0" w14:textId="77777777" w:rsidTr="00DB4DA0">
        <w:trPr>
          <w:trHeight w:val="283"/>
        </w:trPr>
        <w:tc>
          <w:tcPr>
            <w:tcW w:w="6232"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5E010A7B"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68FBECB2"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23B4449A"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55B89CEA"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26689619" w14:textId="1793AED5"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55315CD" w14:textId="75F5EA9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833"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2F780F59"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Notes</w:t>
            </w:r>
          </w:p>
        </w:tc>
      </w:tr>
      <w:tr w:rsidR="00806C10" w:rsidRPr="00803DB4" w14:paraId="7E977E8A" w14:textId="77777777" w:rsidTr="00806C10">
        <w:trPr>
          <w:trHeight w:val="734"/>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05B2A" w14:textId="4682F10B"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65AD7" w14:textId="45088FAD"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8791E4" w14:textId="747CA9A6"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8.4%</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5F4C2FB" w14:textId="6D85424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8.9%</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E8C0EC" w14:textId="1C791CA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3DD7E2" w14:textId="552CD3D3"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FAAC8"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803DB4" w14:paraId="0A930DB1" w14:textId="77777777" w:rsidTr="00806C10">
        <w:trPr>
          <w:trHeight w:val="41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4DE63B4" w14:textId="17DBAEC0"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32A3B5B3" w14:textId="6C6C8E4A"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51.1%</w:t>
            </w:r>
          </w:p>
        </w:tc>
        <w:tc>
          <w:tcPr>
            <w:tcW w:w="1134" w:type="dxa"/>
            <w:tcBorders>
              <w:top w:val="nil"/>
              <w:left w:val="nil"/>
              <w:bottom w:val="single" w:sz="4" w:space="0" w:color="auto"/>
              <w:right w:val="single" w:sz="4" w:space="0" w:color="auto"/>
            </w:tcBorders>
            <w:shd w:val="clear" w:color="auto" w:fill="auto"/>
            <w:noWrap/>
            <w:vAlign w:val="center"/>
          </w:tcPr>
          <w:p w14:paraId="4D7E6E8A" w14:textId="1B9B98D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50.6%</w:t>
            </w:r>
          </w:p>
        </w:tc>
        <w:tc>
          <w:tcPr>
            <w:tcW w:w="1276" w:type="dxa"/>
            <w:tcBorders>
              <w:top w:val="nil"/>
              <w:left w:val="nil"/>
              <w:bottom w:val="single" w:sz="4" w:space="0" w:color="auto"/>
              <w:right w:val="single" w:sz="4" w:space="0" w:color="auto"/>
            </w:tcBorders>
            <w:shd w:val="clear" w:color="auto" w:fill="auto"/>
            <w:noWrap/>
            <w:vAlign w:val="center"/>
          </w:tcPr>
          <w:p w14:paraId="06638E29" w14:textId="3B43D9A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50.1%</w:t>
            </w:r>
          </w:p>
        </w:tc>
        <w:tc>
          <w:tcPr>
            <w:tcW w:w="1134" w:type="dxa"/>
            <w:tcBorders>
              <w:top w:val="nil"/>
              <w:left w:val="nil"/>
              <w:bottom w:val="single" w:sz="4" w:space="0" w:color="auto"/>
              <w:right w:val="single" w:sz="4" w:space="0" w:color="auto"/>
            </w:tcBorders>
            <w:shd w:val="clear" w:color="auto" w:fill="auto"/>
            <w:vAlign w:val="center"/>
          </w:tcPr>
          <w:p w14:paraId="34516F32" w14:textId="7B829A4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nil"/>
              <w:left w:val="nil"/>
              <w:bottom w:val="single" w:sz="4" w:space="0" w:color="auto"/>
              <w:right w:val="single" w:sz="4" w:space="0" w:color="auto"/>
            </w:tcBorders>
            <w:shd w:val="clear" w:color="auto" w:fill="auto"/>
            <w:vAlign w:val="center"/>
          </w:tcPr>
          <w:p w14:paraId="3323A2C3" w14:textId="1581955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7927E542"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6D4E73" w:rsidRPr="00803DB4" w14:paraId="64338F3C" w14:textId="77777777" w:rsidTr="00806C10">
        <w:trPr>
          <w:trHeight w:val="27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680E464" w14:textId="085FADC5"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59C6A6CB" w14:textId="1079A23C"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34.5%</w:t>
            </w:r>
          </w:p>
        </w:tc>
        <w:tc>
          <w:tcPr>
            <w:tcW w:w="1134" w:type="dxa"/>
            <w:tcBorders>
              <w:top w:val="nil"/>
              <w:left w:val="nil"/>
              <w:bottom w:val="single" w:sz="4" w:space="0" w:color="auto"/>
              <w:right w:val="single" w:sz="4" w:space="0" w:color="auto"/>
            </w:tcBorders>
            <w:shd w:val="clear" w:color="auto" w:fill="auto"/>
            <w:noWrap/>
            <w:vAlign w:val="center"/>
          </w:tcPr>
          <w:p w14:paraId="34F9AB1D" w14:textId="2551A101"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36.2%</w:t>
            </w:r>
          </w:p>
        </w:tc>
        <w:tc>
          <w:tcPr>
            <w:tcW w:w="1276" w:type="dxa"/>
            <w:tcBorders>
              <w:top w:val="nil"/>
              <w:left w:val="nil"/>
              <w:bottom w:val="single" w:sz="4" w:space="0" w:color="auto"/>
              <w:right w:val="single" w:sz="4" w:space="0" w:color="auto"/>
            </w:tcBorders>
            <w:shd w:val="clear" w:color="auto" w:fill="auto"/>
            <w:noWrap/>
            <w:vAlign w:val="center"/>
          </w:tcPr>
          <w:p w14:paraId="69264A8E" w14:textId="479A6899"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37.7%</w:t>
            </w:r>
          </w:p>
        </w:tc>
        <w:tc>
          <w:tcPr>
            <w:tcW w:w="1134" w:type="dxa"/>
            <w:tcBorders>
              <w:top w:val="nil"/>
              <w:left w:val="nil"/>
              <w:bottom w:val="single" w:sz="4" w:space="0" w:color="auto"/>
              <w:right w:val="single" w:sz="4" w:space="0" w:color="auto"/>
            </w:tcBorders>
            <w:shd w:val="clear" w:color="auto" w:fill="auto"/>
            <w:vAlign w:val="center"/>
          </w:tcPr>
          <w:p w14:paraId="7D070D50" w14:textId="09AB8921"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39.0%</w:t>
            </w:r>
          </w:p>
        </w:tc>
        <w:tc>
          <w:tcPr>
            <w:tcW w:w="1134" w:type="dxa"/>
            <w:tcBorders>
              <w:top w:val="nil"/>
              <w:left w:val="nil"/>
              <w:bottom w:val="single" w:sz="4" w:space="0" w:color="auto"/>
              <w:right w:val="single" w:sz="4" w:space="0" w:color="auto"/>
            </w:tcBorders>
            <w:shd w:val="clear" w:color="auto" w:fill="auto"/>
            <w:vAlign w:val="center"/>
          </w:tcPr>
          <w:p w14:paraId="1296AD34" w14:textId="14B87EC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40.3%</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397F502D"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6D4E73" w:rsidRPr="00803DB4" w14:paraId="20492003" w14:textId="77777777" w:rsidTr="00806C10">
        <w:trPr>
          <w:trHeight w:val="6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90AD62D" w14:textId="07CF94DE"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1FC74CF9" w14:textId="04E425DC"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32.3%</w:t>
            </w:r>
          </w:p>
        </w:tc>
        <w:tc>
          <w:tcPr>
            <w:tcW w:w="1134" w:type="dxa"/>
            <w:tcBorders>
              <w:top w:val="nil"/>
              <w:left w:val="nil"/>
              <w:bottom w:val="single" w:sz="4" w:space="0" w:color="auto"/>
              <w:right w:val="single" w:sz="4" w:space="0" w:color="auto"/>
            </w:tcBorders>
            <w:shd w:val="clear" w:color="auto" w:fill="auto"/>
            <w:noWrap/>
            <w:vAlign w:val="center"/>
          </w:tcPr>
          <w:p w14:paraId="3BE0B104" w14:textId="3F8D17A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33.9%</w:t>
            </w:r>
          </w:p>
        </w:tc>
        <w:tc>
          <w:tcPr>
            <w:tcW w:w="1276" w:type="dxa"/>
            <w:tcBorders>
              <w:top w:val="nil"/>
              <w:left w:val="nil"/>
              <w:bottom w:val="single" w:sz="4" w:space="0" w:color="auto"/>
              <w:right w:val="single" w:sz="4" w:space="0" w:color="auto"/>
            </w:tcBorders>
            <w:shd w:val="clear" w:color="auto" w:fill="auto"/>
            <w:noWrap/>
            <w:vAlign w:val="center"/>
          </w:tcPr>
          <w:p w14:paraId="35F3C803" w14:textId="22D22EE0"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35.3%</w:t>
            </w:r>
          </w:p>
        </w:tc>
        <w:tc>
          <w:tcPr>
            <w:tcW w:w="1134" w:type="dxa"/>
            <w:tcBorders>
              <w:top w:val="nil"/>
              <w:left w:val="nil"/>
              <w:bottom w:val="single" w:sz="4" w:space="0" w:color="auto"/>
              <w:right w:val="single" w:sz="4" w:space="0" w:color="auto"/>
            </w:tcBorders>
            <w:shd w:val="clear" w:color="auto" w:fill="auto"/>
            <w:vAlign w:val="center"/>
          </w:tcPr>
          <w:p w14:paraId="644CE198" w14:textId="745D17D8"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36.6%</w:t>
            </w:r>
          </w:p>
        </w:tc>
        <w:tc>
          <w:tcPr>
            <w:tcW w:w="1134" w:type="dxa"/>
            <w:tcBorders>
              <w:top w:val="nil"/>
              <w:left w:val="nil"/>
              <w:bottom w:val="single" w:sz="4" w:space="0" w:color="auto"/>
              <w:right w:val="single" w:sz="4" w:space="0" w:color="auto"/>
            </w:tcBorders>
            <w:shd w:val="clear" w:color="auto" w:fill="auto"/>
            <w:vAlign w:val="center"/>
          </w:tcPr>
          <w:p w14:paraId="7477817F" w14:textId="3268BCD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37.8%</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27AFD9F4"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305DD9AC" w14:textId="77777777" w:rsidR="00030C0F" w:rsidRPr="00803DB4" w:rsidRDefault="00030C0F" w:rsidP="00030C0F">
      <w:pPr>
        <w:rPr>
          <w:rFonts w:ascii="Times New Roman" w:hAnsi="Times New Roman" w:cs="Times New Roman"/>
          <w:sz w:val="16"/>
          <w:szCs w:val="16"/>
          <w:shd w:val="clear" w:color="auto" w:fill="FFFFFF"/>
        </w:rPr>
      </w:pPr>
    </w:p>
    <w:p w14:paraId="14579304" w14:textId="77777777" w:rsidR="00030C0F" w:rsidRPr="00C42BB3" w:rsidRDefault="00030C0F" w:rsidP="00030C0F">
      <w:pPr>
        <w:rPr>
          <w:sz w:val="20"/>
          <w:szCs w:val="20"/>
        </w:rPr>
      </w:pPr>
      <w:r>
        <w:rPr>
          <w:rFonts w:ascii="Times New Roman" w:hAnsi="Times New Roman"/>
          <w:b/>
          <w:color w:val="000000"/>
          <w:sz w:val="20"/>
        </w:rPr>
        <w:t>Wholesale trade, except of motor vehicles and motorcycles (NACE code 46)</w:t>
      </w:r>
    </w:p>
    <w:tbl>
      <w:tblPr>
        <w:tblW w:w="14884" w:type="dxa"/>
        <w:tblInd w:w="-5" w:type="dxa"/>
        <w:tblLook w:val="04A0" w:firstRow="1" w:lastRow="0" w:firstColumn="1" w:lastColumn="0" w:noHBand="0" w:noVBand="1"/>
      </w:tblPr>
      <w:tblGrid>
        <w:gridCol w:w="6232"/>
        <w:gridCol w:w="1141"/>
        <w:gridCol w:w="1134"/>
        <w:gridCol w:w="1276"/>
        <w:gridCol w:w="1134"/>
        <w:gridCol w:w="1134"/>
        <w:gridCol w:w="2833"/>
      </w:tblGrid>
      <w:tr w:rsidR="00DB4DA0" w:rsidRPr="00DB4DA0" w14:paraId="74903925" w14:textId="77777777" w:rsidTr="00DB4DA0">
        <w:trPr>
          <w:trHeight w:val="283"/>
        </w:trPr>
        <w:tc>
          <w:tcPr>
            <w:tcW w:w="6232"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7EAFC42F"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38064712"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63E14B17"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550A8B1E"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087EEF8" w14:textId="517B6218"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49E7573E" w14:textId="110512D5"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833"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4B0AB360"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Notes</w:t>
            </w:r>
          </w:p>
        </w:tc>
      </w:tr>
      <w:tr w:rsidR="00806C10" w:rsidRPr="00803DB4" w14:paraId="3970F12E" w14:textId="77777777" w:rsidTr="00806C10">
        <w:trPr>
          <w:trHeight w:val="611"/>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D4763" w14:textId="3A332909"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8800D" w14:textId="03804C4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B53974" w14:textId="6BFB9D81"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14.7%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6A02F7" w14:textId="2ED649E9"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15.2%</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007FD1" w14:textId="598E750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33456B6" w14:textId="50462787"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F392C"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803DB4" w14:paraId="0BC1219A" w14:textId="77777777" w:rsidTr="00806C10">
        <w:trPr>
          <w:trHeight w:val="41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CE131EA" w14:textId="471F63AA"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2644C21D" w14:textId="7339E751"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49.9%</w:t>
            </w:r>
          </w:p>
        </w:tc>
        <w:tc>
          <w:tcPr>
            <w:tcW w:w="1134" w:type="dxa"/>
            <w:tcBorders>
              <w:top w:val="nil"/>
              <w:left w:val="nil"/>
              <w:bottom w:val="single" w:sz="4" w:space="0" w:color="auto"/>
              <w:right w:val="single" w:sz="4" w:space="0" w:color="auto"/>
            </w:tcBorders>
            <w:shd w:val="clear" w:color="auto" w:fill="auto"/>
            <w:noWrap/>
            <w:vAlign w:val="center"/>
          </w:tcPr>
          <w:p w14:paraId="36D79FCA" w14:textId="0F6C037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49.4%</w:t>
            </w:r>
          </w:p>
        </w:tc>
        <w:tc>
          <w:tcPr>
            <w:tcW w:w="1276" w:type="dxa"/>
            <w:tcBorders>
              <w:top w:val="nil"/>
              <w:left w:val="nil"/>
              <w:bottom w:val="single" w:sz="4" w:space="0" w:color="auto"/>
              <w:right w:val="single" w:sz="4" w:space="0" w:color="auto"/>
            </w:tcBorders>
            <w:shd w:val="clear" w:color="auto" w:fill="auto"/>
            <w:noWrap/>
            <w:vAlign w:val="center"/>
          </w:tcPr>
          <w:p w14:paraId="0919C647" w14:textId="3DCDD282"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48.9%</w:t>
            </w:r>
          </w:p>
        </w:tc>
        <w:tc>
          <w:tcPr>
            <w:tcW w:w="1134" w:type="dxa"/>
            <w:tcBorders>
              <w:top w:val="nil"/>
              <w:left w:val="nil"/>
              <w:bottom w:val="single" w:sz="4" w:space="0" w:color="auto"/>
              <w:right w:val="single" w:sz="4" w:space="0" w:color="auto"/>
            </w:tcBorders>
            <w:shd w:val="clear" w:color="auto" w:fill="auto"/>
            <w:vAlign w:val="center"/>
          </w:tcPr>
          <w:p w14:paraId="3CD8469E" w14:textId="4BCDDE7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nil"/>
              <w:left w:val="nil"/>
              <w:bottom w:val="single" w:sz="4" w:space="0" w:color="auto"/>
              <w:right w:val="single" w:sz="4" w:space="0" w:color="auto"/>
            </w:tcBorders>
            <w:shd w:val="clear" w:color="auto" w:fill="auto"/>
            <w:vAlign w:val="center"/>
          </w:tcPr>
          <w:p w14:paraId="5019F769" w14:textId="2D2D3ADA"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0F355316"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6D4E73" w:rsidRPr="00803DB4" w14:paraId="09B37D71" w14:textId="77777777" w:rsidTr="00806C10">
        <w:trPr>
          <w:trHeight w:val="27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B32C3AD" w14:textId="19C42976"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35897633" w14:textId="0A422B9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53.0%</w:t>
            </w:r>
          </w:p>
        </w:tc>
        <w:tc>
          <w:tcPr>
            <w:tcW w:w="1134" w:type="dxa"/>
            <w:tcBorders>
              <w:top w:val="nil"/>
              <w:left w:val="nil"/>
              <w:bottom w:val="single" w:sz="4" w:space="0" w:color="auto"/>
              <w:right w:val="single" w:sz="4" w:space="0" w:color="auto"/>
            </w:tcBorders>
            <w:shd w:val="clear" w:color="auto" w:fill="auto"/>
            <w:noWrap/>
            <w:vAlign w:val="center"/>
          </w:tcPr>
          <w:p w14:paraId="75885EC3" w14:textId="278FE8A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54.0%</w:t>
            </w:r>
          </w:p>
        </w:tc>
        <w:tc>
          <w:tcPr>
            <w:tcW w:w="1276" w:type="dxa"/>
            <w:tcBorders>
              <w:top w:val="nil"/>
              <w:left w:val="nil"/>
              <w:bottom w:val="single" w:sz="4" w:space="0" w:color="auto"/>
              <w:right w:val="single" w:sz="4" w:space="0" w:color="auto"/>
            </w:tcBorders>
            <w:shd w:val="clear" w:color="auto" w:fill="auto"/>
            <w:noWrap/>
            <w:vAlign w:val="center"/>
          </w:tcPr>
          <w:p w14:paraId="0BA84FAF" w14:textId="56DCEE23"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56.0%</w:t>
            </w:r>
          </w:p>
        </w:tc>
        <w:tc>
          <w:tcPr>
            <w:tcW w:w="1134" w:type="dxa"/>
            <w:tcBorders>
              <w:top w:val="nil"/>
              <w:left w:val="nil"/>
              <w:bottom w:val="single" w:sz="4" w:space="0" w:color="auto"/>
              <w:right w:val="single" w:sz="4" w:space="0" w:color="auto"/>
            </w:tcBorders>
            <w:shd w:val="clear" w:color="auto" w:fill="auto"/>
            <w:vAlign w:val="center"/>
          </w:tcPr>
          <w:p w14:paraId="5305B554" w14:textId="74A899A4"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57.8%</w:t>
            </w:r>
          </w:p>
        </w:tc>
        <w:tc>
          <w:tcPr>
            <w:tcW w:w="1134" w:type="dxa"/>
            <w:tcBorders>
              <w:top w:val="nil"/>
              <w:left w:val="nil"/>
              <w:bottom w:val="single" w:sz="4" w:space="0" w:color="auto"/>
              <w:right w:val="single" w:sz="4" w:space="0" w:color="auto"/>
            </w:tcBorders>
            <w:shd w:val="clear" w:color="auto" w:fill="auto"/>
            <w:vAlign w:val="center"/>
          </w:tcPr>
          <w:p w14:paraId="1D0A3FAB" w14:textId="031B1C1F"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59.3%</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2D394908"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6D4E73" w:rsidRPr="00803DB4" w14:paraId="0D025256" w14:textId="77777777" w:rsidTr="00806C10">
        <w:trPr>
          <w:trHeight w:val="9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5E0211B" w14:textId="1FD15059"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4262E678" w14:textId="4212885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51.0%</w:t>
            </w:r>
          </w:p>
        </w:tc>
        <w:tc>
          <w:tcPr>
            <w:tcW w:w="1134" w:type="dxa"/>
            <w:tcBorders>
              <w:top w:val="nil"/>
              <w:left w:val="nil"/>
              <w:bottom w:val="single" w:sz="4" w:space="0" w:color="auto"/>
              <w:right w:val="single" w:sz="4" w:space="0" w:color="auto"/>
            </w:tcBorders>
            <w:shd w:val="clear" w:color="auto" w:fill="auto"/>
            <w:noWrap/>
            <w:vAlign w:val="center"/>
          </w:tcPr>
          <w:p w14:paraId="67306561" w14:textId="5C051220"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52.0%</w:t>
            </w:r>
          </w:p>
        </w:tc>
        <w:tc>
          <w:tcPr>
            <w:tcW w:w="1276" w:type="dxa"/>
            <w:tcBorders>
              <w:top w:val="nil"/>
              <w:left w:val="nil"/>
              <w:bottom w:val="single" w:sz="4" w:space="0" w:color="auto"/>
              <w:right w:val="single" w:sz="4" w:space="0" w:color="auto"/>
            </w:tcBorders>
            <w:shd w:val="clear" w:color="auto" w:fill="auto"/>
            <w:noWrap/>
            <w:vAlign w:val="center"/>
          </w:tcPr>
          <w:p w14:paraId="46AE27A2" w14:textId="4995400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53.8%</w:t>
            </w:r>
          </w:p>
        </w:tc>
        <w:tc>
          <w:tcPr>
            <w:tcW w:w="1134" w:type="dxa"/>
            <w:tcBorders>
              <w:top w:val="nil"/>
              <w:left w:val="nil"/>
              <w:bottom w:val="single" w:sz="4" w:space="0" w:color="auto"/>
              <w:right w:val="single" w:sz="4" w:space="0" w:color="auto"/>
            </w:tcBorders>
            <w:shd w:val="clear" w:color="auto" w:fill="auto"/>
            <w:vAlign w:val="center"/>
          </w:tcPr>
          <w:p w14:paraId="22335330" w14:textId="7DC5FD51"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55.4%</w:t>
            </w:r>
          </w:p>
        </w:tc>
        <w:tc>
          <w:tcPr>
            <w:tcW w:w="1134" w:type="dxa"/>
            <w:tcBorders>
              <w:top w:val="nil"/>
              <w:left w:val="nil"/>
              <w:bottom w:val="single" w:sz="4" w:space="0" w:color="auto"/>
              <w:right w:val="single" w:sz="4" w:space="0" w:color="auto"/>
            </w:tcBorders>
            <w:shd w:val="clear" w:color="auto" w:fill="auto"/>
            <w:vAlign w:val="center"/>
          </w:tcPr>
          <w:p w14:paraId="260B0A0B" w14:textId="2F941625"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56.8%</w:t>
            </w:r>
          </w:p>
        </w:tc>
        <w:tc>
          <w:tcPr>
            <w:tcW w:w="2833" w:type="dxa"/>
            <w:tcBorders>
              <w:top w:val="nil"/>
              <w:left w:val="single" w:sz="4" w:space="0" w:color="auto"/>
              <w:bottom w:val="single" w:sz="4" w:space="0" w:color="auto"/>
              <w:right w:val="single" w:sz="4" w:space="0" w:color="auto"/>
            </w:tcBorders>
            <w:shd w:val="clear" w:color="auto" w:fill="auto"/>
            <w:vAlign w:val="center"/>
            <w:hideMark/>
          </w:tcPr>
          <w:p w14:paraId="108D04EB"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222DF922" w14:textId="77777777" w:rsidR="00030C0F" w:rsidRPr="00803DB4" w:rsidRDefault="00030C0F" w:rsidP="009C57A1">
      <w:pPr>
        <w:rPr>
          <w:rFonts w:ascii="Times New Roman" w:hAnsi="Times New Roman" w:cs="Times New Roman"/>
          <w:sz w:val="16"/>
          <w:szCs w:val="16"/>
          <w:shd w:val="clear" w:color="auto" w:fill="FFFFFF"/>
        </w:rPr>
      </w:pPr>
    </w:p>
    <w:p w14:paraId="7EE62AC7" w14:textId="1968806B" w:rsidR="00030C0F" w:rsidRPr="00C42BB3" w:rsidRDefault="00030C0F" w:rsidP="00030C0F">
      <w:pPr>
        <w:rPr>
          <w:sz w:val="20"/>
          <w:szCs w:val="20"/>
        </w:rPr>
      </w:pPr>
      <w:r>
        <w:rPr>
          <w:rFonts w:ascii="Times New Roman" w:hAnsi="Times New Roman"/>
          <w:b/>
          <w:color w:val="000000"/>
          <w:sz w:val="20"/>
        </w:rPr>
        <w:t>Retail trade, except of motor vehicles and motorcycles (NACE code 47)</w:t>
      </w:r>
    </w:p>
    <w:tbl>
      <w:tblPr>
        <w:tblW w:w="14884" w:type="dxa"/>
        <w:tblInd w:w="-5" w:type="dxa"/>
        <w:tblLook w:val="04A0" w:firstRow="1" w:lastRow="0" w:firstColumn="1" w:lastColumn="0" w:noHBand="0" w:noVBand="1"/>
      </w:tblPr>
      <w:tblGrid>
        <w:gridCol w:w="6184"/>
        <w:gridCol w:w="1141"/>
        <w:gridCol w:w="1134"/>
        <w:gridCol w:w="1276"/>
        <w:gridCol w:w="1182"/>
        <w:gridCol w:w="1148"/>
        <w:gridCol w:w="2819"/>
      </w:tblGrid>
      <w:tr w:rsidR="00DB4DA0" w:rsidRPr="00DB4DA0" w14:paraId="0D13F4D4" w14:textId="77777777" w:rsidTr="00DB4DA0">
        <w:trPr>
          <w:trHeight w:val="283"/>
        </w:trPr>
        <w:tc>
          <w:tcPr>
            <w:tcW w:w="6184"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5F04195D"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3B4DF567"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38CC4A7C"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0523743"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182" w:type="dxa"/>
            <w:tcBorders>
              <w:top w:val="single" w:sz="4" w:space="0" w:color="auto"/>
              <w:left w:val="nil"/>
              <w:bottom w:val="single" w:sz="4" w:space="0" w:color="auto"/>
              <w:right w:val="single" w:sz="4" w:space="0" w:color="auto"/>
            </w:tcBorders>
            <w:shd w:val="clear" w:color="auto" w:fill="8496B0" w:themeFill="text2" w:themeFillTint="99"/>
            <w:vAlign w:val="center"/>
          </w:tcPr>
          <w:p w14:paraId="3D1ED25E" w14:textId="7C4C9662"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148" w:type="dxa"/>
            <w:tcBorders>
              <w:top w:val="single" w:sz="4" w:space="0" w:color="auto"/>
              <w:left w:val="nil"/>
              <w:bottom w:val="single" w:sz="4" w:space="0" w:color="auto"/>
              <w:right w:val="single" w:sz="4" w:space="0" w:color="auto"/>
            </w:tcBorders>
            <w:shd w:val="clear" w:color="auto" w:fill="8496B0" w:themeFill="text2" w:themeFillTint="99"/>
            <w:vAlign w:val="center"/>
          </w:tcPr>
          <w:p w14:paraId="62792F7F" w14:textId="1ED47569"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819"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5E2002B0"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Notes</w:t>
            </w:r>
          </w:p>
        </w:tc>
      </w:tr>
      <w:tr w:rsidR="00806C10" w:rsidRPr="00803DB4" w14:paraId="2B8A8DBF" w14:textId="77777777" w:rsidTr="00806C10">
        <w:trPr>
          <w:trHeight w:val="734"/>
        </w:trPr>
        <w:tc>
          <w:tcPr>
            <w:tcW w:w="61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2927" w14:textId="06E4013C"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BA997" w14:textId="4A664DB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9.6%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D35D954" w14:textId="51BF486E"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10.1%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5DF2C54" w14:textId="324A8897"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10.6%</w:t>
            </w:r>
          </w:p>
        </w:tc>
        <w:tc>
          <w:tcPr>
            <w:tcW w:w="1182" w:type="dxa"/>
            <w:tcBorders>
              <w:top w:val="single" w:sz="4" w:space="0" w:color="auto"/>
              <w:left w:val="nil"/>
              <w:bottom w:val="single" w:sz="4" w:space="0" w:color="auto"/>
              <w:right w:val="single" w:sz="4" w:space="0" w:color="auto"/>
            </w:tcBorders>
            <w:shd w:val="clear" w:color="auto" w:fill="auto"/>
            <w:vAlign w:val="center"/>
          </w:tcPr>
          <w:p w14:paraId="4DB470ED" w14:textId="65C388B3"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48" w:type="dxa"/>
            <w:tcBorders>
              <w:top w:val="single" w:sz="4" w:space="0" w:color="auto"/>
              <w:left w:val="nil"/>
              <w:bottom w:val="single" w:sz="4" w:space="0" w:color="auto"/>
              <w:right w:val="single" w:sz="4" w:space="0" w:color="auto"/>
            </w:tcBorders>
            <w:shd w:val="clear" w:color="auto" w:fill="auto"/>
            <w:vAlign w:val="center"/>
          </w:tcPr>
          <w:p w14:paraId="1E5D08D8" w14:textId="19FB6D0F"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90AA7"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803DB4" w14:paraId="638D7B2F" w14:textId="77777777" w:rsidTr="00806C10">
        <w:trPr>
          <w:trHeight w:val="410"/>
        </w:trPr>
        <w:tc>
          <w:tcPr>
            <w:tcW w:w="6184" w:type="dxa"/>
            <w:tcBorders>
              <w:top w:val="nil"/>
              <w:left w:val="single" w:sz="4" w:space="0" w:color="auto"/>
              <w:bottom w:val="single" w:sz="4" w:space="0" w:color="auto"/>
              <w:right w:val="single" w:sz="4" w:space="0" w:color="auto"/>
            </w:tcBorders>
            <w:shd w:val="clear" w:color="auto" w:fill="auto"/>
            <w:vAlign w:val="center"/>
            <w:hideMark/>
          </w:tcPr>
          <w:p w14:paraId="7D6CB392" w14:textId="7340D80D" w:rsidR="00806C10" w:rsidRPr="00803DB4"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4E31EA6A" w14:textId="2ACDF5E1"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49.6%</w:t>
            </w:r>
          </w:p>
        </w:tc>
        <w:tc>
          <w:tcPr>
            <w:tcW w:w="1134" w:type="dxa"/>
            <w:tcBorders>
              <w:top w:val="nil"/>
              <w:left w:val="nil"/>
              <w:bottom w:val="single" w:sz="4" w:space="0" w:color="auto"/>
              <w:right w:val="single" w:sz="4" w:space="0" w:color="auto"/>
            </w:tcBorders>
            <w:shd w:val="clear" w:color="auto" w:fill="auto"/>
            <w:noWrap/>
            <w:vAlign w:val="center"/>
          </w:tcPr>
          <w:p w14:paraId="6BFAC071" w14:textId="3A5E8311"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49.1%</w:t>
            </w:r>
          </w:p>
        </w:tc>
        <w:tc>
          <w:tcPr>
            <w:tcW w:w="1276" w:type="dxa"/>
            <w:tcBorders>
              <w:top w:val="nil"/>
              <w:left w:val="nil"/>
              <w:bottom w:val="single" w:sz="4" w:space="0" w:color="auto"/>
              <w:right w:val="single" w:sz="4" w:space="0" w:color="auto"/>
            </w:tcBorders>
            <w:shd w:val="clear" w:color="auto" w:fill="auto"/>
            <w:noWrap/>
            <w:vAlign w:val="center"/>
          </w:tcPr>
          <w:p w14:paraId="0DB5AA63" w14:textId="56D70435"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48.6%</w:t>
            </w:r>
          </w:p>
        </w:tc>
        <w:tc>
          <w:tcPr>
            <w:tcW w:w="1182" w:type="dxa"/>
            <w:tcBorders>
              <w:top w:val="nil"/>
              <w:left w:val="nil"/>
              <w:bottom w:val="single" w:sz="4" w:space="0" w:color="auto"/>
              <w:right w:val="single" w:sz="4" w:space="0" w:color="auto"/>
            </w:tcBorders>
            <w:shd w:val="clear" w:color="auto" w:fill="auto"/>
            <w:vAlign w:val="center"/>
          </w:tcPr>
          <w:p w14:paraId="0D564AD8" w14:textId="02AABAE9"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48" w:type="dxa"/>
            <w:tcBorders>
              <w:top w:val="nil"/>
              <w:left w:val="nil"/>
              <w:bottom w:val="single" w:sz="4" w:space="0" w:color="auto"/>
              <w:right w:val="single" w:sz="4" w:space="0" w:color="auto"/>
            </w:tcBorders>
            <w:shd w:val="clear" w:color="auto" w:fill="auto"/>
            <w:vAlign w:val="center"/>
          </w:tcPr>
          <w:p w14:paraId="428200C2" w14:textId="7355C7C8"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819" w:type="dxa"/>
            <w:tcBorders>
              <w:top w:val="nil"/>
              <w:left w:val="single" w:sz="4" w:space="0" w:color="auto"/>
              <w:bottom w:val="single" w:sz="4" w:space="0" w:color="auto"/>
              <w:right w:val="single" w:sz="4" w:space="0" w:color="auto"/>
            </w:tcBorders>
            <w:shd w:val="clear" w:color="auto" w:fill="auto"/>
            <w:vAlign w:val="center"/>
            <w:hideMark/>
          </w:tcPr>
          <w:p w14:paraId="1063E679" w14:textId="77777777" w:rsidR="00806C10" w:rsidRPr="00803DB4"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6D4E73" w:rsidRPr="00803DB4" w14:paraId="037B8326" w14:textId="77777777" w:rsidTr="00806C10">
        <w:trPr>
          <w:trHeight w:val="276"/>
        </w:trPr>
        <w:tc>
          <w:tcPr>
            <w:tcW w:w="6184" w:type="dxa"/>
            <w:tcBorders>
              <w:top w:val="nil"/>
              <w:left w:val="single" w:sz="4" w:space="0" w:color="auto"/>
              <w:bottom w:val="single" w:sz="4" w:space="0" w:color="auto"/>
              <w:right w:val="single" w:sz="4" w:space="0" w:color="auto"/>
            </w:tcBorders>
            <w:shd w:val="clear" w:color="auto" w:fill="auto"/>
            <w:vAlign w:val="center"/>
            <w:hideMark/>
          </w:tcPr>
          <w:p w14:paraId="45BBA200" w14:textId="78A3AD70"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4A42B15E" w14:textId="74F56024"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28.9%</w:t>
            </w:r>
          </w:p>
        </w:tc>
        <w:tc>
          <w:tcPr>
            <w:tcW w:w="1134" w:type="dxa"/>
            <w:tcBorders>
              <w:top w:val="nil"/>
              <w:left w:val="nil"/>
              <w:bottom w:val="single" w:sz="4" w:space="0" w:color="auto"/>
              <w:right w:val="single" w:sz="4" w:space="0" w:color="auto"/>
            </w:tcBorders>
            <w:shd w:val="clear" w:color="auto" w:fill="auto"/>
            <w:noWrap/>
            <w:vAlign w:val="center"/>
          </w:tcPr>
          <w:p w14:paraId="7B9B350B" w14:textId="04763E64"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29.5%</w:t>
            </w:r>
          </w:p>
        </w:tc>
        <w:tc>
          <w:tcPr>
            <w:tcW w:w="1276" w:type="dxa"/>
            <w:tcBorders>
              <w:top w:val="nil"/>
              <w:left w:val="nil"/>
              <w:bottom w:val="single" w:sz="4" w:space="0" w:color="auto"/>
              <w:right w:val="single" w:sz="4" w:space="0" w:color="auto"/>
            </w:tcBorders>
            <w:shd w:val="clear" w:color="auto" w:fill="auto"/>
            <w:noWrap/>
            <w:vAlign w:val="center"/>
          </w:tcPr>
          <w:p w14:paraId="0C4ED54B" w14:textId="474438C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31.1%</w:t>
            </w:r>
          </w:p>
        </w:tc>
        <w:tc>
          <w:tcPr>
            <w:tcW w:w="1182" w:type="dxa"/>
            <w:tcBorders>
              <w:top w:val="nil"/>
              <w:left w:val="nil"/>
              <w:bottom w:val="single" w:sz="4" w:space="0" w:color="auto"/>
              <w:right w:val="single" w:sz="4" w:space="0" w:color="auto"/>
            </w:tcBorders>
            <w:shd w:val="clear" w:color="auto" w:fill="auto"/>
            <w:vAlign w:val="center"/>
          </w:tcPr>
          <w:p w14:paraId="4759601C" w14:textId="1F43EC5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32.8%</w:t>
            </w:r>
          </w:p>
        </w:tc>
        <w:tc>
          <w:tcPr>
            <w:tcW w:w="1148" w:type="dxa"/>
            <w:tcBorders>
              <w:top w:val="nil"/>
              <w:left w:val="nil"/>
              <w:bottom w:val="single" w:sz="4" w:space="0" w:color="auto"/>
              <w:right w:val="single" w:sz="4" w:space="0" w:color="auto"/>
            </w:tcBorders>
            <w:shd w:val="clear" w:color="auto" w:fill="auto"/>
            <w:vAlign w:val="center"/>
          </w:tcPr>
          <w:p w14:paraId="4AC8DF0C" w14:textId="0BCE6D3F"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34.3%</w:t>
            </w:r>
          </w:p>
        </w:tc>
        <w:tc>
          <w:tcPr>
            <w:tcW w:w="2819" w:type="dxa"/>
            <w:tcBorders>
              <w:top w:val="nil"/>
              <w:left w:val="single" w:sz="4" w:space="0" w:color="auto"/>
              <w:bottom w:val="single" w:sz="4" w:space="0" w:color="auto"/>
              <w:right w:val="single" w:sz="4" w:space="0" w:color="auto"/>
            </w:tcBorders>
            <w:shd w:val="clear" w:color="auto" w:fill="auto"/>
            <w:vAlign w:val="center"/>
            <w:hideMark/>
          </w:tcPr>
          <w:p w14:paraId="1721B723"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6D4E73" w:rsidRPr="00803DB4" w14:paraId="0A27CB15" w14:textId="77777777" w:rsidTr="00803DB4">
        <w:trPr>
          <w:trHeight w:val="131"/>
        </w:trPr>
        <w:tc>
          <w:tcPr>
            <w:tcW w:w="6184" w:type="dxa"/>
            <w:tcBorders>
              <w:top w:val="nil"/>
              <w:left w:val="single" w:sz="4" w:space="0" w:color="auto"/>
              <w:bottom w:val="single" w:sz="4" w:space="0" w:color="auto"/>
              <w:right w:val="single" w:sz="4" w:space="0" w:color="auto"/>
            </w:tcBorders>
            <w:shd w:val="clear" w:color="auto" w:fill="auto"/>
            <w:vAlign w:val="center"/>
            <w:hideMark/>
          </w:tcPr>
          <w:p w14:paraId="3462FC95" w14:textId="0082754F" w:rsidR="006D4E73" w:rsidRPr="00803DB4"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5480A74F" w14:textId="0941C0B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27.8%</w:t>
            </w:r>
          </w:p>
        </w:tc>
        <w:tc>
          <w:tcPr>
            <w:tcW w:w="1134" w:type="dxa"/>
            <w:tcBorders>
              <w:top w:val="nil"/>
              <w:left w:val="nil"/>
              <w:bottom w:val="single" w:sz="4" w:space="0" w:color="auto"/>
              <w:right w:val="single" w:sz="4" w:space="0" w:color="auto"/>
            </w:tcBorders>
            <w:shd w:val="clear" w:color="auto" w:fill="auto"/>
            <w:noWrap/>
            <w:vAlign w:val="center"/>
          </w:tcPr>
          <w:p w14:paraId="669F70F7" w14:textId="3A8BC4A3"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28.5%</w:t>
            </w:r>
          </w:p>
        </w:tc>
        <w:tc>
          <w:tcPr>
            <w:tcW w:w="1276" w:type="dxa"/>
            <w:tcBorders>
              <w:top w:val="nil"/>
              <w:left w:val="nil"/>
              <w:bottom w:val="single" w:sz="4" w:space="0" w:color="auto"/>
              <w:right w:val="single" w:sz="4" w:space="0" w:color="auto"/>
            </w:tcBorders>
            <w:shd w:val="clear" w:color="auto" w:fill="auto"/>
            <w:noWrap/>
            <w:vAlign w:val="center"/>
          </w:tcPr>
          <w:p w14:paraId="0DBDA9D2" w14:textId="1F0380F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30.1%</w:t>
            </w:r>
          </w:p>
        </w:tc>
        <w:tc>
          <w:tcPr>
            <w:tcW w:w="1182" w:type="dxa"/>
            <w:tcBorders>
              <w:top w:val="nil"/>
              <w:left w:val="nil"/>
              <w:bottom w:val="single" w:sz="4" w:space="0" w:color="auto"/>
              <w:right w:val="single" w:sz="4" w:space="0" w:color="auto"/>
            </w:tcBorders>
            <w:shd w:val="clear" w:color="auto" w:fill="auto"/>
            <w:vAlign w:val="center"/>
          </w:tcPr>
          <w:p w14:paraId="40289AF5" w14:textId="6477AF8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31.7%</w:t>
            </w:r>
          </w:p>
        </w:tc>
        <w:tc>
          <w:tcPr>
            <w:tcW w:w="1148" w:type="dxa"/>
            <w:tcBorders>
              <w:top w:val="nil"/>
              <w:left w:val="nil"/>
              <w:bottom w:val="single" w:sz="4" w:space="0" w:color="auto"/>
              <w:right w:val="single" w:sz="4" w:space="0" w:color="auto"/>
            </w:tcBorders>
            <w:shd w:val="clear" w:color="auto" w:fill="auto"/>
            <w:vAlign w:val="center"/>
          </w:tcPr>
          <w:p w14:paraId="70CD6F49" w14:textId="5E962E3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33.2%</w:t>
            </w:r>
          </w:p>
        </w:tc>
        <w:tc>
          <w:tcPr>
            <w:tcW w:w="2819" w:type="dxa"/>
            <w:tcBorders>
              <w:top w:val="nil"/>
              <w:left w:val="single" w:sz="4" w:space="0" w:color="auto"/>
              <w:bottom w:val="single" w:sz="4" w:space="0" w:color="auto"/>
              <w:right w:val="single" w:sz="4" w:space="0" w:color="auto"/>
            </w:tcBorders>
            <w:shd w:val="clear" w:color="auto" w:fill="auto"/>
            <w:vAlign w:val="center"/>
            <w:hideMark/>
          </w:tcPr>
          <w:p w14:paraId="14332BE6"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1A385695" w14:textId="77777777" w:rsidR="00030C0F" w:rsidRPr="00C42BB3" w:rsidRDefault="00030C0F" w:rsidP="009C57A1">
      <w:pPr>
        <w:rPr>
          <w:rFonts w:ascii="Times New Roman" w:hAnsi="Times New Roman" w:cs="Times New Roman"/>
          <w:sz w:val="20"/>
          <w:szCs w:val="20"/>
          <w:shd w:val="clear" w:color="auto" w:fill="FFFFFF"/>
        </w:rPr>
      </w:pPr>
    </w:p>
    <w:p w14:paraId="136C6415" w14:textId="77777777" w:rsidR="00030C0F" w:rsidRPr="00C42BB3" w:rsidRDefault="00030C0F" w:rsidP="00030C0F">
      <w:pPr>
        <w:rPr>
          <w:rFonts w:ascii="Times New Roman" w:hAnsi="Times New Roman" w:cs="Times New Roman"/>
          <w:sz w:val="20"/>
          <w:szCs w:val="20"/>
          <w:shd w:val="clear" w:color="auto" w:fill="FFFFFF"/>
        </w:rPr>
      </w:pPr>
      <w:r>
        <w:rPr>
          <w:rFonts w:ascii="Times New Roman" w:hAnsi="Times New Roman"/>
          <w:b/>
          <w:color w:val="000000"/>
          <w:sz w:val="20"/>
        </w:rPr>
        <w:t>Human health activities (NACE code 86)</w:t>
      </w:r>
    </w:p>
    <w:tbl>
      <w:tblPr>
        <w:tblW w:w="14869" w:type="dxa"/>
        <w:tblInd w:w="-5" w:type="dxa"/>
        <w:tblLook w:val="04A0" w:firstRow="1" w:lastRow="0" w:firstColumn="1" w:lastColumn="0" w:noHBand="0" w:noVBand="1"/>
      </w:tblPr>
      <w:tblGrid>
        <w:gridCol w:w="6230"/>
        <w:gridCol w:w="1141"/>
        <w:gridCol w:w="1154"/>
        <w:gridCol w:w="1239"/>
        <w:gridCol w:w="1239"/>
        <w:gridCol w:w="1239"/>
        <w:gridCol w:w="2627"/>
      </w:tblGrid>
      <w:tr w:rsidR="00DB4DA0" w:rsidRPr="00DB4DA0" w14:paraId="5E4314CB" w14:textId="77777777" w:rsidTr="00DB4DA0">
        <w:trPr>
          <w:trHeight w:val="283"/>
        </w:trPr>
        <w:tc>
          <w:tcPr>
            <w:tcW w:w="6230"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40482C5B"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2BDA77C6"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5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731C32A"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39" w:type="dxa"/>
            <w:tcBorders>
              <w:top w:val="single" w:sz="4" w:space="0" w:color="auto"/>
              <w:left w:val="nil"/>
              <w:bottom w:val="single" w:sz="4" w:space="0" w:color="auto"/>
              <w:right w:val="single" w:sz="4" w:space="0" w:color="auto"/>
            </w:tcBorders>
            <w:shd w:val="clear" w:color="auto" w:fill="8496B0" w:themeFill="text2" w:themeFillTint="99"/>
            <w:vAlign w:val="center"/>
          </w:tcPr>
          <w:p w14:paraId="4B191319"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239"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BFE9534" w14:textId="0E4243BB"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239"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0AEADAE" w14:textId="1DF84809"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627"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1849B21F" w14:textId="77777777" w:rsidR="00064B10" w:rsidRPr="00DB4DA0" w:rsidRDefault="00064B10" w:rsidP="00064B10">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Notes</w:t>
            </w:r>
          </w:p>
        </w:tc>
      </w:tr>
      <w:tr w:rsidR="00806C10" w:rsidRPr="00C42BB3" w14:paraId="06A84A91" w14:textId="77777777" w:rsidTr="00D257BF">
        <w:trPr>
          <w:trHeight w:val="765"/>
        </w:trPr>
        <w:tc>
          <w:tcPr>
            <w:tcW w:w="6230" w:type="dxa"/>
            <w:tcBorders>
              <w:top w:val="nil"/>
              <w:left w:val="single" w:sz="4" w:space="0" w:color="auto"/>
              <w:bottom w:val="single" w:sz="4" w:space="0" w:color="auto"/>
              <w:right w:val="single" w:sz="4" w:space="0" w:color="auto"/>
            </w:tcBorders>
            <w:shd w:val="clear" w:color="auto" w:fill="auto"/>
            <w:vAlign w:val="center"/>
            <w:hideMark/>
          </w:tcPr>
          <w:p w14:paraId="4E819F2A" w14:textId="6FA11C68" w:rsidR="00806C10" w:rsidRPr="00C42BB3"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5DC3EBEB" w14:textId="61F4732B"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30.9%</w:t>
            </w:r>
          </w:p>
        </w:tc>
        <w:tc>
          <w:tcPr>
            <w:tcW w:w="1154" w:type="dxa"/>
            <w:tcBorders>
              <w:top w:val="single" w:sz="4" w:space="0" w:color="auto"/>
              <w:left w:val="nil"/>
              <w:bottom w:val="single" w:sz="4" w:space="0" w:color="auto"/>
              <w:right w:val="single" w:sz="4" w:space="0" w:color="auto"/>
            </w:tcBorders>
            <w:shd w:val="clear" w:color="auto" w:fill="auto"/>
            <w:vAlign w:val="center"/>
          </w:tcPr>
          <w:p w14:paraId="403E7229" w14:textId="79F33380"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31.4%</w:t>
            </w:r>
          </w:p>
        </w:tc>
        <w:tc>
          <w:tcPr>
            <w:tcW w:w="1239" w:type="dxa"/>
            <w:tcBorders>
              <w:top w:val="single" w:sz="4" w:space="0" w:color="auto"/>
              <w:left w:val="nil"/>
              <w:bottom w:val="single" w:sz="4" w:space="0" w:color="auto"/>
              <w:right w:val="single" w:sz="4" w:space="0" w:color="auto"/>
            </w:tcBorders>
            <w:shd w:val="clear" w:color="auto" w:fill="auto"/>
            <w:vAlign w:val="center"/>
          </w:tcPr>
          <w:p w14:paraId="36AE55ED" w14:textId="020BB183"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31.9%</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923466E" w14:textId="6C474835"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3951C1ED" w14:textId="6A012ADA"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627" w:type="dxa"/>
            <w:tcBorders>
              <w:top w:val="nil"/>
              <w:left w:val="nil"/>
              <w:bottom w:val="single" w:sz="4" w:space="0" w:color="auto"/>
              <w:right w:val="single" w:sz="4" w:space="0" w:color="auto"/>
            </w:tcBorders>
            <w:shd w:val="clear" w:color="auto" w:fill="auto"/>
            <w:vAlign w:val="center"/>
            <w:hideMark/>
          </w:tcPr>
          <w:p w14:paraId="10898462" w14:textId="77777777" w:rsidR="00806C10" w:rsidRPr="00064B10"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806C10" w:rsidRPr="00C42BB3" w14:paraId="6ADD3738" w14:textId="77777777" w:rsidTr="00D257BF">
        <w:trPr>
          <w:trHeight w:val="435"/>
        </w:trPr>
        <w:tc>
          <w:tcPr>
            <w:tcW w:w="6230" w:type="dxa"/>
            <w:tcBorders>
              <w:top w:val="nil"/>
              <w:left w:val="single" w:sz="4" w:space="0" w:color="auto"/>
              <w:bottom w:val="single" w:sz="4" w:space="0" w:color="auto"/>
              <w:right w:val="single" w:sz="4" w:space="0" w:color="auto"/>
            </w:tcBorders>
            <w:shd w:val="clear" w:color="auto" w:fill="auto"/>
            <w:vAlign w:val="center"/>
            <w:hideMark/>
          </w:tcPr>
          <w:p w14:paraId="0141618A" w14:textId="12CBBEEA" w:rsidR="00806C10" w:rsidRPr="00C42BB3" w:rsidRDefault="00806C10" w:rsidP="00806C10">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vAlign w:val="center"/>
          </w:tcPr>
          <w:p w14:paraId="44479BD6" w14:textId="7EAE8DC2"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51.6%</w:t>
            </w:r>
          </w:p>
        </w:tc>
        <w:tc>
          <w:tcPr>
            <w:tcW w:w="1154" w:type="dxa"/>
            <w:tcBorders>
              <w:top w:val="nil"/>
              <w:left w:val="nil"/>
              <w:bottom w:val="single" w:sz="4" w:space="0" w:color="auto"/>
              <w:right w:val="single" w:sz="4" w:space="0" w:color="auto"/>
            </w:tcBorders>
            <w:shd w:val="clear" w:color="auto" w:fill="auto"/>
            <w:vAlign w:val="center"/>
          </w:tcPr>
          <w:p w14:paraId="0A323D22" w14:textId="09814F34"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51.1%</w:t>
            </w:r>
          </w:p>
        </w:tc>
        <w:tc>
          <w:tcPr>
            <w:tcW w:w="1239" w:type="dxa"/>
            <w:tcBorders>
              <w:top w:val="nil"/>
              <w:left w:val="nil"/>
              <w:bottom w:val="single" w:sz="4" w:space="0" w:color="auto"/>
              <w:right w:val="single" w:sz="4" w:space="0" w:color="auto"/>
            </w:tcBorders>
            <w:shd w:val="clear" w:color="auto" w:fill="auto"/>
            <w:vAlign w:val="center"/>
          </w:tcPr>
          <w:p w14:paraId="445FFEDE" w14:textId="40C83DF4"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50.6%</w:t>
            </w:r>
          </w:p>
        </w:tc>
        <w:tc>
          <w:tcPr>
            <w:tcW w:w="1239" w:type="dxa"/>
            <w:tcBorders>
              <w:top w:val="nil"/>
              <w:left w:val="nil"/>
              <w:bottom w:val="single" w:sz="4" w:space="0" w:color="auto"/>
              <w:right w:val="single" w:sz="4" w:space="0" w:color="auto"/>
            </w:tcBorders>
            <w:shd w:val="clear" w:color="auto" w:fill="auto"/>
            <w:vAlign w:val="center"/>
            <w:hideMark/>
          </w:tcPr>
          <w:p w14:paraId="31C1695C" w14:textId="2C3B33AC"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239" w:type="dxa"/>
            <w:tcBorders>
              <w:top w:val="nil"/>
              <w:left w:val="nil"/>
              <w:bottom w:val="single" w:sz="4" w:space="0" w:color="auto"/>
              <w:right w:val="single" w:sz="4" w:space="0" w:color="auto"/>
            </w:tcBorders>
            <w:shd w:val="clear" w:color="auto" w:fill="auto"/>
            <w:vAlign w:val="center"/>
            <w:hideMark/>
          </w:tcPr>
          <w:p w14:paraId="63F3B8AD" w14:textId="2D432C83" w:rsidR="00806C10" w:rsidRPr="00803DB4" w:rsidRDefault="00806C10" w:rsidP="00806C10">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627" w:type="dxa"/>
            <w:tcBorders>
              <w:top w:val="nil"/>
              <w:left w:val="nil"/>
              <w:bottom w:val="single" w:sz="4" w:space="0" w:color="auto"/>
              <w:right w:val="single" w:sz="4" w:space="0" w:color="auto"/>
            </w:tcBorders>
            <w:shd w:val="clear" w:color="auto" w:fill="auto"/>
            <w:vAlign w:val="center"/>
            <w:hideMark/>
          </w:tcPr>
          <w:p w14:paraId="18009EEA" w14:textId="77777777" w:rsidR="00806C10" w:rsidRPr="00064B10" w:rsidRDefault="00806C10" w:rsidP="00806C10">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6D4E73" w:rsidRPr="00C42BB3" w14:paraId="35C7B631" w14:textId="77777777" w:rsidTr="00D257BF">
        <w:trPr>
          <w:trHeight w:val="445"/>
        </w:trPr>
        <w:tc>
          <w:tcPr>
            <w:tcW w:w="6230" w:type="dxa"/>
            <w:tcBorders>
              <w:top w:val="nil"/>
              <w:left w:val="single" w:sz="4" w:space="0" w:color="auto"/>
              <w:bottom w:val="single" w:sz="4" w:space="0" w:color="auto"/>
              <w:right w:val="single" w:sz="4" w:space="0" w:color="auto"/>
            </w:tcBorders>
            <w:shd w:val="clear" w:color="auto" w:fill="auto"/>
            <w:vAlign w:val="center"/>
            <w:hideMark/>
          </w:tcPr>
          <w:p w14:paraId="439C52BC" w14:textId="27560E9C"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vAlign w:val="center"/>
          </w:tcPr>
          <w:p w14:paraId="5F1EC5A5" w14:textId="49F2994F"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64.0%</w:t>
            </w:r>
          </w:p>
        </w:tc>
        <w:tc>
          <w:tcPr>
            <w:tcW w:w="1154" w:type="dxa"/>
            <w:tcBorders>
              <w:top w:val="nil"/>
              <w:left w:val="nil"/>
              <w:bottom w:val="single" w:sz="4" w:space="0" w:color="auto"/>
              <w:right w:val="single" w:sz="4" w:space="0" w:color="auto"/>
            </w:tcBorders>
            <w:shd w:val="clear" w:color="auto" w:fill="auto"/>
            <w:vAlign w:val="center"/>
          </w:tcPr>
          <w:p w14:paraId="3A91327E" w14:textId="7AF0545F"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68.0%</w:t>
            </w:r>
          </w:p>
        </w:tc>
        <w:tc>
          <w:tcPr>
            <w:tcW w:w="1239" w:type="dxa"/>
            <w:tcBorders>
              <w:top w:val="nil"/>
              <w:left w:val="nil"/>
              <w:bottom w:val="single" w:sz="4" w:space="0" w:color="auto"/>
              <w:right w:val="single" w:sz="4" w:space="0" w:color="auto"/>
            </w:tcBorders>
            <w:shd w:val="clear" w:color="auto" w:fill="auto"/>
            <w:vAlign w:val="center"/>
          </w:tcPr>
          <w:p w14:paraId="6F4AE6A9" w14:textId="70E1B73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70.0%</w:t>
            </w:r>
          </w:p>
        </w:tc>
        <w:tc>
          <w:tcPr>
            <w:tcW w:w="1239" w:type="dxa"/>
            <w:tcBorders>
              <w:top w:val="nil"/>
              <w:left w:val="nil"/>
              <w:bottom w:val="single" w:sz="4" w:space="0" w:color="auto"/>
              <w:right w:val="single" w:sz="4" w:space="0" w:color="auto"/>
            </w:tcBorders>
            <w:shd w:val="clear" w:color="auto" w:fill="auto"/>
            <w:vAlign w:val="center"/>
          </w:tcPr>
          <w:p w14:paraId="277FC7E6" w14:textId="1E3DEE94"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73.0%</w:t>
            </w:r>
          </w:p>
        </w:tc>
        <w:tc>
          <w:tcPr>
            <w:tcW w:w="1239" w:type="dxa"/>
            <w:tcBorders>
              <w:top w:val="nil"/>
              <w:left w:val="nil"/>
              <w:bottom w:val="single" w:sz="4" w:space="0" w:color="auto"/>
              <w:right w:val="single" w:sz="4" w:space="0" w:color="auto"/>
            </w:tcBorders>
            <w:shd w:val="clear" w:color="auto" w:fill="auto"/>
            <w:vAlign w:val="center"/>
          </w:tcPr>
          <w:p w14:paraId="6C24889C" w14:textId="48F66F85"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75.2%</w:t>
            </w:r>
          </w:p>
        </w:tc>
        <w:tc>
          <w:tcPr>
            <w:tcW w:w="2627" w:type="dxa"/>
            <w:tcBorders>
              <w:top w:val="nil"/>
              <w:left w:val="nil"/>
              <w:bottom w:val="single" w:sz="4" w:space="0" w:color="auto"/>
              <w:right w:val="single" w:sz="4" w:space="0" w:color="auto"/>
            </w:tcBorders>
            <w:shd w:val="clear" w:color="auto" w:fill="auto"/>
            <w:vAlign w:val="center"/>
            <w:hideMark/>
          </w:tcPr>
          <w:p w14:paraId="5099C281" w14:textId="77777777" w:rsidR="006D4E73" w:rsidRPr="00064B10"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6D4E73" w:rsidRPr="00C42BB3" w14:paraId="4AD9513C" w14:textId="77777777" w:rsidTr="00D257BF">
        <w:trPr>
          <w:trHeight w:val="245"/>
        </w:trPr>
        <w:tc>
          <w:tcPr>
            <w:tcW w:w="6230" w:type="dxa"/>
            <w:tcBorders>
              <w:top w:val="nil"/>
              <w:left w:val="single" w:sz="4" w:space="0" w:color="auto"/>
              <w:bottom w:val="single" w:sz="4" w:space="0" w:color="auto"/>
              <w:right w:val="single" w:sz="4" w:space="0" w:color="auto"/>
            </w:tcBorders>
            <w:shd w:val="clear" w:color="auto" w:fill="auto"/>
            <w:vAlign w:val="center"/>
            <w:hideMark/>
          </w:tcPr>
          <w:p w14:paraId="49A53BC9" w14:textId="3450E8D3"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vAlign w:val="center"/>
          </w:tcPr>
          <w:p w14:paraId="62F35A85" w14:textId="31210D4C"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55.0%</w:t>
            </w:r>
          </w:p>
        </w:tc>
        <w:tc>
          <w:tcPr>
            <w:tcW w:w="1154" w:type="dxa"/>
            <w:tcBorders>
              <w:top w:val="nil"/>
              <w:left w:val="nil"/>
              <w:bottom w:val="single" w:sz="4" w:space="0" w:color="auto"/>
              <w:right w:val="single" w:sz="4" w:space="0" w:color="auto"/>
            </w:tcBorders>
            <w:shd w:val="clear" w:color="auto" w:fill="auto"/>
            <w:vAlign w:val="center"/>
          </w:tcPr>
          <w:p w14:paraId="2CE48B9D" w14:textId="5C07D721"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58.0%</w:t>
            </w:r>
          </w:p>
        </w:tc>
        <w:tc>
          <w:tcPr>
            <w:tcW w:w="1239" w:type="dxa"/>
            <w:tcBorders>
              <w:top w:val="nil"/>
              <w:left w:val="nil"/>
              <w:bottom w:val="single" w:sz="4" w:space="0" w:color="auto"/>
              <w:right w:val="single" w:sz="4" w:space="0" w:color="auto"/>
            </w:tcBorders>
            <w:shd w:val="clear" w:color="auto" w:fill="auto"/>
            <w:vAlign w:val="center"/>
          </w:tcPr>
          <w:p w14:paraId="56CCE412" w14:textId="33D4E18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60.0%</w:t>
            </w:r>
          </w:p>
        </w:tc>
        <w:tc>
          <w:tcPr>
            <w:tcW w:w="1239" w:type="dxa"/>
            <w:tcBorders>
              <w:top w:val="nil"/>
              <w:left w:val="nil"/>
              <w:bottom w:val="single" w:sz="4" w:space="0" w:color="auto"/>
              <w:right w:val="single" w:sz="4" w:space="0" w:color="auto"/>
            </w:tcBorders>
            <w:shd w:val="clear" w:color="auto" w:fill="auto"/>
            <w:vAlign w:val="center"/>
          </w:tcPr>
          <w:p w14:paraId="0D565ECF" w14:textId="08DC0DE0"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63.0%</w:t>
            </w:r>
          </w:p>
        </w:tc>
        <w:tc>
          <w:tcPr>
            <w:tcW w:w="1239" w:type="dxa"/>
            <w:tcBorders>
              <w:top w:val="nil"/>
              <w:left w:val="nil"/>
              <w:bottom w:val="single" w:sz="4" w:space="0" w:color="auto"/>
              <w:right w:val="single" w:sz="4" w:space="0" w:color="auto"/>
            </w:tcBorders>
            <w:shd w:val="clear" w:color="auto" w:fill="auto"/>
            <w:vAlign w:val="center"/>
          </w:tcPr>
          <w:p w14:paraId="457FDDA0" w14:textId="7D0CEF1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65.3%</w:t>
            </w:r>
          </w:p>
        </w:tc>
        <w:tc>
          <w:tcPr>
            <w:tcW w:w="2627" w:type="dxa"/>
            <w:tcBorders>
              <w:top w:val="nil"/>
              <w:left w:val="nil"/>
              <w:bottom w:val="single" w:sz="4" w:space="0" w:color="auto"/>
              <w:right w:val="single" w:sz="4" w:space="0" w:color="auto"/>
            </w:tcBorders>
            <w:shd w:val="clear" w:color="auto" w:fill="auto"/>
            <w:vAlign w:val="center"/>
            <w:hideMark/>
          </w:tcPr>
          <w:p w14:paraId="55662654" w14:textId="77777777" w:rsidR="006D4E73" w:rsidRPr="00064B10"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2EAE9FBD" w14:textId="77777777" w:rsidR="00EA4D8B" w:rsidRDefault="00EA4D8B" w:rsidP="00030C0F">
      <w:pPr>
        <w:rPr>
          <w:rFonts w:ascii="Times New Roman" w:eastAsia="Times New Roman" w:hAnsi="Times New Roman" w:cs="Times New Roman"/>
          <w:b/>
          <w:bCs/>
          <w:color w:val="000000"/>
          <w:kern w:val="0"/>
          <w:sz w:val="20"/>
          <w:szCs w:val="20"/>
          <w:lang w:eastAsia="lv-LV"/>
          <w14:ligatures w14:val="none"/>
        </w:rPr>
      </w:pPr>
    </w:p>
    <w:p w14:paraId="57A4EDC5" w14:textId="2DD710DC" w:rsidR="00030C0F" w:rsidRPr="00C42BB3" w:rsidRDefault="00030C0F" w:rsidP="00030C0F">
      <w:pPr>
        <w:rPr>
          <w:sz w:val="20"/>
          <w:szCs w:val="20"/>
        </w:rPr>
      </w:pPr>
      <w:r>
        <w:rPr>
          <w:rFonts w:ascii="Times New Roman" w:hAnsi="Times New Roman"/>
          <w:b/>
          <w:color w:val="000000"/>
          <w:sz w:val="20"/>
        </w:rPr>
        <w:t>Hairdressing and other beauty treatment (NACE code 96.02)</w:t>
      </w:r>
    </w:p>
    <w:tbl>
      <w:tblPr>
        <w:tblW w:w="14884" w:type="dxa"/>
        <w:tblInd w:w="-5" w:type="dxa"/>
        <w:tblLook w:val="04A0" w:firstRow="1" w:lastRow="0" w:firstColumn="1" w:lastColumn="0" w:noHBand="0" w:noVBand="1"/>
      </w:tblPr>
      <w:tblGrid>
        <w:gridCol w:w="6231"/>
        <w:gridCol w:w="1141"/>
        <w:gridCol w:w="1134"/>
        <w:gridCol w:w="1276"/>
        <w:gridCol w:w="1276"/>
        <w:gridCol w:w="1134"/>
        <w:gridCol w:w="2692"/>
      </w:tblGrid>
      <w:tr w:rsidR="00DB4DA0" w:rsidRPr="00DB4DA0" w14:paraId="3E80C019" w14:textId="77777777" w:rsidTr="00DB4DA0">
        <w:trPr>
          <w:trHeight w:val="283"/>
        </w:trPr>
        <w:tc>
          <w:tcPr>
            <w:tcW w:w="6231" w:type="dxa"/>
            <w:tcBorders>
              <w:top w:val="single" w:sz="4" w:space="0" w:color="auto"/>
              <w:left w:val="single" w:sz="4" w:space="0" w:color="auto"/>
              <w:bottom w:val="single" w:sz="4" w:space="0" w:color="auto"/>
              <w:right w:val="single" w:sz="4" w:space="0" w:color="auto"/>
            </w:tcBorders>
            <w:shd w:val="clear" w:color="auto" w:fill="8496B0" w:themeFill="text2" w:themeFillTint="99"/>
            <w:vAlign w:val="center"/>
            <w:hideMark/>
          </w:tcPr>
          <w:p w14:paraId="6D427E79" w14:textId="77777777"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Sector</w:t>
            </w:r>
          </w:p>
        </w:tc>
        <w:tc>
          <w:tcPr>
            <w:tcW w:w="1141" w:type="dxa"/>
            <w:tcBorders>
              <w:top w:val="single" w:sz="4" w:space="0" w:color="auto"/>
              <w:left w:val="nil"/>
              <w:bottom w:val="single" w:sz="4" w:space="0" w:color="auto"/>
              <w:right w:val="nil"/>
            </w:tcBorders>
            <w:shd w:val="clear" w:color="auto" w:fill="8496B0" w:themeFill="text2" w:themeFillTint="99"/>
            <w:vAlign w:val="center"/>
          </w:tcPr>
          <w:p w14:paraId="2AFAD4FB" w14:textId="77777777"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2023</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3C95FBF" w14:textId="77777777"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2024</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0F6B15EE" w14:textId="77777777"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2025</w:t>
            </w:r>
          </w:p>
        </w:tc>
        <w:tc>
          <w:tcPr>
            <w:tcW w:w="1276" w:type="dxa"/>
            <w:tcBorders>
              <w:top w:val="single" w:sz="4" w:space="0" w:color="auto"/>
              <w:left w:val="nil"/>
              <w:bottom w:val="single" w:sz="4" w:space="0" w:color="auto"/>
              <w:right w:val="single" w:sz="4" w:space="0" w:color="auto"/>
            </w:tcBorders>
            <w:shd w:val="clear" w:color="auto" w:fill="8496B0" w:themeFill="text2" w:themeFillTint="99"/>
            <w:vAlign w:val="center"/>
          </w:tcPr>
          <w:p w14:paraId="1A350289" w14:textId="06C19398"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2026</w:t>
            </w:r>
          </w:p>
        </w:tc>
        <w:tc>
          <w:tcPr>
            <w:tcW w:w="1134" w:type="dxa"/>
            <w:tcBorders>
              <w:top w:val="single" w:sz="4" w:space="0" w:color="auto"/>
              <w:left w:val="nil"/>
              <w:bottom w:val="single" w:sz="4" w:space="0" w:color="auto"/>
              <w:right w:val="single" w:sz="4" w:space="0" w:color="auto"/>
            </w:tcBorders>
            <w:shd w:val="clear" w:color="auto" w:fill="8496B0" w:themeFill="text2" w:themeFillTint="99"/>
            <w:vAlign w:val="center"/>
          </w:tcPr>
          <w:p w14:paraId="7EAF08A6" w14:textId="273CC1D0"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2027</w:t>
            </w:r>
          </w:p>
        </w:tc>
        <w:tc>
          <w:tcPr>
            <w:tcW w:w="2692" w:type="dxa"/>
            <w:tcBorders>
              <w:top w:val="single" w:sz="4" w:space="0" w:color="auto"/>
              <w:left w:val="nil"/>
              <w:bottom w:val="single" w:sz="4" w:space="0" w:color="auto"/>
              <w:right w:val="single" w:sz="4" w:space="0" w:color="auto"/>
            </w:tcBorders>
            <w:shd w:val="clear" w:color="auto" w:fill="8496B0" w:themeFill="text2" w:themeFillTint="99"/>
            <w:vAlign w:val="center"/>
            <w:hideMark/>
          </w:tcPr>
          <w:p w14:paraId="1BEBC211" w14:textId="77777777" w:rsidR="00030C0F" w:rsidRPr="00DB4DA0" w:rsidRDefault="00030C0F" w:rsidP="00D34F0E">
            <w:pPr>
              <w:jc w:val="center"/>
              <w:rPr>
                <w:rFonts w:ascii="Times New Roman" w:eastAsia="Times New Roman" w:hAnsi="Times New Roman" w:cs="Times New Roman"/>
                <w:b/>
                <w:bCs/>
                <w:color w:val="FFFFFF" w:themeColor="background1"/>
                <w:kern w:val="0"/>
                <w:sz w:val="20"/>
                <w:szCs w:val="20"/>
                <w14:ligatures w14:val="none"/>
              </w:rPr>
            </w:pPr>
            <w:r>
              <w:rPr>
                <w:rFonts w:ascii="Times New Roman" w:hAnsi="Times New Roman"/>
                <w:b/>
                <w:color w:val="FFFFFF" w:themeColor="background1"/>
                <w:sz w:val="20"/>
              </w:rPr>
              <w:t>Notes</w:t>
            </w:r>
          </w:p>
        </w:tc>
      </w:tr>
      <w:tr w:rsidR="006D4E73" w:rsidRPr="00C42BB3" w14:paraId="154EE3F9" w14:textId="77777777" w:rsidTr="00806C10">
        <w:trPr>
          <w:trHeight w:val="734"/>
        </w:trPr>
        <w:tc>
          <w:tcPr>
            <w:tcW w:w="62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64237" w14:textId="6BBCE0FD"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(‘A’ class rating) in the total number of segmented taxpayers that are legal entities at the beginning of the year, %</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72E98" w14:textId="40F7EB2C"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034561" w14:textId="0205D16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C894AA4" w14:textId="343FFF4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5.7%</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015C75" w14:textId="0F35BF5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4144B70A" w14:textId="1BF9F107"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EDFDD"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increase of not more than 0.5 per cent each year, with a maximum growth rate of 10 per cent.</w:t>
            </w:r>
          </w:p>
        </w:tc>
      </w:tr>
      <w:tr w:rsidR="006D4E73" w:rsidRPr="00C42BB3" w14:paraId="4530F46D" w14:textId="77777777" w:rsidTr="00806C10">
        <w:trPr>
          <w:trHeight w:val="410"/>
        </w:trPr>
        <w:tc>
          <w:tcPr>
            <w:tcW w:w="6231" w:type="dxa"/>
            <w:tcBorders>
              <w:top w:val="nil"/>
              <w:left w:val="single" w:sz="4" w:space="0" w:color="auto"/>
              <w:bottom w:val="single" w:sz="4" w:space="0" w:color="auto"/>
              <w:right w:val="single" w:sz="4" w:space="0" w:color="auto"/>
            </w:tcBorders>
            <w:shd w:val="clear" w:color="auto" w:fill="auto"/>
            <w:vAlign w:val="center"/>
            <w:hideMark/>
          </w:tcPr>
          <w:p w14:paraId="0E8C9443" w14:textId="5C461220"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Share of taxpayers that are legal entities without significant tax compliance risks (‘B’ class rating) in the total number of segmented taxpayers that are legal entities at the beginning of the year,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422088C9" w14:textId="2271E33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49.9%</w:t>
            </w:r>
          </w:p>
        </w:tc>
        <w:tc>
          <w:tcPr>
            <w:tcW w:w="1134" w:type="dxa"/>
            <w:tcBorders>
              <w:top w:val="nil"/>
              <w:left w:val="nil"/>
              <w:bottom w:val="single" w:sz="4" w:space="0" w:color="auto"/>
              <w:right w:val="single" w:sz="4" w:space="0" w:color="auto"/>
            </w:tcBorders>
            <w:shd w:val="clear" w:color="auto" w:fill="auto"/>
            <w:noWrap/>
            <w:vAlign w:val="center"/>
          </w:tcPr>
          <w:p w14:paraId="752C5491" w14:textId="06265009"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49.5%</w:t>
            </w:r>
          </w:p>
        </w:tc>
        <w:tc>
          <w:tcPr>
            <w:tcW w:w="1276" w:type="dxa"/>
            <w:tcBorders>
              <w:top w:val="nil"/>
              <w:left w:val="nil"/>
              <w:bottom w:val="single" w:sz="4" w:space="0" w:color="auto"/>
              <w:right w:val="single" w:sz="4" w:space="0" w:color="auto"/>
            </w:tcBorders>
            <w:shd w:val="clear" w:color="auto" w:fill="auto"/>
            <w:noWrap/>
            <w:vAlign w:val="center"/>
          </w:tcPr>
          <w:p w14:paraId="40B53ECE" w14:textId="06D90C57"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49.1%</w:t>
            </w:r>
          </w:p>
        </w:tc>
        <w:tc>
          <w:tcPr>
            <w:tcW w:w="1276" w:type="dxa"/>
            <w:tcBorders>
              <w:top w:val="nil"/>
              <w:left w:val="nil"/>
              <w:bottom w:val="single" w:sz="4" w:space="0" w:color="auto"/>
              <w:right w:val="single" w:sz="4" w:space="0" w:color="auto"/>
            </w:tcBorders>
            <w:shd w:val="clear" w:color="auto" w:fill="auto"/>
            <w:vAlign w:val="center"/>
          </w:tcPr>
          <w:p w14:paraId="04372FB1" w14:textId="4AD67B06"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1134" w:type="dxa"/>
            <w:tcBorders>
              <w:top w:val="nil"/>
              <w:left w:val="nil"/>
              <w:bottom w:val="single" w:sz="4" w:space="0" w:color="auto"/>
              <w:right w:val="single" w:sz="4" w:space="0" w:color="auto"/>
            </w:tcBorders>
            <w:shd w:val="clear" w:color="auto" w:fill="auto"/>
            <w:vAlign w:val="center"/>
          </w:tcPr>
          <w:p w14:paraId="542D5E62" w14:textId="5D009F1D"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w:t>
            </w:r>
          </w:p>
        </w:tc>
        <w:tc>
          <w:tcPr>
            <w:tcW w:w="2692" w:type="dxa"/>
            <w:tcBorders>
              <w:top w:val="nil"/>
              <w:left w:val="single" w:sz="4" w:space="0" w:color="auto"/>
              <w:bottom w:val="single" w:sz="4" w:space="0" w:color="auto"/>
              <w:right w:val="single" w:sz="4" w:space="0" w:color="auto"/>
            </w:tcBorders>
            <w:shd w:val="clear" w:color="auto" w:fill="auto"/>
            <w:vAlign w:val="center"/>
            <w:hideMark/>
          </w:tcPr>
          <w:p w14:paraId="6B8AC192"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The expected reduction of not more than 0.5 per cent each year, with the rate of reduction not exceeding 10 per cent.</w:t>
            </w:r>
          </w:p>
        </w:tc>
      </w:tr>
      <w:tr w:rsidR="006D4E73" w:rsidRPr="00C42BB3" w14:paraId="2945A82F" w14:textId="77777777" w:rsidTr="00806C10">
        <w:trPr>
          <w:trHeight w:val="276"/>
        </w:trPr>
        <w:tc>
          <w:tcPr>
            <w:tcW w:w="6231" w:type="dxa"/>
            <w:tcBorders>
              <w:top w:val="nil"/>
              <w:left w:val="single" w:sz="4" w:space="0" w:color="auto"/>
              <w:bottom w:val="single" w:sz="4" w:space="0" w:color="auto"/>
              <w:right w:val="single" w:sz="4" w:space="0" w:color="auto"/>
            </w:tcBorders>
            <w:shd w:val="clear" w:color="auto" w:fill="auto"/>
            <w:vAlign w:val="center"/>
            <w:hideMark/>
          </w:tcPr>
          <w:p w14:paraId="021DD324" w14:textId="6502608F"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employees</w:t>
            </w:r>
            <w:r>
              <w:rPr>
                <w:rFonts w:ascii="Times New Roman" w:hAnsi="Times New Roman"/>
                <w:color w:val="000000"/>
                <w:sz w:val="20"/>
              </w:rPr>
              <w:t xml:space="preserve"> with income exceeding EUR 1000 in the total number of employees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4D39C1E0" w14:textId="6A0466EC"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6.4%</w:t>
            </w:r>
          </w:p>
        </w:tc>
        <w:tc>
          <w:tcPr>
            <w:tcW w:w="1134" w:type="dxa"/>
            <w:tcBorders>
              <w:top w:val="nil"/>
              <w:left w:val="nil"/>
              <w:bottom w:val="single" w:sz="4" w:space="0" w:color="auto"/>
              <w:right w:val="single" w:sz="4" w:space="0" w:color="auto"/>
            </w:tcBorders>
            <w:shd w:val="clear" w:color="auto" w:fill="auto"/>
            <w:noWrap/>
            <w:vAlign w:val="center"/>
          </w:tcPr>
          <w:p w14:paraId="3BCF9840" w14:textId="45ED61D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7.0%</w:t>
            </w:r>
          </w:p>
        </w:tc>
        <w:tc>
          <w:tcPr>
            <w:tcW w:w="1276" w:type="dxa"/>
            <w:tcBorders>
              <w:top w:val="nil"/>
              <w:left w:val="nil"/>
              <w:bottom w:val="single" w:sz="4" w:space="0" w:color="auto"/>
              <w:right w:val="single" w:sz="4" w:space="0" w:color="auto"/>
            </w:tcBorders>
            <w:shd w:val="clear" w:color="auto" w:fill="auto"/>
            <w:noWrap/>
            <w:vAlign w:val="center"/>
          </w:tcPr>
          <w:p w14:paraId="2610B2FB" w14:textId="3ECE995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7.6%</w:t>
            </w:r>
          </w:p>
        </w:tc>
        <w:tc>
          <w:tcPr>
            <w:tcW w:w="1276" w:type="dxa"/>
            <w:tcBorders>
              <w:top w:val="nil"/>
              <w:left w:val="nil"/>
              <w:bottom w:val="single" w:sz="4" w:space="0" w:color="auto"/>
              <w:right w:val="single" w:sz="4" w:space="0" w:color="auto"/>
            </w:tcBorders>
            <w:shd w:val="clear" w:color="auto" w:fill="auto"/>
            <w:vAlign w:val="center"/>
          </w:tcPr>
          <w:p w14:paraId="69AF17F4" w14:textId="16DCA513"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8.1%</w:t>
            </w:r>
          </w:p>
        </w:tc>
        <w:tc>
          <w:tcPr>
            <w:tcW w:w="1134" w:type="dxa"/>
            <w:tcBorders>
              <w:top w:val="nil"/>
              <w:left w:val="nil"/>
              <w:bottom w:val="single" w:sz="4" w:space="0" w:color="auto"/>
              <w:right w:val="single" w:sz="4" w:space="0" w:color="auto"/>
            </w:tcBorders>
            <w:shd w:val="clear" w:color="auto" w:fill="auto"/>
            <w:vAlign w:val="center"/>
          </w:tcPr>
          <w:p w14:paraId="7D36E47F" w14:textId="29B58BE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8.4%</w:t>
            </w:r>
          </w:p>
        </w:tc>
        <w:tc>
          <w:tcPr>
            <w:tcW w:w="2692" w:type="dxa"/>
            <w:tcBorders>
              <w:top w:val="nil"/>
              <w:left w:val="single" w:sz="4" w:space="0" w:color="auto"/>
              <w:bottom w:val="single" w:sz="4" w:space="0" w:color="auto"/>
              <w:right w:val="single" w:sz="4" w:space="0" w:color="auto"/>
            </w:tcBorders>
            <w:shd w:val="clear" w:color="auto" w:fill="auto"/>
            <w:vAlign w:val="center"/>
            <w:hideMark/>
          </w:tcPr>
          <w:p w14:paraId="3DE8DBD1"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r w:rsidR="006D4E73" w:rsidRPr="00C42BB3" w14:paraId="11063EBD" w14:textId="77777777" w:rsidTr="00D11D7B">
        <w:trPr>
          <w:trHeight w:val="200"/>
        </w:trPr>
        <w:tc>
          <w:tcPr>
            <w:tcW w:w="6231" w:type="dxa"/>
            <w:tcBorders>
              <w:top w:val="nil"/>
              <w:left w:val="single" w:sz="4" w:space="0" w:color="auto"/>
              <w:bottom w:val="single" w:sz="4" w:space="0" w:color="auto"/>
              <w:right w:val="single" w:sz="4" w:space="0" w:color="auto"/>
            </w:tcBorders>
            <w:shd w:val="clear" w:color="auto" w:fill="auto"/>
            <w:vAlign w:val="center"/>
            <w:hideMark/>
          </w:tcPr>
          <w:p w14:paraId="7051E2F2" w14:textId="66758596" w:rsidR="006D4E73" w:rsidRPr="00C42BB3" w:rsidRDefault="006D4E73" w:rsidP="006D4E73">
            <w:pP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 xml:space="preserve">Share of </w:t>
            </w:r>
            <w:r>
              <w:rPr>
                <w:rFonts w:ascii="Times New Roman" w:hAnsi="Times New Roman"/>
                <w:color w:val="000000"/>
                <w:sz w:val="20"/>
                <w:u w:val="single"/>
              </w:rPr>
              <w:t>workplaces</w:t>
            </w:r>
            <w:r>
              <w:rPr>
                <w:rFonts w:ascii="Times New Roman" w:hAnsi="Times New Roman"/>
                <w:color w:val="000000"/>
                <w:sz w:val="20"/>
              </w:rPr>
              <w:t xml:space="preserve"> with income exceeding EUR 1000 in the total number of workplaces in the sector (monthly average), %</w:t>
            </w:r>
          </w:p>
        </w:tc>
        <w:tc>
          <w:tcPr>
            <w:tcW w:w="1141" w:type="dxa"/>
            <w:tcBorders>
              <w:top w:val="nil"/>
              <w:left w:val="single" w:sz="4" w:space="0" w:color="auto"/>
              <w:bottom w:val="single" w:sz="4" w:space="0" w:color="auto"/>
              <w:right w:val="single" w:sz="4" w:space="0" w:color="auto"/>
            </w:tcBorders>
            <w:shd w:val="clear" w:color="auto" w:fill="auto"/>
            <w:noWrap/>
            <w:vAlign w:val="center"/>
          </w:tcPr>
          <w:p w14:paraId="107C4FE2" w14:textId="34C56AD2"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5.6%</w:t>
            </w:r>
          </w:p>
        </w:tc>
        <w:tc>
          <w:tcPr>
            <w:tcW w:w="1134" w:type="dxa"/>
            <w:tcBorders>
              <w:top w:val="nil"/>
              <w:left w:val="nil"/>
              <w:bottom w:val="single" w:sz="4" w:space="0" w:color="auto"/>
              <w:right w:val="single" w:sz="4" w:space="0" w:color="auto"/>
            </w:tcBorders>
            <w:shd w:val="clear" w:color="auto" w:fill="auto"/>
            <w:noWrap/>
            <w:vAlign w:val="center"/>
          </w:tcPr>
          <w:p w14:paraId="0C114F38" w14:textId="149FD9D3"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6.1%</w:t>
            </w:r>
          </w:p>
        </w:tc>
        <w:tc>
          <w:tcPr>
            <w:tcW w:w="1276" w:type="dxa"/>
            <w:tcBorders>
              <w:top w:val="nil"/>
              <w:left w:val="nil"/>
              <w:bottom w:val="single" w:sz="4" w:space="0" w:color="auto"/>
              <w:right w:val="single" w:sz="4" w:space="0" w:color="auto"/>
            </w:tcBorders>
            <w:shd w:val="clear" w:color="auto" w:fill="auto"/>
            <w:noWrap/>
            <w:vAlign w:val="center"/>
          </w:tcPr>
          <w:p w14:paraId="0F18E114" w14:textId="53743DD5"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6.6%</w:t>
            </w:r>
          </w:p>
        </w:tc>
        <w:tc>
          <w:tcPr>
            <w:tcW w:w="1276" w:type="dxa"/>
            <w:tcBorders>
              <w:top w:val="nil"/>
              <w:left w:val="nil"/>
              <w:bottom w:val="single" w:sz="4" w:space="0" w:color="auto"/>
              <w:right w:val="single" w:sz="4" w:space="0" w:color="auto"/>
            </w:tcBorders>
            <w:shd w:val="clear" w:color="auto" w:fill="auto"/>
            <w:vAlign w:val="center"/>
          </w:tcPr>
          <w:p w14:paraId="487F658D" w14:textId="2D74E77A"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7.0%</w:t>
            </w:r>
          </w:p>
        </w:tc>
        <w:tc>
          <w:tcPr>
            <w:tcW w:w="1134" w:type="dxa"/>
            <w:tcBorders>
              <w:top w:val="nil"/>
              <w:left w:val="nil"/>
              <w:bottom w:val="single" w:sz="4" w:space="0" w:color="auto"/>
              <w:right w:val="single" w:sz="4" w:space="0" w:color="auto"/>
            </w:tcBorders>
            <w:shd w:val="clear" w:color="auto" w:fill="auto"/>
            <w:vAlign w:val="center"/>
          </w:tcPr>
          <w:p w14:paraId="5A67AF48" w14:textId="78E0F7A7" w:rsidR="006D4E73" w:rsidRPr="00803DB4" w:rsidRDefault="006D4E73" w:rsidP="006D4E73">
            <w:pPr>
              <w:jc w:val="center"/>
              <w:rPr>
                <w:rFonts w:ascii="Times New Roman" w:eastAsia="Times New Roman" w:hAnsi="Times New Roman" w:cs="Times New Roman"/>
                <w:color w:val="000000"/>
                <w:kern w:val="0"/>
                <w:sz w:val="20"/>
                <w:szCs w:val="20"/>
                <w14:ligatures w14:val="none"/>
              </w:rPr>
            </w:pPr>
            <w:r>
              <w:rPr>
                <w:rFonts w:ascii="Times New Roman" w:hAnsi="Times New Roman"/>
                <w:color w:val="000000"/>
                <w:sz w:val="20"/>
              </w:rPr>
              <w:t>7.3%</w:t>
            </w:r>
          </w:p>
        </w:tc>
        <w:tc>
          <w:tcPr>
            <w:tcW w:w="2692" w:type="dxa"/>
            <w:tcBorders>
              <w:top w:val="nil"/>
              <w:left w:val="single" w:sz="4" w:space="0" w:color="auto"/>
              <w:bottom w:val="single" w:sz="4" w:space="0" w:color="auto"/>
              <w:right w:val="single" w:sz="4" w:space="0" w:color="auto"/>
            </w:tcBorders>
            <w:shd w:val="clear" w:color="auto" w:fill="auto"/>
            <w:vAlign w:val="center"/>
            <w:hideMark/>
          </w:tcPr>
          <w:p w14:paraId="56BC4DEC" w14:textId="77777777" w:rsidR="006D4E73" w:rsidRPr="00803DB4" w:rsidRDefault="006D4E73" w:rsidP="006D4E73">
            <w:pPr>
              <w:rPr>
                <w:rFonts w:ascii="Times New Roman" w:eastAsia="Times New Roman" w:hAnsi="Times New Roman" w:cs="Times New Roman"/>
                <w:color w:val="000000"/>
                <w:kern w:val="0"/>
                <w:sz w:val="18"/>
                <w:szCs w:val="18"/>
                <w14:ligatures w14:val="none"/>
              </w:rPr>
            </w:pPr>
            <w:r>
              <w:rPr>
                <w:rFonts w:ascii="Times New Roman" w:hAnsi="Times New Roman"/>
                <w:color w:val="000000"/>
                <w:sz w:val="18"/>
              </w:rPr>
              <w:t>Forecast with autoregression, pessimistic scenario.</w:t>
            </w:r>
          </w:p>
        </w:tc>
      </w:tr>
    </w:tbl>
    <w:p w14:paraId="31D10272" w14:textId="77777777" w:rsidR="00806C10" w:rsidRPr="00255547" w:rsidRDefault="00806C10" w:rsidP="00806C10">
      <w:pPr>
        <w:rPr>
          <w:rFonts w:ascii="Times New Roman" w:hAnsi="Times New Roman" w:cs="Times New Roman"/>
          <w:sz w:val="20"/>
          <w:szCs w:val="20"/>
          <w:shd w:val="clear" w:color="auto" w:fill="FFFFFF"/>
        </w:rPr>
      </w:pPr>
      <w:r>
        <w:rPr>
          <w:rFonts w:ascii="Times New Roman" w:hAnsi="Times New Roman"/>
          <w:sz w:val="20"/>
        </w:rPr>
        <w:t>The sectoral wage indicators are projected on the basis of autoregressive models</w:t>
      </w:r>
      <w:r>
        <w:rPr>
          <w:rFonts w:ascii="Times New Roman" w:hAnsi="Times New Roman"/>
          <w:sz w:val="20"/>
          <w:shd w:val="clear" w:color="auto" w:fill="FFFFFF"/>
        </w:rPr>
        <w:t xml:space="preserve">. </w:t>
      </w:r>
      <w:r>
        <w:rPr>
          <w:rFonts w:ascii="Times New Roman" w:hAnsi="Times New Roman"/>
          <w:sz w:val="20"/>
        </w:rPr>
        <w:t>The projected values essentially represent a pessimistic scenario for sectoral wage developments.</w:t>
      </w:r>
    </w:p>
    <w:p w14:paraId="3A57A728" w14:textId="77777777" w:rsidR="00806C10" w:rsidRPr="00255547" w:rsidRDefault="00806C10" w:rsidP="00806C10">
      <w:pPr>
        <w:rPr>
          <w:rFonts w:ascii="Times New Roman" w:hAnsi="Times New Roman" w:cs="Times New Roman"/>
          <w:sz w:val="20"/>
          <w:szCs w:val="20"/>
          <w:shd w:val="clear" w:color="auto" w:fill="FFFFFF"/>
        </w:rPr>
      </w:pPr>
      <w:r>
        <w:rPr>
          <w:rFonts w:ascii="Times New Roman" w:hAnsi="Times New Roman"/>
          <w:sz w:val="20"/>
        </w:rPr>
        <w:t>The indicators for the distribution of taxpayers in the sector by tax compliance</w:t>
      </w:r>
      <w:r>
        <w:rPr>
          <w:rFonts w:ascii="Times New Roman" w:hAnsi="Times New Roman"/>
          <w:sz w:val="20"/>
          <w:shd w:val="clear" w:color="auto" w:fill="FFFFFF"/>
        </w:rPr>
        <w:t xml:space="preserve"> will be revised as necessary.</w:t>
      </w:r>
    </w:p>
    <w:p w14:paraId="4FB477E8" w14:textId="77777777" w:rsidR="00806C10" w:rsidRPr="00022E54" w:rsidRDefault="00806C10" w:rsidP="00806C10">
      <w:pPr>
        <w:rPr>
          <w:rFonts w:ascii="Times New Roman" w:hAnsi="Times New Roman" w:cs="Times New Roman"/>
          <w:sz w:val="20"/>
          <w:szCs w:val="20"/>
          <w:shd w:val="clear" w:color="auto" w:fill="FFFFFF"/>
        </w:rPr>
      </w:pPr>
    </w:p>
    <w:p w14:paraId="5968D8F8" w14:textId="77777777" w:rsidR="00806C10" w:rsidRPr="009407A2" w:rsidRDefault="00806C10" w:rsidP="00806C10">
      <w:pPr>
        <w:rPr>
          <w:rFonts w:ascii="Times New Roman" w:hAnsi="Times New Roman" w:cs="Times New Roman"/>
          <w:sz w:val="18"/>
          <w:szCs w:val="18"/>
          <w:shd w:val="clear" w:color="auto" w:fill="FFFFFF"/>
        </w:rPr>
      </w:pPr>
      <w:r>
        <w:rPr>
          <w:rFonts w:ascii="Times New Roman" w:hAnsi="Times New Roman"/>
          <w:sz w:val="18"/>
          <w:shd w:val="clear" w:color="auto" w:fill="FFFFFF"/>
        </w:rPr>
        <w:t>* The value of the indicator cannot be predicted, but an upward trend is expected.</w:t>
      </w:r>
    </w:p>
    <w:p w14:paraId="26588C32" w14:textId="77777777" w:rsidR="00806C10" w:rsidRDefault="00806C10" w:rsidP="00806C10">
      <w:pPr>
        <w:rPr>
          <w:rFonts w:ascii="Times New Roman" w:hAnsi="Times New Roman" w:cs="Times New Roman"/>
          <w:sz w:val="18"/>
          <w:szCs w:val="18"/>
          <w:shd w:val="clear" w:color="auto" w:fill="FFFFFF"/>
        </w:rPr>
      </w:pPr>
      <w:r>
        <w:rPr>
          <w:rFonts w:ascii="Times New Roman" w:hAnsi="Times New Roman"/>
          <w:sz w:val="18"/>
          <w:shd w:val="clear" w:color="auto" w:fill="FFFFFF"/>
        </w:rPr>
        <w:t>** The value of the indicator cannot be predicted, but a downward trend is expected.</w:t>
      </w:r>
      <w:bookmarkEnd w:id="57"/>
    </w:p>
    <w:p w14:paraId="33ECACAB" w14:textId="77777777" w:rsidR="00EA4D8B" w:rsidRDefault="00EA4D8B" w:rsidP="00806C10">
      <w:pPr>
        <w:rPr>
          <w:rFonts w:ascii="Times New Roman" w:hAnsi="Times New Roman" w:cs="Times New Roman"/>
          <w:sz w:val="18"/>
          <w:szCs w:val="18"/>
          <w:shd w:val="clear" w:color="auto" w:fill="FFFFFF"/>
        </w:rPr>
      </w:pPr>
    </w:p>
    <w:p w14:paraId="7DF15E13" w14:textId="77777777" w:rsidR="00EA4D8B" w:rsidRDefault="00EA4D8B" w:rsidP="00806C10">
      <w:pPr>
        <w:rPr>
          <w:rFonts w:ascii="Times New Roman" w:hAnsi="Times New Roman" w:cs="Times New Roman"/>
          <w:sz w:val="18"/>
          <w:szCs w:val="18"/>
          <w:shd w:val="clear" w:color="auto" w:fill="FFFFFF"/>
        </w:rPr>
      </w:pPr>
    </w:p>
    <w:p w14:paraId="6FC2DE19" w14:textId="77777777" w:rsidR="008763B8" w:rsidRDefault="008763B8" w:rsidP="00806C10">
      <w:pPr>
        <w:rPr>
          <w:rFonts w:ascii="Times New Roman" w:hAnsi="Times New Roman" w:cs="Times New Roman"/>
          <w:sz w:val="18"/>
          <w:szCs w:val="18"/>
          <w:shd w:val="clear" w:color="auto" w:fill="FFFFFF"/>
        </w:rPr>
      </w:pPr>
    </w:p>
    <w:p w14:paraId="2CC50F14" w14:textId="77777777" w:rsidR="009E3F8E" w:rsidRDefault="009E3F8E" w:rsidP="00806C10">
      <w:pPr>
        <w:rPr>
          <w:rFonts w:ascii="Times New Roman" w:hAnsi="Times New Roman" w:cs="Times New Roman"/>
          <w:sz w:val="18"/>
          <w:szCs w:val="18"/>
          <w:shd w:val="clear" w:color="auto" w:fill="FFFFFF"/>
        </w:rPr>
      </w:pPr>
    </w:p>
    <w:p w14:paraId="62D4D153" w14:textId="77777777" w:rsidR="008763B8" w:rsidRDefault="008763B8" w:rsidP="00806C10">
      <w:pPr>
        <w:rPr>
          <w:rFonts w:ascii="Times New Roman" w:hAnsi="Times New Roman" w:cs="Times New Roman"/>
          <w:sz w:val="18"/>
          <w:szCs w:val="18"/>
          <w:shd w:val="clear" w:color="auto" w:fill="FFFFFF"/>
        </w:rPr>
      </w:pPr>
    </w:p>
    <w:p w14:paraId="5BA3142D" w14:textId="77777777" w:rsidR="008763B8" w:rsidRDefault="008763B8" w:rsidP="00806C10">
      <w:pPr>
        <w:rPr>
          <w:rFonts w:ascii="Times New Roman" w:hAnsi="Times New Roman" w:cs="Times New Roman"/>
          <w:sz w:val="18"/>
          <w:szCs w:val="18"/>
          <w:shd w:val="clear" w:color="auto" w:fill="FFFFFF"/>
        </w:rPr>
      </w:pPr>
    </w:p>
    <w:p w14:paraId="2C819270" w14:textId="77777777" w:rsidR="008763B8" w:rsidRDefault="008763B8" w:rsidP="00806C10">
      <w:pPr>
        <w:rPr>
          <w:rFonts w:ascii="Times New Roman" w:hAnsi="Times New Roman" w:cs="Times New Roman"/>
          <w:sz w:val="18"/>
          <w:szCs w:val="18"/>
          <w:shd w:val="clear" w:color="auto" w:fill="FFFFFF"/>
        </w:rPr>
      </w:pPr>
    </w:p>
    <w:p w14:paraId="6129433A" w14:textId="77777777" w:rsidR="008763B8" w:rsidRDefault="008763B8" w:rsidP="00806C10">
      <w:pPr>
        <w:rPr>
          <w:rFonts w:ascii="Times New Roman" w:hAnsi="Times New Roman" w:cs="Times New Roman"/>
          <w:sz w:val="18"/>
          <w:szCs w:val="18"/>
          <w:shd w:val="clear" w:color="auto" w:fill="FFFFFF"/>
        </w:rPr>
      </w:pPr>
    </w:p>
    <w:p w14:paraId="6169EFAC" w14:textId="77777777" w:rsidR="008763B8" w:rsidRDefault="008763B8" w:rsidP="00806C10">
      <w:pPr>
        <w:rPr>
          <w:rFonts w:ascii="Times New Roman" w:hAnsi="Times New Roman" w:cs="Times New Roman"/>
          <w:sz w:val="18"/>
          <w:szCs w:val="18"/>
          <w:shd w:val="clear" w:color="auto" w:fill="FFFFFF"/>
        </w:rPr>
      </w:pPr>
    </w:p>
    <w:p w14:paraId="37BD3A99" w14:textId="77777777" w:rsidR="008763B8" w:rsidRDefault="008763B8" w:rsidP="00806C10">
      <w:pPr>
        <w:rPr>
          <w:rFonts w:ascii="Times New Roman" w:hAnsi="Times New Roman" w:cs="Times New Roman"/>
          <w:sz w:val="18"/>
          <w:szCs w:val="18"/>
          <w:shd w:val="clear" w:color="auto" w:fill="FFFFFF"/>
        </w:rPr>
      </w:pPr>
    </w:p>
    <w:p w14:paraId="6D9167EE" w14:textId="24C20272" w:rsidR="008763B8" w:rsidRDefault="008763B8" w:rsidP="00DB4DA0">
      <w:pPr>
        <w:pStyle w:val="NormalWeb"/>
        <w:shd w:val="clear" w:color="auto" w:fill="FFFFFF"/>
        <w:spacing w:before="0" w:beforeAutospacing="0" w:after="0" w:afterAutospacing="0"/>
        <w:ind w:firstLine="300"/>
        <w:jc w:val="center"/>
        <w:rPr>
          <w:color w:val="414142"/>
          <w:sz w:val="22"/>
          <w:szCs w:val="22"/>
        </w:rPr>
      </w:pPr>
      <w:r>
        <w:rPr>
          <w:color w:val="414142"/>
          <w:sz w:val="22"/>
        </w:rPr>
        <w:t>Summary of State and municipality budget funding required to implement the measures included in the plan</w:t>
      </w:r>
    </w:p>
    <w:p w14:paraId="105917A5" w14:textId="77777777" w:rsidR="009E3F8E" w:rsidRPr="00986B33" w:rsidRDefault="009E3F8E" w:rsidP="00DB4DA0">
      <w:pPr>
        <w:pStyle w:val="NormalWeb"/>
        <w:shd w:val="clear" w:color="auto" w:fill="FFFFFF"/>
        <w:spacing w:before="0" w:beforeAutospacing="0" w:after="0" w:afterAutospacing="0"/>
        <w:ind w:firstLine="300"/>
        <w:jc w:val="center"/>
        <w:rPr>
          <w:color w:val="414142"/>
          <w:sz w:val="22"/>
          <w:szCs w:val="22"/>
        </w:rPr>
      </w:pPr>
    </w:p>
    <w:p w14:paraId="11E42020" w14:textId="1FDE6165" w:rsidR="008763B8" w:rsidRPr="00773099" w:rsidRDefault="008763B8" w:rsidP="00986B33">
      <w:pPr>
        <w:pStyle w:val="NormalWeb"/>
        <w:shd w:val="clear" w:color="auto" w:fill="FFFFFF"/>
        <w:spacing w:before="0" w:beforeAutospacing="0" w:after="0" w:afterAutospacing="0"/>
        <w:ind w:firstLine="301"/>
        <w:jc w:val="right"/>
        <w:rPr>
          <w:i/>
          <w:iCs/>
          <w:color w:val="000000" w:themeColor="text1"/>
          <w:sz w:val="18"/>
          <w:szCs w:val="18"/>
        </w:rPr>
      </w:pPr>
      <w:r>
        <w:rPr>
          <w:color w:val="000000" w:themeColor="text1"/>
          <w:sz w:val="18"/>
        </w:rPr>
        <w:t>EUR</w:t>
      </w:r>
    </w:p>
    <w:tbl>
      <w:tblPr>
        <w:tblpPr w:leftFromText="180" w:rightFromText="180" w:vertAnchor="text" w:horzAnchor="margin" w:tblpX="-434" w:tblpY="85"/>
        <w:tblW w:w="516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1126"/>
        <w:gridCol w:w="2550"/>
        <w:gridCol w:w="1700"/>
        <w:gridCol w:w="994"/>
        <w:gridCol w:w="991"/>
        <w:gridCol w:w="994"/>
        <w:gridCol w:w="850"/>
        <w:gridCol w:w="850"/>
        <w:gridCol w:w="856"/>
        <w:gridCol w:w="1703"/>
        <w:gridCol w:w="1418"/>
        <w:gridCol w:w="1310"/>
      </w:tblGrid>
      <w:tr w:rsidR="00773099" w:rsidRPr="00773099" w14:paraId="310C32E1" w14:textId="77777777" w:rsidTr="00CC4B76">
        <w:trPr>
          <w:trHeight w:val="239"/>
        </w:trPr>
        <w:tc>
          <w:tcPr>
            <w:tcW w:w="367" w:type="pct"/>
            <w:vMerge w:val="restart"/>
            <w:tcBorders>
              <w:top w:val="outset" w:sz="6" w:space="0" w:color="414142"/>
              <w:left w:val="outset" w:sz="6" w:space="0" w:color="414142"/>
              <w:right w:val="outset" w:sz="6" w:space="0" w:color="414142"/>
            </w:tcBorders>
            <w:shd w:val="clear" w:color="auto" w:fill="8496B0" w:themeFill="text2" w:themeFillTint="99"/>
            <w:vAlign w:val="center"/>
            <w:hideMark/>
          </w:tcPr>
          <w:p w14:paraId="77B12E29" w14:textId="77777777" w:rsidR="008763B8" w:rsidRPr="00773099" w:rsidRDefault="008763B8" w:rsidP="00D34F0E">
            <w:pPr>
              <w:ind w:left="-170"/>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Task</w:t>
            </w:r>
          </w:p>
        </w:tc>
        <w:tc>
          <w:tcPr>
            <w:tcW w:w="831" w:type="pct"/>
            <w:vMerge w:val="restart"/>
            <w:tcBorders>
              <w:top w:val="outset" w:sz="6" w:space="0" w:color="414142"/>
              <w:left w:val="outset" w:sz="6" w:space="0" w:color="414142"/>
              <w:right w:val="outset" w:sz="6" w:space="0" w:color="414142"/>
            </w:tcBorders>
            <w:shd w:val="clear" w:color="auto" w:fill="8496B0" w:themeFill="text2" w:themeFillTint="99"/>
            <w:vAlign w:val="center"/>
          </w:tcPr>
          <w:p w14:paraId="6344C01F" w14:textId="77777777" w:rsidR="008763B8" w:rsidRPr="00773099" w:rsidRDefault="008763B8" w:rsidP="00D34F0E">
            <w:pPr>
              <w:ind w:left="-170"/>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Measure</w:t>
            </w:r>
          </w:p>
        </w:tc>
        <w:tc>
          <w:tcPr>
            <w:tcW w:w="554" w:type="pct"/>
            <w:vMerge w:val="restart"/>
            <w:tcBorders>
              <w:top w:val="outset" w:sz="6" w:space="0" w:color="414142"/>
              <w:left w:val="outset" w:sz="6" w:space="0" w:color="414142"/>
              <w:right w:val="outset" w:sz="6" w:space="0" w:color="414142"/>
            </w:tcBorders>
            <w:shd w:val="clear" w:color="auto" w:fill="8496B0" w:themeFill="text2" w:themeFillTint="99"/>
            <w:vAlign w:val="center"/>
          </w:tcPr>
          <w:p w14:paraId="5F8B4E62" w14:textId="77777777" w:rsidR="008763B8" w:rsidRPr="00773099" w:rsidRDefault="008763B8" w:rsidP="009E3F8E">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Budget programme (sub-</w:t>
            </w:r>
          </w:p>
          <w:p w14:paraId="7E4AFFBB" w14:textId="77777777" w:rsidR="008763B8" w:rsidRPr="00773099" w:rsidRDefault="008763B8" w:rsidP="009E3F8E">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programme) code and name</w:t>
            </w:r>
          </w:p>
        </w:tc>
        <w:tc>
          <w:tcPr>
            <w:tcW w:w="971" w:type="pct"/>
            <w:gridSpan w:val="3"/>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1E41ABFC" w14:textId="77777777" w:rsidR="008763B8" w:rsidRPr="00773099" w:rsidRDefault="008763B8" w:rsidP="00D34F0E">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Funding planned in the Medium-term Budget Framework Law</w:t>
            </w:r>
          </w:p>
        </w:tc>
        <w:tc>
          <w:tcPr>
            <w:tcW w:w="1850" w:type="pct"/>
            <w:gridSpan w:val="5"/>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586FB08C" w14:textId="77777777" w:rsidR="008763B8" w:rsidRPr="00773099" w:rsidRDefault="008763B8" w:rsidP="00D34F0E">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Additional funding required</w:t>
            </w:r>
          </w:p>
        </w:tc>
        <w:tc>
          <w:tcPr>
            <w:tcW w:w="427" w:type="pct"/>
            <w:vMerge w:val="restar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4FD4C812" w14:textId="77777777" w:rsidR="008763B8" w:rsidRPr="00773099" w:rsidRDefault="008763B8" w:rsidP="00D34F0E">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Year of implementation of the measure (if the implementation of the measure is time-limited)</w:t>
            </w:r>
            <w:r>
              <w:rPr>
                <w:rFonts w:ascii="Times New Roman" w:hAnsi="Times New Roman"/>
                <w:b/>
                <w:color w:val="FFFFFF" w:themeColor="background1"/>
                <w:sz w:val="18"/>
                <w:vertAlign w:val="superscript"/>
              </w:rPr>
              <w:t>2</w:t>
            </w:r>
          </w:p>
        </w:tc>
      </w:tr>
      <w:tr w:rsidR="00E501EA" w:rsidRPr="00773099" w14:paraId="07438A88" w14:textId="77777777" w:rsidTr="00CC4B76">
        <w:trPr>
          <w:trHeight w:val="98"/>
        </w:trPr>
        <w:tc>
          <w:tcPr>
            <w:tcW w:w="367" w:type="pct"/>
            <w:vMerge/>
            <w:tcBorders>
              <w:left w:val="outset" w:sz="6" w:space="0" w:color="414142"/>
              <w:bottom w:val="outset" w:sz="6" w:space="0" w:color="414142"/>
              <w:right w:val="outset" w:sz="6" w:space="0" w:color="414142"/>
            </w:tcBorders>
            <w:shd w:val="clear" w:color="auto" w:fill="8496B0" w:themeFill="text2" w:themeFillTint="99"/>
            <w:vAlign w:val="center"/>
            <w:hideMark/>
          </w:tcPr>
          <w:p w14:paraId="3C08C17F" w14:textId="77777777" w:rsidR="00C56C06" w:rsidRPr="00773099" w:rsidRDefault="00C56C06" w:rsidP="00C56C06">
            <w:pPr>
              <w:rPr>
                <w:rFonts w:ascii="Times New Roman" w:eastAsia="Times New Roman" w:hAnsi="Times New Roman" w:cs="Times New Roman"/>
                <w:b/>
                <w:bCs/>
                <w:color w:val="FFFFFF" w:themeColor="background1"/>
                <w:kern w:val="0"/>
                <w:sz w:val="18"/>
                <w:szCs w:val="18"/>
                <w:lang w:eastAsia="lv-LV"/>
                <w14:ligatures w14:val="none"/>
              </w:rPr>
            </w:pPr>
          </w:p>
        </w:tc>
        <w:tc>
          <w:tcPr>
            <w:tcW w:w="831" w:type="pct"/>
            <w:vMerge/>
            <w:tcBorders>
              <w:left w:val="outset" w:sz="6" w:space="0" w:color="414142"/>
              <w:bottom w:val="outset" w:sz="6" w:space="0" w:color="414142"/>
              <w:right w:val="outset" w:sz="6" w:space="0" w:color="414142"/>
            </w:tcBorders>
            <w:shd w:val="clear" w:color="auto" w:fill="8496B0" w:themeFill="text2" w:themeFillTint="99"/>
          </w:tcPr>
          <w:p w14:paraId="36F40439" w14:textId="77777777" w:rsidR="00C56C06" w:rsidRPr="00773099" w:rsidRDefault="00C56C06" w:rsidP="00C56C06">
            <w:pPr>
              <w:jc w:val="center"/>
              <w:rPr>
                <w:rFonts w:ascii="Times New Roman" w:eastAsia="Times New Roman" w:hAnsi="Times New Roman" w:cs="Times New Roman"/>
                <w:b/>
                <w:bCs/>
                <w:color w:val="FFFFFF" w:themeColor="background1"/>
                <w:kern w:val="0"/>
                <w:sz w:val="18"/>
                <w:szCs w:val="18"/>
                <w:lang w:eastAsia="lv-LV"/>
                <w14:ligatures w14:val="none"/>
              </w:rPr>
            </w:pPr>
          </w:p>
        </w:tc>
        <w:tc>
          <w:tcPr>
            <w:tcW w:w="554" w:type="pct"/>
            <w:vMerge/>
            <w:tcBorders>
              <w:left w:val="outset" w:sz="6" w:space="0" w:color="414142"/>
              <w:bottom w:val="outset" w:sz="6" w:space="0" w:color="414142"/>
              <w:right w:val="outset" w:sz="6" w:space="0" w:color="414142"/>
            </w:tcBorders>
            <w:shd w:val="clear" w:color="auto" w:fill="8496B0" w:themeFill="text2" w:themeFillTint="99"/>
          </w:tcPr>
          <w:p w14:paraId="4A52C570" w14:textId="77777777" w:rsidR="00C56C06" w:rsidRPr="00773099" w:rsidRDefault="00C56C06" w:rsidP="00C56C06">
            <w:pPr>
              <w:jc w:val="center"/>
              <w:rPr>
                <w:rFonts w:ascii="Times New Roman" w:eastAsia="Times New Roman" w:hAnsi="Times New Roman" w:cs="Times New Roman"/>
                <w:b/>
                <w:bCs/>
                <w:color w:val="FFFFFF" w:themeColor="background1"/>
                <w:kern w:val="0"/>
                <w:sz w:val="18"/>
                <w:szCs w:val="18"/>
                <w:lang w:eastAsia="lv-LV"/>
                <w14:ligatures w14:val="none"/>
              </w:rPr>
            </w:pPr>
          </w:p>
        </w:tc>
        <w:tc>
          <w:tcPr>
            <w:tcW w:w="324"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646D4582" w14:textId="53B0BDBC"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2024</w:t>
            </w:r>
          </w:p>
        </w:tc>
        <w:tc>
          <w:tcPr>
            <w:tcW w:w="323"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4F1074AD" w14:textId="43250F28"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2025</w:t>
            </w:r>
          </w:p>
        </w:tc>
        <w:tc>
          <w:tcPr>
            <w:tcW w:w="324"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4558F2A1" w14:textId="00D37CD6"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2026</w:t>
            </w:r>
          </w:p>
        </w:tc>
        <w:tc>
          <w:tcPr>
            <w:tcW w:w="277"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tcPr>
          <w:p w14:paraId="0060E5E8" w14:textId="2C4AE1EC"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2024</w:t>
            </w:r>
          </w:p>
        </w:tc>
        <w:tc>
          <w:tcPr>
            <w:tcW w:w="277"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tcPr>
          <w:p w14:paraId="20609979" w14:textId="4FC9D986"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2025</w:t>
            </w:r>
          </w:p>
        </w:tc>
        <w:tc>
          <w:tcPr>
            <w:tcW w:w="279"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tcPr>
          <w:p w14:paraId="70F1F3E2" w14:textId="6C57C8C3"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2026</w:t>
            </w:r>
          </w:p>
        </w:tc>
        <w:tc>
          <w:tcPr>
            <w:tcW w:w="555"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0D261533" w14:textId="77777777"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in the following period until the completion of the measure (if the implementation of the measure is time-limited)</w:t>
            </w:r>
          </w:p>
        </w:tc>
        <w:tc>
          <w:tcPr>
            <w:tcW w:w="462" w:type="pct"/>
            <w:tcBorders>
              <w:top w:val="outset" w:sz="6" w:space="0" w:color="414142"/>
              <w:left w:val="outset" w:sz="6" w:space="0" w:color="414142"/>
              <w:bottom w:val="outset" w:sz="6" w:space="0" w:color="414142"/>
              <w:right w:val="outset" w:sz="6" w:space="0" w:color="414142"/>
            </w:tcBorders>
            <w:shd w:val="clear" w:color="auto" w:fill="8496B0" w:themeFill="text2" w:themeFillTint="99"/>
          </w:tcPr>
          <w:p w14:paraId="0907EED1" w14:textId="77777777" w:rsidR="00C56C06" w:rsidRPr="00773099" w:rsidRDefault="00C56C06" w:rsidP="00C56C06">
            <w:pPr>
              <w:jc w:val="center"/>
              <w:rPr>
                <w:rFonts w:ascii="Times New Roman" w:eastAsia="Times New Roman" w:hAnsi="Times New Roman" w:cs="Times New Roman"/>
                <w:b/>
                <w:bCs/>
                <w:color w:val="FFFFFF" w:themeColor="background1"/>
                <w:kern w:val="0"/>
                <w:sz w:val="18"/>
                <w:szCs w:val="18"/>
                <w14:ligatures w14:val="none"/>
              </w:rPr>
            </w:pPr>
            <w:r>
              <w:rPr>
                <w:rFonts w:ascii="Times New Roman" w:hAnsi="Times New Roman"/>
                <w:b/>
                <w:color w:val="FFFFFF" w:themeColor="background1"/>
                <w:sz w:val="18"/>
              </w:rPr>
              <w:t>annually thereafter (if the implementation of the measure is not time-limited)</w:t>
            </w:r>
          </w:p>
        </w:tc>
        <w:tc>
          <w:tcPr>
            <w:tcW w:w="427" w:type="pct"/>
            <w:vMerge/>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tcPr>
          <w:p w14:paraId="10617EA0" w14:textId="77777777" w:rsidR="00C56C06" w:rsidRPr="00773099" w:rsidRDefault="00C56C06" w:rsidP="00C56C06">
            <w:pPr>
              <w:rPr>
                <w:rFonts w:ascii="Times New Roman" w:eastAsia="Times New Roman" w:hAnsi="Times New Roman" w:cs="Times New Roman"/>
                <w:b/>
                <w:bCs/>
                <w:color w:val="FFFFFF" w:themeColor="background1"/>
                <w:kern w:val="0"/>
                <w:sz w:val="18"/>
                <w:szCs w:val="18"/>
                <w:lang w:eastAsia="lv-LV"/>
                <w14:ligatures w14:val="none"/>
              </w:rPr>
            </w:pPr>
          </w:p>
        </w:tc>
      </w:tr>
      <w:tr w:rsidR="00E501EA" w:rsidRPr="00773099" w14:paraId="19C27247" w14:textId="77777777" w:rsidTr="00810AE1">
        <w:trPr>
          <w:trHeight w:val="580"/>
        </w:trPr>
        <w:tc>
          <w:tcPr>
            <w:tcW w:w="367" w:type="pct"/>
            <w:tcBorders>
              <w:top w:val="outset" w:sz="6" w:space="0" w:color="414142"/>
              <w:left w:val="outset" w:sz="6" w:space="0" w:color="414142"/>
              <w:bottom w:val="outset" w:sz="6" w:space="0" w:color="414142"/>
              <w:right w:val="outset" w:sz="6" w:space="0" w:color="414142"/>
            </w:tcBorders>
            <w:shd w:val="clear" w:color="auto" w:fill="FFFFFF"/>
          </w:tcPr>
          <w:p w14:paraId="619E9DFE" w14:textId="7E28CD4D" w:rsidR="00CC4B76" w:rsidRPr="00773099" w:rsidRDefault="00CC4B76" w:rsidP="00810AE1">
            <w:pPr>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Total funding for the implementation of the plan, including:</w:t>
            </w: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1D200A1E" w14:textId="23401B4D" w:rsidR="00CC4B76" w:rsidRPr="00773099" w:rsidRDefault="00CC4B76" w:rsidP="00810AE1">
            <w:pPr>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Amendments have been made to the regulatory framework in respect of the introduction of general annual personal income declaration, envisaging that the population must declare all income earned during the tax year, including income that they do not currently declare, including:</w:t>
            </w:r>
          </w:p>
        </w:tc>
        <w:tc>
          <w:tcPr>
            <w:tcW w:w="554" w:type="pct"/>
            <w:tcBorders>
              <w:top w:val="outset" w:sz="6" w:space="0" w:color="414142"/>
              <w:left w:val="outset" w:sz="6" w:space="0" w:color="414142"/>
              <w:bottom w:val="outset" w:sz="6" w:space="0" w:color="414142"/>
              <w:right w:val="outset" w:sz="6" w:space="0" w:color="414142"/>
            </w:tcBorders>
            <w:shd w:val="clear" w:color="auto" w:fill="FFFFFF"/>
          </w:tcPr>
          <w:p w14:paraId="7130E980" w14:textId="40324A29" w:rsidR="00CC4B76" w:rsidRPr="00773099" w:rsidRDefault="00CC4B76" w:rsidP="00810AE1">
            <w:pPr>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33.00.00 “Provision of State Revenue and Customs Policy”</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7C7AD413" w14:textId="4C68D0C5"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413 995</w:t>
            </w:r>
          </w:p>
        </w:tc>
        <w:tc>
          <w:tcPr>
            <w:tcW w:w="323" w:type="pct"/>
            <w:tcBorders>
              <w:top w:val="outset" w:sz="6" w:space="0" w:color="414142"/>
              <w:left w:val="outset" w:sz="6" w:space="0" w:color="414142"/>
              <w:bottom w:val="outset" w:sz="6" w:space="0" w:color="414142"/>
              <w:right w:val="outset" w:sz="6" w:space="0" w:color="414142"/>
            </w:tcBorders>
            <w:shd w:val="clear" w:color="auto" w:fill="FFFFFF"/>
          </w:tcPr>
          <w:p w14:paraId="0F26D16B" w14:textId="6C1DE3CA"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331 400</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5F3CBABB" w14:textId="51B8B9F6"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31 400</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37D46F00" w14:textId="1C2E07FD"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6BB32F62" w14:textId="31C636B8" w:rsidR="00CC4B76" w:rsidRPr="00773099" w:rsidRDefault="00CC4B76" w:rsidP="00810AE1">
            <w:pPr>
              <w:jc w:val="right"/>
              <w:rPr>
                <w:rFonts w:ascii="Times New Roman" w:hAnsi="Times New Roman" w:cs="Times New Roman"/>
                <w:color w:val="000000" w:themeColor="text1"/>
                <w:sz w:val="18"/>
                <w:szCs w:val="18"/>
                <w:lang w:eastAsia="lv-LV"/>
              </w:rPr>
            </w:pPr>
          </w:p>
        </w:tc>
        <w:tc>
          <w:tcPr>
            <w:tcW w:w="279" w:type="pct"/>
            <w:tcBorders>
              <w:top w:val="outset" w:sz="6" w:space="0" w:color="414142"/>
              <w:left w:val="outset" w:sz="6" w:space="0" w:color="414142"/>
              <w:bottom w:val="outset" w:sz="6" w:space="0" w:color="414142"/>
              <w:right w:val="outset" w:sz="6" w:space="0" w:color="414142"/>
            </w:tcBorders>
            <w:shd w:val="clear" w:color="auto" w:fill="FFFFFF"/>
          </w:tcPr>
          <w:p w14:paraId="7A608CF6" w14:textId="3383EEFD"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650CBAB1"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346305EC" w14:textId="2AC23201"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31 400</w:t>
            </w:r>
          </w:p>
        </w:tc>
        <w:tc>
          <w:tcPr>
            <w:tcW w:w="427" w:type="pct"/>
            <w:tcBorders>
              <w:top w:val="outset" w:sz="6" w:space="0" w:color="414142"/>
              <w:left w:val="outset" w:sz="6" w:space="0" w:color="414142"/>
              <w:bottom w:val="outset" w:sz="6" w:space="0" w:color="414142"/>
              <w:right w:val="outset" w:sz="6" w:space="0" w:color="414142"/>
            </w:tcBorders>
            <w:shd w:val="clear" w:color="auto" w:fill="FFFFFF"/>
          </w:tcPr>
          <w:p w14:paraId="55E6FE9B"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r>
      <w:tr w:rsidR="00E501EA" w:rsidRPr="00773099" w14:paraId="02050D09" w14:textId="77777777" w:rsidTr="00810AE1">
        <w:trPr>
          <w:trHeight w:val="580"/>
        </w:trPr>
        <w:tc>
          <w:tcPr>
            <w:tcW w:w="367" w:type="pct"/>
            <w:tcBorders>
              <w:top w:val="outset" w:sz="6" w:space="0" w:color="414142"/>
              <w:left w:val="outset" w:sz="6" w:space="0" w:color="414142"/>
              <w:bottom w:val="outset" w:sz="6" w:space="0" w:color="414142"/>
              <w:right w:val="outset" w:sz="6" w:space="0" w:color="414142"/>
            </w:tcBorders>
            <w:shd w:val="clear" w:color="auto" w:fill="FFFFFF"/>
          </w:tcPr>
          <w:p w14:paraId="2C94C107" w14:textId="77777777" w:rsidR="00CC4B76" w:rsidRPr="00773099" w:rsidRDefault="00CC4B76" w:rsidP="00810AE1">
            <w:pPr>
              <w:rPr>
                <w:rFonts w:ascii="Times New Roman" w:eastAsia="Times New Roman" w:hAnsi="Times New Roman" w:cs="Times New Roman"/>
                <w:color w:val="000000" w:themeColor="text1"/>
                <w:kern w:val="0"/>
                <w:sz w:val="18"/>
                <w:szCs w:val="18"/>
                <w:lang w:eastAsia="lv-LV"/>
                <w14:ligatures w14:val="none"/>
              </w:rPr>
            </w:pP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61BDE290" w14:textId="2F2EE69A" w:rsidR="00CC4B76" w:rsidRPr="00773099" w:rsidRDefault="00CC4B76" w:rsidP="00810AE1">
            <w:pPr>
              <w:pStyle w:val="ListParagraph"/>
              <w:numPr>
                <w:ilvl w:val="0"/>
                <w:numId w:val="19"/>
              </w:numPr>
              <w:ind w:left="171" w:hanging="188"/>
              <w:rPr>
                <w:rFonts w:ascii="Times New Roman" w:hAnsi="Times New Roman" w:cs="Times New Roman"/>
                <w:color w:val="000000" w:themeColor="text1"/>
                <w:sz w:val="18"/>
                <w:szCs w:val="18"/>
              </w:rPr>
            </w:pPr>
            <w:r>
              <w:rPr>
                <w:rFonts w:ascii="Times New Roman" w:hAnsi="Times New Roman"/>
                <w:color w:val="000000" w:themeColor="text1"/>
                <w:sz w:val="18"/>
              </w:rPr>
              <w:t>introduction of the necessary changes to the SRS information systems</w:t>
            </w:r>
          </w:p>
        </w:tc>
        <w:tc>
          <w:tcPr>
            <w:tcW w:w="554" w:type="pct"/>
            <w:tcBorders>
              <w:top w:val="outset" w:sz="6" w:space="0" w:color="414142"/>
              <w:left w:val="outset" w:sz="6" w:space="0" w:color="414142"/>
              <w:bottom w:val="outset" w:sz="6" w:space="0" w:color="414142"/>
              <w:right w:val="outset" w:sz="6" w:space="0" w:color="414142"/>
            </w:tcBorders>
            <w:shd w:val="clear" w:color="auto" w:fill="FFFFFF"/>
          </w:tcPr>
          <w:p w14:paraId="4CA990EB" w14:textId="77777777" w:rsidR="00CC4B76" w:rsidRPr="00773099" w:rsidRDefault="00CC4B76" w:rsidP="00810AE1">
            <w:pPr>
              <w:rPr>
                <w:rFonts w:ascii="Times New Roman" w:eastAsia="Times New Roman" w:hAnsi="Times New Roman" w:cs="Times New Roman"/>
                <w:color w:val="000000" w:themeColor="text1"/>
                <w:kern w:val="0"/>
                <w:sz w:val="18"/>
                <w:szCs w:val="18"/>
                <w:lang w:eastAsia="lv-LV"/>
                <w14:ligatures w14:val="none"/>
              </w:rPr>
            </w:pP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202962B6" w14:textId="36C2FCB1"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313 995</w:t>
            </w:r>
          </w:p>
        </w:tc>
        <w:tc>
          <w:tcPr>
            <w:tcW w:w="323" w:type="pct"/>
            <w:tcBorders>
              <w:top w:val="outset" w:sz="6" w:space="0" w:color="414142"/>
              <w:left w:val="outset" w:sz="6" w:space="0" w:color="414142"/>
              <w:bottom w:val="outset" w:sz="6" w:space="0" w:color="414142"/>
              <w:right w:val="outset" w:sz="6" w:space="0" w:color="414142"/>
            </w:tcBorders>
            <w:shd w:val="clear" w:color="auto" w:fill="FFFFFF"/>
          </w:tcPr>
          <w:p w14:paraId="6EBCA3B3" w14:textId="7164E279"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31 400</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55E10416" w14:textId="4651236F"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31 400</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346695C9" w14:textId="66EDE1B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5E8D1908" w14:textId="55883F36" w:rsidR="00CC4B76" w:rsidRPr="00773099" w:rsidRDefault="00CC4B76" w:rsidP="00810AE1">
            <w:pPr>
              <w:jc w:val="right"/>
              <w:rPr>
                <w:rFonts w:ascii="Times New Roman" w:hAnsi="Times New Roman" w:cs="Times New Roman"/>
                <w:color w:val="000000" w:themeColor="text1"/>
                <w:sz w:val="18"/>
                <w:szCs w:val="18"/>
                <w:lang w:eastAsia="lv-LV"/>
              </w:rPr>
            </w:pPr>
          </w:p>
        </w:tc>
        <w:tc>
          <w:tcPr>
            <w:tcW w:w="279" w:type="pct"/>
            <w:tcBorders>
              <w:top w:val="outset" w:sz="6" w:space="0" w:color="414142"/>
              <w:left w:val="outset" w:sz="6" w:space="0" w:color="414142"/>
              <w:bottom w:val="outset" w:sz="6" w:space="0" w:color="414142"/>
              <w:right w:val="outset" w:sz="6" w:space="0" w:color="414142"/>
            </w:tcBorders>
            <w:shd w:val="clear" w:color="auto" w:fill="FFFFFF"/>
          </w:tcPr>
          <w:p w14:paraId="18D2B9D0" w14:textId="6774394C"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672F2AAA"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1784AE40" w14:textId="7E83D361"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31 400</w:t>
            </w:r>
          </w:p>
        </w:tc>
        <w:tc>
          <w:tcPr>
            <w:tcW w:w="427" w:type="pct"/>
            <w:tcBorders>
              <w:top w:val="outset" w:sz="6" w:space="0" w:color="414142"/>
              <w:left w:val="outset" w:sz="6" w:space="0" w:color="414142"/>
              <w:bottom w:val="outset" w:sz="6" w:space="0" w:color="414142"/>
              <w:right w:val="outset" w:sz="6" w:space="0" w:color="414142"/>
            </w:tcBorders>
            <w:shd w:val="clear" w:color="auto" w:fill="FFFFFF"/>
          </w:tcPr>
          <w:p w14:paraId="581D95B4"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r>
      <w:tr w:rsidR="00E501EA" w:rsidRPr="00773099" w14:paraId="3A1F4243" w14:textId="77777777" w:rsidTr="00810AE1">
        <w:trPr>
          <w:trHeight w:val="580"/>
        </w:trPr>
        <w:tc>
          <w:tcPr>
            <w:tcW w:w="367" w:type="pct"/>
            <w:tcBorders>
              <w:top w:val="outset" w:sz="6" w:space="0" w:color="414142"/>
              <w:left w:val="outset" w:sz="6" w:space="0" w:color="414142"/>
              <w:bottom w:val="outset" w:sz="6" w:space="0" w:color="414142"/>
              <w:right w:val="outset" w:sz="6" w:space="0" w:color="414142"/>
            </w:tcBorders>
            <w:shd w:val="clear" w:color="auto" w:fill="FFFFFF"/>
          </w:tcPr>
          <w:p w14:paraId="013B9997" w14:textId="77777777" w:rsidR="00CC4B76" w:rsidRPr="00773099" w:rsidRDefault="00CC4B76" w:rsidP="00810AE1">
            <w:pPr>
              <w:rPr>
                <w:rFonts w:ascii="Times New Roman" w:eastAsia="Times New Roman" w:hAnsi="Times New Roman" w:cs="Times New Roman"/>
                <w:color w:val="000000" w:themeColor="text1"/>
                <w:kern w:val="0"/>
                <w:sz w:val="18"/>
                <w:szCs w:val="18"/>
                <w:lang w:eastAsia="lv-LV"/>
                <w14:ligatures w14:val="none"/>
              </w:rPr>
            </w:pP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667FF7A4" w14:textId="17A0E675" w:rsidR="00CC4B76" w:rsidRPr="009E3F8E" w:rsidRDefault="00CC4B76" w:rsidP="00810AE1">
            <w:pPr>
              <w:pStyle w:val="ListParagraph"/>
              <w:numPr>
                <w:ilvl w:val="0"/>
                <w:numId w:val="19"/>
              </w:numPr>
              <w:ind w:left="211" w:hanging="211"/>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organisation of a communication campaign on general declaration</w:t>
            </w:r>
          </w:p>
        </w:tc>
        <w:tc>
          <w:tcPr>
            <w:tcW w:w="554" w:type="pct"/>
            <w:tcBorders>
              <w:top w:val="outset" w:sz="6" w:space="0" w:color="414142"/>
              <w:left w:val="outset" w:sz="6" w:space="0" w:color="414142"/>
              <w:bottom w:val="outset" w:sz="6" w:space="0" w:color="414142"/>
              <w:right w:val="outset" w:sz="6" w:space="0" w:color="414142"/>
            </w:tcBorders>
            <w:shd w:val="clear" w:color="auto" w:fill="FFFFFF"/>
          </w:tcPr>
          <w:p w14:paraId="564C3ADA" w14:textId="77777777" w:rsidR="00CC4B76" w:rsidRPr="00773099" w:rsidRDefault="00CC4B76" w:rsidP="00810AE1">
            <w:pPr>
              <w:rPr>
                <w:rFonts w:ascii="Times New Roman" w:eastAsia="Times New Roman" w:hAnsi="Times New Roman" w:cs="Times New Roman"/>
                <w:b/>
                <w:bCs/>
                <w:color w:val="000000" w:themeColor="text1"/>
                <w:kern w:val="0"/>
                <w:sz w:val="18"/>
                <w:szCs w:val="18"/>
                <w:lang w:eastAsia="lv-LV"/>
                <w14:ligatures w14:val="none"/>
              </w:rPr>
            </w:pP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457A8E31" w14:textId="31C92D52"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100 000</w:t>
            </w:r>
          </w:p>
        </w:tc>
        <w:tc>
          <w:tcPr>
            <w:tcW w:w="323" w:type="pct"/>
            <w:tcBorders>
              <w:top w:val="outset" w:sz="6" w:space="0" w:color="414142"/>
              <w:left w:val="outset" w:sz="6" w:space="0" w:color="414142"/>
              <w:bottom w:val="outset" w:sz="6" w:space="0" w:color="414142"/>
              <w:right w:val="outset" w:sz="6" w:space="0" w:color="414142"/>
            </w:tcBorders>
            <w:shd w:val="clear" w:color="auto" w:fill="FFFFFF"/>
          </w:tcPr>
          <w:p w14:paraId="09ADD535" w14:textId="0DDC6E05" w:rsidR="00CC4B76" w:rsidRPr="00773099" w:rsidRDefault="00CC4B76" w:rsidP="00810AE1">
            <w:pPr>
              <w:jc w:val="right"/>
              <w:rPr>
                <w:rFonts w:ascii="Times New Roman" w:eastAsia="Times New Roman" w:hAnsi="Times New Roman" w:cs="Times New Roman"/>
                <w:b/>
                <w:bCs/>
                <w:color w:val="000000" w:themeColor="text1"/>
                <w:kern w:val="0"/>
                <w:sz w:val="18"/>
                <w:szCs w:val="18"/>
                <w14:ligatures w14:val="none"/>
              </w:rPr>
            </w:pPr>
            <w:r>
              <w:rPr>
                <w:rFonts w:ascii="Times New Roman" w:hAnsi="Times New Roman"/>
                <w:color w:val="000000" w:themeColor="text1"/>
                <w:sz w:val="18"/>
              </w:rPr>
              <w:t>300 000</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6CD8F8D7" w14:textId="5C757761"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5ACF3ED9" w14:textId="07003DC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5BAAF6A7" w14:textId="4764F462" w:rsidR="00CC4B76" w:rsidRPr="00773099" w:rsidRDefault="00CC4B76" w:rsidP="00810AE1">
            <w:pPr>
              <w:jc w:val="right"/>
              <w:rPr>
                <w:rFonts w:ascii="Times New Roman" w:hAnsi="Times New Roman" w:cs="Times New Roman"/>
                <w:color w:val="000000" w:themeColor="text1"/>
                <w:sz w:val="18"/>
                <w:szCs w:val="18"/>
                <w:lang w:eastAsia="lv-LV"/>
              </w:rPr>
            </w:pPr>
          </w:p>
        </w:tc>
        <w:tc>
          <w:tcPr>
            <w:tcW w:w="279" w:type="pct"/>
            <w:tcBorders>
              <w:top w:val="outset" w:sz="6" w:space="0" w:color="414142"/>
              <w:left w:val="outset" w:sz="6" w:space="0" w:color="414142"/>
              <w:bottom w:val="outset" w:sz="6" w:space="0" w:color="414142"/>
              <w:right w:val="outset" w:sz="6" w:space="0" w:color="414142"/>
            </w:tcBorders>
            <w:shd w:val="clear" w:color="auto" w:fill="FFFFFF"/>
          </w:tcPr>
          <w:p w14:paraId="542C59AE" w14:textId="70C70D32"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447943A0"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7B241BAD" w14:textId="72263D2D" w:rsidR="00CC4B76" w:rsidRPr="00773099" w:rsidRDefault="00CC4B76"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427" w:type="pct"/>
            <w:tcBorders>
              <w:top w:val="outset" w:sz="6" w:space="0" w:color="414142"/>
              <w:left w:val="outset" w:sz="6" w:space="0" w:color="414142"/>
              <w:bottom w:val="outset" w:sz="6" w:space="0" w:color="414142"/>
              <w:right w:val="outset" w:sz="6" w:space="0" w:color="414142"/>
            </w:tcBorders>
            <w:shd w:val="clear" w:color="auto" w:fill="FFFFFF"/>
          </w:tcPr>
          <w:p w14:paraId="3346B1C9" w14:textId="77777777" w:rsidR="00CC4B76" w:rsidRPr="00773099" w:rsidRDefault="00CC4B76" w:rsidP="00810AE1">
            <w:pPr>
              <w:jc w:val="right"/>
              <w:rPr>
                <w:rFonts w:ascii="Times New Roman" w:eastAsia="Times New Roman" w:hAnsi="Times New Roman" w:cs="Times New Roman"/>
                <w:color w:val="000000" w:themeColor="text1"/>
                <w:kern w:val="0"/>
                <w:sz w:val="18"/>
                <w:szCs w:val="18"/>
                <w:lang w:eastAsia="lv-LV"/>
                <w14:ligatures w14:val="none"/>
              </w:rPr>
            </w:pPr>
          </w:p>
        </w:tc>
      </w:tr>
      <w:tr w:rsidR="00E501EA" w:rsidRPr="00773099" w14:paraId="6FF38216" w14:textId="77777777" w:rsidTr="00810AE1">
        <w:trPr>
          <w:trHeight w:val="580"/>
        </w:trPr>
        <w:tc>
          <w:tcPr>
            <w:tcW w:w="367" w:type="pct"/>
            <w:tcBorders>
              <w:top w:val="outset" w:sz="6" w:space="0" w:color="414142"/>
              <w:left w:val="outset" w:sz="6" w:space="0" w:color="414142"/>
              <w:bottom w:val="outset" w:sz="6" w:space="0" w:color="414142"/>
              <w:right w:val="outset" w:sz="6" w:space="0" w:color="414142"/>
            </w:tcBorders>
            <w:shd w:val="clear" w:color="auto" w:fill="FFFFFF"/>
          </w:tcPr>
          <w:p w14:paraId="7E66B754" w14:textId="77777777" w:rsidR="00E501EA" w:rsidRPr="00773099" w:rsidRDefault="00E501EA" w:rsidP="00810AE1">
            <w:pPr>
              <w:rPr>
                <w:rFonts w:ascii="Times New Roman" w:eastAsia="Times New Roman" w:hAnsi="Times New Roman" w:cs="Times New Roman"/>
                <w:color w:val="000000" w:themeColor="text1"/>
                <w:kern w:val="0"/>
                <w:sz w:val="18"/>
                <w:szCs w:val="18"/>
                <w:lang w:eastAsia="lv-LV"/>
                <w14:ligatures w14:val="none"/>
              </w:rPr>
            </w:pP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45940DF9" w14:textId="04A5449B" w:rsidR="00E501EA" w:rsidRPr="0054127B" w:rsidRDefault="00E501EA" w:rsidP="00810AE1">
            <w:pPr>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Implementation of the electronic circulation system for supporting documents (e-invoices)</w:t>
            </w:r>
          </w:p>
        </w:tc>
        <w:tc>
          <w:tcPr>
            <w:tcW w:w="554" w:type="pct"/>
            <w:tcBorders>
              <w:top w:val="outset" w:sz="6" w:space="0" w:color="414142"/>
              <w:left w:val="outset" w:sz="6" w:space="0" w:color="414142"/>
              <w:bottom w:val="outset" w:sz="6" w:space="0" w:color="414142"/>
              <w:right w:val="outset" w:sz="6" w:space="0" w:color="414142"/>
            </w:tcBorders>
            <w:shd w:val="clear" w:color="auto" w:fill="FFFFFF"/>
          </w:tcPr>
          <w:p w14:paraId="5BE8D80E" w14:textId="30D833A4" w:rsidR="00E501EA" w:rsidRPr="0054127B" w:rsidRDefault="00E501EA" w:rsidP="00810AE1">
            <w:pPr>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74.06.00 “Projects and Measures under the Recovery and Resilience Mechanism Plan”</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0EB57FAF" w14:textId="7141F1B8"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323" w:type="pct"/>
            <w:tcBorders>
              <w:top w:val="outset" w:sz="6" w:space="0" w:color="414142"/>
              <w:left w:val="outset" w:sz="6" w:space="0" w:color="414142"/>
              <w:bottom w:val="outset" w:sz="6" w:space="0" w:color="414142"/>
              <w:right w:val="outset" w:sz="6" w:space="0" w:color="414142"/>
            </w:tcBorders>
            <w:shd w:val="clear" w:color="auto" w:fill="FFFFFF"/>
          </w:tcPr>
          <w:p w14:paraId="63F013F2" w14:textId="09E30334" w:rsidR="00E501EA" w:rsidRPr="00773099" w:rsidRDefault="00E501EA" w:rsidP="00810AE1">
            <w:pPr>
              <w:jc w:val="right"/>
              <w:rPr>
                <w:rFonts w:ascii="Times New Roman" w:hAnsi="Times New Roman" w:cs="Times New Roman"/>
                <w:color w:val="000000" w:themeColor="text1"/>
                <w:sz w:val="18"/>
                <w:szCs w:val="18"/>
              </w:rPr>
            </w:pPr>
            <w:r>
              <w:rPr>
                <w:rFonts w:ascii="Times New Roman" w:hAnsi="Times New Roman"/>
                <w:color w:val="000000" w:themeColor="text1"/>
                <w:sz w:val="18"/>
              </w:rPr>
              <w:t>-</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0C3A0DAC" w14:textId="64FE8FF8"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2A2B4266" w14:textId="14E61222"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633 923</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589EFE66" w14:textId="5952718D" w:rsidR="00E501EA" w:rsidRPr="00773099" w:rsidRDefault="00E501EA" w:rsidP="00810AE1">
            <w:pPr>
              <w:jc w:val="right"/>
              <w:rPr>
                <w:rFonts w:ascii="Times New Roman" w:hAnsi="Times New Roman" w:cs="Times New Roman"/>
                <w:color w:val="000000" w:themeColor="text1"/>
                <w:sz w:val="18"/>
                <w:szCs w:val="18"/>
              </w:rPr>
            </w:pPr>
            <w:r>
              <w:rPr>
                <w:rFonts w:ascii="Times New Roman" w:hAnsi="Times New Roman"/>
                <w:color w:val="000000" w:themeColor="text1"/>
                <w:sz w:val="18"/>
              </w:rPr>
              <w:t>1 398 877</w:t>
            </w:r>
          </w:p>
        </w:tc>
        <w:tc>
          <w:tcPr>
            <w:tcW w:w="279" w:type="pct"/>
            <w:tcBorders>
              <w:top w:val="outset" w:sz="6" w:space="0" w:color="414142"/>
              <w:left w:val="outset" w:sz="6" w:space="0" w:color="414142"/>
              <w:bottom w:val="outset" w:sz="6" w:space="0" w:color="414142"/>
              <w:right w:val="outset" w:sz="6" w:space="0" w:color="414142"/>
            </w:tcBorders>
            <w:shd w:val="clear" w:color="auto" w:fill="FFFFFF"/>
          </w:tcPr>
          <w:p w14:paraId="6692637F" w14:textId="4ADB07D6"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18FFF42D" w14:textId="77777777" w:rsidR="00E501EA" w:rsidRPr="00773099" w:rsidRDefault="00E501EA"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2E47318C" w14:textId="4FC87FDF"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427" w:type="pct"/>
            <w:tcBorders>
              <w:top w:val="outset" w:sz="6" w:space="0" w:color="414142"/>
              <w:left w:val="outset" w:sz="6" w:space="0" w:color="414142"/>
              <w:bottom w:val="outset" w:sz="6" w:space="0" w:color="414142"/>
              <w:right w:val="outset" w:sz="6" w:space="0" w:color="414142"/>
            </w:tcBorders>
            <w:shd w:val="clear" w:color="auto" w:fill="FFFFFF"/>
          </w:tcPr>
          <w:p w14:paraId="7C44A178" w14:textId="09A7C4B5" w:rsidR="00E501EA" w:rsidRPr="00773099" w:rsidRDefault="003C2247"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2025</w:t>
            </w:r>
          </w:p>
        </w:tc>
      </w:tr>
      <w:tr w:rsidR="00E501EA" w:rsidRPr="00773099" w14:paraId="32EED600" w14:textId="77777777" w:rsidTr="00810AE1">
        <w:trPr>
          <w:trHeight w:val="580"/>
        </w:trPr>
        <w:tc>
          <w:tcPr>
            <w:tcW w:w="367" w:type="pct"/>
            <w:tcBorders>
              <w:top w:val="outset" w:sz="6" w:space="0" w:color="414142"/>
              <w:left w:val="outset" w:sz="6" w:space="0" w:color="414142"/>
              <w:bottom w:val="outset" w:sz="6" w:space="0" w:color="414142"/>
              <w:right w:val="outset" w:sz="6" w:space="0" w:color="414142"/>
            </w:tcBorders>
            <w:shd w:val="clear" w:color="auto" w:fill="FFFFFF"/>
          </w:tcPr>
          <w:p w14:paraId="5AE9F0AA" w14:textId="77777777" w:rsidR="00E501EA" w:rsidRPr="00773099" w:rsidRDefault="00E501EA" w:rsidP="00810AE1">
            <w:pPr>
              <w:rPr>
                <w:rFonts w:ascii="Times New Roman" w:eastAsia="Times New Roman" w:hAnsi="Times New Roman" w:cs="Times New Roman"/>
                <w:color w:val="000000" w:themeColor="text1"/>
                <w:kern w:val="0"/>
                <w:sz w:val="18"/>
                <w:szCs w:val="18"/>
                <w:lang w:eastAsia="lv-LV"/>
                <w14:ligatures w14:val="none"/>
              </w:rPr>
            </w:pPr>
          </w:p>
        </w:tc>
        <w:tc>
          <w:tcPr>
            <w:tcW w:w="831" w:type="pct"/>
            <w:tcBorders>
              <w:top w:val="outset" w:sz="6" w:space="0" w:color="414142"/>
              <w:left w:val="outset" w:sz="6" w:space="0" w:color="414142"/>
              <w:bottom w:val="outset" w:sz="6" w:space="0" w:color="414142"/>
              <w:right w:val="outset" w:sz="6" w:space="0" w:color="414142"/>
            </w:tcBorders>
            <w:shd w:val="clear" w:color="auto" w:fill="FFFFFF"/>
          </w:tcPr>
          <w:p w14:paraId="5BC292F5" w14:textId="77777777" w:rsidR="00E501EA" w:rsidRDefault="00E501EA" w:rsidP="00810AE1">
            <w:pPr>
              <w:rPr>
                <w:rFonts w:ascii="Times New Roman" w:eastAsia="Times New Roman" w:hAnsi="Times New Roman" w:cs="Times New Roman"/>
                <w:color w:val="000000" w:themeColor="text1"/>
                <w:kern w:val="0"/>
                <w:sz w:val="18"/>
                <w:szCs w:val="18"/>
                <w:lang w:eastAsia="lv-LV"/>
                <w14:ligatures w14:val="none"/>
              </w:rPr>
            </w:pPr>
          </w:p>
        </w:tc>
        <w:tc>
          <w:tcPr>
            <w:tcW w:w="554" w:type="pct"/>
            <w:tcBorders>
              <w:top w:val="outset" w:sz="6" w:space="0" w:color="414142"/>
              <w:left w:val="outset" w:sz="6" w:space="0" w:color="414142"/>
              <w:bottom w:val="outset" w:sz="6" w:space="0" w:color="414142"/>
              <w:right w:val="outset" w:sz="6" w:space="0" w:color="414142"/>
            </w:tcBorders>
            <w:shd w:val="clear" w:color="auto" w:fill="FFFFFF"/>
          </w:tcPr>
          <w:p w14:paraId="528C9BBE" w14:textId="59DE73C3" w:rsidR="00E501EA" w:rsidRPr="0054127B" w:rsidRDefault="00E501EA" w:rsidP="00810AE1">
            <w:pPr>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33.00.00 “Provision of State Revenue and Customs Policy”</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773FA096" w14:textId="460BF34E"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323" w:type="pct"/>
            <w:tcBorders>
              <w:top w:val="outset" w:sz="6" w:space="0" w:color="414142"/>
              <w:left w:val="outset" w:sz="6" w:space="0" w:color="414142"/>
              <w:bottom w:val="outset" w:sz="6" w:space="0" w:color="414142"/>
              <w:right w:val="outset" w:sz="6" w:space="0" w:color="414142"/>
            </w:tcBorders>
            <w:shd w:val="clear" w:color="auto" w:fill="FFFFFF"/>
          </w:tcPr>
          <w:p w14:paraId="5F008F27" w14:textId="5381CDA7" w:rsidR="00E501EA" w:rsidRPr="00773099" w:rsidRDefault="00E501EA" w:rsidP="00810AE1">
            <w:pPr>
              <w:jc w:val="right"/>
              <w:rPr>
                <w:rFonts w:ascii="Times New Roman" w:hAnsi="Times New Roman" w:cs="Times New Roman"/>
                <w:color w:val="000000" w:themeColor="text1"/>
                <w:sz w:val="18"/>
                <w:szCs w:val="18"/>
              </w:rPr>
            </w:pPr>
            <w:r>
              <w:rPr>
                <w:rFonts w:ascii="Times New Roman" w:hAnsi="Times New Roman"/>
                <w:color w:val="000000" w:themeColor="text1"/>
                <w:sz w:val="18"/>
              </w:rPr>
              <w:t>-</w:t>
            </w:r>
          </w:p>
        </w:tc>
        <w:tc>
          <w:tcPr>
            <w:tcW w:w="324" w:type="pct"/>
            <w:tcBorders>
              <w:top w:val="outset" w:sz="6" w:space="0" w:color="414142"/>
              <w:left w:val="outset" w:sz="6" w:space="0" w:color="414142"/>
              <w:bottom w:val="outset" w:sz="6" w:space="0" w:color="414142"/>
              <w:right w:val="outset" w:sz="6" w:space="0" w:color="414142"/>
            </w:tcBorders>
            <w:shd w:val="clear" w:color="auto" w:fill="FFFFFF"/>
          </w:tcPr>
          <w:p w14:paraId="3380C454" w14:textId="35BB6319"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6DF89956" w14:textId="77777777" w:rsidR="00E501EA" w:rsidRPr="00773099" w:rsidRDefault="00E501EA"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751F7BBD" w14:textId="77777777" w:rsidR="00E501EA" w:rsidRPr="00773099" w:rsidRDefault="00E501EA" w:rsidP="00810AE1">
            <w:pPr>
              <w:jc w:val="right"/>
              <w:rPr>
                <w:rFonts w:ascii="Times New Roman" w:hAnsi="Times New Roman" w:cs="Times New Roman"/>
                <w:color w:val="000000" w:themeColor="text1"/>
                <w:sz w:val="18"/>
                <w:szCs w:val="18"/>
                <w:lang w:eastAsia="lv-LV"/>
              </w:rPr>
            </w:pPr>
          </w:p>
        </w:tc>
        <w:tc>
          <w:tcPr>
            <w:tcW w:w="279" w:type="pct"/>
            <w:tcBorders>
              <w:top w:val="outset" w:sz="6" w:space="0" w:color="414142"/>
              <w:left w:val="outset" w:sz="6" w:space="0" w:color="414142"/>
              <w:bottom w:val="outset" w:sz="6" w:space="0" w:color="414142"/>
              <w:right w:val="outset" w:sz="6" w:space="0" w:color="414142"/>
            </w:tcBorders>
            <w:shd w:val="clear" w:color="auto" w:fill="FFFFFF"/>
          </w:tcPr>
          <w:p w14:paraId="53DAF978" w14:textId="70D59158"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933 754</w:t>
            </w:r>
          </w:p>
        </w:tc>
        <w:tc>
          <w:tcPr>
            <w:tcW w:w="555" w:type="pct"/>
            <w:tcBorders>
              <w:top w:val="outset" w:sz="6" w:space="0" w:color="414142"/>
              <w:left w:val="outset" w:sz="6" w:space="0" w:color="414142"/>
              <w:bottom w:val="outset" w:sz="6" w:space="0" w:color="414142"/>
              <w:right w:val="outset" w:sz="6" w:space="0" w:color="414142"/>
            </w:tcBorders>
            <w:shd w:val="clear" w:color="auto" w:fill="FFFFFF"/>
          </w:tcPr>
          <w:p w14:paraId="12A15B85" w14:textId="77777777" w:rsidR="00E501EA" w:rsidRPr="00773099" w:rsidRDefault="00E501EA" w:rsidP="00810AE1">
            <w:pPr>
              <w:jc w:val="right"/>
              <w:rPr>
                <w:rFonts w:ascii="Times New Roman" w:eastAsia="Times New Roman" w:hAnsi="Times New Roman" w:cs="Times New Roman"/>
                <w:color w:val="000000" w:themeColor="text1"/>
                <w:kern w:val="0"/>
                <w:sz w:val="18"/>
                <w:szCs w:val="18"/>
                <w:lang w:eastAsia="lv-LV"/>
                <w14:ligatures w14:val="none"/>
              </w:rPr>
            </w:pPr>
          </w:p>
        </w:tc>
        <w:tc>
          <w:tcPr>
            <w:tcW w:w="462" w:type="pct"/>
            <w:tcBorders>
              <w:top w:val="outset" w:sz="6" w:space="0" w:color="414142"/>
              <w:left w:val="outset" w:sz="6" w:space="0" w:color="414142"/>
              <w:bottom w:val="outset" w:sz="6" w:space="0" w:color="414142"/>
              <w:right w:val="outset" w:sz="6" w:space="0" w:color="414142"/>
            </w:tcBorders>
            <w:shd w:val="clear" w:color="auto" w:fill="FFFFFF"/>
          </w:tcPr>
          <w:p w14:paraId="5340B882" w14:textId="4C35BFF3" w:rsidR="00E501EA" w:rsidRPr="00773099" w:rsidRDefault="00E501EA" w:rsidP="00810AE1">
            <w:pPr>
              <w:jc w:val="right"/>
              <w:rPr>
                <w:rFonts w:ascii="Times New Roman" w:eastAsia="Times New Roman" w:hAnsi="Times New Roman" w:cs="Times New Roman"/>
                <w:color w:val="000000" w:themeColor="text1"/>
                <w:kern w:val="0"/>
                <w:sz w:val="18"/>
                <w:szCs w:val="18"/>
                <w14:ligatures w14:val="none"/>
              </w:rPr>
            </w:pPr>
            <w:r>
              <w:rPr>
                <w:rFonts w:ascii="Times New Roman" w:hAnsi="Times New Roman"/>
                <w:color w:val="000000" w:themeColor="text1"/>
                <w:sz w:val="18"/>
              </w:rPr>
              <w:t>349 368</w:t>
            </w:r>
          </w:p>
        </w:tc>
        <w:tc>
          <w:tcPr>
            <w:tcW w:w="427" w:type="pct"/>
            <w:tcBorders>
              <w:top w:val="outset" w:sz="6" w:space="0" w:color="414142"/>
              <w:left w:val="outset" w:sz="6" w:space="0" w:color="414142"/>
              <w:bottom w:val="outset" w:sz="6" w:space="0" w:color="414142"/>
              <w:right w:val="outset" w:sz="6" w:space="0" w:color="414142"/>
            </w:tcBorders>
            <w:shd w:val="clear" w:color="auto" w:fill="FFFFFF"/>
          </w:tcPr>
          <w:p w14:paraId="74F34018" w14:textId="77777777" w:rsidR="00E501EA" w:rsidRPr="00773099" w:rsidRDefault="00E501EA" w:rsidP="00810AE1">
            <w:pPr>
              <w:jc w:val="right"/>
              <w:rPr>
                <w:rFonts w:ascii="Times New Roman" w:eastAsia="Times New Roman" w:hAnsi="Times New Roman" w:cs="Times New Roman"/>
                <w:color w:val="000000" w:themeColor="text1"/>
                <w:kern w:val="0"/>
                <w:sz w:val="18"/>
                <w:szCs w:val="18"/>
                <w:lang w:eastAsia="lv-LV"/>
                <w14:ligatures w14:val="none"/>
              </w:rPr>
            </w:pPr>
          </w:p>
        </w:tc>
      </w:tr>
    </w:tbl>
    <w:p w14:paraId="45C42C4B" w14:textId="77777777" w:rsidR="008763B8" w:rsidRDefault="008763B8" w:rsidP="00806C10">
      <w:pPr>
        <w:rPr>
          <w:rFonts w:ascii="Times New Roman" w:hAnsi="Times New Roman" w:cs="Times New Roman"/>
          <w:sz w:val="18"/>
          <w:szCs w:val="18"/>
          <w:shd w:val="clear" w:color="auto" w:fill="FFFFFF"/>
        </w:rPr>
      </w:pPr>
    </w:p>
    <w:p w14:paraId="486E5AEE" w14:textId="77777777" w:rsidR="00EA4D8B" w:rsidRDefault="00EA4D8B" w:rsidP="00806C10">
      <w:pPr>
        <w:rPr>
          <w:rFonts w:ascii="Times New Roman" w:hAnsi="Times New Roman" w:cs="Times New Roman"/>
          <w:sz w:val="18"/>
          <w:szCs w:val="18"/>
          <w:shd w:val="clear" w:color="auto" w:fill="FFFFFF"/>
        </w:rPr>
      </w:pPr>
    </w:p>
    <w:p w14:paraId="64DDD41A" w14:textId="77777777" w:rsidR="009E3F8E" w:rsidRDefault="009E3F8E" w:rsidP="00806C10">
      <w:pPr>
        <w:rPr>
          <w:rFonts w:ascii="Times New Roman" w:hAnsi="Times New Roman" w:cs="Times New Roman"/>
          <w:sz w:val="18"/>
          <w:szCs w:val="18"/>
          <w:shd w:val="clear" w:color="auto" w:fill="FFFFFF"/>
        </w:rPr>
      </w:pPr>
    </w:p>
    <w:p w14:paraId="32F3C18F" w14:textId="142467B5" w:rsidR="009E3F8E" w:rsidRDefault="00CC4B76" w:rsidP="00806C10">
      <w:pPr>
        <w:rPr>
          <w:rFonts w:ascii="Times New Roman" w:hAnsi="Times New Roman" w:cs="Times New Roman"/>
          <w:sz w:val="18"/>
          <w:szCs w:val="18"/>
          <w:shd w:val="clear" w:color="auto" w:fill="FFFFFF"/>
        </w:rPr>
      </w:pPr>
      <w:r>
        <w:rPr>
          <w:rFonts w:ascii="Times New Roman" w:hAnsi="Times New Roman"/>
          <w:sz w:val="18"/>
          <w:shd w:val="clear" w:color="auto" w:fill="FFFFFF"/>
        </w:rPr>
        <w:t>The responsible and participating ministries will ensure the implementation of the measures included in the plan within the existing funding by requesting from the programme 80.00.00 “Undivided Financing for the Implementation of Projects and Measures Co-financed from European Union Policy Instruments and Other Foreign Financial Assistance” of the budget unit “74. Funding to be Reallocated in the Process of Implementation of the Annual State Budget” or, where necessary, through fiscally neutral proposals during the preparation of the current annual budget.</w:t>
      </w:r>
    </w:p>
    <w:p w14:paraId="160359E6" w14:textId="77777777" w:rsidR="009E3F8E" w:rsidRDefault="009E3F8E" w:rsidP="00806C10">
      <w:pPr>
        <w:rPr>
          <w:rFonts w:ascii="Times New Roman" w:hAnsi="Times New Roman" w:cs="Times New Roman"/>
          <w:sz w:val="18"/>
          <w:szCs w:val="18"/>
          <w:shd w:val="clear" w:color="auto" w:fill="FFFFFF"/>
        </w:rPr>
      </w:pPr>
    </w:p>
    <w:p w14:paraId="282CD370" w14:textId="294AD59E" w:rsidR="00810AE1" w:rsidRDefault="00810AE1">
      <w:pPr>
        <w:rPr>
          <w:rFonts w:ascii="Times New Roman" w:hAnsi="Times New Roman" w:cs="Times New Roman"/>
          <w:sz w:val="18"/>
          <w:szCs w:val="18"/>
          <w:shd w:val="clear" w:color="auto" w:fill="FFFFFF"/>
        </w:rPr>
      </w:pPr>
      <w:r>
        <w:br w:type="page"/>
      </w:r>
    </w:p>
    <w:p w14:paraId="747D6817" w14:textId="3F4FCBC1" w:rsidR="00DB4DA0" w:rsidRDefault="00DB4DA0" w:rsidP="00DB4DA0">
      <w:pPr>
        <w:jc w:val="center"/>
        <w:rPr>
          <w:rFonts w:ascii="Times New Roman" w:hAnsi="Times New Roman" w:cs="Times New Roman"/>
          <w:sz w:val="18"/>
          <w:szCs w:val="18"/>
          <w:shd w:val="clear" w:color="auto" w:fill="FFFFFF"/>
        </w:rPr>
      </w:pPr>
      <w:r>
        <w:rPr>
          <w:rFonts w:ascii="Times New Roman" w:hAnsi="Times New Roman"/>
          <w:color w:val="414142"/>
        </w:rPr>
        <w:t xml:space="preserve">Summary of estimated tax revenue from the measures included in the plan </w:t>
      </w:r>
    </w:p>
    <w:p w14:paraId="7BEC3DAA" w14:textId="01D93C69" w:rsidR="001B1801" w:rsidRPr="00DB4DA0" w:rsidRDefault="00DB4DA0" w:rsidP="00DB4DA0">
      <w:pPr>
        <w:jc w:val="right"/>
        <w:rPr>
          <w:rFonts w:ascii="Times New Roman" w:hAnsi="Times New Roman" w:cs="Times New Roman"/>
          <w:i/>
          <w:iCs/>
          <w:sz w:val="18"/>
          <w:szCs w:val="18"/>
          <w:shd w:val="clear" w:color="auto" w:fill="FFFFFF"/>
        </w:rPr>
      </w:pPr>
      <w:r>
        <w:rPr>
          <w:rFonts w:ascii="Times New Roman" w:hAnsi="Times New Roman"/>
          <w:i/>
          <w:sz w:val="18"/>
          <w:shd w:val="clear" w:color="auto" w:fill="FFFFFF"/>
        </w:rPr>
        <w:t>mln. EUR</w:t>
      </w:r>
    </w:p>
    <w:tbl>
      <w:tblPr>
        <w:tblpPr w:leftFromText="180" w:rightFromText="180" w:vertAnchor="text" w:horzAnchor="margin" w:tblpX="-434" w:tblpY="85"/>
        <w:tblW w:w="5174"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7928"/>
        <w:gridCol w:w="1560"/>
        <w:gridCol w:w="1560"/>
        <w:gridCol w:w="1557"/>
        <w:gridCol w:w="1418"/>
        <w:gridCol w:w="1360"/>
      </w:tblGrid>
      <w:tr w:rsidR="00DB4DA0" w:rsidRPr="00DB4DA0" w14:paraId="7AEAAA34" w14:textId="6E8457A8" w:rsidTr="00C15E57">
        <w:trPr>
          <w:trHeight w:val="265"/>
        </w:trPr>
        <w:tc>
          <w:tcPr>
            <w:tcW w:w="2577" w:type="pct"/>
            <w:vMerge w:val="restart"/>
            <w:tcBorders>
              <w:top w:val="outset" w:sz="6" w:space="0" w:color="414142"/>
              <w:left w:val="outset" w:sz="6" w:space="0" w:color="414142"/>
              <w:right w:val="outset" w:sz="6" w:space="0" w:color="414142"/>
            </w:tcBorders>
            <w:shd w:val="clear" w:color="auto" w:fill="8496B0" w:themeFill="text2" w:themeFillTint="99"/>
            <w:vAlign w:val="center"/>
            <w:hideMark/>
          </w:tcPr>
          <w:p w14:paraId="36BA313E" w14:textId="35DFAF60" w:rsidR="00986B33" w:rsidRPr="00DB4DA0" w:rsidRDefault="00986B33" w:rsidP="00D34F0E">
            <w:pPr>
              <w:ind w:left="-170"/>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Course of action of the plan</w:t>
            </w:r>
          </w:p>
        </w:tc>
        <w:tc>
          <w:tcPr>
            <w:tcW w:w="507" w:type="pct"/>
            <w:vMerge w:val="restart"/>
            <w:tcBorders>
              <w:top w:val="outset" w:sz="6" w:space="0" w:color="414142"/>
              <w:left w:val="outset" w:sz="6" w:space="0" w:color="414142"/>
              <w:right w:val="outset" w:sz="6" w:space="0" w:color="414142"/>
            </w:tcBorders>
            <w:shd w:val="clear" w:color="auto" w:fill="8496B0" w:themeFill="text2" w:themeFillTint="99"/>
            <w:vAlign w:val="center"/>
          </w:tcPr>
          <w:p w14:paraId="1FFFF1E4" w14:textId="3624BAE8" w:rsidR="00986B33" w:rsidRPr="00DB4DA0" w:rsidRDefault="00986B33" w:rsidP="00D34F0E">
            <w:pPr>
              <w:ind w:left="-170"/>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Total</w:t>
            </w:r>
          </w:p>
        </w:tc>
        <w:tc>
          <w:tcPr>
            <w:tcW w:w="1916" w:type="pct"/>
            <w:gridSpan w:val="4"/>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6623B700" w14:textId="5B5746E8" w:rsidR="00986B33" w:rsidRPr="00DB4DA0" w:rsidRDefault="00986B33" w:rsidP="00D34F0E">
            <w:pPr>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 xml:space="preserve">Projected revenue </w:t>
            </w:r>
          </w:p>
        </w:tc>
      </w:tr>
      <w:tr w:rsidR="00DB4DA0" w:rsidRPr="00DB4DA0" w14:paraId="526C08EB" w14:textId="0330554B" w:rsidTr="00C15E57">
        <w:trPr>
          <w:trHeight w:val="108"/>
        </w:trPr>
        <w:tc>
          <w:tcPr>
            <w:tcW w:w="2577" w:type="pct"/>
            <w:vMerge/>
            <w:tcBorders>
              <w:left w:val="outset" w:sz="6" w:space="0" w:color="414142"/>
              <w:bottom w:val="outset" w:sz="6" w:space="0" w:color="414142"/>
              <w:right w:val="outset" w:sz="6" w:space="0" w:color="414142"/>
            </w:tcBorders>
            <w:shd w:val="clear" w:color="auto" w:fill="8496B0" w:themeFill="text2" w:themeFillTint="99"/>
            <w:vAlign w:val="center"/>
            <w:hideMark/>
          </w:tcPr>
          <w:p w14:paraId="17908873" w14:textId="77777777" w:rsidR="00986B33" w:rsidRPr="00DB4DA0" w:rsidRDefault="00986B33" w:rsidP="00D34F0E">
            <w:pPr>
              <w:rPr>
                <w:rFonts w:ascii="Times New Roman" w:eastAsia="Times New Roman" w:hAnsi="Times New Roman" w:cs="Times New Roman"/>
                <w:b/>
                <w:bCs/>
                <w:color w:val="FFFFFF" w:themeColor="background1"/>
                <w:kern w:val="0"/>
                <w:lang w:eastAsia="lv-LV"/>
                <w14:ligatures w14:val="none"/>
              </w:rPr>
            </w:pPr>
          </w:p>
        </w:tc>
        <w:tc>
          <w:tcPr>
            <w:tcW w:w="507" w:type="pct"/>
            <w:vMerge/>
            <w:tcBorders>
              <w:left w:val="outset" w:sz="6" w:space="0" w:color="414142"/>
              <w:bottom w:val="outset" w:sz="6" w:space="0" w:color="414142"/>
              <w:right w:val="outset" w:sz="6" w:space="0" w:color="414142"/>
            </w:tcBorders>
            <w:shd w:val="clear" w:color="auto" w:fill="8496B0" w:themeFill="text2" w:themeFillTint="99"/>
          </w:tcPr>
          <w:p w14:paraId="1ECF6B7C" w14:textId="77777777" w:rsidR="00986B33" w:rsidRPr="00DB4DA0" w:rsidRDefault="00986B33" w:rsidP="00D34F0E">
            <w:pPr>
              <w:jc w:val="center"/>
              <w:rPr>
                <w:rFonts w:ascii="Times New Roman" w:eastAsia="Times New Roman" w:hAnsi="Times New Roman" w:cs="Times New Roman"/>
                <w:b/>
                <w:bCs/>
                <w:color w:val="FFFFFF" w:themeColor="background1"/>
                <w:kern w:val="0"/>
                <w:lang w:eastAsia="lv-LV"/>
                <w14:ligatures w14:val="none"/>
              </w:rPr>
            </w:pPr>
          </w:p>
        </w:tc>
        <w:tc>
          <w:tcPr>
            <w:tcW w:w="507"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46CDBA63" w14:textId="4BDF10F1" w:rsidR="00986B33" w:rsidRPr="00DB4DA0" w:rsidRDefault="00986B33" w:rsidP="00D34F0E">
            <w:pPr>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2024</w:t>
            </w:r>
          </w:p>
        </w:tc>
        <w:tc>
          <w:tcPr>
            <w:tcW w:w="506"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5D744E9D" w14:textId="54476FA6" w:rsidR="00986B33" w:rsidRPr="00DB4DA0" w:rsidRDefault="00986B33" w:rsidP="00D34F0E">
            <w:pPr>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2025</w:t>
            </w:r>
          </w:p>
        </w:tc>
        <w:tc>
          <w:tcPr>
            <w:tcW w:w="461" w:type="pct"/>
            <w:tcBorders>
              <w:top w:val="outset" w:sz="6" w:space="0" w:color="414142"/>
              <w:left w:val="outset" w:sz="6" w:space="0" w:color="414142"/>
              <w:bottom w:val="outset" w:sz="6" w:space="0" w:color="414142"/>
              <w:right w:val="outset" w:sz="6" w:space="0" w:color="414142"/>
            </w:tcBorders>
            <w:shd w:val="clear" w:color="auto" w:fill="8496B0" w:themeFill="text2" w:themeFillTint="99"/>
            <w:vAlign w:val="center"/>
            <w:hideMark/>
          </w:tcPr>
          <w:p w14:paraId="51F8D764" w14:textId="334C78A6" w:rsidR="00986B33" w:rsidRPr="00DB4DA0" w:rsidRDefault="00986B33" w:rsidP="00D34F0E">
            <w:pPr>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2026</w:t>
            </w:r>
          </w:p>
        </w:tc>
        <w:tc>
          <w:tcPr>
            <w:tcW w:w="442" w:type="pct"/>
            <w:tcBorders>
              <w:top w:val="outset" w:sz="6" w:space="0" w:color="414142"/>
              <w:left w:val="outset" w:sz="6" w:space="0" w:color="414142"/>
              <w:bottom w:val="outset" w:sz="6" w:space="0" w:color="414142"/>
              <w:right w:val="outset" w:sz="6" w:space="0" w:color="414142"/>
            </w:tcBorders>
            <w:shd w:val="clear" w:color="auto" w:fill="8496B0" w:themeFill="text2" w:themeFillTint="99"/>
          </w:tcPr>
          <w:p w14:paraId="7044CD00" w14:textId="11C126B2" w:rsidR="00986B33" w:rsidRPr="00DB4DA0" w:rsidRDefault="00986B33" w:rsidP="00D34F0E">
            <w:pPr>
              <w:jc w:val="center"/>
              <w:rPr>
                <w:rFonts w:ascii="Times New Roman" w:eastAsia="Times New Roman" w:hAnsi="Times New Roman" w:cs="Times New Roman"/>
                <w:b/>
                <w:bCs/>
                <w:color w:val="FFFFFF" w:themeColor="background1"/>
                <w:kern w:val="0"/>
                <w14:ligatures w14:val="none"/>
              </w:rPr>
            </w:pPr>
            <w:r>
              <w:rPr>
                <w:rFonts w:ascii="Times New Roman" w:hAnsi="Times New Roman"/>
                <w:b/>
                <w:color w:val="FFFFFF" w:themeColor="background1"/>
              </w:rPr>
              <w:t>2027</w:t>
            </w:r>
          </w:p>
        </w:tc>
      </w:tr>
      <w:tr w:rsidR="00C15E57" w:rsidRPr="00C15E57" w14:paraId="57205BB5" w14:textId="1A796008"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hideMark/>
          </w:tcPr>
          <w:p w14:paraId="159F074D" w14:textId="274BFB0E" w:rsidR="00986B33" w:rsidRPr="00C15E57" w:rsidRDefault="00986B33" w:rsidP="00D34F0E">
            <w:pPr>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Course of Action 1 Horizontal measures and reduction of cash in circulation.</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10E7C5FB" w14:textId="24DA1171" w:rsidR="00986B33" w:rsidRPr="00C15E57" w:rsidRDefault="00986B33" w:rsidP="00164EE3">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55.00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50872FC6" w14:textId="3A1C7A49" w:rsidR="00986B33" w:rsidRPr="00C15E57" w:rsidRDefault="00293734" w:rsidP="00164EE3">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6.00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6D40A727" w14:textId="18331120" w:rsidR="00986B33" w:rsidRPr="00C15E57" w:rsidRDefault="00986B33" w:rsidP="00164EE3">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22.00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64597668" w14:textId="4700AD58" w:rsidR="00986B33" w:rsidRPr="00C15E57" w:rsidRDefault="00986B33" w:rsidP="00164EE3">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46.00</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D65D405" w14:textId="3FC80700" w:rsidR="00986B33" w:rsidRPr="00C15E57" w:rsidRDefault="00986B33" w:rsidP="00164EE3">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55.00</w:t>
            </w:r>
          </w:p>
        </w:tc>
      </w:tr>
      <w:tr w:rsidR="009E3BF6" w:rsidRPr="002F05B3" w14:paraId="2D20B940"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9F45CB" w14:textId="6DC9D72A" w:rsidR="009E3BF6" w:rsidRPr="002F05B3" w:rsidRDefault="009E3BF6" w:rsidP="009E3BF6">
            <w:pPr>
              <w:pStyle w:val="ListParagraph"/>
              <w:numPr>
                <w:ilvl w:val="1"/>
                <w:numId w:val="21"/>
              </w:num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Strengthening of public-private partnerships: use of ratings in public procurements and public procedures.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45663F" w14:textId="6F037F89"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704F22" w14:textId="74409E4E"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98B9CB" w14:textId="6E061A2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4.31</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61C970E" w14:textId="7B2577AB"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DBED05" w14:textId="676CDBE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15.00</w:t>
            </w:r>
          </w:p>
        </w:tc>
      </w:tr>
      <w:tr w:rsidR="009E3BF6" w:rsidRPr="002F05B3" w14:paraId="2B0AACCB"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35D2EE" w14:textId="7350523A" w:rsidR="009E3BF6" w:rsidRPr="002F05B3" w:rsidRDefault="009E3BF6" w:rsidP="009E3BF6">
            <w:pPr>
              <w:pStyle w:val="ListParagraph"/>
              <w:numPr>
                <w:ilvl w:val="1"/>
                <w:numId w:val="21"/>
              </w:num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Restrictions on the circulation of cash.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E9CF81" w14:textId="6BFEE65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18.00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CA2F93" w14:textId="72B6186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4.00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8FFE94" w14:textId="0104BB89"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9.00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266E5A" w14:textId="7238751A"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18.00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642C76" w14:textId="36A9B09E"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18.00</w:t>
            </w:r>
          </w:p>
        </w:tc>
      </w:tr>
      <w:tr w:rsidR="009F1F80" w:rsidRPr="002F05B3" w14:paraId="627A199E" w14:textId="77777777" w:rsidTr="00D34F0E">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CCCF35" w14:textId="08D488A2" w:rsidR="009F1F80" w:rsidRPr="002F05B3" w:rsidRDefault="00F304EF" w:rsidP="009F1F80">
            <w:pPr>
              <w:pStyle w:val="ListParagraph"/>
              <w:numPr>
                <w:ilvl w:val="1"/>
                <w:numId w:val="21"/>
              </w:num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Conceptual solution for the general principle of declaring personal income is identified.</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35CE71" w14:textId="77777777" w:rsidR="009F1F80" w:rsidRPr="002F05B3" w:rsidRDefault="009F1F80" w:rsidP="009F1F80">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3D82A3" w14:textId="77777777" w:rsidR="009F1F80" w:rsidRPr="002F05B3" w:rsidRDefault="009F1F80" w:rsidP="009F1F80">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C9B343" w14:textId="77777777" w:rsidR="009F1F80" w:rsidRPr="002F05B3" w:rsidRDefault="009F1F80" w:rsidP="009F1F80">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0.69</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EEB130" w14:textId="77777777" w:rsidR="009F1F80" w:rsidRPr="002F05B3" w:rsidRDefault="009F1F80" w:rsidP="009F1F80">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10397C" w14:textId="77777777" w:rsidR="009F1F80" w:rsidRPr="002F05B3" w:rsidRDefault="009F1F80" w:rsidP="009F1F80">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r>
      <w:tr w:rsidR="009E3BF6" w:rsidRPr="002F05B3" w14:paraId="18AD7EE8"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50A1AF" w14:textId="6B6F7188" w:rsidR="009E3BF6" w:rsidRPr="002F05B3" w:rsidRDefault="009E3BF6" w:rsidP="009E3BF6">
            <w:pPr>
              <w:pStyle w:val="ListParagraph"/>
              <w:numPr>
                <w:ilvl w:val="1"/>
                <w:numId w:val="21"/>
              </w:num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Promoting the use of non-cash transactions.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3579701" w14:textId="0CAC698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48F8CD" w14:textId="3F435245"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7D987B" w14:textId="3CBD2AAA"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8.00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4F6F83" w14:textId="688D9C9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11.00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5E3B5" w14:textId="491EF17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15.00</w:t>
            </w:r>
          </w:p>
        </w:tc>
      </w:tr>
      <w:tr w:rsidR="009E3BF6" w:rsidRPr="00C15E57" w14:paraId="5D8D99FE" w14:textId="068397BD"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F6B0620" w14:textId="7EC2DE9A" w:rsidR="009E3BF6" w:rsidRPr="00C15E57" w:rsidRDefault="009E3BF6" w:rsidP="009E3BF6">
            <w:pPr>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Course of Action 2 Information and data exchange.</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17D6A529" w14:textId="6267B4C5"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A6CCFE2" w14:textId="340F1CFD"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0.00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B6FB79E" w14:textId="5561EC21"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0.30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57E3E9CF" w14:textId="11815F35"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0.75</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160F1ED" w14:textId="7890FF31"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1.00</w:t>
            </w:r>
          </w:p>
        </w:tc>
      </w:tr>
      <w:tr w:rsidR="009E3BF6" w:rsidRPr="002F05B3" w14:paraId="15D724F9"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6219CD" w14:textId="363EAB83"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2.1.  Introduction of e-receipts.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84C30A" w14:textId="3169680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0.30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3B09F6" w14:textId="4321448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F9E61B" w14:textId="40B65A4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FD5513" w14:textId="49BDF4ED"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0.25</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B5ADBE" w14:textId="7BF80DD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0.30</w:t>
            </w:r>
          </w:p>
        </w:tc>
      </w:tr>
      <w:tr w:rsidR="009E3BF6" w:rsidRPr="002F05B3" w14:paraId="5ACB576B"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0C6926" w14:textId="37767E7F"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2.2.  Interinstitutional information exchange and disclosure.</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2AC819" w14:textId="2B30A54D"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0.70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4B3322" w14:textId="6E4DFB8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DF58733" w14:textId="17CFD7E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0.30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50A649" w14:textId="2C63A8E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083AF9" w14:textId="548CECA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0.70</w:t>
            </w:r>
          </w:p>
        </w:tc>
      </w:tr>
      <w:tr w:rsidR="009E3BF6" w:rsidRPr="00C15E57" w14:paraId="6EE2DA7E"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CFC3958" w14:textId="67967082" w:rsidR="009E3BF6" w:rsidRPr="00C15E57" w:rsidRDefault="009E3BF6" w:rsidP="009E3BF6">
            <w:pPr>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Course of Action 3 Measures in the construction sector.</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330B06C" w14:textId="57EA2465"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16.00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6DECF5B3" w14:textId="369DD07E"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5.00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69AC565" w14:textId="03B54785"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11.00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6A9386C9" w14:textId="55B8B70F"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13.50</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8A6B7B8" w14:textId="10F0CC50"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16.00</w:t>
            </w:r>
          </w:p>
        </w:tc>
      </w:tr>
      <w:tr w:rsidR="009E3BF6" w:rsidRPr="002F05B3" w14:paraId="37EAD6EF"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15EC61" w14:textId="4B7E14C7" w:rsidR="009E3BF6" w:rsidRPr="002F05B3" w:rsidRDefault="009E3BF6" w:rsidP="009E3BF6">
            <w:pPr>
              <w:pStyle w:val="ListParagraph"/>
              <w:numPr>
                <w:ilvl w:val="1"/>
                <w:numId w:val="7"/>
              </w:numPr>
              <w:ind w:left="396"/>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Strengthening of the EDLUS, VEDLUDB, CIS data analytics.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1A0920" w14:textId="37CA7165"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DCD9D5" w14:textId="2888385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99D859C" w14:textId="50141A0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5.00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B1BAB94" w14:textId="3D460665"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6.00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923AE9" w14:textId="4D5341B2"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r>
      <w:tr w:rsidR="009E3BF6" w:rsidRPr="002F05B3" w14:paraId="7EF6E920"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4EF14E" w14:textId="13D0F190" w:rsidR="009E3BF6" w:rsidRPr="002F05B3" w:rsidRDefault="009E3BF6" w:rsidP="009E3BF6">
            <w:pPr>
              <w:pStyle w:val="ListParagraph"/>
              <w:numPr>
                <w:ilvl w:val="1"/>
                <w:numId w:val="7"/>
              </w:numPr>
              <w:ind w:left="396"/>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Requirements for private individuals in the construction process.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8BEE0A" w14:textId="56370A55"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37D206" w14:textId="29DAF12D"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80EDB3" w14:textId="4E4E081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2BA45F" w14:textId="43145599"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4DC121" w14:textId="2D87B9F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r>
      <w:tr w:rsidR="009E3BF6" w:rsidRPr="002F05B3" w14:paraId="0B6DD56C"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6C9A3F5" w14:textId="303C775D" w:rsidR="009E3BF6" w:rsidRPr="002F05B3" w:rsidRDefault="009E3BF6" w:rsidP="009E3BF6">
            <w:pPr>
              <w:pStyle w:val="ListParagraph"/>
              <w:numPr>
                <w:ilvl w:val="1"/>
                <w:numId w:val="7"/>
              </w:numPr>
              <w:ind w:left="396"/>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Strengthening of the public-private partnership in the construction sector.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A3BDE1" w14:textId="36D0D9B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B82C57" w14:textId="204C4AB6"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3.00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89EA03" w14:textId="159DF50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5.00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E337DA" w14:textId="64A96EE3"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6.00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E279F8" w14:textId="1970097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7.00</w:t>
            </w:r>
          </w:p>
        </w:tc>
      </w:tr>
      <w:tr w:rsidR="009E3BF6" w:rsidRPr="00C15E57" w14:paraId="004E9353"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70ED9EC4" w14:textId="1ABBEB4D" w:rsidR="009E3BF6" w:rsidRPr="00C15E57" w:rsidRDefault="009E3BF6" w:rsidP="009E3BF6">
            <w:pPr>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 xml:space="preserve">Course of Action 4 Measures in the health sector. </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66F0C6FA" w14:textId="429EF8EA"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7.00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E0E55BD" w14:textId="2320CF6F"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0.50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46FC033C" w14:textId="75C39B7D"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2.30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4D14EAE4" w14:textId="315410A4"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4.75</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683FB5B" w14:textId="6D7BBCC8"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7.00</w:t>
            </w:r>
          </w:p>
        </w:tc>
      </w:tr>
      <w:tr w:rsidR="009E3BF6" w:rsidRPr="002F05B3" w14:paraId="3EA6A9C8"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5AD7D5" w14:textId="20FFC1DA"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4.1.  Strengthening of data analytics in the health sector.</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16C5D7" w14:textId="1BAF2B4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2B0C38B" w14:textId="2DAFC0F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24A5755" w14:textId="07D06AA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051553" w14:textId="2AC07227"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1.50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30FC287" w14:textId="76042EA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r>
      <w:tr w:rsidR="009E3BF6" w:rsidRPr="002F05B3" w14:paraId="48B2AB3E"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AA8A8A" w14:textId="4B49DBAA"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4.2.  Definition of a clear legal framework in the health sector.</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6917C1F" w14:textId="7E9F84F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0.25</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535648" w14:textId="407FEA83"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21C84A" w14:textId="4BF9C09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0.15</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0D75B2" w14:textId="768AA21B"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468EF58" w14:textId="189FAB6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0.25</w:t>
            </w:r>
          </w:p>
        </w:tc>
      </w:tr>
      <w:tr w:rsidR="009E3BF6" w:rsidRPr="002F05B3" w14:paraId="7A56DA66"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955E95" w14:textId="0D7977C8"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4.3.  Strengthening of the public-private partnership in the health sector.</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55A5D42" w14:textId="29176E9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B892BB" w14:textId="06546827"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E1DD30" w14:textId="222C5795"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EF3855" w14:textId="15BB2DC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2.00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450C9B5" w14:textId="4AFEBC76"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3.00</w:t>
            </w:r>
          </w:p>
        </w:tc>
      </w:tr>
      <w:tr w:rsidR="009E3BF6" w:rsidRPr="002F05B3" w14:paraId="74F2C4BB"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4F6D70" w14:textId="2748DABF"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4.4.  Provision of information and public education measures in the health sector.</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2636BC" w14:textId="4D9FC5EA"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0E83FD" w14:textId="6F2C5B5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BEA7BDD" w14:textId="1A28C167"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9ED056" w14:textId="3455CA09"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0.35</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AB413D" w14:textId="1F10FA21"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r>
      <w:tr w:rsidR="009E3BF6" w:rsidRPr="002F05B3" w14:paraId="7CD0A25D"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84E74D" w14:textId="5BA141A0" w:rsidR="009E3BF6"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4.5.  Definition of a clear legal framework in the beauty care sector.</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AA2AD8" w14:textId="37C1AD4B"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0.25</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B3A914F" w14:textId="13B9C54C"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0E572AC" w14:textId="220730E6"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0.15</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6CE469" w14:textId="3639DA3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836543" w14:textId="0D265044"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0.25</w:t>
            </w:r>
          </w:p>
        </w:tc>
      </w:tr>
      <w:tr w:rsidR="009E3BF6" w:rsidRPr="002F05B3" w14:paraId="284624E7"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84F600" w14:textId="4F74E2ED" w:rsidR="00732F30" w:rsidRPr="002F05B3" w:rsidRDefault="009E3BF6" w:rsidP="009E3BF6">
            <w:pPr>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4.6.  Strengthening of data exchange and analytics in the beauty care sector.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DE2675" w14:textId="56ADBD31"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7622C9" w14:textId="58D2A53D"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C21290D" w14:textId="08EBBD0D"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F309BC3" w14:textId="58CBEFC7"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6D4441E" w14:textId="0C2D51A1"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w:t>
            </w:r>
          </w:p>
        </w:tc>
      </w:tr>
      <w:tr w:rsidR="009E3BF6" w:rsidRPr="00C15E57" w14:paraId="6F0736B1"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22A6B6D" w14:textId="748C2B3A" w:rsidR="009E3BF6" w:rsidRPr="00C15E57" w:rsidRDefault="009E3BF6" w:rsidP="009E3BF6">
            <w:pPr>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 xml:space="preserve">Course of Action 5 Other measures to improve business competitiveness. </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2067F1AB" w14:textId="0A5C7F74"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41.00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4EAEE205" w14:textId="2A72D88C"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0.50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2621BCCC" w14:textId="061D1DF2"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4.40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7754B5EC" w14:textId="3C32CCDF"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15.00</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7D41A72" w14:textId="3C7C6982"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41.00</w:t>
            </w:r>
          </w:p>
        </w:tc>
      </w:tr>
      <w:tr w:rsidR="009E3BF6" w:rsidRPr="002F05B3" w14:paraId="1FD90692"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B6A2E7" w14:textId="1F449628" w:rsidR="009E3BF6" w:rsidRPr="002F05B3" w:rsidRDefault="009E3BF6" w:rsidP="009E3BF6">
            <w:pPr>
              <w:pStyle w:val="ListParagraph"/>
              <w:numPr>
                <w:ilvl w:val="1"/>
                <w:numId w:val="8"/>
              </w:numPr>
              <w:ind w:left="396"/>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Reduction of the number of companies with long-term negative equity.</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9444F1" w14:textId="7D5A1D9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8.00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25C743" w14:textId="41A13ECB"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5A3CF6" w14:textId="36A6E963"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E1B1A9" w14:textId="0457987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5.00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6989D2" w14:textId="1F515D8E"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8.00</w:t>
            </w:r>
          </w:p>
        </w:tc>
      </w:tr>
      <w:tr w:rsidR="009E3BF6" w:rsidRPr="002F05B3" w14:paraId="11093720"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ED7C94" w14:textId="3DAF37BB" w:rsidR="009E3BF6" w:rsidRPr="002F05B3" w:rsidRDefault="009E3BF6" w:rsidP="009E3BF6">
            <w:pPr>
              <w:pStyle w:val="ListParagraph"/>
              <w:numPr>
                <w:ilvl w:val="1"/>
                <w:numId w:val="8"/>
              </w:numPr>
              <w:ind w:left="396"/>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 xml:space="preserve">Reduction of the circulation of illegal excisable goods. </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DD0E0A8" w14:textId="23B06900"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33.00</w:t>
            </w:r>
          </w:p>
        </w:tc>
        <w:tc>
          <w:tcPr>
            <w:tcW w:w="507"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474AED" w14:textId="184553A7"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0.50</w:t>
            </w:r>
          </w:p>
        </w:tc>
        <w:tc>
          <w:tcPr>
            <w:tcW w:w="50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121AEC" w14:textId="6B648B7E"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4.40</w:t>
            </w:r>
          </w:p>
        </w:tc>
        <w:tc>
          <w:tcPr>
            <w:tcW w:w="46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9FABC0" w14:textId="4EA640A8"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10.00</w:t>
            </w:r>
          </w:p>
        </w:tc>
        <w:tc>
          <w:tcPr>
            <w:tcW w:w="44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8C9A53" w14:textId="2AD15A5A" w:rsidR="009E3BF6" w:rsidRPr="002F05B3" w:rsidRDefault="009E3BF6" w:rsidP="009E3BF6">
            <w:pPr>
              <w:jc w:val="right"/>
              <w:rPr>
                <w:rFonts w:ascii="Times New Roman" w:eastAsia="Times New Roman" w:hAnsi="Times New Roman" w:cs="Times New Roman"/>
                <w:color w:val="000000" w:themeColor="text1"/>
                <w:kern w:val="0"/>
                <w:sz w:val="20"/>
                <w:szCs w:val="20"/>
                <w14:ligatures w14:val="none"/>
              </w:rPr>
            </w:pPr>
            <w:r>
              <w:rPr>
                <w:rFonts w:ascii="Times New Roman" w:hAnsi="Times New Roman"/>
                <w:color w:val="000000" w:themeColor="text1"/>
                <w:sz w:val="20"/>
              </w:rPr>
              <w:t>33.00</w:t>
            </w:r>
          </w:p>
        </w:tc>
      </w:tr>
      <w:tr w:rsidR="009E3BF6" w:rsidRPr="00C15E57" w14:paraId="0309A388" w14:textId="77777777" w:rsidTr="00C15E57">
        <w:trPr>
          <w:trHeight w:val="45"/>
        </w:trPr>
        <w:tc>
          <w:tcPr>
            <w:tcW w:w="257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5A4AF179" w14:textId="7BE9EBE2"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 xml:space="preserve">Total </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081E977C" w14:textId="252D9FE8"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120.00</w:t>
            </w:r>
          </w:p>
        </w:tc>
        <w:tc>
          <w:tcPr>
            <w:tcW w:w="507"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18A63270" w14:textId="66380E5B"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12.00</w:t>
            </w:r>
          </w:p>
        </w:tc>
        <w:tc>
          <w:tcPr>
            <w:tcW w:w="506"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AE9A39E" w14:textId="6F431871"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40.00</w:t>
            </w:r>
          </w:p>
        </w:tc>
        <w:tc>
          <w:tcPr>
            <w:tcW w:w="461"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036AF54" w14:textId="1E236148"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80.00</w:t>
            </w:r>
          </w:p>
        </w:tc>
        <w:tc>
          <w:tcPr>
            <w:tcW w:w="442" w:type="pct"/>
            <w:tcBorders>
              <w:top w:val="outset" w:sz="6" w:space="0" w:color="414142"/>
              <w:left w:val="outset" w:sz="6" w:space="0" w:color="414142"/>
              <w:bottom w:val="outset" w:sz="6" w:space="0" w:color="414142"/>
              <w:right w:val="outset" w:sz="6" w:space="0" w:color="414142"/>
            </w:tcBorders>
            <w:shd w:val="clear" w:color="auto" w:fill="D5DCE4" w:themeFill="text2" w:themeFillTint="33"/>
            <w:vAlign w:val="center"/>
          </w:tcPr>
          <w:p w14:paraId="3CF0F591" w14:textId="64F35C56" w:rsidR="009E3BF6" w:rsidRPr="00C15E57" w:rsidRDefault="009E3BF6" w:rsidP="009E3BF6">
            <w:pPr>
              <w:jc w:val="right"/>
              <w:rPr>
                <w:rFonts w:ascii="Times New Roman" w:eastAsia="Times New Roman" w:hAnsi="Times New Roman" w:cs="Times New Roman"/>
                <w:b/>
                <w:bCs/>
                <w:color w:val="000000" w:themeColor="text1"/>
                <w:kern w:val="0"/>
                <w14:ligatures w14:val="none"/>
              </w:rPr>
            </w:pPr>
            <w:r>
              <w:rPr>
                <w:rFonts w:ascii="Times New Roman" w:hAnsi="Times New Roman"/>
                <w:b/>
                <w:color w:val="000000" w:themeColor="text1"/>
              </w:rPr>
              <w:t>120.00</w:t>
            </w:r>
          </w:p>
        </w:tc>
      </w:tr>
    </w:tbl>
    <w:p w14:paraId="6641ED90" w14:textId="77777777" w:rsidR="001B1801" w:rsidRPr="00DB4DA0" w:rsidRDefault="001B1801" w:rsidP="00806C10">
      <w:pPr>
        <w:rPr>
          <w:rFonts w:ascii="Times New Roman" w:hAnsi="Times New Roman" w:cs="Times New Roman"/>
          <w:b/>
          <w:bCs/>
          <w:sz w:val="18"/>
          <w:szCs w:val="18"/>
          <w:shd w:val="clear" w:color="auto" w:fill="FFFFFF"/>
        </w:rPr>
      </w:pPr>
    </w:p>
    <w:p w14:paraId="73665505" w14:textId="77777777" w:rsidR="001B1801" w:rsidRDefault="001B1801" w:rsidP="00806C10">
      <w:pPr>
        <w:rPr>
          <w:rFonts w:ascii="Times New Roman" w:hAnsi="Times New Roman" w:cs="Times New Roman"/>
          <w:sz w:val="18"/>
          <w:szCs w:val="18"/>
          <w:shd w:val="clear" w:color="auto" w:fill="FFFFFF"/>
        </w:rPr>
      </w:pPr>
    </w:p>
    <w:p w14:paraId="65BFE6A0" w14:textId="77777777" w:rsidR="002F05B3" w:rsidRDefault="002F05B3" w:rsidP="00806C10">
      <w:pPr>
        <w:rPr>
          <w:rFonts w:ascii="Times New Roman" w:hAnsi="Times New Roman" w:cs="Times New Roman"/>
          <w:sz w:val="18"/>
          <w:szCs w:val="18"/>
          <w:shd w:val="clear" w:color="auto" w:fill="FFFFFF"/>
        </w:rPr>
      </w:pPr>
    </w:p>
    <w:p w14:paraId="09A0D16E" w14:textId="49BE73D8" w:rsidR="001B1801" w:rsidRDefault="00164EE3" w:rsidP="00B5444E">
      <w:pPr>
        <w:ind w:firstLine="720"/>
        <w:rPr>
          <w:rFonts w:ascii="Times New Roman" w:hAnsi="Times New Roman"/>
          <w:sz w:val="24"/>
          <w:shd w:val="clear" w:color="auto" w:fill="FFFFFF"/>
        </w:rPr>
      </w:pPr>
      <w:r>
        <w:rPr>
          <w:rFonts w:ascii="Times New Roman" w:hAnsi="Times New Roman"/>
          <w:sz w:val="24"/>
          <w:shd w:val="clear" w:color="auto" w:fill="FFFFFF"/>
        </w:rPr>
        <w:t>Total projected tax revenues from the implementation of the measures in 2027 amount to EUR 120 million, including: PIT revenue in the amount of EUR 17.20 million, followed by MSSIC revenue in the amount of EUR 33.40 million, VAT revenue in the amount of EUR 36.41 million and excise duty revenue in the amount of EUR 33.3 million.</w:t>
      </w:r>
    </w:p>
    <w:p w14:paraId="12DDB9F0" w14:textId="77777777" w:rsidR="00EE560F" w:rsidRDefault="00EE560F" w:rsidP="00B5444E">
      <w:pPr>
        <w:ind w:firstLine="720"/>
        <w:rPr>
          <w:rFonts w:ascii="Times New Roman" w:hAnsi="Times New Roman" w:cs="Times New Roman"/>
          <w:sz w:val="24"/>
          <w:szCs w:val="24"/>
          <w:shd w:val="clear" w:color="auto" w:fill="FFFFFF"/>
        </w:rPr>
      </w:pPr>
    </w:p>
    <w:p w14:paraId="020988EE" w14:textId="77777777" w:rsidR="00EE560F" w:rsidRDefault="00EE560F">
      <w:pPr>
        <w:rPr>
          <w:rFonts w:ascii="Times New Roman" w:hAnsi="Times New Roman"/>
          <w:b/>
          <w:sz w:val="24"/>
          <w:u w:val="single"/>
          <w:shd w:val="clear" w:color="auto" w:fill="FFFFFF"/>
        </w:rPr>
      </w:pPr>
      <w:r>
        <w:rPr>
          <w:rFonts w:ascii="Times New Roman" w:hAnsi="Times New Roman"/>
          <w:b/>
          <w:sz w:val="24"/>
          <w:u w:val="single"/>
          <w:shd w:val="clear" w:color="auto" w:fill="FFFFFF"/>
        </w:rPr>
        <w:br w:type="page"/>
      </w:r>
    </w:p>
    <w:p w14:paraId="75B7115E" w14:textId="00596F25" w:rsidR="001B1801" w:rsidRPr="00370632" w:rsidRDefault="00025086" w:rsidP="00370632">
      <w:pPr>
        <w:rPr>
          <w:rFonts w:ascii="Times New Roman" w:hAnsi="Times New Roman" w:cs="Times New Roman"/>
          <w:b/>
          <w:bCs/>
          <w:sz w:val="24"/>
          <w:szCs w:val="24"/>
          <w:u w:val="single"/>
          <w:shd w:val="clear" w:color="auto" w:fill="FFFFFF"/>
        </w:rPr>
      </w:pPr>
      <w:r>
        <w:rPr>
          <w:rFonts w:ascii="Times New Roman" w:hAnsi="Times New Roman"/>
          <w:b/>
          <w:sz w:val="24"/>
          <w:u w:val="single"/>
          <w:shd w:val="clear" w:color="auto" w:fill="FFFFFF"/>
        </w:rPr>
        <w:t xml:space="preserve">Assessment of the Administrative Burden </w:t>
      </w:r>
    </w:p>
    <w:p w14:paraId="487685CB" w14:textId="77777777" w:rsidR="00025086" w:rsidRPr="00370632" w:rsidRDefault="00025086" w:rsidP="00806C10">
      <w:pPr>
        <w:rPr>
          <w:rFonts w:ascii="Times New Roman" w:hAnsi="Times New Roman" w:cs="Times New Roman"/>
          <w:sz w:val="28"/>
          <w:szCs w:val="28"/>
          <w:shd w:val="clear" w:color="auto" w:fill="FFFFFF"/>
        </w:rPr>
      </w:pPr>
    </w:p>
    <w:p w14:paraId="449D2B31" w14:textId="49C62700" w:rsidR="00025086" w:rsidRPr="00C34336" w:rsidRDefault="003D4A45" w:rsidP="00174824">
      <w:pPr>
        <w:jc w:val="both"/>
        <w:rPr>
          <w:rFonts w:ascii="Times New Roman" w:hAnsi="Times New Roman" w:cs="Times New Roman"/>
          <w:sz w:val="24"/>
          <w:szCs w:val="24"/>
          <w:shd w:val="clear" w:color="auto" w:fill="FFFFFF"/>
        </w:rPr>
      </w:pPr>
      <w:r>
        <w:rPr>
          <w:rFonts w:ascii="Times New Roman" w:hAnsi="Times New Roman"/>
          <w:sz w:val="24"/>
          <w:shd w:val="clear" w:color="auto" w:fill="FFFFFF"/>
        </w:rPr>
        <w:t>Administrative burden is the obligation imposed on a natural or legal person to comply with the legal framework by receiving, processing, providing (transmitting) or storing information (e.g. collecting and recording of data, reporting, updating of data upon request of an authority) that the person would not have done unless required by the legal framework. In view of the above, it is not possible to accurately determine or forecast the potential administrative costs at the stage of drafting the plan. Much depends on the aspects that will be revealed when drafting the laws and regulations during the implementation of the measures of the plan, including the range of persons affected. Thus, the administrative burden for the measures included in the plan is descriptive, using a logical-constructive approach.</w:t>
      </w:r>
    </w:p>
    <w:p w14:paraId="0D8B86F1" w14:textId="77777777" w:rsidR="00025086" w:rsidRPr="00C34336" w:rsidRDefault="00025086" w:rsidP="00806C10">
      <w:pPr>
        <w:rPr>
          <w:rFonts w:ascii="Times New Roman" w:hAnsi="Times New Roman" w:cs="Times New Roman"/>
          <w:sz w:val="24"/>
          <w:szCs w:val="24"/>
          <w:shd w:val="clear" w:color="auto" w:fill="FFFFFF"/>
        </w:rPr>
      </w:pPr>
    </w:p>
    <w:p w14:paraId="72E654E3" w14:textId="77777777" w:rsidR="00671DEE" w:rsidRPr="00C34336" w:rsidRDefault="00671DEE" w:rsidP="00671DEE">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1.2.2. Imposing the obligation on employers to inform the SRS of the fact that an employee’s wage is paid in cash.</w:t>
      </w:r>
    </w:p>
    <w:p w14:paraId="095386B9" w14:textId="77777777"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 given that employees and employers do not often change the method of the payment of wages, changes on the employers’ declaration will only be required if the method of the payment of wages in the previous month was different from the method of the payment of wages in the current month. In the first month when this obligation enters into force, a non-cash payment of the wage will be recorded automatically that will be required to be changed accordingly in the case of the payment of the wage in cash. The time taken depends on the proportion of employees in the company who choose the payment of the wage in cash. The relevant data are currently unknown.</w:t>
      </w:r>
    </w:p>
    <w:p w14:paraId="64641D3A" w14:textId="77777777"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the tax return will be submitted on a monthly basis.</w:t>
      </w:r>
    </w:p>
    <w:p w14:paraId="6FC238D9" w14:textId="5479799C"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xml:space="preserve"> – the number of persons involved corresponds to the number of legal entities with workplaces. At the same time, changes to the report of employer will only be required if the method of the payment of wages in the previous month was different from the method of the payment of wages in the current month. It is assumed that the administrative burden is likely to be minimal as it concerns a small number of employees and the information is intended to be received through the report of employer, making an additional note in the appropriate field on the employee in the report that the wages have been paid in cash. The target audience of the measure could be employers employing up to five employees. According to the submitted reports of employers, 76.9 per cent or 63 463 employers have up to five employees in August 2023 (77.5 per cent in 2022, an increase of 1.2 percentage points compared to 2021). Significant risks of ‘envelope wages’ have been identified to 55.0 per cent of the abovementioned employers. Provision of information to the SRS on the payment of wages in cash will not impose a high administrative burden on employers of small companies, although they represent the majority of employers. </w:t>
      </w:r>
    </w:p>
    <w:p w14:paraId="090BC390" w14:textId="77777777" w:rsidR="00671DEE" w:rsidRPr="00EA4E61"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Costs</w:t>
      </w:r>
      <w:r>
        <w:rPr>
          <w:rFonts w:ascii="Times New Roman" w:hAnsi="Times New Roman"/>
          <w:sz w:val="24"/>
          <w:shd w:val="clear" w:color="auto" w:fill="FFFFFF"/>
        </w:rPr>
        <w:t xml:space="preserve"> – at this stage, it is not possible to estimate the administrative costs for legal entities as the frequency of reporting and the number of persons involved may vary. </w:t>
      </w:r>
    </w:p>
    <w:p w14:paraId="235A1FFD" w14:textId="77777777" w:rsidR="00671DEE" w:rsidRPr="00EA4E61" w:rsidRDefault="00671DEE" w:rsidP="00671DEE">
      <w:pPr>
        <w:jc w:val="both"/>
        <w:rPr>
          <w:rFonts w:ascii="Times New Roman" w:hAnsi="Times New Roman" w:cs="Times New Roman"/>
          <w:sz w:val="24"/>
          <w:szCs w:val="24"/>
          <w:shd w:val="clear" w:color="auto" w:fill="FFFFFF"/>
        </w:rPr>
      </w:pPr>
      <w:r>
        <w:rPr>
          <w:rFonts w:ascii="Times New Roman" w:hAnsi="Times New Roman"/>
          <w:sz w:val="24"/>
          <w:shd w:val="clear" w:color="auto" w:fill="FFFFFF"/>
        </w:rPr>
        <w:t>The measure does not create an administrative burden as the non-cash wage payment will be automatically recorded in the reports of employers that will be required to be changed accordingly if the payment of wages will be made in cash and if such information differs from the information provided previously (the previous option will be maintained, subsequently reducing the administrative burden).</w:t>
      </w:r>
    </w:p>
    <w:p w14:paraId="5389FAFC" w14:textId="77777777" w:rsidR="00671DEE" w:rsidRDefault="00671DEE" w:rsidP="00671DEE">
      <w:pPr>
        <w:rPr>
          <w:rFonts w:ascii="Times New Roman" w:hAnsi="Times New Roman" w:cs="Times New Roman"/>
          <w:sz w:val="24"/>
          <w:szCs w:val="24"/>
          <w:shd w:val="clear" w:color="auto" w:fill="FFFFFF"/>
        </w:rPr>
      </w:pPr>
    </w:p>
    <w:p w14:paraId="0416FC98" w14:textId="77777777" w:rsidR="00671DEE" w:rsidRDefault="00671DEE" w:rsidP="00671DEE">
      <w:pPr>
        <w:jc w:val="both"/>
        <w:rPr>
          <w:rFonts w:ascii="Times New Roman" w:hAnsi="Times New Roman" w:cs="Times New Roman"/>
          <w:b/>
          <w:bCs/>
          <w:sz w:val="24"/>
          <w:szCs w:val="24"/>
          <w:shd w:val="clear" w:color="auto" w:fill="FFFFFF"/>
        </w:rPr>
      </w:pPr>
      <w:r>
        <w:rPr>
          <w:rFonts w:ascii="Times New Roman" w:hAnsi="Times New Roman"/>
          <w:b/>
          <w:color w:val="000000" w:themeColor="text1"/>
          <w:sz w:val="24"/>
        </w:rPr>
        <w:t>1.2.3. Introduction of threshold declarations for cash deposits and withdrawals (reporting of cash deposits and withdrawals in ATMs).</w:t>
      </w:r>
    </w:p>
    <w:p w14:paraId="00E50C51" w14:textId="77777777"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xml:space="preserve"> – reporting on cash deposits will be ensured automatically. </w:t>
      </w:r>
    </w:p>
    <w:p w14:paraId="6E1642A2" w14:textId="77777777"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the tax return will be submitted on a quarterly basis.</w:t>
      </w:r>
    </w:p>
    <w:p w14:paraId="67073E6E" w14:textId="77777777" w:rsidR="00671DEE" w:rsidRPr="00C34336"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xml:space="preserve"> – legal entities operating a network of ATMs in the territory of Latvia. </w:t>
      </w:r>
    </w:p>
    <w:p w14:paraId="1BF2F7D3" w14:textId="77777777" w:rsidR="00671DEE" w:rsidRDefault="00671DEE" w:rsidP="00671DEE">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Costs –</w:t>
      </w:r>
      <w:r>
        <w:rPr>
          <w:rFonts w:ascii="Times New Roman" w:hAnsi="Times New Roman"/>
          <w:color w:val="000000" w:themeColor="text1"/>
          <w:sz w:val="24"/>
        </w:rPr>
        <w:t xml:space="preserve"> at this stage, it is not possible to estimate precisely the administrative costs for legal entities as they depend on the current reporting algorithm. A transitional period will be provided for the implementation of the regulation to allow commercial banks to make the necessary changes to their reporting algorithms as part of the planned improvements.</w:t>
      </w:r>
    </w:p>
    <w:p w14:paraId="22ADEE18" w14:textId="2D634EFE" w:rsidR="00025086" w:rsidRPr="00C34336" w:rsidRDefault="00984E99" w:rsidP="00F03EBE">
      <w:pPr>
        <w:jc w:val="both"/>
        <w:rPr>
          <w:rFonts w:ascii="Times New Roman" w:hAnsi="Times New Roman" w:cs="Times New Roman"/>
          <w:b/>
          <w:bCs/>
          <w:sz w:val="24"/>
          <w:szCs w:val="24"/>
          <w:shd w:val="clear" w:color="auto" w:fill="FFFFFF"/>
        </w:rPr>
      </w:pPr>
      <w:r>
        <w:rPr>
          <w:rFonts w:ascii="Times New Roman" w:hAnsi="Times New Roman"/>
          <w:b/>
          <w:sz w:val="24"/>
          <w:shd w:val="clear" w:color="auto" w:fill="FFFFFF"/>
        </w:rPr>
        <w:t xml:space="preserve">1.3.1. Assessment of whether the existing personal income declaration procedures needs to be supplemented in order to reduce the shadow economy, promote a tax-paying culture, and at the same time not increase the administrative and bureaucratic burdens. This includes identification of a conceptual solution for the phasing-in of the general principle of declaring personal income, identifying the necessary exceptions. </w:t>
      </w:r>
    </w:p>
    <w:p w14:paraId="6669275C" w14:textId="7440CC14" w:rsidR="00025086" w:rsidRPr="00C34336" w:rsidRDefault="00025086" w:rsidP="00174824">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 the measure does not currently represent a burden. In the future, when developing the general personal income declaration concept, it is envisaged that the tax return will be generated automatically. Thus, a person will only be required to provide additional data if the tax return does not reflect all the information at his or her disposal. The latter will not create a new tax liability for the person. At the same time, the information available to the State about a person’s income will be used to help prevent situations where the tax obligation is not complied with for whatever reason. Deliberate or unintentional non-compliance with tax obligations leads to late payment penalties (possibly, fines). Consequently the person will require less time to get an idea of the information available to the State on income earned and taxes paid, thus minimising the risks of non-payment of taxes and the corresponding negative consequences.</w:t>
      </w:r>
    </w:p>
    <w:p w14:paraId="6065CE42" w14:textId="1C1DC147" w:rsidR="00025086" w:rsidRPr="00C34336" w:rsidRDefault="00025086" w:rsidP="00174824">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currently the measure does not impose a burden. In the future, when developing the general personal income declaration concept, it is envisaged that the tax return will be submitted once a year.</w:t>
      </w:r>
    </w:p>
    <w:p w14:paraId="57E0460A" w14:textId="0FC1C04F" w:rsidR="00025086" w:rsidRPr="00C34336" w:rsidRDefault="00FC646C" w:rsidP="00174824">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concerned</w:t>
      </w:r>
      <w:r>
        <w:rPr>
          <w:rFonts w:ascii="Times New Roman" w:hAnsi="Times New Roman"/>
          <w:sz w:val="24"/>
          <w:shd w:val="clear" w:color="auto" w:fill="FFFFFF"/>
        </w:rPr>
        <w:t> – currently the measure does not impose a burden. In the future, when developing the general personal income declaration concept, it is envisaged that the tax return will be submitted by the population over 18 years of age, taking into account the relevant statutory exceptions (population of 1.5 million in 2022 from 18 years of age) The administrative burden will only be borne by those persons who need to enter additional data, the number of which cannot be determined at the moment.</w:t>
      </w:r>
    </w:p>
    <w:p w14:paraId="75AA334A" w14:textId="1E7C658A" w:rsidR="00025086" w:rsidRDefault="00025086" w:rsidP="00174824">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Costs</w:t>
      </w:r>
      <w:r>
        <w:rPr>
          <w:rFonts w:ascii="Times New Roman" w:hAnsi="Times New Roman"/>
          <w:sz w:val="24"/>
          <w:shd w:val="clear" w:color="auto" w:fill="FFFFFF"/>
        </w:rPr>
        <w:t> – there will be a negative effect, but given that the obligation to update data depends on the actions and activities of each person, it is not possible to provide specific estimates at this stage. The positive effect is that the person will be provided with a statement that will allow him or her to fulfil the statutory obligation to declare his or her income on time and pay taxes (i.e. compliance with the requirements already laid down in the legislation). The positive effect is to reduce the risk of deliberate or unintentional failure by a person to comply with the tax obligations, leading to the accrual of late payment penalties (possibly, fines).</w:t>
      </w:r>
    </w:p>
    <w:p w14:paraId="150B0B37" w14:textId="10D0832D" w:rsidR="00904C7E" w:rsidRPr="00C34336" w:rsidRDefault="00904C7E" w:rsidP="00174824">
      <w:pPr>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A solution will be sought within the scope of the implementation of the measure to ensure convenient and automated personal income declaration, including organisation of discussions and identification of the SRS data for qualitative analytics. The basic principles of equality, certainty, convenience, efficiency will be complied with. At present, the measure does not impose any additional administrative burden. </w:t>
      </w:r>
    </w:p>
    <w:p w14:paraId="4EB1BA5D" w14:textId="77777777" w:rsidR="000B2D98" w:rsidRDefault="000B2D98" w:rsidP="00025086">
      <w:pPr>
        <w:rPr>
          <w:rFonts w:ascii="Times New Roman" w:hAnsi="Times New Roman" w:cs="Times New Roman"/>
          <w:sz w:val="24"/>
          <w:szCs w:val="24"/>
          <w:shd w:val="clear" w:color="auto" w:fill="FFFFFF"/>
        </w:rPr>
      </w:pPr>
    </w:p>
    <w:p w14:paraId="2A2BE7C7" w14:textId="2751E09C" w:rsidR="00C83795" w:rsidRPr="00C34336" w:rsidRDefault="005B044F" w:rsidP="005B044F">
      <w:pPr>
        <w:jc w:val="both"/>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 xml:space="preserve">1.3.2. In conjunction with measure 1.3.1, assessment of the need to require the manager of portfolio investments and similar financial instruments to withhold tax at source and report the amount of taxable income to the SRS. </w:t>
      </w:r>
    </w:p>
    <w:p w14:paraId="77C5C0D1" w14:textId="41AA01E0" w:rsidR="00F078C6" w:rsidRPr="00C34336" w:rsidRDefault="005B044F" w:rsidP="005B044F">
      <w:pPr>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xml:space="preserve"> – the measure does not currently represent a burden. In the future, when developing the general personal income declaration concept, it is envisaged that data will be provided by financial instrument managers and financial institutions. The time required to prepare the information is not determinable. </w:t>
      </w:r>
    </w:p>
    <w:p w14:paraId="2CAA85C9" w14:textId="19CBFE00" w:rsidR="005B044F" w:rsidRPr="00C34336" w:rsidRDefault="005B044F" w:rsidP="005B044F">
      <w:pPr>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information will be provided on a regular basis.</w:t>
      </w:r>
    </w:p>
    <w:p w14:paraId="35C3A8BF" w14:textId="5C69B542" w:rsidR="00F078C6" w:rsidRPr="00C34336" w:rsidRDefault="00D60F1E" w:rsidP="005B044F">
      <w:pPr>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 according to the information included in the statements on amounts paid to natural persons (with income type code 1019 ‘Interest’ and payer NACE Rev. 2 code 64 ‘Financial service activities, except insurance and pension funding’), 181 337 natural persons received interest income disbursed by 106 financial service providers in the first nine months of 2023.</w:t>
      </w:r>
    </w:p>
    <w:p w14:paraId="6B0969B7" w14:textId="4C45DF4E" w:rsidR="00174824" w:rsidRPr="00C34336" w:rsidRDefault="005B044F" w:rsidP="005B044F">
      <w:pPr>
        <w:jc w:val="both"/>
        <w:rPr>
          <w:rFonts w:ascii="Times New Roman" w:eastAsia="Times New Roman" w:hAnsi="Times New Roman" w:cs="Times New Roman"/>
          <w:b/>
          <w:bCs/>
          <w:color w:val="000000" w:themeColor="text1"/>
          <w:kern w:val="0"/>
          <w:sz w:val="24"/>
          <w:szCs w:val="24"/>
          <w14:ligatures w14:val="none"/>
        </w:rPr>
      </w:pPr>
      <w:r>
        <w:rPr>
          <w:rFonts w:ascii="Times New Roman" w:hAnsi="Times New Roman"/>
          <w:b/>
          <w:sz w:val="24"/>
          <w:shd w:val="clear" w:color="auto" w:fill="FFFFFF"/>
        </w:rPr>
        <w:t>Costs</w:t>
      </w:r>
      <w:r>
        <w:rPr>
          <w:rFonts w:ascii="Times New Roman" w:hAnsi="Times New Roman"/>
          <w:sz w:val="24"/>
          <w:shd w:val="clear" w:color="auto" w:fill="FFFFFF"/>
        </w:rPr>
        <w:t xml:space="preserve"> – at this stage, it is not possible to estimate precisely the administrative costs as the amount of withholdings from the management of investment portfolios and similar financial instruments is unknown. </w:t>
      </w:r>
    </w:p>
    <w:p w14:paraId="03FB48A0" w14:textId="77777777" w:rsidR="00C13AF3" w:rsidRPr="00C13AF3" w:rsidRDefault="00C13AF3" w:rsidP="005B044F">
      <w:pPr>
        <w:jc w:val="both"/>
        <w:rPr>
          <w:rFonts w:ascii="Times New Roman" w:eastAsia="Times New Roman" w:hAnsi="Times New Roman" w:cs="Times New Roman"/>
          <w:color w:val="000000" w:themeColor="text1"/>
          <w:kern w:val="0"/>
          <w:sz w:val="24"/>
          <w:szCs w:val="24"/>
          <w:lang w:eastAsia="lv-LV"/>
          <w14:ligatures w14:val="none"/>
        </w:rPr>
      </w:pPr>
    </w:p>
    <w:p w14:paraId="2F5BB403" w14:textId="51F658D5" w:rsidR="002E3118" w:rsidRPr="00C34336" w:rsidRDefault="002E3118" w:rsidP="00754CC1">
      <w:pPr>
        <w:pStyle w:val="ListParagraph"/>
        <w:numPr>
          <w:ilvl w:val="2"/>
          <w:numId w:val="21"/>
        </w:num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Implementation of the electronic circulation system for supporting documents (e-invoices).</w:t>
      </w:r>
    </w:p>
    <w:p w14:paraId="6034AC39" w14:textId="6CA9CF05" w:rsidR="002E3118" w:rsidRPr="00C34336" w:rsidRDefault="002E3118" w:rsidP="002E3118">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 the introduction of e-invoices will reduce manual work, reduce the risk of invoice errors and ensure that invoices reach the accounting and tax administrations more quickly. Consequently, the implementation of the measure is expected to have a positive effect in terms of reducing the administrative burden (savings in time) that cannot be quantified precisely at present as it depends on the technical details of the solution to be developed.</w:t>
      </w:r>
    </w:p>
    <w:p w14:paraId="5FBFDEE5" w14:textId="6F9E0D67" w:rsidR="002E3118" w:rsidRPr="00C34336" w:rsidRDefault="002E3118" w:rsidP="002E3118">
      <w:pPr>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depending on the number of concluded transactions that is currently undefinable.</w:t>
      </w:r>
    </w:p>
    <w:p w14:paraId="5ED6EF60" w14:textId="7E33D219" w:rsidR="002E3118" w:rsidRPr="00C34336" w:rsidRDefault="00CE692A" w:rsidP="002E3118">
      <w:pPr>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 all companies and economic operators concluding transactions (B2B, B2G).</w:t>
      </w:r>
    </w:p>
    <w:p w14:paraId="76AA1D33" w14:textId="2675D97A" w:rsidR="002E3118" w:rsidRPr="00EA4E61" w:rsidRDefault="002E3118" w:rsidP="00754CC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Costs</w:t>
      </w:r>
      <w:r>
        <w:rPr>
          <w:rFonts w:ascii="Times New Roman" w:hAnsi="Times New Roman"/>
          <w:sz w:val="24"/>
          <w:shd w:val="clear" w:color="auto" w:fill="FFFFFF"/>
        </w:rPr>
        <w:t xml:space="preserve"> – possible costs will be specified during the introduction of e-invoices. Costs are expected to decrease due to abandonment of the use of paper format invoices and transition to digital invoices and also the reduction of the risk of invoice errors and faster arrival of invoices in accounting and tax administration, alongside reduction in labour costs. </w:t>
      </w:r>
    </w:p>
    <w:p w14:paraId="37CB9B99" w14:textId="77777777" w:rsidR="00754CC1" w:rsidRPr="00C34336" w:rsidRDefault="00754CC1" w:rsidP="00754CC1">
      <w:pPr>
        <w:jc w:val="both"/>
        <w:rPr>
          <w:rFonts w:ascii="Times New Roman" w:hAnsi="Times New Roman" w:cs="Times New Roman"/>
          <w:sz w:val="24"/>
          <w:szCs w:val="24"/>
          <w:shd w:val="clear" w:color="auto" w:fill="FFFFFF"/>
        </w:rPr>
      </w:pPr>
      <w:r>
        <w:rPr>
          <w:rFonts w:ascii="Times New Roman" w:hAnsi="Times New Roman"/>
          <w:sz w:val="24"/>
          <w:shd w:val="clear" w:color="auto" w:fill="FFFFFF"/>
        </w:rPr>
        <w:t xml:space="preserve">The concept of e-invoices is currently at an early stage of preparation and the interinstitutional working group is deciding on detailed solutions, so the administrative burden is not quantifiable at this stage. </w:t>
      </w:r>
    </w:p>
    <w:p w14:paraId="083A89B8" w14:textId="77777777" w:rsidR="00754CC1" w:rsidRPr="00C34336" w:rsidRDefault="00754CC1" w:rsidP="00806C10">
      <w:pPr>
        <w:rPr>
          <w:rFonts w:ascii="Times New Roman" w:hAnsi="Times New Roman" w:cs="Times New Roman"/>
          <w:sz w:val="24"/>
          <w:szCs w:val="24"/>
          <w:shd w:val="clear" w:color="auto" w:fill="FFFFFF"/>
        </w:rPr>
      </w:pPr>
    </w:p>
    <w:p w14:paraId="001AFA6D" w14:textId="72BAD485" w:rsidR="002E3118" w:rsidRPr="00C34336" w:rsidRDefault="00754CC1" w:rsidP="00806C10">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1.4.2. Obligation for businesses with an annual turnover exceeding EUR 50 000 to allow customers to pay also using non-cash payments.</w:t>
      </w:r>
    </w:p>
    <w:p w14:paraId="33DA6ADA" w14:textId="0736322E" w:rsidR="00C34336" w:rsidRPr="00C34336" w:rsidRDefault="00C34336" w:rsidP="00C34336">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Time</w:t>
      </w:r>
      <w:r>
        <w:rPr>
          <w:rFonts w:ascii="Times New Roman" w:hAnsi="Times New Roman"/>
          <w:sz w:val="24"/>
          <w:shd w:val="clear" w:color="auto" w:fill="FFFFFF"/>
        </w:rPr>
        <w:t xml:space="preserve"> – the introduction of non-cash payments will ensure savings on drawing up of payment documents. </w:t>
      </w:r>
    </w:p>
    <w:p w14:paraId="5D41FCEB" w14:textId="77777777" w:rsidR="00C34336" w:rsidRPr="00C34336" w:rsidRDefault="00C34336" w:rsidP="00EA4E6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regularly, when a transaction takes place.</w:t>
      </w:r>
    </w:p>
    <w:p w14:paraId="4790A766" w14:textId="3B1F200B" w:rsidR="00C34336" w:rsidRPr="00C34336" w:rsidRDefault="00C13AF3" w:rsidP="00EA4E6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 entrepreneurs with a turnover of more than EUR 50 000 per year without any non-cash payment solution.</w:t>
      </w:r>
      <w:r>
        <w:rPr>
          <w:rFonts w:ascii="Times New Roman" w:hAnsi="Times New Roman"/>
          <w:sz w:val="24"/>
        </w:rPr>
        <w:t xml:space="preserve"> </w:t>
      </w:r>
      <w:r>
        <w:rPr>
          <w:rFonts w:ascii="Times New Roman" w:hAnsi="Times New Roman"/>
          <w:sz w:val="24"/>
          <w:shd w:val="clear" w:color="auto" w:fill="FFFFFF"/>
        </w:rPr>
        <w:t>According to the SRS, 779 taxpayers could be affected by this regulation, whereof 177 taxpayers are active in the trade sector (NACE 46 and NACE 47).</w:t>
      </w:r>
    </w:p>
    <w:p w14:paraId="39231B67" w14:textId="1D467F75" w:rsidR="00C34336" w:rsidRDefault="00C34336" w:rsidP="00EA4E61">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b/>
          <w:sz w:val="24"/>
          <w:shd w:val="clear" w:color="auto" w:fill="FFFFFF"/>
        </w:rPr>
        <w:t>Costs</w:t>
      </w:r>
      <w:r>
        <w:rPr>
          <w:rFonts w:ascii="Times New Roman" w:hAnsi="Times New Roman"/>
          <w:sz w:val="24"/>
          <w:shd w:val="clear" w:color="auto" w:fill="FFFFFF"/>
        </w:rPr>
        <w:t xml:space="preserve"> – will increase for businesses when introducing the non-cash payment solution and settling payments for business transactions. </w:t>
      </w:r>
      <w:r>
        <w:rPr>
          <w:rFonts w:ascii="Times New Roman" w:hAnsi="Times New Roman"/>
          <w:color w:val="000000" w:themeColor="text1"/>
          <w:sz w:val="24"/>
        </w:rPr>
        <w:t xml:space="preserve">Based on a calculation of commercial costs, </w:t>
      </w:r>
      <w:r>
        <w:rPr>
          <w:rFonts w:ascii="Times New Roman" w:hAnsi="Times New Roman"/>
          <w:sz w:val="24"/>
          <w:shd w:val="clear" w:color="auto" w:fill="FFFFFF"/>
        </w:rPr>
        <w:t xml:space="preserve">non-cash payment solution </w:t>
      </w:r>
      <w:r>
        <w:rPr>
          <w:rFonts w:ascii="Times New Roman" w:hAnsi="Times New Roman"/>
          <w:color w:val="000000" w:themeColor="text1"/>
          <w:sz w:val="24"/>
        </w:rPr>
        <w:t>pays off at an annual turnover above EUR 35 000. At the same time, the administrative burden will be reduced for customers who do not have cash at the time of purchase and are currently forced to withdraw cash from an ATM to make the transaction. It is not possible to make specific calculations of the administrative burden because information on active traders and the number of transactions is constantly changing, making it difficult to calculate the administrative burden accurately.</w:t>
      </w:r>
      <w:r>
        <w:rPr>
          <w:rFonts w:ascii="Times New Roman" w:hAnsi="Times New Roman"/>
          <w:sz w:val="24"/>
          <w:shd w:val="clear" w:color="auto" w:fill="FFFFFF"/>
        </w:rPr>
        <w:t xml:space="preserve"> </w:t>
      </w:r>
    </w:p>
    <w:p w14:paraId="0299CD12" w14:textId="27B571D2" w:rsidR="005F0F52" w:rsidRDefault="009F4541" w:rsidP="00EA4E61">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There are a wide variety of technological POS solutions for non-cash payments, e.g. stationary, mobile, embedded, portable, phone terminals, mini terminals, etc. The total terminal fee is comprised of two items: the terminal subscription fee and a per-transaction fee. The subscription fee per terminal ranges from EUR 14 to EUR 25 per month, depending on the type of equipment. Fixed terminals are the cheapest, while mobile terminals cost from EUR 18 to EUR 25 per month. Additional costs may be incurred if there is no internet connection at the point of sale.</w:t>
      </w:r>
      <w:r w:rsidR="003B73AB">
        <w:rPr>
          <w:rStyle w:val="FootnoteReference"/>
          <w:rFonts w:ascii="Times New Roman" w:eastAsia="Times New Roman" w:hAnsi="Times New Roman" w:cs="Times New Roman"/>
          <w:color w:val="000000" w:themeColor="text1"/>
          <w:kern w:val="0"/>
          <w:sz w:val="24"/>
          <w:szCs w:val="24"/>
          <w:lang w:eastAsia="lv-LV"/>
        </w:rPr>
        <w:footnoteReference w:id="38"/>
      </w:r>
      <w:r>
        <w:rPr>
          <w:rFonts w:ascii="Times New Roman" w:hAnsi="Times New Roman"/>
          <w:color w:val="000000" w:themeColor="text1"/>
          <w:sz w:val="24"/>
        </w:rPr>
        <w:t xml:space="preserve"> Given that there is a wide variety of technological solutions for POS terminals and that their costs are influenced not only by the type of terminal but also by the number of transactions and the type of payment card, the administrative burden cannot be accurately determined. </w:t>
      </w:r>
    </w:p>
    <w:p w14:paraId="63B81EB1" w14:textId="77777777" w:rsidR="009F4541" w:rsidRDefault="009F4541" w:rsidP="00EA4E61">
      <w:pPr>
        <w:jc w:val="both"/>
        <w:rPr>
          <w:rFonts w:ascii="Times New Roman" w:eastAsia="Times New Roman" w:hAnsi="Times New Roman" w:cs="Times New Roman"/>
          <w:color w:val="000000" w:themeColor="text1"/>
          <w:kern w:val="0"/>
          <w:sz w:val="24"/>
          <w:szCs w:val="24"/>
          <w:lang w:eastAsia="lv-LV"/>
          <w14:ligatures w14:val="none"/>
        </w:rPr>
      </w:pPr>
    </w:p>
    <w:p w14:paraId="6952063B" w14:textId="515E9D60" w:rsidR="002E3118" w:rsidRPr="00C34336" w:rsidRDefault="00754CC1" w:rsidP="00806C10">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3.1.1. Lowering of the threshold for the EDLUS implementation (from EUR 350 000 to EUR 170 000).</w:t>
      </w:r>
    </w:p>
    <w:p w14:paraId="2C4BC4B0" w14:textId="42F38547" w:rsidR="00C34336" w:rsidRPr="00C34336" w:rsidRDefault="00C34336" w:rsidP="00EA4E61">
      <w:pPr>
        <w:jc w:val="both"/>
        <w:rPr>
          <w:rFonts w:ascii="Times New Roman" w:hAnsi="Times New Roman" w:cs="Times New Roman"/>
          <w:color w:val="000000"/>
          <w:kern w:val="0"/>
          <w:sz w:val="24"/>
          <w:szCs w:val="24"/>
        </w:rPr>
      </w:pPr>
      <w:r>
        <w:rPr>
          <w:rFonts w:ascii="Times New Roman" w:hAnsi="Times New Roman"/>
          <w:b/>
          <w:sz w:val="24"/>
          <w:shd w:val="clear" w:color="auto" w:fill="FFFFFF"/>
        </w:rPr>
        <w:t>Time</w:t>
      </w:r>
      <w:r>
        <w:rPr>
          <w:rFonts w:ascii="Times New Roman" w:hAnsi="Times New Roman"/>
          <w:sz w:val="24"/>
          <w:shd w:val="clear" w:color="auto" w:fill="FFFFFF"/>
        </w:rPr>
        <w:t xml:space="preserve"> – the implementation of the system is a one-off event and requires special IT equipment for day-to-day functionality. </w:t>
      </w:r>
      <w:r>
        <w:rPr>
          <w:rFonts w:ascii="Times New Roman" w:hAnsi="Times New Roman"/>
          <w:color w:val="000000"/>
          <w:sz w:val="24"/>
        </w:rPr>
        <w:t xml:space="preserve">The time will be fixed automatically, whereas administrative supervision is ensured by a company employee. It is not possible to calculate the exact time, as the actual time depends on the size of the site and the number of employees on site. </w:t>
      </w:r>
    </w:p>
    <w:p w14:paraId="71C55738" w14:textId="68CF49C6" w:rsidR="00C34336" w:rsidRPr="00C34336" w:rsidRDefault="00C34336" w:rsidP="00EA4E6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the system will be used on site during construction work.</w:t>
      </w:r>
    </w:p>
    <w:p w14:paraId="3AB003E4" w14:textId="77456486" w:rsidR="00C34336" w:rsidRPr="00C34336" w:rsidRDefault="00C13AF3" w:rsidP="00EA4E6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xml:space="preserve"> – all merchants with a </w:t>
      </w:r>
      <w:r>
        <w:rPr>
          <w:rFonts w:ascii="Times New Roman" w:hAnsi="Times New Roman"/>
          <w:color w:val="000000"/>
          <w:sz w:val="24"/>
        </w:rPr>
        <w:t>construction site</w:t>
      </w:r>
      <w:r>
        <w:rPr>
          <w:rFonts w:ascii="Times New Roman" w:hAnsi="Times New Roman"/>
          <w:sz w:val="24"/>
          <w:shd w:val="clear" w:color="auto" w:fill="FFFFFF"/>
        </w:rPr>
        <w:t xml:space="preserve"> value from </w:t>
      </w:r>
      <w:r>
        <w:rPr>
          <w:rFonts w:ascii="Times New Roman" w:hAnsi="Times New Roman"/>
          <w:color w:val="000000" w:themeColor="text1"/>
          <w:sz w:val="24"/>
        </w:rPr>
        <w:t>EUR 170 000</w:t>
      </w:r>
      <w:r>
        <w:rPr>
          <w:rFonts w:ascii="Times New Roman" w:hAnsi="Times New Roman"/>
          <w:sz w:val="24"/>
          <w:shd w:val="clear" w:color="auto" w:fill="FFFFFF"/>
        </w:rPr>
        <w:t xml:space="preserve"> to EUR 350 000. </w:t>
      </w:r>
      <w:bookmarkStart w:id="59" w:name="_Hlk154041668"/>
      <w:r>
        <w:rPr>
          <w:rFonts w:ascii="Times New Roman" w:hAnsi="Times New Roman"/>
          <w:sz w:val="24"/>
          <w:shd w:val="clear" w:color="auto" w:fill="FFFFFF"/>
        </w:rPr>
        <w:t>According to the IUB data, 88 construction work procurements with a value of EUR 170 to EUR 350 thousand were announced by 24 October 2023. Assuming that public procurements account for about half of the construction works contracts, we can estimate that measure 3.1.1 of the plan will cover approximately 200 construction projects. The exact number of the affected entities cannot be determined at this stage.</w:t>
      </w:r>
    </w:p>
    <w:bookmarkEnd w:id="59"/>
    <w:p w14:paraId="0D92281C" w14:textId="4AF9663A" w:rsidR="00C34336" w:rsidRPr="00EA4E61" w:rsidRDefault="00C34336" w:rsidP="00EA4E61">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Costs</w:t>
      </w:r>
      <w:r>
        <w:rPr>
          <w:rFonts w:ascii="Times New Roman" w:hAnsi="Times New Roman"/>
          <w:sz w:val="24"/>
          <w:shd w:val="clear" w:color="auto" w:fill="FFFFFF"/>
        </w:rPr>
        <w:t> –</w:t>
      </w:r>
      <w:r>
        <w:rPr>
          <w:rFonts w:ascii="Times New Roman" w:hAnsi="Times New Roman"/>
          <w:color w:val="000000"/>
          <w:sz w:val="24"/>
        </w:rPr>
        <w:t xml:space="preserve"> estimated costs of setting up the IT system, provision of the necessary technical solutions on the construction site could vary from EUR 200 to EUR 300 per month per construction site.</w:t>
      </w:r>
    </w:p>
    <w:p w14:paraId="3B196B53" w14:textId="75A2A884" w:rsidR="00C34336" w:rsidRPr="00EA4E61" w:rsidRDefault="00C34336" w:rsidP="00EA4E61">
      <w:pPr>
        <w:jc w:val="both"/>
        <w:rPr>
          <w:rFonts w:ascii="Times New Roman" w:hAnsi="Times New Roman" w:cs="Times New Roman"/>
          <w:color w:val="000000" w:themeColor="text1"/>
          <w:sz w:val="24"/>
          <w:szCs w:val="24"/>
          <w:shd w:val="clear" w:color="auto" w:fill="FFFFFF"/>
        </w:rPr>
      </w:pPr>
      <w:r>
        <w:rPr>
          <w:rFonts w:ascii="Times New Roman" w:hAnsi="Times New Roman"/>
          <w:color w:val="000000"/>
          <w:sz w:val="24"/>
        </w:rPr>
        <w:t xml:space="preserve">There are several solutions on the Latvian market that offer the installation and functionality of the EDLUS on construction sites. </w:t>
      </w:r>
      <w:r>
        <w:rPr>
          <w:rFonts w:ascii="Times New Roman" w:hAnsi="Times New Roman"/>
          <w:color w:val="000000" w:themeColor="text1"/>
          <w:sz w:val="24"/>
        </w:rPr>
        <w:t>The EDLUS is the most effective tool for monitoring the presence of workers on construction site and therefore it helps to identify the number of hours worked on site.</w:t>
      </w:r>
      <w:r>
        <w:rPr>
          <w:rFonts w:ascii="Times New Roman" w:hAnsi="Times New Roman"/>
          <w:color w:val="000000" w:themeColor="text1"/>
          <w:sz w:val="24"/>
          <w:shd w:val="clear" w:color="auto" w:fill="FFFFFF"/>
        </w:rPr>
        <w:t xml:space="preserve"> </w:t>
      </w:r>
    </w:p>
    <w:p w14:paraId="67EA7CDF" w14:textId="77777777" w:rsidR="002E3118" w:rsidRPr="00C34336" w:rsidRDefault="002E3118" w:rsidP="00806C10">
      <w:pPr>
        <w:rPr>
          <w:rFonts w:ascii="Times New Roman" w:hAnsi="Times New Roman" w:cs="Times New Roman"/>
          <w:sz w:val="24"/>
          <w:szCs w:val="24"/>
          <w:shd w:val="clear" w:color="auto" w:fill="FFFFFF"/>
        </w:rPr>
      </w:pPr>
    </w:p>
    <w:p w14:paraId="756C5438" w14:textId="047819EB" w:rsidR="005B044F" w:rsidRPr="00C34336" w:rsidRDefault="00754CC1" w:rsidP="00806C10">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3.1.2. Inclusion of the obligation in laws and regulations for the initiator of a construction plan to submit to the CIS information on the price of the construction contract, the planned price of the construction works in the case of the constructor, and also to provide for the possibility to make a selection of the costs of implementation of construction plans (price of construction works) by type of use of the structures.</w:t>
      </w:r>
    </w:p>
    <w:p w14:paraId="0180F57E" w14:textId="3C0C0A4D" w:rsidR="00C34336" w:rsidRPr="00C34336" w:rsidRDefault="00C34336" w:rsidP="005F1A12">
      <w:pPr>
        <w:jc w:val="both"/>
        <w:rPr>
          <w:rFonts w:ascii="Times New Roman" w:hAnsi="Times New Roman" w:cs="Times New Roman"/>
          <w:color w:val="000000"/>
          <w:kern w:val="0"/>
          <w:sz w:val="24"/>
          <w:szCs w:val="24"/>
        </w:rPr>
      </w:pPr>
      <w:r>
        <w:rPr>
          <w:rFonts w:ascii="Times New Roman" w:hAnsi="Times New Roman"/>
          <w:b/>
          <w:sz w:val="24"/>
          <w:shd w:val="clear" w:color="auto" w:fill="FFFFFF"/>
        </w:rPr>
        <w:t>Time</w:t>
      </w:r>
      <w:r>
        <w:rPr>
          <w:rFonts w:ascii="Times New Roman" w:hAnsi="Times New Roman"/>
          <w:sz w:val="24"/>
          <w:shd w:val="clear" w:color="auto" w:fill="FFFFFF"/>
        </w:rPr>
        <w:t> – no additional time required (up to a few minutes for completing an additional column)</w:t>
      </w:r>
      <w:r>
        <w:rPr>
          <w:rFonts w:ascii="Times New Roman" w:hAnsi="Times New Roman"/>
          <w:color w:val="000000"/>
          <w:sz w:val="24"/>
        </w:rPr>
        <w:t>. The measure is planned as a technical solution in the CIS functionality</w:t>
      </w:r>
      <w:r>
        <w:rPr>
          <w:rFonts w:ascii="Times New Roman" w:hAnsi="Times New Roman"/>
          <w:color w:val="000000" w:themeColor="text1"/>
          <w:sz w:val="24"/>
          <w:shd w:val="clear" w:color="auto" w:fill="FFFFFF"/>
        </w:rPr>
        <w:t>. This proposal concerns a preliminary assessment of construction costs and does not provide for the submission of additional documents.</w:t>
      </w:r>
    </w:p>
    <w:p w14:paraId="4B569473" w14:textId="53904E74" w:rsidR="00C34336" w:rsidRPr="00C34336" w:rsidRDefault="00C34336" w:rsidP="005F1A12">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xml:space="preserve"> – information on the price of the </w:t>
      </w:r>
      <w:r>
        <w:rPr>
          <w:rFonts w:ascii="Times New Roman" w:hAnsi="Times New Roman"/>
          <w:color w:val="000000" w:themeColor="text1"/>
          <w:sz w:val="24"/>
        </w:rPr>
        <w:t>planned construction works</w:t>
      </w:r>
      <w:r>
        <w:rPr>
          <w:rFonts w:ascii="Times New Roman" w:hAnsi="Times New Roman"/>
          <w:b/>
          <w:color w:val="000000" w:themeColor="text1"/>
          <w:sz w:val="24"/>
        </w:rPr>
        <w:t xml:space="preserve"> </w:t>
      </w:r>
      <w:r>
        <w:rPr>
          <w:rFonts w:ascii="Times New Roman" w:hAnsi="Times New Roman"/>
          <w:sz w:val="24"/>
          <w:shd w:val="clear" w:color="auto" w:fill="FFFFFF"/>
        </w:rPr>
        <w:t>during the construction process shall be submitted once in the CIS.</w:t>
      </w:r>
    </w:p>
    <w:p w14:paraId="5389EA07" w14:textId="34946E31" w:rsidR="00C34336" w:rsidRPr="00C34336" w:rsidRDefault="00C13AF3" w:rsidP="005F1A12">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w:t>
      </w:r>
      <w:r>
        <w:rPr>
          <w:rFonts w:ascii="Times New Roman" w:hAnsi="Times New Roman"/>
          <w:sz w:val="24"/>
          <w:shd w:val="clear" w:color="auto" w:fill="FFFFFF"/>
        </w:rPr>
        <w:t xml:space="preserve"> </w:t>
      </w:r>
      <w:r>
        <w:rPr>
          <w:rFonts w:ascii="Times New Roman" w:hAnsi="Times New Roman"/>
          <w:b/>
          <w:sz w:val="24"/>
          <w:shd w:val="clear" w:color="auto" w:fill="FFFFFF"/>
        </w:rPr>
        <w:t>involved</w:t>
      </w:r>
      <w:r>
        <w:rPr>
          <w:rFonts w:ascii="Times New Roman" w:hAnsi="Times New Roman"/>
          <w:sz w:val="24"/>
          <w:shd w:val="clear" w:color="auto" w:fill="FFFFFF"/>
        </w:rPr>
        <w:t xml:space="preserve"> – legal and natural persons starting the construction process. </w:t>
      </w:r>
    </w:p>
    <w:p w14:paraId="6CE3E336" w14:textId="77777777" w:rsidR="00C34336" w:rsidRPr="00C34336" w:rsidRDefault="00C34336" w:rsidP="005F1A12">
      <w:pPr>
        <w:jc w:val="both"/>
        <w:rPr>
          <w:rFonts w:ascii="Times New Roman" w:hAnsi="Times New Roman" w:cs="Times New Roman"/>
          <w:color w:val="000000" w:themeColor="text1"/>
          <w:sz w:val="24"/>
          <w:szCs w:val="24"/>
          <w:shd w:val="clear" w:color="auto" w:fill="FFFFFF"/>
        </w:rPr>
      </w:pPr>
      <w:r>
        <w:rPr>
          <w:rFonts w:ascii="Times New Roman" w:hAnsi="Times New Roman"/>
          <w:b/>
          <w:sz w:val="24"/>
          <w:shd w:val="clear" w:color="auto" w:fill="FFFFFF"/>
        </w:rPr>
        <w:t>Costs –</w:t>
      </w:r>
      <w:r>
        <w:rPr>
          <w:rFonts w:ascii="Times New Roman" w:hAnsi="Times New Roman"/>
          <w:sz w:val="24"/>
          <w:shd w:val="clear" w:color="auto" w:fill="FFFFFF"/>
        </w:rPr>
        <w:t xml:space="preserve"> </w:t>
      </w:r>
      <w:r>
        <w:rPr>
          <w:rFonts w:ascii="Times New Roman" w:hAnsi="Times New Roman"/>
          <w:color w:val="000000" w:themeColor="text1"/>
          <w:sz w:val="24"/>
          <w:shd w:val="clear" w:color="auto" w:fill="FFFFFF"/>
        </w:rPr>
        <w:t>the measure</w:t>
      </w:r>
      <w:r>
        <w:rPr>
          <w:rFonts w:ascii="Times New Roman" w:hAnsi="Times New Roman"/>
          <w:sz w:val="24"/>
          <w:shd w:val="clear" w:color="auto" w:fill="FFFFFF"/>
        </w:rPr>
        <w:t xml:space="preserve"> will not cause any additional costs for legal and natural persons and will </w:t>
      </w:r>
      <w:r>
        <w:rPr>
          <w:rFonts w:ascii="Times New Roman" w:hAnsi="Times New Roman"/>
          <w:color w:val="000000" w:themeColor="text1"/>
          <w:sz w:val="24"/>
          <w:shd w:val="clear" w:color="auto" w:fill="FFFFFF"/>
        </w:rPr>
        <w:t>not increase the administrative burden.</w:t>
      </w:r>
    </w:p>
    <w:p w14:paraId="7D907232" w14:textId="3B4773F0" w:rsidR="00C34336" w:rsidRPr="00C34336" w:rsidRDefault="00C34336" w:rsidP="005F1A12">
      <w:pPr>
        <w:jc w:val="both"/>
        <w:rPr>
          <w:rFonts w:ascii="Times New Roman" w:hAnsi="Times New Roman" w:cs="Times New Roman"/>
          <w:color w:val="000000" w:themeColor="text1"/>
          <w:sz w:val="24"/>
          <w:szCs w:val="24"/>
          <w:shd w:val="clear" w:color="auto" w:fill="FFFFFF"/>
        </w:rPr>
      </w:pPr>
      <w:r>
        <w:rPr>
          <w:rFonts w:ascii="Times New Roman" w:hAnsi="Times New Roman"/>
          <w:color w:val="000000" w:themeColor="text1"/>
          <w:sz w:val="24"/>
          <w:shd w:val="clear" w:color="auto" w:fill="FFFFFF"/>
        </w:rPr>
        <w:t xml:space="preserve">The SCCB will make the necessary improvements to the CIS functionality to enable the selection of the costs (price of construction works) for construction projects by type of use. This measure will improve the analytics of the CIS data and will be implemented through improvements to the CIS functionality. The possibility to select the CIS data by type of use of structures will allow a better analysis of the situation in the sector and to keep track of changes in construction costs. </w:t>
      </w:r>
    </w:p>
    <w:p w14:paraId="76F952CB" w14:textId="77777777" w:rsidR="005B044F" w:rsidRPr="00C34336" w:rsidRDefault="005B044F" w:rsidP="005F1A12">
      <w:pPr>
        <w:jc w:val="both"/>
        <w:rPr>
          <w:rFonts w:ascii="Times New Roman" w:hAnsi="Times New Roman" w:cs="Times New Roman"/>
          <w:sz w:val="24"/>
          <w:szCs w:val="24"/>
          <w:shd w:val="clear" w:color="auto" w:fill="FFFFFF"/>
        </w:rPr>
      </w:pPr>
    </w:p>
    <w:p w14:paraId="3B84909E" w14:textId="29954C36" w:rsidR="001B1801" w:rsidRPr="00C34336" w:rsidRDefault="00754CC1" w:rsidP="00806C10">
      <w:pPr>
        <w:rPr>
          <w:rFonts w:ascii="Times New Roman" w:eastAsia="Times New Roman" w:hAnsi="Times New Roman" w:cs="Times New Roman"/>
          <w:b/>
          <w:bCs/>
          <w:color w:val="000000" w:themeColor="text1"/>
          <w:kern w:val="0"/>
          <w:sz w:val="24"/>
          <w:szCs w:val="24"/>
          <w14:ligatures w14:val="none"/>
        </w:rPr>
      </w:pPr>
      <w:r>
        <w:rPr>
          <w:rFonts w:ascii="Times New Roman" w:hAnsi="Times New Roman"/>
          <w:b/>
          <w:color w:val="000000" w:themeColor="text1"/>
          <w:sz w:val="24"/>
        </w:rPr>
        <w:t>3.2.2. Obligation for a private individual to provide information to the CIS on the origin of the funds intended to be used for the works.</w:t>
      </w:r>
    </w:p>
    <w:p w14:paraId="79A3B182" w14:textId="28BBB913" w:rsidR="00C34336" w:rsidRPr="00C34336" w:rsidRDefault="00C34336" w:rsidP="005F1A12">
      <w:pPr>
        <w:jc w:val="both"/>
        <w:rPr>
          <w:rFonts w:ascii="Times New Roman" w:hAnsi="Times New Roman" w:cs="Times New Roman"/>
          <w:color w:val="000000"/>
          <w:kern w:val="0"/>
          <w:sz w:val="24"/>
          <w:szCs w:val="24"/>
        </w:rPr>
      </w:pPr>
      <w:r>
        <w:rPr>
          <w:rFonts w:ascii="Times New Roman" w:hAnsi="Times New Roman"/>
          <w:b/>
          <w:sz w:val="24"/>
          <w:shd w:val="clear" w:color="auto" w:fill="FFFFFF"/>
        </w:rPr>
        <w:t>Time</w:t>
      </w:r>
      <w:r>
        <w:rPr>
          <w:rFonts w:ascii="Times New Roman" w:hAnsi="Times New Roman"/>
          <w:sz w:val="24"/>
          <w:shd w:val="clear" w:color="auto" w:fill="FFFFFF"/>
        </w:rPr>
        <w:t> – no additional time required (up to a few minutes for completing an additional column)</w:t>
      </w:r>
      <w:r>
        <w:rPr>
          <w:rFonts w:ascii="Times New Roman" w:hAnsi="Times New Roman"/>
          <w:color w:val="000000"/>
          <w:sz w:val="24"/>
        </w:rPr>
        <w:t>. The measure is planned as a technical solution in the CIS functionality where a private individual, when starting the construction, will indicate the source of the planned funding, e.g. a loan, savings, ticking a box in the CIS structured data that would confirm the veracity of that statement and the submission of additional documents is not required.</w:t>
      </w:r>
    </w:p>
    <w:p w14:paraId="17DDC848" w14:textId="517D5DC2" w:rsidR="00C34336" w:rsidRPr="00C34336" w:rsidRDefault="00C34336" w:rsidP="005F1A12">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Frequency</w:t>
      </w:r>
      <w:r>
        <w:rPr>
          <w:rFonts w:ascii="Times New Roman" w:hAnsi="Times New Roman"/>
          <w:sz w:val="24"/>
          <w:shd w:val="clear" w:color="auto" w:fill="FFFFFF"/>
        </w:rPr>
        <w:t> – information on the origin of the funding planned for the construction works is provided once during the construction process.</w:t>
      </w:r>
    </w:p>
    <w:p w14:paraId="325935F8" w14:textId="3D541A9A" w:rsidR="00C34336" w:rsidRPr="00C34336" w:rsidRDefault="00C13AF3" w:rsidP="005F1A12">
      <w:pPr>
        <w:jc w:val="both"/>
        <w:rPr>
          <w:rFonts w:ascii="Times New Roman" w:hAnsi="Times New Roman" w:cs="Times New Roman"/>
          <w:sz w:val="24"/>
          <w:szCs w:val="24"/>
          <w:shd w:val="clear" w:color="auto" w:fill="FFFFFF"/>
        </w:rPr>
      </w:pPr>
      <w:r>
        <w:rPr>
          <w:rFonts w:ascii="Times New Roman" w:hAnsi="Times New Roman"/>
          <w:b/>
          <w:sz w:val="24"/>
          <w:shd w:val="clear" w:color="auto" w:fill="FFFFFF"/>
        </w:rPr>
        <w:t>Number of persons involved</w:t>
      </w:r>
      <w:r>
        <w:rPr>
          <w:rFonts w:ascii="Times New Roman" w:hAnsi="Times New Roman"/>
          <w:sz w:val="24"/>
          <w:shd w:val="clear" w:color="auto" w:fill="FFFFFF"/>
        </w:rPr>
        <w:t xml:space="preserve"> – natural persons starting the construction process. </w:t>
      </w:r>
    </w:p>
    <w:p w14:paraId="23782D55" w14:textId="77777777" w:rsidR="00C34336" w:rsidRPr="00C34336" w:rsidRDefault="00C34336" w:rsidP="005F1A12">
      <w:pPr>
        <w:jc w:val="both"/>
        <w:rPr>
          <w:rFonts w:ascii="Times New Roman" w:hAnsi="Times New Roman" w:cs="Times New Roman"/>
          <w:color w:val="000000"/>
          <w:kern w:val="0"/>
          <w:sz w:val="24"/>
          <w:szCs w:val="24"/>
        </w:rPr>
      </w:pPr>
      <w:r>
        <w:rPr>
          <w:rFonts w:ascii="Times New Roman" w:hAnsi="Times New Roman"/>
          <w:b/>
          <w:sz w:val="24"/>
          <w:shd w:val="clear" w:color="auto" w:fill="FFFFFF"/>
        </w:rPr>
        <w:t>Costs</w:t>
      </w:r>
      <w:r>
        <w:rPr>
          <w:rFonts w:ascii="Times New Roman" w:hAnsi="Times New Roman"/>
          <w:sz w:val="24"/>
          <w:shd w:val="clear" w:color="auto" w:fill="FFFFFF"/>
        </w:rPr>
        <w:t> –</w:t>
      </w:r>
      <w:r>
        <w:rPr>
          <w:rFonts w:ascii="Times New Roman" w:hAnsi="Times New Roman"/>
          <w:color w:val="000000"/>
          <w:sz w:val="24"/>
        </w:rPr>
        <w:t xml:space="preserve"> the measure will not cause any </w:t>
      </w:r>
      <w:r>
        <w:rPr>
          <w:rFonts w:ascii="Times New Roman" w:hAnsi="Times New Roman"/>
          <w:sz w:val="24"/>
          <w:shd w:val="clear" w:color="auto" w:fill="FFFFFF"/>
        </w:rPr>
        <w:t xml:space="preserve">additional costs </w:t>
      </w:r>
      <w:r>
        <w:rPr>
          <w:rFonts w:ascii="Times New Roman" w:hAnsi="Times New Roman"/>
          <w:color w:val="000000"/>
          <w:sz w:val="24"/>
        </w:rPr>
        <w:t>for natural persons and will not increase the administrative burden.</w:t>
      </w:r>
    </w:p>
    <w:p w14:paraId="54317668" w14:textId="77777777" w:rsidR="00174824" w:rsidRDefault="00174824" w:rsidP="00806C10">
      <w:pPr>
        <w:rPr>
          <w:rFonts w:ascii="Times New Roman" w:eastAsia="Times New Roman" w:hAnsi="Times New Roman" w:cs="Times New Roman"/>
          <w:color w:val="000000" w:themeColor="text1"/>
          <w:kern w:val="0"/>
          <w:sz w:val="24"/>
          <w:szCs w:val="24"/>
          <w:lang w:eastAsia="lv-LV"/>
          <w14:ligatures w14:val="none"/>
        </w:rPr>
      </w:pPr>
    </w:p>
    <w:p w14:paraId="44CE2CC0" w14:textId="5E8D66C0" w:rsidR="00194D8B" w:rsidRPr="00194D8B" w:rsidRDefault="00194D8B" w:rsidP="00194D8B">
      <w:pPr>
        <w:jc w:val="both"/>
        <w:rPr>
          <w:rFonts w:ascii="Times New Roman" w:hAnsi="Times New Roman" w:cs="Times New Roman"/>
          <w:b/>
          <w:bCs/>
          <w:color w:val="000000" w:themeColor="text1"/>
          <w:sz w:val="24"/>
          <w:szCs w:val="24"/>
        </w:rPr>
      </w:pPr>
      <w:r>
        <w:rPr>
          <w:rFonts w:ascii="Times New Roman" w:hAnsi="Times New Roman"/>
          <w:b/>
          <w:color w:val="000000" w:themeColor="text1"/>
          <w:sz w:val="24"/>
        </w:rPr>
        <w:t xml:space="preserve">Financial institutions have the obligation to report the balance of the current debt and borrowed funds (regardless of their legal form) exceeding 20 minimum wages. </w:t>
      </w:r>
    </w:p>
    <w:p w14:paraId="29CD51F7" w14:textId="3210316E" w:rsidR="00194D8B" w:rsidRDefault="00836FF3" w:rsidP="006D1BA0">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Also, as part of the measures to restrict the shadow economy, the Amendments to the Law on the Credit Register entered into force on 16 November 2023, thus clarifying and supplementing the right of the SRS under Section 19 of the Law on the Credit Register to receive information from the Credit Register on liabilities of natural persons (residents) that meet a certain limit of the balance of liabilities.</w:t>
      </w:r>
    </w:p>
    <w:p w14:paraId="46BC6F2F" w14:textId="66489711" w:rsidR="00194D8B" w:rsidRPr="00194D8B" w:rsidRDefault="00836FF3" w:rsidP="006D1BA0">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 xml:space="preserve">The Law is designed to </w:t>
      </w:r>
      <w:r>
        <w:rPr>
          <w:rFonts w:ascii="Times New Roman" w:hAnsi="Times New Roman"/>
          <w:b/>
          <w:color w:val="000000" w:themeColor="text1"/>
          <w:sz w:val="24"/>
        </w:rPr>
        <w:t>reduce the administrative burden</w:t>
      </w:r>
      <w:r>
        <w:rPr>
          <w:rFonts w:ascii="Times New Roman" w:hAnsi="Times New Roman"/>
          <w:color w:val="000000" w:themeColor="text1"/>
          <w:sz w:val="24"/>
        </w:rPr>
        <w:t xml:space="preserve"> for taxpayers and aims to provide the SRS with the information necessary but currently lacking for data analysis, tax administration activities and tax administration inspections, and also for inspections of tax returns submitted by public officials.</w:t>
      </w:r>
    </w:p>
    <w:p w14:paraId="460227CE" w14:textId="4A81EE42" w:rsidR="00194D8B" w:rsidRPr="00194D8B" w:rsidRDefault="00836FF3" w:rsidP="006D1BA0">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Law:</w:t>
      </w:r>
    </w:p>
    <w:p w14:paraId="6BA35FC0" w14:textId="16F43C90" w:rsidR="00194D8B" w:rsidRPr="00194D8B" w:rsidRDefault="00194D8B" w:rsidP="006D1BA0">
      <w:pPr>
        <w:ind w:firstLine="284"/>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 clarifies the existing regulatory framework by stipulating that the SRS has the right to receive information from the Credit Register on the basis of a separate request for the purpose of assessing and carrying out an examination of the usefulness of tax administration activities and tax administration if during the tax administration process there are grounds to believe that the expenses of a natural person (resident) could exceed his or her income;</w:t>
      </w:r>
    </w:p>
    <w:p w14:paraId="72F171AF" w14:textId="46AEC0AD" w:rsidR="00194D8B" w:rsidRPr="00194D8B" w:rsidRDefault="00194D8B" w:rsidP="006D1BA0">
      <w:pPr>
        <w:ind w:firstLine="284"/>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 the right of the SRS to receive information from the Credit Register without a separate request is supplemented by stipulating that the Credit Register will inform the SRS once a year of the liabilities of natural persons (residents) with a total balance of at least 20 minimum monthly wages;</w:t>
      </w:r>
    </w:p>
    <w:p w14:paraId="15670584" w14:textId="36439DA4" w:rsidR="00194D8B" w:rsidRPr="00194D8B" w:rsidRDefault="00194D8B" w:rsidP="006D1BA0">
      <w:pPr>
        <w:ind w:firstLine="284"/>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 supplements the right of the SRS to obtain information from the Credit Register for the purpose of verifying the tax returns submitted by public officials.</w:t>
      </w:r>
    </w:p>
    <w:p w14:paraId="27CD271D" w14:textId="6DE07806" w:rsidR="00194D8B" w:rsidRPr="00194D8B" w:rsidRDefault="00194D8B" w:rsidP="00E711D2">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The amount of information to be included in the Credit Register will be analogous to the amount that the SRS is already entitled to receive from the Credit Register on the basis of an individual request for the purpose of analysing the necessity of a tax audit if, prior to the commencement of the tax audit, the SRS has grounds to believe that the expenses of a natural person (resident) could exceed his or her income.</w:t>
      </w:r>
    </w:p>
    <w:p w14:paraId="6D712167" w14:textId="443B1544" w:rsidR="00194D8B" w:rsidRPr="00C13AF3" w:rsidRDefault="00194D8B" w:rsidP="00E711D2">
      <w:pPr>
        <w:jc w:val="both"/>
        <w:rPr>
          <w:rFonts w:ascii="Times New Roman" w:eastAsia="Times New Roman" w:hAnsi="Times New Roman" w:cs="Times New Roman"/>
          <w:color w:val="000000" w:themeColor="text1"/>
          <w:kern w:val="0"/>
          <w:sz w:val="24"/>
          <w:szCs w:val="24"/>
          <w14:ligatures w14:val="none"/>
        </w:rPr>
      </w:pPr>
      <w:r>
        <w:rPr>
          <w:rFonts w:ascii="Times New Roman" w:hAnsi="Times New Roman"/>
          <w:color w:val="000000" w:themeColor="text1"/>
          <w:sz w:val="24"/>
        </w:rPr>
        <w:t>According to Section 22.</w:t>
      </w:r>
      <w:r>
        <w:rPr>
          <w:rFonts w:ascii="Times New Roman" w:hAnsi="Times New Roman"/>
          <w:color w:val="000000" w:themeColor="text1"/>
          <w:sz w:val="24"/>
          <w:vertAlign w:val="superscript"/>
        </w:rPr>
        <w:t>3</w:t>
      </w:r>
      <w:r>
        <w:rPr>
          <w:rFonts w:ascii="Times New Roman" w:hAnsi="Times New Roman"/>
          <w:color w:val="000000" w:themeColor="text1"/>
          <w:sz w:val="24"/>
        </w:rPr>
        <w:t xml:space="preserve"> of the law On Taxes and Fees, credit institutions and payment service providers submit information to the SRS only on the turnover of accounts, while the Credit Register is supposed to provide information on the amount of liabilities, thus the new legal provision will provide additional information for the assessment of the received data.</w:t>
      </w:r>
    </w:p>
    <w:p w14:paraId="564B39E8" w14:textId="77777777" w:rsidR="00174824" w:rsidRPr="00C13AF3" w:rsidRDefault="00174824" w:rsidP="00806C10">
      <w:pPr>
        <w:rPr>
          <w:rFonts w:ascii="Times New Roman" w:eastAsia="Times New Roman" w:hAnsi="Times New Roman" w:cs="Times New Roman"/>
          <w:color w:val="000000" w:themeColor="text1"/>
          <w:kern w:val="0"/>
          <w:sz w:val="24"/>
          <w:szCs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3"/>
      </w:tblGrid>
      <w:tr w:rsidR="00662B78" w:rsidRPr="00662B78" w14:paraId="6032F1BD" w14:textId="77777777" w:rsidTr="00096A60">
        <w:tc>
          <w:tcPr>
            <w:tcW w:w="11063" w:type="dxa"/>
          </w:tcPr>
          <w:p w14:paraId="23327545" w14:textId="77777777" w:rsidR="00662B78" w:rsidRDefault="00662B78" w:rsidP="00D34F0E">
            <w:pPr>
              <w:tabs>
                <w:tab w:val="left" w:pos="5812"/>
              </w:tabs>
              <w:rPr>
                <w:rFonts w:ascii="Times New Roman" w:eastAsia="Times New Roman" w:hAnsi="Times New Roman" w:cs="Times New Roman"/>
                <w:sz w:val="16"/>
                <w:szCs w:val="10"/>
                <w:lang w:eastAsia="en-GB"/>
              </w:rPr>
            </w:pPr>
          </w:p>
          <w:p w14:paraId="3E25A9A5" w14:textId="77777777" w:rsidR="00EE560F" w:rsidRDefault="00EE560F" w:rsidP="00D34F0E">
            <w:pPr>
              <w:tabs>
                <w:tab w:val="left" w:pos="5812"/>
              </w:tabs>
              <w:rPr>
                <w:rFonts w:ascii="Times New Roman" w:eastAsia="Times New Roman" w:hAnsi="Times New Roman" w:cs="Times New Roman"/>
                <w:sz w:val="16"/>
                <w:szCs w:val="10"/>
                <w:lang w:eastAsia="en-GB"/>
              </w:rPr>
            </w:pPr>
          </w:p>
          <w:p w14:paraId="3C0E016C" w14:textId="77777777" w:rsidR="00EE560F" w:rsidRPr="00662B78" w:rsidRDefault="00EE560F" w:rsidP="00D34F0E">
            <w:pPr>
              <w:tabs>
                <w:tab w:val="left" w:pos="5812"/>
              </w:tabs>
              <w:rPr>
                <w:rFonts w:ascii="Times New Roman" w:eastAsia="Times New Roman" w:hAnsi="Times New Roman" w:cs="Times New Roman"/>
                <w:sz w:val="16"/>
                <w:szCs w:val="10"/>
                <w:lang w:eastAsia="en-GB"/>
              </w:rPr>
            </w:pPr>
          </w:p>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297"/>
              <w:gridCol w:w="4431"/>
            </w:tblGrid>
            <w:tr w:rsidR="00662B78" w:rsidRPr="00662B78" w14:paraId="44009CC8" w14:textId="77777777" w:rsidTr="00662B78">
              <w:tc>
                <w:tcPr>
                  <w:tcW w:w="3119" w:type="dxa"/>
                </w:tcPr>
                <w:p w14:paraId="61C9A2FE" w14:textId="77777777" w:rsidR="00662B78" w:rsidRPr="00662B78" w:rsidRDefault="00662B78" w:rsidP="00D34F0E">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rPr>
                  </w:pPr>
                  <w:r>
                    <w:rPr>
                      <w:rFonts w:ascii="Times New Roman" w:hAnsi="Times New Roman"/>
                      <w:sz w:val="28"/>
                    </w:rPr>
                    <w:t>Minister for Finance</w:t>
                  </w:r>
                </w:p>
              </w:tc>
              <w:tc>
                <w:tcPr>
                  <w:tcW w:w="3297" w:type="dxa"/>
                </w:tcPr>
                <w:p w14:paraId="0F7EDCB1" w14:textId="77777777" w:rsidR="00662B78" w:rsidRPr="00662B78" w:rsidRDefault="00662B78" w:rsidP="00D34F0E">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rPr>
                  </w:pPr>
                  <w:r>
                    <w:rPr>
                      <w:rFonts w:ascii="Times New Roman" w:hAnsi="Times New Roman"/>
                    </w:rPr>
                    <w:t>(signature**)</w:t>
                  </w:r>
                </w:p>
              </w:tc>
              <w:tc>
                <w:tcPr>
                  <w:tcW w:w="4431" w:type="dxa"/>
                </w:tcPr>
                <w:p w14:paraId="10E533CB" w14:textId="77777777" w:rsidR="00662B78" w:rsidRPr="00662B78" w:rsidRDefault="00662B78" w:rsidP="00D34F0E">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rPr>
                  </w:pPr>
                  <w:r>
                    <w:rPr>
                      <w:rFonts w:ascii="Times New Roman" w:hAnsi="Times New Roman"/>
                      <w:sz w:val="28"/>
                    </w:rPr>
                    <w:t>A. Ašeradens</w:t>
                  </w:r>
                </w:p>
              </w:tc>
            </w:tr>
          </w:tbl>
          <w:p w14:paraId="668B7AAC" w14:textId="77777777" w:rsidR="00662B78" w:rsidRPr="00662B78" w:rsidRDefault="00662B78" w:rsidP="00D34F0E">
            <w:pPr>
              <w:tabs>
                <w:tab w:val="left" w:pos="5812"/>
              </w:tabs>
              <w:rPr>
                <w:rFonts w:ascii="Times New Roman" w:eastAsia="Times New Roman" w:hAnsi="Times New Roman" w:cs="Times New Roman"/>
                <w:szCs w:val="18"/>
                <w:lang w:eastAsia="en-GB"/>
              </w:rPr>
            </w:pPr>
          </w:p>
          <w:p w14:paraId="0FEE0668" w14:textId="77777777" w:rsidR="00662B78" w:rsidRPr="00662B78" w:rsidRDefault="00662B78" w:rsidP="00D34F0E">
            <w:pPr>
              <w:tabs>
                <w:tab w:val="left" w:pos="5812"/>
              </w:tabs>
              <w:rPr>
                <w:rFonts w:ascii="Times New Roman" w:eastAsia="Times New Roman" w:hAnsi="Times New Roman" w:cs="Times New Roman"/>
                <w:szCs w:val="18"/>
                <w:lang w:eastAsia="en-GB"/>
              </w:rPr>
            </w:pPr>
          </w:p>
          <w:p w14:paraId="3978892A" w14:textId="77777777" w:rsidR="00662B78" w:rsidRPr="00662B78" w:rsidRDefault="00662B78" w:rsidP="00D34F0E">
            <w:pPr>
              <w:tabs>
                <w:tab w:val="left" w:pos="5812"/>
              </w:tabs>
              <w:rPr>
                <w:rFonts w:ascii="Times New Roman" w:eastAsia="Times New Roman" w:hAnsi="Times New Roman" w:cs="Times New Roman"/>
                <w:sz w:val="28"/>
                <w:szCs w:val="20"/>
              </w:rPr>
            </w:pPr>
            <w:r>
              <w:rPr>
                <w:rFonts w:ascii="Times New Roman" w:hAnsi="Times New Roman"/>
              </w:rPr>
              <w:t>** The document is signed using the electronic signature tool of the DLA portal.</w:t>
            </w:r>
          </w:p>
        </w:tc>
      </w:tr>
    </w:tbl>
    <w:p w14:paraId="21FA1BA1" w14:textId="19A04D85" w:rsidR="00EA4D8B" w:rsidRPr="00662B78" w:rsidRDefault="00EA4D8B" w:rsidP="00EA4D8B">
      <w:pPr>
        <w:ind w:left="284" w:hanging="284"/>
        <w:jc w:val="both"/>
        <w:rPr>
          <w:rFonts w:ascii="Times New Roman" w:hAnsi="Times New Roman" w:cs="Times New Roman"/>
          <w:sz w:val="18"/>
          <w:szCs w:val="18"/>
          <w:shd w:val="clear" w:color="auto" w:fill="FFFFFF"/>
        </w:rPr>
      </w:pPr>
    </w:p>
    <w:sectPr w:rsidR="00EA4D8B" w:rsidRPr="00662B78" w:rsidSect="00351EAB">
      <w:pgSz w:w="16838" w:h="11906" w:orient="landscape"/>
      <w:pgMar w:top="1134" w:right="680"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79826" w14:textId="77777777" w:rsidR="00B307F3" w:rsidRDefault="00B307F3" w:rsidP="008400F3">
      <w:r>
        <w:separator/>
      </w:r>
    </w:p>
  </w:endnote>
  <w:endnote w:type="continuationSeparator" w:id="0">
    <w:p w14:paraId="3478C418" w14:textId="77777777" w:rsidR="00B307F3" w:rsidRDefault="00B307F3" w:rsidP="008400F3">
      <w:r>
        <w:continuationSeparator/>
      </w:r>
    </w:p>
  </w:endnote>
  <w:endnote w:type="continuationNotice" w:id="1">
    <w:p w14:paraId="7676E5AC" w14:textId="77777777" w:rsidR="00B307F3" w:rsidRDefault="00B30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1446756"/>
      <w:docPartObj>
        <w:docPartGallery w:val="Page Numbers (Bottom of Page)"/>
        <w:docPartUnique/>
      </w:docPartObj>
    </w:sdtPr>
    <w:sdtEndPr>
      <w:rPr>
        <w:rFonts w:ascii="Times New Roman" w:hAnsi="Times New Roman" w:cs="Times New Roman"/>
        <w:sz w:val="20"/>
        <w:szCs w:val="20"/>
      </w:rPr>
    </w:sdtEndPr>
    <w:sdtContent>
      <w:p w14:paraId="7A8FA0B5" w14:textId="77777777" w:rsidR="00D34F0E" w:rsidRPr="002F56A0" w:rsidRDefault="00D34F0E">
        <w:pPr>
          <w:pStyle w:val="Footer"/>
          <w:jc w:val="right"/>
          <w:rPr>
            <w:rFonts w:ascii="Times New Roman" w:hAnsi="Times New Roman" w:cs="Times New Roman"/>
            <w:sz w:val="20"/>
            <w:szCs w:val="20"/>
          </w:rPr>
        </w:pPr>
        <w:r w:rsidRPr="002F56A0">
          <w:rPr>
            <w:rFonts w:ascii="Times New Roman" w:hAnsi="Times New Roman" w:cs="Times New Roman"/>
            <w:sz w:val="20"/>
          </w:rPr>
          <w:fldChar w:fldCharType="begin"/>
        </w:r>
        <w:r w:rsidRPr="002F56A0">
          <w:rPr>
            <w:rFonts w:ascii="Times New Roman" w:hAnsi="Times New Roman" w:cs="Times New Roman"/>
            <w:sz w:val="20"/>
          </w:rPr>
          <w:instrText xml:space="preserve"> PAGE   \* MERGEFORMAT </w:instrText>
        </w:r>
        <w:r w:rsidRPr="002F56A0">
          <w:rPr>
            <w:rFonts w:ascii="Times New Roman" w:hAnsi="Times New Roman" w:cs="Times New Roman"/>
            <w:sz w:val="20"/>
          </w:rPr>
          <w:fldChar w:fldCharType="separate"/>
        </w:r>
        <w:r w:rsidR="0013726D">
          <w:rPr>
            <w:rFonts w:ascii="Times New Roman" w:hAnsi="Times New Roman" w:cs="Times New Roman"/>
            <w:noProof/>
            <w:sz w:val="20"/>
          </w:rPr>
          <w:t>35</w:t>
        </w:r>
        <w:r w:rsidRPr="002F56A0">
          <w:rPr>
            <w:rFonts w:ascii="Times New Roman" w:hAnsi="Times New Roman" w:cs="Times New Roman"/>
            <w:sz w:val="20"/>
          </w:rPr>
          <w:fldChar w:fldCharType="end"/>
        </w:r>
      </w:p>
    </w:sdtContent>
  </w:sdt>
  <w:p w14:paraId="73153709" w14:textId="77777777" w:rsidR="00D34F0E" w:rsidRDefault="00D34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89C94" w14:textId="77777777" w:rsidR="00B307F3" w:rsidRDefault="00B307F3" w:rsidP="008400F3">
      <w:r>
        <w:separator/>
      </w:r>
    </w:p>
  </w:footnote>
  <w:footnote w:type="continuationSeparator" w:id="0">
    <w:p w14:paraId="5E5CAC45" w14:textId="77777777" w:rsidR="00B307F3" w:rsidRDefault="00B307F3" w:rsidP="008400F3">
      <w:r>
        <w:continuationSeparator/>
      </w:r>
    </w:p>
  </w:footnote>
  <w:footnote w:type="continuationNotice" w:id="1">
    <w:p w14:paraId="3CCDEBAC" w14:textId="77777777" w:rsidR="00B307F3" w:rsidRDefault="00B307F3"/>
  </w:footnote>
  <w:footnote w:id="2">
    <w:p w14:paraId="5A6ECE73" w14:textId="134203DF" w:rsidR="00D34F0E" w:rsidRPr="00596C6D"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Cabinet Minutes No 16 Par. 43</w:t>
      </w:r>
    </w:p>
  </w:footnote>
  <w:footnote w:id="3">
    <w:p w14:paraId="5588CE8E" w14:textId="50623CC5" w:rsidR="00D34F0E" w:rsidRPr="00D27AEC" w:rsidRDefault="00D34F0E" w:rsidP="0042583C">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Shining Light on the Shadow Economy: Opportunities and Threats, OECD, 2017; </w:t>
      </w:r>
      <w:hyperlink r:id="rId1" w:history="1">
        <w:r>
          <w:rPr>
            <w:rStyle w:val="Hyperlink"/>
            <w:rFonts w:ascii="Times New Roman" w:hAnsi="Times New Roman"/>
            <w:sz w:val="16"/>
          </w:rPr>
          <w:t>https://www.oecd.org/tax/crime/shining-light-on-the-shadow-economy-opportunities-and-threats.pdf</w:t>
        </w:r>
      </w:hyperlink>
    </w:p>
  </w:footnote>
  <w:footnote w:id="4">
    <w:p w14:paraId="1B8FC225" w14:textId="14C8300B" w:rsidR="00D34F0E" w:rsidRPr="00D27AEC"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Nonlinearity Between the Shadow Economy and Level of Development; https://www.iza.org/publications/dp/12385/nonlinearity-between-the-shadow-economy-and-level-of-development</w:t>
      </w:r>
    </w:p>
  </w:footnote>
  <w:footnote w:id="5">
    <w:p w14:paraId="38A0334B" w14:textId="2ADCE865" w:rsidR="00D34F0E" w:rsidRPr="00D27AEC"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Shadow Economies around the World: What Do We Know? </w:t>
      </w:r>
      <w:hyperlink r:id="rId2" w:history="1">
        <w:r>
          <w:rPr>
            <w:rStyle w:val="Hyperlink"/>
            <w:rFonts w:ascii="Times New Roman" w:hAnsi="Times New Roman"/>
            <w:sz w:val="16"/>
          </w:rPr>
          <w:t>https://docs.iza.org/dp1043.pdf</w:t>
        </w:r>
      </w:hyperlink>
      <w:r>
        <w:rPr>
          <w:rFonts w:ascii="Times New Roman" w:hAnsi="Times New Roman"/>
          <w:sz w:val="16"/>
        </w:rPr>
        <w:t xml:space="preserve"> </w:t>
      </w:r>
    </w:p>
  </w:footnote>
  <w:footnote w:id="6">
    <w:p w14:paraId="42D3DC04" w14:textId="7020A196" w:rsidR="00D34F0E" w:rsidRPr="00165AD7"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Shadow Economy Index for the Baltic Countries 2009–2022; </w:t>
      </w:r>
      <w:hyperlink r:id="rId3" w:history="1">
        <w:r>
          <w:rPr>
            <w:rStyle w:val="Hyperlink"/>
            <w:rFonts w:ascii="Times New Roman" w:hAnsi="Times New Roman"/>
            <w:sz w:val="16"/>
          </w:rPr>
          <w:t>https://www.sseriga.edu/sites/default/files/2023-05/Enu_ekonomikas_indekss_2009_2022_0.pdf</w:t>
        </w:r>
      </w:hyperlink>
      <w:r>
        <w:rPr>
          <w:rFonts w:ascii="Times New Roman" w:hAnsi="Times New Roman"/>
          <w:sz w:val="16"/>
        </w:rPr>
        <w:t xml:space="preserve"> </w:t>
      </w:r>
    </w:p>
  </w:footnote>
  <w:footnote w:id="7">
    <w:p w14:paraId="576D17E6" w14:textId="7AB378A2" w:rsidR="00D34F0E" w:rsidRPr="00D27AEC" w:rsidRDefault="00D34F0E" w:rsidP="002B6678">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Outside the State – The Shadow Economy and Shadow Economy Labor Force; </w:t>
      </w:r>
      <w:hyperlink r:id="rId4" w:history="1">
        <w:r>
          <w:rPr>
            <w:rStyle w:val="Hyperlink"/>
            <w:rFonts w:ascii="Times New Roman" w:hAnsi="Times New Roman"/>
            <w:sz w:val="16"/>
          </w:rPr>
          <w:t>https://www.researchgate.net/publication/356303562_</w:t>
        </w:r>
      </w:hyperlink>
      <w:r>
        <w:rPr>
          <w:rFonts w:ascii="Times New Roman" w:hAnsi="Times New Roman"/>
          <w:sz w:val="16"/>
        </w:rPr>
        <w:t xml:space="preserve"> </w:t>
      </w:r>
    </w:p>
  </w:footnote>
  <w:footnote w:id="8">
    <w:p w14:paraId="0B9E0359" w14:textId="5BEA6D2F" w:rsidR="00D34F0E" w:rsidRPr="00754121" w:rsidRDefault="00D34F0E" w:rsidP="00550331">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5" w:history="1">
        <w:r>
          <w:rPr>
            <w:rStyle w:val="Hyperlink"/>
            <w:rFonts w:ascii="Times New Roman" w:hAnsi="Times New Roman"/>
            <w:sz w:val="16"/>
          </w:rPr>
          <w:t>Taxation of the Informal Economy in the EU (europa.eu)</w:t>
        </w:r>
      </w:hyperlink>
    </w:p>
  </w:footnote>
  <w:footnote w:id="9">
    <w:p w14:paraId="1C1D92F1" w14:textId="7F125B82" w:rsidR="00D34F0E" w:rsidRPr="006D11F0"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Which are the causes of tax evasion? https://www.addistaxinitiative.net/profile/ciat</w:t>
      </w:r>
    </w:p>
  </w:footnote>
  <w:footnote w:id="10">
    <w:p w14:paraId="2687C1DE" w14:textId="4704109A" w:rsidR="00D34F0E" w:rsidRPr="00381F1E"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https://www.oecd-ilibrary.org/sites/f3d8ea10-en/index.html?itemId=/content/publication/f3d8ea10-en</w:t>
      </w:r>
    </w:p>
  </w:footnote>
  <w:footnote w:id="11">
    <w:p w14:paraId="7F47D3CA" w14:textId="77777777" w:rsidR="00D34F0E" w:rsidRPr="00D1037F" w:rsidRDefault="00D34F0E" w:rsidP="0057531A">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Torgler, B. &amp; Schneider, F. (2009). The impact of tax morale and institutional quality on the shadow economy. Journal of Economic Psychology</w:t>
      </w:r>
    </w:p>
  </w:footnote>
  <w:footnote w:id="12">
    <w:p w14:paraId="4B9F9775" w14:textId="76516599" w:rsidR="00D34F0E" w:rsidRPr="00381F1E"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Science-based policy recommendations to reduce the shadow economy in Latvia </w:t>
      </w:r>
      <w:hyperlink r:id="rId6" w:history="1">
        <w:r>
          <w:rPr>
            <w:rStyle w:val="Hyperlink"/>
            <w:rFonts w:ascii="Times New Roman" w:hAnsi="Times New Roman"/>
            <w:sz w:val="16"/>
          </w:rPr>
          <w:t>https://www.fm.gov.lv/lv/media/13786/download?attachment</w:t>
        </w:r>
      </w:hyperlink>
      <w:r>
        <w:rPr>
          <w:rFonts w:ascii="Times New Roman" w:hAnsi="Times New Roman"/>
          <w:sz w:val="16"/>
        </w:rPr>
        <w:t xml:space="preserve">, </w:t>
      </w:r>
    </w:p>
  </w:footnote>
  <w:footnote w:id="13">
    <w:p w14:paraId="76AF5556" w14:textId="73E70437" w:rsidR="00D34F0E" w:rsidRPr="00381F1E"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https://www.oecd-ilibrary.org/sites/b407f99c-en/index.html?itemId=/content/publication/b407f99c-en</w:t>
      </w:r>
    </w:p>
  </w:footnote>
  <w:footnote w:id="14">
    <w:p w14:paraId="5D47F008" w14:textId="77777777" w:rsidR="00D34F0E" w:rsidRPr="00596C6D" w:rsidRDefault="00D34F0E" w:rsidP="002C377B">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https://www.fm.gov.lv/lv/media/13776/download?attachment</w:t>
      </w:r>
    </w:p>
  </w:footnote>
  <w:footnote w:id="15">
    <w:p w14:paraId="15D34D35" w14:textId="24863AB4" w:rsidR="00D34F0E" w:rsidRPr="00067495" w:rsidRDefault="00D34F0E" w:rsidP="00F1257D">
      <w:pPr>
        <w:pStyle w:val="FootnoteText"/>
        <w:rPr>
          <w:rFonts w:ascii="Times New Roman" w:hAnsi="Times New Roman" w:cs="Times New Roman"/>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7" w:history="1">
        <w:r>
          <w:rPr>
            <w:rStyle w:val="Hyperlink"/>
            <w:rFonts w:ascii="Times New Roman" w:hAnsi="Times New Roman"/>
            <w:sz w:val="16"/>
          </w:rPr>
          <w:t>https://www.fm.gov.lv/lv/media/13776/download?attachment</w:t>
        </w:r>
      </w:hyperlink>
    </w:p>
  </w:footnote>
  <w:footnote w:id="16">
    <w:p w14:paraId="74087358" w14:textId="6A29A73D" w:rsidR="00D34F0E" w:rsidRPr="001717E1"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r>
        <w:rPr>
          <w:rFonts w:ascii="Times New Roman" w:hAnsi="Times New Roman"/>
          <w:color w:val="333333"/>
          <w:sz w:val="16"/>
          <w:shd w:val="clear" w:color="auto" w:fill="EDEDED"/>
        </w:rPr>
        <w:t xml:space="preserve">Real GDP per capita – </w:t>
      </w:r>
      <w:hyperlink r:id="rId8" w:history="1">
        <w:r>
          <w:rPr>
            <w:rStyle w:val="Hyperlink"/>
            <w:rFonts w:ascii="Times New Roman" w:hAnsi="Times New Roman"/>
            <w:sz w:val="16"/>
          </w:rPr>
          <w:t>Statistics | Eurostat (europa.eu)</w:t>
        </w:r>
      </w:hyperlink>
    </w:p>
  </w:footnote>
  <w:footnote w:id="17">
    <w:p w14:paraId="226ABB52" w14:textId="6C7D76FC" w:rsidR="00D34F0E" w:rsidRPr="00596C6D" w:rsidRDefault="00D34F0E" w:rsidP="006D0C05">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Overview of the VAT gap </w:t>
      </w:r>
      <w:hyperlink r:id="rId9" w:history="1">
        <w:r>
          <w:rPr>
            <w:rStyle w:val="Hyperlink"/>
            <w:rFonts w:ascii="Times New Roman" w:hAnsi="Times New Roman"/>
            <w:sz w:val="16"/>
          </w:rPr>
          <w:t>VAT gap in the EU – Publications Office of the EU (europa.eu)</w:t>
        </w:r>
      </w:hyperlink>
      <w:r>
        <w:rPr>
          <w:rFonts w:ascii="Times New Roman" w:hAnsi="Times New Roman"/>
          <w:sz w:val="16"/>
        </w:rPr>
        <w:t xml:space="preserve"> p. 131, Table 75</w:t>
      </w:r>
    </w:p>
  </w:footnote>
  <w:footnote w:id="18">
    <w:p w14:paraId="2C0C31E0" w14:textId="5C464A6D" w:rsidR="00D34F0E" w:rsidRPr="00B460BA" w:rsidRDefault="00D34F0E" w:rsidP="00B460BA">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Real GDP per capita – </w:t>
      </w:r>
      <w:hyperlink r:id="rId10" w:history="1">
        <w:r>
          <w:rPr>
            <w:rStyle w:val="Hyperlink"/>
            <w:rFonts w:ascii="Times New Roman" w:hAnsi="Times New Roman"/>
            <w:sz w:val="16"/>
          </w:rPr>
          <w:t>Statistics | Eurostat (europa.eu)</w:t>
        </w:r>
      </w:hyperlink>
    </w:p>
  </w:footnote>
  <w:footnote w:id="19">
    <w:p w14:paraId="76ED9523" w14:textId="5A6C45DD" w:rsidR="00D34F0E" w:rsidRPr="00596C6D" w:rsidRDefault="00D34F0E" w:rsidP="00B460BA">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r>
        <w:rPr>
          <w:rFonts w:ascii="Times New Roman" w:hAnsi="Times New Roman"/>
          <w:sz w:val="16"/>
          <w:shd w:val="clear" w:color="auto" w:fill="FFFFFF"/>
        </w:rPr>
        <w:t xml:space="preserve">Research by the International Monetary Fund </w:t>
      </w:r>
      <w:hyperlink r:id="rId11" w:history="1">
        <w:r>
          <w:rPr>
            <w:rStyle w:val="Hyperlink"/>
            <w:rFonts w:ascii="Times New Roman" w:hAnsi="Times New Roman"/>
            <w:sz w:val="16"/>
          </w:rPr>
          <w:t>https://www.fm.gov.lv/lv/media/11131/download?attachment</w:t>
        </w:r>
      </w:hyperlink>
      <w:r>
        <w:rPr>
          <w:rFonts w:ascii="Times New Roman" w:hAnsi="Times New Roman"/>
          <w:sz w:val="16"/>
        </w:rPr>
        <w:t xml:space="preserve"> </w:t>
      </w:r>
    </w:p>
  </w:footnote>
  <w:footnote w:id="20">
    <w:p w14:paraId="307358D4" w14:textId="377C374E" w:rsidR="00D34F0E" w:rsidRPr="00596C6D" w:rsidRDefault="00D34F0E" w:rsidP="00736F22">
      <w:pPr>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2" w:history="1">
        <w:r>
          <w:rPr>
            <w:rStyle w:val="Hyperlink"/>
            <w:rFonts w:ascii="Times New Roman" w:hAnsi="Times New Roman"/>
            <w:sz w:val="16"/>
          </w:rPr>
          <w:t>https://www.oecdregionalwellbeing.org/US26.html</w:t>
        </w:r>
      </w:hyperlink>
      <w:r>
        <w:rPr>
          <w:rFonts w:ascii="Times New Roman" w:hAnsi="Times New Roman"/>
          <w:sz w:val="16"/>
        </w:rPr>
        <w:t xml:space="preserve"> </w:t>
      </w:r>
    </w:p>
  </w:footnote>
  <w:footnote w:id="21">
    <w:p w14:paraId="14195D8B" w14:textId="64CA0A75" w:rsidR="00D34F0E" w:rsidRDefault="00D34F0E" w:rsidP="00305D37">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3" w:history="1">
        <w:r>
          <w:rPr>
            <w:rStyle w:val="Hyperlink"/>
            <w:rFonts w:ascii="Times New Roman" w:hAnsi="Times New Roman"/>
            <w:sz w:val="16"/>
          </w:rPr>
          <w:t>https://www.mk.gov.lv/lv/media/16704/download?attachment</w:t>
        </w:r>
      </w:hyperlink>
    </w:p>
    <w:p w14:paraId="2C2654CB" w14:textId="77777777" w:rsidR="00D34F0E" w:rsidRPr="007054C8" w:rsidRDefault="00D34F0E" w:rsidP="00305D37">
      <w:pPr>
        <w:pStyle w:val="FootnoteText"/>
        <w:rPr>
          <w:rFonts w:ascii="Times New Roman" w:hAnsi="Times New Roman" w:cs="Times New Roman"/>
          <w:sz w:val="16"/>
          <w:szCs w:val="16"/>
        </w:rPr>
      </w:pPr>
    </w:p>
  </w:footnote>
  <w:footnote w:id="22">
    <w:p w14:paraId="6BBF7303" w14:textId="4A94BD25" w:rsidR="00D34F0E" w:rsidRPr="00D257BF" w:rsidRDefault="00D34F0E" w:rsidP="00E70FA1">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https://www.fm.gov.lv/lv/media/13792/download?attachment</w:t>
      </w:r>
    </w:p>
  </w:footnote>
  <w:footnote w:id="23">
    <w:p w14:paraId="64DB55DF" w14:textId="3E791EAD" w:rsidR="00D34F0E" w:rsidRPr="00A05C50" w:rsidRDefault="00D34F0E" w:rsidP="00B1425B">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4" w:history="1">
        <w:r>
          <w:rPr>
            <w:rStyle w:val="Hyperlink"/>
            <w:rFonts w:ascii="Times New Roman" w:hAnsi="Times New Roman"/>
            <w:sz w:val="16"/>
          </w:rPr>
          <w:t>Payment Innovations, the Shadow Economy and Cash Demand of Households in Euro Area Countries</w:t>
        </w:r>
      </w:hyperlink>
    </w:p>
  </w:footnote>
  <w:footnote w:id="24">
    <w:p w14:paraId="4D7A294C" w14:textId="15CB377F" w:rsidR="00D34F0E" w:rsidRPr="00931DF3" w:rsidRDefault="00D34F0E" w:rsidP="00B1425B">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5" w:history="1">
        <w:r>
          <w:rPr>
            <w:rStyle w:val="Hyperlink"/>
            <w:rFonts w:ascii="Times New Roman" w:hAnsi="Times New Roman"/>
            <w:sz w:val="16"/>
          </w:rPr>
          <w:t>https://www.cesifo.org/en/publications/2020/working-paper/payment-innovations-shadow-economy-and-cash-demand-households-euro</w:t>
        </w:r>
      </w:hyperlink>
      <w:r>
        <w:rPr>
          <w:rFonts w:ascii="Times New Roman" w:hAnsi="Times New Roman"/>
          <w:sz w:val="16"/>
        </w:rPr>
        <w:t xml:space="preserve"> </w:t>
      </w:r>
    </w:p>
  </w:footnote>
  <w:footnote w:id="25">
    <w:p w14:paraId="6AFBE1C8" w14:textId="787D45D0" w:rsidR="00D34F0E" w:rsidRDefault="00D34F0E">
      <w:pPr>
        <w:pStyle w:val="FootnoteText"/>
      </w:pPr>
      <w:r>
        <w:rPr>
          <w:rStyle w:val="FootnoteReference"/>
        </w:rPr>
        <w:footnoteRef/>
      </w:r>
      <w:r>
        <w:t xml:space="preserve"> </w:t>
      </w:r>
      <w:r>
        <w:rPr>
          <w:rFonts w:ascii="Times New Roman" w:hAnsi="Times New Roman"/>
          <w:sz w:val="16"/>
        </w:rPr>
        <w:t>https://www.bank.lv/aktualitates-banklv/zinas-un-raksti/jaunumi/16568-latvija-1-pusgada-butiski-audzis-bezskaidras-naudas-maksajumu-apjoms</w:t>
      </w:r>
    </w:p>
  </w:footnote>
  <w:footnote w:id="26">
    <w:p w14:paraId="7ADFBAF7" w14:textId="5C25ADB6" w:rsidR="00D34F0E" w:rsidRPr="00482EF0" w:rsidRDefault="00D34F0E" w:rsidP="00482EF0">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Science-based policy recommendations to reduce the shadow economy in Latvia; </w:t>
      </w:r>
      <w:hyperlink r:id="rId16" w:history="1">
        <w:r>
          <w:rPr>
            <w:rStyle w:val="Hyperlink"/>
            <w:rFonts w:ascii="Times New Roman" w:hAnsi="Times New Roman"/>
            <w:sz w:val="16"/>
          </w:rPr>
          <w:t>https://www.fm.gov.lv/lv/media/13788/download?attachment</w:t>
        </w:r>
      </w:hyperlink>
      <w:r>
        <w:rPr>
          <w:rFonts w:ascii="Times New Roman" w:hAnsi="Times New Roman"/>
          <w:sz w:val="16"/>
        </w:rPr>
        <w:t xml:space="preserve"> </w:t>
      </w:r>
    </w:p>
  </w:footnote>
  <w:footnote w:id="27">
    <w:p w14:paraId="0A1993BE" w14:textId="206329B2" w:rsidR="00D34F0E" w:rsidRPr="00570326" w:rsidRDefault="00D34F0E" w:rsidP="00570326">
      <w:pPr>
        <w:rPr>
          <w:rFonts w:ascii="Times New Roman" w:hAnsi="Times New Roman" w:cs="Times New Roman"/>
          <w:i/>
          <w:iCs/>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17" w:history="1">
        <w:r>
          <w:rPr>
            <w:rStyle w:val="Hyperlink"/>
            <w:rFonts w:ascii="Times New Roman" w:hAnsi="Times New Roman"/>
            <w:sz w:val="16"/>
          </w:rPr>
          <w:t>Taxation of the Informal Economy in the EU (europa.eu)</w:t>
        </w:r>
      </w:hyperlink>
      <w:r>
        <w:rPr>
          <w:rFonts w:ascii="Times New Roman" w:hAnsi="Times New Roman"/>
          <w:i/>
          <w:sz w:val="16"/>
        </w:rPr>
        <w:t xml:space="preserve"> Data source: </w:t>
      </w:r>
      <w:hyperlink r:id="rId18" w:history="1">
        <w:r>
          <w:rPr>
            <w:rStyle w:val="Hyperlink"/>
            <w:rFonts w:ascii="Times New Roman" w:hAnsi="Times New Roman"/>
            <w:i/>
            <w:sz w:val="16"/>
          </w:rPr>
          <w:t>Taxation of the Informal Economy in the EU (europa.eu)</w:t>
        </w:r>
      </w:hyperlink>
    </w:p>
  </w:footnote>
  <w:footnote w:id="28">
    <w:p w14:paraId="037FDB2B" w14:textId="0E8EBBE9" w:rsidR="00D34F0E" w:rsidRDefault="00D34F0E">
      <w:pPr>
        <w:pStyle w:val="FootnoteText"/>
      </w:pPr>
      <w:r>
        <w:rPr>
          <w:rStyle w:val="FootnoteReference"/>
        </w:rPr>
        <w:footnoteRef/>
      </w:r>
      <w:r>
        <w:t xml:space="preserve"> </w:t>
      </w:r>
      <w:r>
        <w:rPr>
          <w:rFonts w:ascii="Times New Roman" w:hAnsi="Times New Roman"/>
          <w:sz w:val="16"/>
        </w:rPr>
        <w:t xml:space="preserve">Shadow Economy Index for the Baltic Countries 2009–2022; </w:t>
      </w:r>
      <w:hyperlink r:id="rId19" w:history="1">
        <w:r>
          <w:rPr>
            <w:rStyle w:val="Hyperlink"/>
            <w:rFonts w:ascii="Times New Roman" w:hAnsi="Times New Roman"/>
            <w:sz w:val="16"/>
          </w:rPr>
          <w:t>https://www.sseriga.edu/sites/default/files/2023-05/Enu_ekonomikas_indekss_2009_2022_0.pdf</w:t>
        </w:r>
      </w:hyperlink>
    </w:p>
  </w:footnote>
  <w:footnote w:id="29">
    <w:p w14:paraId="7F1CC2AD" w14:textId="633BEA0A" w:rsidR="00D34F0E" w:rsidRPr="006D67CD"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0" w:history="1">
        <w:r>
          <w:rPr>
            <w:rStyle w:val="Hyperlink"/>
            <w:rFonts w:ascii="Times New Roman" w:hAnsi="Times New Roman"/>
            <w:sz w:val="16"/>
          </w:rPr>
          <w:t>https://stat.gov.lv/lv/statistikas-temas/valsts-ekonomika/ikp-istermina/preses-relizes/12251-iekszemes-kopprodukts-2022</w:t>
        </w:r>
      </w:hyperlink>
      <w:r>
        <w:rPr>
          <w:rFonts w:ascii="Times New Roman" w:hAnsi="Times New Roman"/>
          <w:sz w:val="16"/>
        </w:rPr>
        <w:t xml:space="preserve"> </w:t>
      </w:r>
    </w:p>
  </w:footnote>
  <w:footnote w:id="30">
    <w:p w14:paraId="7FCC98FA" w14:textId="4F4C009E" w:rsidR="00D34F0E" w:rsidRPr="005A03CA" w:rsidRDefault="00D34F0E">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1" w:history="1">
        <w:r>
          <w:rPr>
            <w:rStyle w:val="Hyperlink"/>
            <w:rFonts w:ascii="Times New Roman" w:hAnsi="Times New Roman"/>
            <w:sz w:val="16"/>
          </w:rPr>
          <w:t>https://leta.lv/news/Latvia/36B556EC-C1FD-4B79-B8C0-904DF721CBD4</w:t>
        </w:r>
      </w:hyperlink>
      <w:r>
        <w:rPr>
          <w:rFonts w:ascii="Times New Roman" w:hAnsi="Times New Roman"/>
          <w:sz w:val="16"/>
        </w:rPr>
        <w:t xml:space="preserve"> </w:t>
      </w:r>
    </w:p>
  </w:footnote>
  <w:footnote w:id="31">
    <w:p w14:paraId="3990CACD" w14:textId="38ADE675" w:rsidR="00D34F0E" w:rsidRPr="00C26F45" w:rsidRDefault="00D34F0E" w:rsidP="00D31907">
      <w:pPr>
        <w:pStyle w:val="FootnoteText"/>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rPr>
        <w:t xml:space="preserve"> SSE Riga Centre for Sustainable Business researcher prof. A. Sauka and prof. T. Putniņš research “Shadow Economy Index for the Baltic Countries 2009–2021” </w:t>
      </w:r>
      <w:hyperlink r:id="rId22" w:history="1">
        <w:r>
          <w:rPr>
            <w:rStyle w:val="Hyperlink"/>
            <w:rFonts w:ascii="Times New Roman" w:hAnsi="Times New Roman"/>
            <w:sz w:val="16"/>
          </w:rPr>
          <w:t>https://www.sseriga.edu/sites/default/files/2022-05/SSERiga_Enu_ekonomikas_indekss_2009_2021_brosura_0.pdf</w:t>
        </w:r>
      </w:hyperlink>
      <w:r>
        <w:rPr>
          <w:rFonts w:ascii="Times New Roman" w:hAnsi="Times New Roman"/>
          <w:sz w:val="16"/>
        </w:rPr>
        <w:t xml:space="preserve"> </w:t>
      </w:r>
    </w:p>
  </w:footnote>
  <w:footnote w:id="32">
    <w:p w14:paraId="055909A9" w14:textId="0A758BFB" w:rsidR="00D34F0E" w:rsidRPr="00596C6D" w:rsidRDefault="00D34F0E" w:rsidP="00570326">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3" w:tgtFrame="_blank" w:tooltip="https://ec.europa.eu/eurostat/databrowser/view/sdg_08_10/default/table?lang=en" w:history="1">
        <w:r>
          <w:rPr>
            <w:rStyle w:val="Hyperlink"/>
            <w:rFonts w:ascii="Times New Roman" w:hAnsi="Times New Roman"/>
            <w:sz w:val="16"/>
          </w:rPr>
          <w:t>https://ec.europa.eu/eurostat/databrowser/view/sdg_08_10/default/table?lang=en</w:t>
        </w:r>
      </w:hyperlink>
      <w:r>
        <w:rPr>
          <w:rFonts w:ascii="Times New Roman" w:hAnsi="Times New Roman"/>
          <w:sz w:val="16"/>
        </w:rPr>
        <w:t xml:space="preserve">; </w:t>
      </w:r>
      <w:hyperlink r:id="rId24" w:history="1">
        <w:r>
          <w:rPr>
            <w:rStyle w:val="Hyperlink"/>
            <w:rFonts w:ascii="Times New Roman" w:hAnsi="Times New Roman"/>
            <w:sz w:val="16"/>
          </w:rPr>
          <w:t>https://data.worldbank.org/indicator/NY.GDP.PCAP.CD?locations=OE</w:t>
        </w:r>
      </w:hyperlink>
      <w:r>
        <w:rPr>
          <w:rFonts w:ascii="Times New Roman" w:hAnsi="Times New Roman"/>
          <w:sz w:val="16"/>
        </w:rPr>
        <w:t xml:space="preserve"> </w:t>
      </w:r>
    </w:p>
  </w:footnote>
  <w:footnote w:id="33">
    <w:p w14:paraId="154599E6" w14:textId="77777777" w:rsidR="00D34F0E" w:rsidRPr="00596C6D" w:rsidRDefault="00D34F0E" w:rsidP="00570326">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https://www.fm.gov.lv/lv/media/13798/download?attachment</w:t>
      </w:r>
    </w:p>
  </w:footnote>
  <w:footnote w:id="34">
    <w:p w14:paraId="3CB27674" w14:textId="19780EF2" w:rsidR="00D34F0E" w:rsidRPr="00D73DF1" w:rsidRDefault="00D34F0E" w:rsidP="00A26E9C">
      <w:pPr>
        <w:pStyle w:val="FootnoteText"/>
        <w:rPr>
          <w:rFonts w:ascii="Times New Roman" w:hAnsi="Times New Roman" w:cs="Times New Roman"/>
          <w:color w:val="000000" w:themeColor="text1"/>
          <w:sz w:val="16"/>
          <w:szCs w:val="16"/>
        </w:rPr>
      </w:pPr>
      <w:r>
        <w:rPr>
          <w:rStyle w:val="FootnoteReference"/>
          <w:rFonts w:ascii="Times New Roman" w:hAnsi="Times New Roman" w:cs="Times New Roman"/>
          <w:color w:val="000000" w:themeColor="text1"/>
          <w:sz w:val="16"/>
          <w:szCs w:val="16"/>
        </w:rPr>
        <w:footnoteRef/>
      </w:r>
      <w:r>
        <w:rPr>
          <w:rFonts w:ascii="Times New Roman" w:hAnsi="Times New Roman"/>
          <w:color w:val="000000" w:themeColor="text1"/>
          <w:sz w:val="16"/>
        </w:rPr>
        <w:t xml:space="preserve"> Result of the assessment by 30.06.2024, sent to the MoEPRD to ensure support for the implementation of Paragraph 3 of </w:t>
      </w:r>
      <w:r>
        <w:rPr>
          <w:rFonts w:ascii="Times New Roman" w:hAnsi="Times New Roman"/>
          <w:color w:val="000000" w:themeColor="text1"/>
          <w:sz w:val="16"/>
          <w:shd w:val="clear" w:color="auto" w:fill="FFFFFF"/>
        </w:rPr>
        <w:t>minutes No. 34</w:t>
      </w:r>
      <w:r>
        <w:rPr>
          <w:rFonts w:ascii="Times New Roman" w:hAnsi="Times New Roman"/>
          <w:color w:val="000000" w:themeColor="text1"/>
          <w:sz w:val="16"/>
        </w:rPr>
        <w:t xml:space="preserve">, Paragraph 51 of Cabinet sitting of 27.06.2023; </w:t>
      </w:r>
      <w:hyperlink r:id="rId25" w:history="1">
        <w:r>
          <w:rPr>
            <w:rStyle w:val="Hyperlink"/>
            <w:rFonts w:ascii="Times New Roman" w:hAnsi="Times New Roman"/>
            <w:color w:val="000000" w:themeColor="text1"/>
            <w:sz w:val="16"/>
          </w:rPr>
          <w:t>https://tapportals.mk.gov.lv/meetings/protocols/ab34369d-2244-4093-9cb2-867888cfeea1</w:t>
        </w:r>
      </w:hyperlink>
    </w:p>
  </w:footnote>
  <w:footnote w:id="35">
    <w:p w14:paraId="717E99CB" w14:textId="33294589" w:rsidR="00D34F0E" w:rsidRPr="00D73DF1" w:rsidRDefault="00D34F0E">
      <w:pPr>
        <w:pStyle w:val="FootnoteText"/>
        <w:rPr>
          <w:rFonts w:ascii="Times New Roman" w:hAnsi="Times New Roman" w:cs="Times New Roman"/>
          <w:color w:val="000000" w:themeColor="text1"/>
          <w:sz w:val="16"/>
          <w:szCs w:val="16"/>
        </w:rPr>
      </w:pPr>
      <w:r>
        <w:rPr>
          <w:rStyle w:val="FootnoteReference"/>
          <w:rFonts w:ascii="Times New Roman" w:hAnsi="Times New Roman" w:cs="Times New Roman"/>
          <w:color w:val="000000" w:themeColor="text1"/>
          <w:sz w:val="16"/>
          <w:szCs w:val="16"/>
        </w:rPr>
        <w:footnoteRef/>
      </w:r>
      <w:r>
        <w:rPr>
          <w:rFonts w:ascii="Times New Roman" w:hAnsi="Times New Roman"/>
          <w:color w:val="000000" w:themeColor="text1"/>
          <w:sz w:val="16"/>
        </w:rPr>
        <w:t xml:space="preserve"> Within the scope of the EU Recovery and Resilience Mechanism Plan under component 2 “Digital transformation”, reform and investment direction 2.1 “Digital transformation of public administration, including local governments”, investment objective 2.1.2.1 “Digital transformation of local government services and modernisation and centralisation of local government support processes” or within the scope of the planned EU Cohesion Policy Programme investments for 2021–2027 under policy objective 1 “A more competitive and smarter Europe by promoting innovative and smart economic transformation and regional ICT connectivity”, measure 1.3.1.1 “Development of ICT solutions and services and creating opportunities for the private sector”.</w:t>
      </w:r>
    </w:p>
  </w:footnote>
  <w:footnote w:id="36">
    <w:p w14:paraId="431EE2A9" w14:textId="7B49042F" w:rsidR="00D34F0E" w:rsidRPr="00D60F1E" w:rsidRDefault="00D34F0E" w:rsidP="00803DB4">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6" w:history="1">
        <w:r>
          <w:rPr>
            <w:rStyle w:val="Hyperlink"/>
            <w:rFonts w:ascii="Times New Roman" w:hAnsi="Times New Roman"/>
            <w:sz w:val="16"/>
          </w:rPr>
          <w:t>https://www.lb.lt/uploads/consultations/docs/34217_bff2383bc37f0a7222f9068e1d97b6e0.pdf</w:t>
        </w:r>
      </w:hyperlink>
    </w:p>
  </w:footnote>
  <w:footnote w:id="37">
    <w:p w14:paraId="25C72F46" w14:textId="1A862156" w:rsidR="00D34F0E" w:rsidRPr="00D60F1E" w:rsidRDefault="00D34F0E">
      <w:pPr>
        <w:pStyle w:val="FootnoteText"/>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7" w:history="1">
        <w:r>
          <w:rPr>
            <w:rStyle w:val="Hyperlink"/>
            <w:rFonts w:ascii="Times New Roman" w:hAnsi="Times New Roman"/>
            <w:sz w:val="16"/>
          </w:rPr>
          <w:t>https://www.riigiteataja.ee/en/eli/ee/509012023001/consolide</w:t>
        </w:r>
      </w:hyperlink>
      <w:r>
        <w:rPr>
          <w:rFonts w:ascii="Times New Roman" w:hAnsi="Times New Roman"/>
          <w:sz w:val="16"/>
        </w:rPr>
        <w:t xml:space="preserve"> </w:t>
      </w:r>
    </w:p>
  </w:footnote>
  <w:footnote w:id="38">
    <w:p w14:paraId="1B52E16C" w14:textId="3B1F4C17" w:rsidR="00D34F0E" w:rsidRPr="00D67DAF" w:rsidRDefault="00D34F0E" w:rsidP="00126F60">
      <w:pPr>
        <w:pStyle w:val="FootnoteText"/>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sz w:val="16"/>
        </w:rPr>
        <w:t xml:space="preserve"> </w:t>
      </w:r>
      <w:hyperlink r:id="rId28" w:history="1">
        <w:r>
          <w:rPr>
            <w:rStyle w:val="Hyperlink"/>
            <w:rFonts w:ascii="Times New Roman" w:hAnsi="Times New Roman"/>
            <w:sz w:val="16"/>
          </w:rPr>
          <w:t>https://www.swedbank.lv/business/cash/cashflow/cardservice?language=LAT&amp;cid=allyear_S-daily-banking-DailyDigital-corporate-uzturosa_search_pos-terminali_lv_lat&amp;s_kwcid=AL!12017!3!648773434013!p!!g!!pos&amp;gclid=EAIaIQobChMItpTblbyggwMV0QqiAx1b8QAmEAAYBCAAEgJ3A_D_BwE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7C6"/>
    <w:multiLevelType w:val="hybridMultilevel"/>
    <w:tmpl w:val="96CA459A"/>
    <w:lvl w:ilvl="0" w:tplc="CD1EB0D0">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D330A5B"/>
    <w:multiLevelType w:val="hybridMultilevel"/>
    <w:tmpl w:val="FB8CE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7D223A"/>
    <w:multiLevelType w:val="hybridMultilevel"/>
    <w:tmpl w:val="8F02ED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A76370"/>
    <w:multiLevelType w:val="hybridMultilevel"/>
    <w:tmpl w:val="F6DE3250"/>
    <w:lvl w:ilvl="0" w:tplc="0426000F">
      <w:start w:val="1"/>
      <w:numFmt w:val="decimal"/>
      <w:lvlText w:val="%1."/>
      <w:lvlJc w:val="left"/>
      <w:pPr>
        <w:ind w:left="720" w:hanging="360"/>
      </w:pPr>
      <w:rPr>
        <w:rFonts w:hint="default"/>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6C5B6D"/>
    <w:multiLevelType w:val="hybridMultilevel"/>
    <w:tmpl w:val="37AA071C"/>
    <w:lvl w:ilvl="0" w:tplc="CD1EB0D0">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C37E49"/>
    <w:multiLevelType w:val="multilevel"/>
    <w:tmpl w:val="0D527A16"/>
    <w:lvl w:ilvl="0">
      <w:start w:val="1"/>
      <w:numFmt w:val="decimal"/>
      <w:lvlText w:val="%1."/>
      <w:lvlJc w:val="left"/>
      <w:pPr>
        <w:ind w:left="1080" w:hanging="360"/>
      </w:pPr>
      <w:rPr>
        <w:rFonts w:ascii="Times New Roman" w:hAnsi="Times New Roman" w:cs="Arial" w:hint="default"/>
        <w:b w:val="0"/>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F442C8"/>
    <w:multiLevelType w:val="hybridMultilevel"/>
    <w:tmpl w:val="FB36EB3C"/>
    <w:lvl w:ilvl="0" w:tplc="7A966F94">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547EFB"/>
    <w:multiLevelType w:val="hybridMultilevel"/>
    <w:tmpl w:val="8D767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004ECD"/>
    <w:multiLevelType w:val="hybridMultilevel"/>
    <w:tmpl w:val="5A189B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7522A4"/>
    <w:multiLevelType w:val="hybridMultilevel"/>
    <w:tmpl w:val="D9B82500"/>
    <w:lvl w:ilvl="0" w:tplc="7004BE1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89068B0"/>
    <w:multiLevelType w:val="hybridMultilevel"/>
    <w:tmpl w:val="459495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1F4F42"/>
    <w:multiLevelType w:val="hybridMultilevel"/>
    <w:tmpl w:val="0908C5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6381E"/>
    <w:multiLevelType w:val="hybridMultilevel"/>
    <w:tmpl w:val="AD46FF1C"/>
    <w:lvl w:ilvl="0" w:tplc="974E2284">
      <w:start w:val="1"/>
      <w:numFmt w:val="decimal"/>
      <w:lvlText w:val="%1)"/>
      <w:lvlJc w:val="left"/>
      <w:pPr>
        <w:ind w:left="1287" w:hanging="360"/>
      </w:pPr>
      <w:rPr>
        <w:rFonts w:ascii="Times New Roman" w:eastAsiaTheme="minorHAnsi" w:hAnsi="Times New Roman" w:cs="Times New Roman"/>
        <w:b w:val="0"/>
        <w:i w:val="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44441504"/>
    <w:multiLevelType w:val="hybridMultilevel"/>
    <w:tmpl w:val="F76481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DA2EAD"/>
    <w:multiLevelType w:val="hybridMultilevel"/>
    <w:tmpl w:val="F55ED504"/>
    <w:lvl w:ilvl="0" w:tplc="A1466FC2">
      <w:start w:val="1"/>
      <w:numFmt w:val="decimal"/>
      <w:lvlText w:val="%1."/>
      <w:lvlJc w:val="left"/>
      <w:pPr>
        <w:ind w:left="720" w:hanging="360"/>
      </w:pPr>
      <w:rPr>
        <w:rFonts w:ascii="Times New Roman" w:hAnsi="Times New Roman" w:cs="Arial" w:hint="default"/>
        <w:b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CA7637"/>
    <w:multiLevelType w:val="hybridMultilevel"/>
    <w:tmpl w:val="CB8C598C"/>
    <w:lvl w:ilvl="0" w:tplc="E696ACF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EB238A3"/>
    <w:multiLevelType w:val="hybridMultilevel"/>
    <w:tmpl w:val="158266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580116"/>
    <w:multiLevelType w:val="hybridMultilevel"/>
    <w:tmpl w:val="AEFA233E"/>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16B46E0"/>
    <w:multiLevelType w:val="hybridMultilevel"/>
    <w:tmpl w:val="05E0B85C"/>
    <w:lvl w:ilvl="0" w:tplc="DDE2BE4C">
      <w:start w:val="2"/>
      <w:numFmt w:val="bullet"/>
      <w:lvlText w:val="-"/>
      <w:lvlJc w:val="left"/>
      <w:pPr>
        <w:ind w:left="1287" w:hanging="360"/>
      </w:pPr>
      <w:rPr>
        <w:rFonts w:ascii="Times New Roman" w:eastAsiaTheme="minorHAnsi" w:hAnsi="Times New Roman" w:cs="Times New Roman" w:hint="default"/>
        <w:b w:val="0"/>
        <w:i w:val="0"/>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31A4E96"/>
    <w:multiLevelType w:val="hybridMultilevel"/>
    <w:tmpl w:val="2CC05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287C7C"/>
    <w:multiLevelType w:val="hybridMultilevel"/>
    <w:tmpl w:val="F26800B8"/>
    <w:lvl w:ilvl="0" w:tplc="7004BE1A">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53302163"/>
    <w:multiLevelType w:val="hybridMultilevel"/>
    <w:tmpl w:val="195EA7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79373D1"/>
    <w:multiLevelType w:val="multilevel"/>
    <w:tmpl w:val="CFDE020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7A23498"/>
    <w:multiLevelType w:val="hybridMultilevel"/>
    <w:tmpl w:val="6EC875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C975C46"/>
    <w:multiLevelType w:val="hybridMultilevel"/>
    <w:tmpl w:val="4D9E02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DD73E22"/>
    <w:multiLevelType w:val="hybridMultilevel"/>
    <w:tmpl w:val="B1DCCE9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01E3B6E"/>
    <w:multiLevelType w:val="multilevel"/>
    <w:tmpl w:val="57467988"/>
    <w:lvl w:ilvl="0">
      <w:start w:val="1"/>
      <w:numFmt w:val="decimal"/>
      <w:lvlText w:val="%1."/>
      <w:lvlJc w:val="left"/>
      <w:pPr>
        <w:ind w:left="360" w:hanging="360"/>
      </w:pPr>
      <w:rPr>
        <w:rFonts w:ascii="Calibri" w:hAnsi="Calibri" w:cs="Calibri" w:hint="default"/>
        <w:b/>
        <w:color w:val="000000"/>
      </w:rPr>
    </w:lvl>
    <w:lvl w:ilvl="1">
      <w:start w:val="1"/>
      <w:numFmt w:val="decimal"/>
      <w:lvlText w:val="%1.%2."/>
      <w:lvlJc w:val="left"/>
      <w:pPr>
        <w:ind w:left="360" w:hanging="360"/>
      </w:pPr>
      <w:rPr>
        <w:rFonts w:ascii="Calibri" w:hAnsi="Calibri" w:cs="Calibri" w:hint="default"/>
        <w:b/>
        <w:color w:val="000000"/>
      </w:rPr>
    </w:lvl>
    <w:lvl w:ilvl="2">
      <w:start w:val="1"/>
      <w:numFmt w:val="decimal"/>
      <w:lvlText w:val="%1.%2.%3."/>
      <w:lvlJc w:val="left"/>
      <w:pPr>
        <w:ind w:left="720" w:hanging="720"/>
      </w:pPr>
      <w:rPr>
        <w:rFonts w:ascii="Calibri" w:hAnsi="Calibri" w:cs="Calibri" w:hint="default"/>
        <w:b/>
        <w:color w:val="000000"/>
      </w:rPr>
    </w:lvl>
    <w:lvl w:ilvl="3">
      <w:start w:val="1"/>
      <w:numFmt w:val="decimal"/>
      <w:lvlText w:val="%1.%2.%3.%4."/>
      <w:lvlJc w:val="left"/>
      <w:pPr>
        <w:ind w:left="720" w:hanging="720"/>
      </w:pPr>
      <w:rPr>
        <w:rFonts w:ascii="Calibri" w:hAnsi="Calibri" w:cs="Calibri" w:hint="default"/>
        <w:b/>
        <w:color w:val="000000"/>
      </w:rPr>
    </w:lvl>
    <w:lvl w:ilvl="4">
      <w:start w:val="1"/>
      <w:numFmt w:val="decimal"/>
      <w:lvlText w:val="%1.%2.%3.%4.%5."/>
      <w:lvlJc w:val="left"/>
      <w:pPr>
        <w:ind w:left="1080" w:hanging="1080"/>
      </w:pPr>
      <w:rPr>
        <w:rFonts w:ascii="Calibri" w:hAnsi="Calibri" w:cs="Calibri" w:hint="default"/>
        <w:b/>
        <w:color w:val="000000"/>
      </w:rPr>
    </w:lvl>
    <w:lvl w:ilvl="5">
      <w:start w:val="1"/>
      <w:numFmt w:val="decimal"/>
      <w:lvlText w:val="%1.%2.%3.%4.%5.%6."/>
      <w:lvlJc w:val="left"/>
      <w:pPr>
        <w:ind w:left="1080" w:hanging="1080"/>
      </w:pPr>
      <w:rPr>
        <w:rFonts w:ascii="Calibri" w:hAnsi="Calibri" w:cs="Calibri" w:hint="default"/>
        <w:b/>
        <w:color w:val="000000"/>
      </w:rPr>
    </w:lvl>
    <w:lvl w:ilvl="6">
      <w:start w:val="1"/>
      <w:numFmt w:val="decimal"/>
      <w:lvlText w:val="%1.%2.%3.%4.%5.%6.%7."/>
      <w:lvlJc w:val="left"/>
      <w:pPr>
        <w:ind w:left="1440" w:hanging="1440"/>
      </w:pPr>
      <w:rPr>
        <w:rFonts w:ascii="Calibri" w:hAnsi="Calibri" w:cs="Calibri" w:hint="default"/>
        <w:b/>
        <w:color w:val="000000"/>
      </w:rPr>
    </w:lvl>
    <w:lvl w:ilvl="7">
      <w:start w:val="1"/>
      <w:numFmt w:val="decimal"/>
      <w:lvlText w:val="%1.%2.%3.%4.%5.%6.%7.%8."/>
      <w:lvlJc w:val="left"/>
      <w:pPr>
        <w:ind w:left="1440" w:hanging="1440"/>
      </w:pPr>
      <w:rPr>
        <w:rFonts w:ascii="Calibri" w:hAnsi="Calibri" w:cs="Calibri" w:hint="default"/>
        <w:b/>
        <w:color w:val="000000"/>
      </w:rPr>
    </w:lvl>
    <w:lvl w:ilvl="8">
      <w:start w:val="1"/>
      <w:numFmt w:val="decimal"/>
      <w:lvlText w:val="%1.%2.%3.%4.%5.%6.%7.%8.%9."/>
      <w:lvlJc w:val="left"/>
      <w:pPr>
        <w:ind w:left="1800" w:hanging="1800"/>
      </w:pPr>
      <w:rPr>
        <w:rFonts w:ascii="Calibri" w:hAnsi="Calibri" w:cs="Calibri" w:hint="default"/>
        <w:b/>
        <w:color w:val="000000"/>
      </w:rPr>
    </w:lvl>
  </w:abstractNum>
  <w:abstractNum w:abstractNumId="27" w15:restartNumberingAfterBreak="0">
    <w:nsid w:val="605605E6"/>
    <w:multiLevelType w:val="hybridMultilevel"/>
    <w:tmpl w:val="CA325974"/>
    <w:lvl w:ilvl="0" w:tplc="DDE2BE4C">
      <w:start w:val="2"/>
      <w:numFmt w:val="bullet"/>
      <w:lvlText w:val="-"/>
      <w:lvlJc w:val="left"/>
      <w:pPr>
        <w:ind w:left="1287" w:hanging="360"/>
      </w:pPr>
      <w:rPr>
        <w:rFonts w:ascii="Times New Roman" w:eastAsiaTheme="minorHAnsi" w:hAnsi="Times New Roman" w:cs="Times New Roman" w:hint="default"/>
        <w:b w:val="0"/>
        <w:i w:val="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6C925EB2"/>
    <w:multiLevelType w:val="hybridMultilevel"/>
    <w:tmpl w:val="1C8451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70343C4B"/>
    <w:multiLevelType w:val="hybridMultilevel"/>
    <w:tmpl w:val="561ABFD6"/>
    <w:lvl w:ilvl="0" w:tplc="0426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42175E9"/>
    <w:multiLevelType w:val="hybridMultilevel"/>
    <w:tmpl w:val="CCBCE39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1" w15:restartNumberingAfterBreak="0">
    <w:nsid w:val="7547043E"/>
    <w:multiLevelType w:val="hybridMultilevel"/>
    <w:tmpl w:val="7FC663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174BEA"/>
    <w:multiLevelType w:val="multilevel"/>
    <w:tmpl w:val="A928EB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CB3E47"/>
    <w:multiLevelType w:val="hybridMultilevel"/>
    <w:tmpl w:val="88F226F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136826469">
    <w:abstractNumId w:val="17"/>
  </w:num>
  <w:num w:numId="2" w16cid:durableId="1526794635">
    <w:abstractNumId w:val="29"/>
  </w:num>
  <w:num w:numId="3" w16cid:durableId="1879589006">
    <w:abstractNumId w:val="3"/>
  </w:num>
  <w:num w:numId="4" w16cid:durableId="368803398">
    <w:abstractNumId w:val="12"/>
  </w:num>
  <w:num w:numId="5" w16cid:durableId="605231268">
    <w:abstractNumId w:val="27"/>
  </w:num>
  <w:num w:numId="6" w16cid:durableId="194001935">
    <w:abstractNumId w:val="18"/>
  </w:num>
  <w:num w:numId="7" w16cid:durableId="192547782">
    <w:abstractNumId w:val="32"/>
  </w:num>
  <w:num w:numId="8" w16cid:durableId="61831834">
    <w:abstractNumId w:val="5"/>
  </w:num>
  <w:num w:numId="9" w16cid:durableId="342754717">
    <w:abstractNumId w:val="31"/>
  </w:num>
  <w:num w:numId="10" w16cid:durableId="1285384621">
    <w:abstractNumId w:val="25"/>
  </w:num>
  <w:num w:numId="11" w16cid:durableId="792555432">
    <w:abstractNumId w:val="33"/>
  </w:num>
  <w:num w:numId="12" w16cid:durableId="1827745699">
    <w:abstractNumId w:val="33"/>
  </w:num>
  <w:num w:numId="13" w16cid:durableId="1954900048">
    <w:abstractNumId w:val="24"/>
  </w:num>
  <w:num w:numId="14" w16cid:durableId="183524150">
    <w:abstractNumId w:val="11"/>
  </w:num>
  <w:num w:numId="15" w16cid:durableId="945116102">
    <w:abstractNumId w:val="28"/>
  </w:num>
  <w:num w:numId="16" w16cid:durableId="1737119267">
    <w:abstractNumId w:val="9"/>
  </w:num>
  <w:num w:numId="17" w16cid:durableId="606502416">
    <w:abstractNumId w:val="20"/>
  </w:num>
  <w:num w:numId="18" w16cid:durableId="525827661">
    <w:abstractNumId w:val="15"/>
  </w:num>
  <w:num w:numId="19" w16cid:durableId="2024746004">
    <w:abstractNumId w:val="0"/>
  </w:num>
  <w:num w:numId="20" w16cid:durableId="393428007">
    <w:abstractNumId w:val="26"/>
  </w:num>
  <w:num w:numId="21" w16cid:durableId="786971671">
    <w:abstractNumId w:val="22"/>
  </w:num>
  <w:num w:numId="22" w16cid:durableId="1056317976">
    <w:abstractNumId w:val="21"/>
  </w:num>
  <w:num w:numId="23" w16cid:durableId="241641159">
    <w:abstractNumId w:val="19"/>
  </w:num>
  <w:num w:numId="24" w16cid:durableId="840895066">
    <w:abstractNumId w:val="14"/>
  </w:num>
  <w:num w:numId="25" w16cid:durableId="514803712">
    <w:abstractNumId w:val="4"/>
  </w:num>
  <w:num w:numId="26" w16cid:durableId="58141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1744773">
    <w:abstractNumId w:val="6"/>
  </w:num>
  <w:num w:numId="28" w16cid:durableId="1331323667">
    <w:abstractNumId w:val="8"/>
  </w:num>
  <w:num w:numId="29" w16cid:durableId="257106750">
    <w:abstractNumId w:val="16"/>
  </w:num>
  <w:num w:numId="30" w16cid:durableId="503597415">
    <w:abstractNumId w:val="2"/>
  </w:num>
  <w:num w:numId="31" w16cid:durableId="498622892">
    <w:abstractNumId w:val="10"/>
  </w:num>
  <w:num w:numId="32" w16cid:durableId="1583678060">
    <w:abstractNumId w:val="7"/>
  </w:num>
  <w:num w:numId="33" w16cid:durableId="205719264">
    <w:abstractNumId w:val="23"/>
  </w:num>
  <w:num w:numId="34" w16cid:durableId="1509325829">
    <w:abstractNumId w:val="1"/>
  </w:num>
  <w:num w:numId="35" w16cid:durableId="173901166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67C"/>
    <w:rsid w:val="000003E9"/>
    <w:rsid w:val="00001652"/>
    <w:rsid w:val="00001768"/>
    <w:rsid w:val="000026BE"/>
    <w:rsid w:val="00003466"/>
    <w:rsid w:val="000045CB"/>
    <w:rsid w:val="00005025"/>
    <w:rsid w:val="00005A0B"/>
    <w:rsid w:val="00007790"/>
    <w:rsid w:val="000115C7"/>
    <w:rsid w:val="00013409"/>
    <w:rsid w:val="00014596"/>
    <w:rsid w:val="00015FBB"/>
    <w:rsid w:val="000169BF"/>
    <w:rsid w:val="00016B36"/>
    <w:rsid w:val="0001725E"/>
    <w:rsid w:val="00021DC9"/>
    <w:rsid w:val="00022E54"/>
    <w:rsid w:val="000235DD"/>
    <w:rsid w:val="00024A7D"/>
    <w:rsid w:val="00025086"/>
    <w:rsid w:val="00025DAA"/>
    <w:rsid w:val="00026E3B"/>
    <w:rsid w:val="00027D78"/>
    <w:rsid w:val="00030C0F"/>
    <w:rsid w:val="00030CC3"/>
    <w:rsid w:val="000312A9"/>
    <w:rsid w:val="0003273E"/>
    <w:rsid w:val="00033FFE"/>
    <w:rsid w:val="0004053A"/>
    <w:rsid w:val="00041778"/>
    <w:rsid w:val="0004186B"/>
    <w:rsid w:val="00042734"/>
    <w:rsid w:val="000427AA"/>
    <w:rsid w:val="00050AB6"/>
    <w:rsid w:val="00050CC5"/>
    <w:rsid w:val="00050DA9"/>
    <w:rsid w:val="00051526"/>
    <w:rsid w:val="00052372"/>
    <w:rsid w:val="0005248D"/>
    <w:rsid w:val="000525AE"/>
    <w:rsid w:val="000556ED"/>
    <w:rsid w:val="000618C5"/>
    <w:rsid w:val="00061D17"/>
    <w:rsid w:val="00062264"/>
    <w:rsid w:val="00063ED7"/>
    <w:rsid w:val="00064B10"/>
    <w:rsid w:val="00064ED7"/>
    <w:rsid w:val="000651C3"/>
    <w:rsid w:val="00067495"/>
    <w:rsid w:val="00067F7F"/>
    <w:rsid w:val="00070AAE"/>
    <w:rsid w:val="00070DB6"/>
    <w:rsid w:val="0007174E"/>
    <w:rsid w:val="00073BEF"/>
    <w:rsid w:val="00075C74"/>
    <w:rsid w:val="00076151"/>
    <w:rsid w:val="00076B71"/>
    <w:rsid w:val="000848F5"/>
    <w:rsid w:val="00084CFF"/>
    <w:rsid w:val="00085644"/>
    <w:rsid w:val="00086D64"/>
    <w:rsid w:val="000937F3"/>
    <w:rsid w:val="00094F59"/>
    <w:rsid w:val="00096A60"/>
    <w:rsid w:val="00096E04"/>
    <w:rsid w:val="00096EFC"/>
    <w:rsid w:val="000973C0"/>
    <w:rsid w:val="000A05A6"/>
    <w:rsid w:val="000A0966"/>
    <w:rsid w:val="000A0F3D"/>
    <w:rsid w:val="000A1482"/>
    <w:rsid w:val="000A252D"/>
    <w:rsid w:val="000A2755"/>
    <w:rsid w:val="000A49E5"/>
    <w:rsid w:val="000A6C31"/>
    <w:rsid w:val="000B03E5"/>
    <w:rsid w:val="000B0425"/>
    <w:rsid w:val="000B107C"/>
    <w:rsid w:val="000B1BA0"/>
    <w:rsid w:val="000B296A"/>
    <w:rsid w:val="000B2D98"/>
    <w:rsid w:val="000B3016"/>
    <w:rsid w:val="000B316C"/>
    <w:rsid w:val="000B38FA"/>
    <w:rsid w:val="000B554F"/>
    <w:rsid w:val="000B69A4"/>
    <w:rsid w:val="000B6BA5"/>
    <w:rsid w:val="000C0C81"/>
    <w:rsid w:val="000C1482"/>
    <w:rsid w:val="000C1509"/>
    <w:rsid w:val="000C202D"/>
    <w:rsid w:val="000C360B"/>
    <w:rsid w:val="000C3B77"/>
    <w:rsid w:val="000C3FD4"/>
    <w:rsid w:val="000C57FB"/>
    <w:rsid w:val="000C5ED3"/>
    <w:rsid w:val="000C6840"/>
    <w:rsid w:val="000D1D2F"/>
    <w:rsid w:val="000D4303"/>
    <w:rsid w:val="000D7D91"/>
    <w:rsid w:val="000E31F9"/>
    <w:rsid w:val="000E381E"/>
    <w:rsid w:val="000E434F"/>
    <w:rsid w:val="000E5868"/>
    <w:rsid w:val="000E5A99"/>
    <w:rsid w:val="000E716A"/>
    <w:rsid w:val="000E79AC"/>
    <w:rsid w:val="000F1046"/>
    <w:rsid w:val="000F1815"/>
    <w:rsid w:val="000F2834"/>
    <w:rsid w:val="000F288E"/>
    <w:rsid w:val="000F2AAE"/>
    <w:rsid w:val="000F2EDD"/>
    <w:rsid w:val="000F57B1"/>
    <w:rsid w:val="000F62D0"/>
    <w:rsid w:val="001001FD"/>
    <w:rsid w:val="001004AE"/>
    <w:rsid w:val="00105C19"/>
    <w:rsid w:val="0010600A"/>
    <w:rsid w:val="001061BF"/>
    <w:rsid w:val="00107C98"/>
    <w:rsid w:val="00110785"/>
    <w:rsid w:val="00110BA2"/>
    <w:rsid w:val="00112EEF"/>
    <w:rsid w:val="001154CC"/>
    <w:rsid w:val="00120D3C"/>
    <w:rsid w:val="001226CA"/>
    <w:rsid w:val="00124FFC"/>
    <w:rsid w:val="001251BD"/>
    <w:rsid w:val="00125721"/>
    <w:rsid w:val="001266A9"/>
    <w:rsid w:val="00126F60"/>
    <w:rsid w:val="001279C8"/>
    <w:rsid w:val="00127D98"/>
    <w:rsid w:val="00133A56"/>
    <w:rsid w:val="00133DB8"/>
    <w:rsid w:val="00133E5E"/>
    <w:rsid w:val="001365FC"/>
    <w:rsid w:val="0013726D"/>
    <w:rsid w:val="0014093E"/>
    <w:rsid w:val="0014230A"/>
    <w:rsid w:val="00142442"/>
    <w:rsid w:val="001439CD"/>
    <w:rsid w:val="00144313"/>
    <w:rsid w:val="00147805"/>
    <w:rsid w:val="00147CA7"/>
    <w:rsid w:val="0015167A"/>
    <w:rsid w:val="00152C27"/>
    <w:rsid w:val="0015535D"/>
    <w:rsid w:val="00157A9A"/>
    <w:rsid w:val="00161EDD"/>
    <w:rsid w:val="00163D79"/>
    <w:rsid w:val="00164EE3"/>
    <w:rsid w:val="00164F0A"/>
    <w:rsid w:val="00165AD7"/>
    <w:rsid w:val="00167205"/>
    <w:rsid w:val="00167700"/>
    <w:rsid w:val="00167C00"/>
    <w:rsid w:val="00171099"/>
    <w:rsid w:val="001717E1"/>
    <w:rsid w:val="00174700"/>
    <w:rsid w:val="00174824"/>
    <w:rsid w:val="00174C7F"/>
    <w:rsid w:val="001750D0"/>
    <w:rsid w:val="00175747"/>
    <w:rsid w:val="00175DAC"/>
    <w:rsid w:val="00176324"/>
    <w:rsid w:val="00177A3D"/>
    <w:rsid w:val="001825C0"/>
    <w:rsid w:val="00183767"/>
    <w:rsid w:val="00184551"/>
    <w:rsid w:val="00184BF3"/>
    <w:rsid w:val="00186032"/>
    <w:rsid w:val="00186422"/>
    <w:rsid w:val="001873D1"/>
    <w:rsid w:val="00187CB5"/>
    <w:rsid w:val="00187F2E"/>
    <w:rsid w:val="00187F59"/>
    <w:rsid w:val="00190492"/>
    <w:rsid w:val="001904DB"/>
    <w:rsid w:val="00192004"/>
    <w:rsid w:val="00192520"/>
    <w:rsid w:val="00192B39"/>
    <w:rsid w:val="00192C91"/>
    <w:rsid w:val="00193811"/>
    <w:rsid w:val="00194247"/>
    <w:rsid w:val="00194D8B"/>
    <w:rsid w:val="00195DAA"/>
    <w:rsid w:val="0019629D"/>
    <w:rsid w:val="00197052"/>
    <w:rsid w:val="001A264C"/>
    <w:rsid w:val="001A289C"/>
    <w:rsid w:val="001A2D22"/>
    <w:rsid w:val="001A36AA"/>
    <w:rsid w:val="001A3D6D"/>
    <w:rsid w:val="001A6B14"/>
    <w:rsid w:val="001B1801"/>
    <w:rsid w:val="001B20FC"/>
    <w:rsid w:val="001B25BA"/>
    <w:rsid w:val="001B2A2D"/>
    <w:rsid w:val="001B3507"/>
    <w:rsid w:val="001B3B21"/>
    <w:rsid w:val="001B60D8"/>
    <w:rsid w:val="001B6C70"/>
    <w:rsid w:val="001C0C58"/>
    <w:rsid w:val="001C1168"/>
    <w:rsid w:val="001C2A80"/>
    <w:rsid w:val="001C42D5"/>
    <w:rsid w:val="001C4330"/>
    <w:rsid w:val="001C5885"/>
    <w:rsid w:val="001D03CE"/>
    <w:rsid w:val="001D03E3"/>
    <w:rsid w:val="001D52BD"/>
    <w:rsid w:val="001D55AA"/>
    <w:rsid w:val="001D5990"/>
    <w:rsid w:val="001D5B77"/>
    <w:rsid w:val="001D66D5"/>
    <w:rsid w:val="001D7055"/>
    <w:rsid w:val="001E23C3"/>
    <w:rsid w:val="001E2FBF"/>
    <w:rsid w:val="001F180B"/>
    <w:rsid w:val="001F4AC6"/>
    <w:rsid w:val="002016E4"/>
    <w:rsid w:val="00201752"/>
    <w:rsid w:val="00203A58"/>
    <w:rsid w:val="00204E35"/>
    <w:rsid w:val="00206A4B"/>
    <w:rsid w:val="002074B5"/>
    <w:rsid w:val="00207B4B"/>
    <w:rsid w:val="00210673"/>
    <w:rsid w:val="00211F18"/>
    <w:rsid w:val="002124C1"/>
    <w:rsid w:val="00212E8E"/>
    <w:rsid w:val="002131B6"/>
    <w:rsid w:val="00214354"/>
    <w:rsid w:val="00214C5C"/>
    <w:rsid w:val="0021506A"/>
    <w:rsid w:val="002160D8"/>
    <w:rsid w:val="002200EE"/>
    <w:rsid w:val="00222C6C"/>
    <w:rsid w:val="00222FD2"/>
    <w:rsid w:val="00223C3C"/>
    <w:rsid w:val="0022404A"/>
    <w:rsid w:val="002256EC"/>
    <w:rsid w:val="0022654A"/>
    <w:rsid w:val="00226592"/>
    <w:rsid w:val="0022724F"/>
    <w:rsid w:val="00227595"/>
    <w:rsid w:val="00232562"/>
    <w:rsid w:val="00242B85"/>
    <w:rsid w:val="00244C41"/>
    <w:rsid w:val="00245A01"/>
    <w:rsid w:val="00250B5C"/>
    <w:rsid w:val="00251473"/>
    <w:rsid w:val="00252957"/>
    <w:rsid w:val="00254194"/>
    <w:rsid w:val="002544A1"/>
    <w:rsid w:val="00254FBE"/>
    <w:rsid w:val="00256C23"/>
    <w:rsid w:val="00256C4F"/>
    <w:rsid w:val="00257633"/>
    <w:rsid w:val="002604B9"/>
    <w:rsid w:val="002658F8"/>
    <w:rsid w:val="00265C07"/>
    <w:rsid w:val="00266E99"/>
    <w:rsid w:val="00267216"/>
    <w:rsid w:val="002678CF"/>
    <w:rsid w:val="00270136"/>
    <w:rsid w:val="00273A96"/>
    <w:rsid w:val="00273E50"/>
    <w:rsid w:val="00275DEF"/>
    <w:rsid w:val="00276CA5"/>
    <w:rsid w:val="00277205"/>
    <w:rsid w:val="00277AA1"/>
    <w:rsid w:val="00277DCC"/>
    <w:rsid w:val="00280CA1"/>
    <w:rsid w:val="00280D31"/>
    <w:rsid w:val="0028122E"/>
    <w:rsid w:val="00282135"/>
    <w:rsid w:val="00282E2C"/>
    <w:rsid w:val="00283F29"/>
    <w:rsid w:val="00284077"/>
    <w:rsid w:val="00284E0A"/>
    <w:rsid w:val="002850F6"/>
    <w:rsid w:val="00285811"/>
    <w:rsid w:val="00286728"/>
    <w:rsid w:val="00286990"/>
    <w:rsid w:val="00290418"/>
    <w:rsid w:val="0029217D"/>
    <w:rsid w:val="00292326"/>
    <w:rsid w:val="0029281D"/>
    <w:rsid w:val="00293734"/>
    <w:rsid w:val="002940ED"/>
    <w:rsid w:val="00295D2D"/>
    <w:rsid w:val="00296CC7"/>
    <w:rsid w:val="00297CCC"/>
    <w:rsid w:val="002A1B63"/>
    <w:rsid w:val="002A6463"/>
    <w:rsid w:val="002A7E8F"/>
    <w:rsid w:val="002B0F9D"/>
    <w:rsid w:val="002B2740"/>
    <w:rsid w:val="002B27C6"/>
    <w:rsid w:val="002B433E"/>
    <w:rsid w:val="002B6678"/>
    <w:rsid w:val="002C1A6C"/>
    <w:rsid w:val="002C2BBE"/>
    <w:rsid w:val="002C377B"/>
    <w:rsid w:val="002C6053"/>
    <w:rsid w:val="002C770B"/>
    <w:rsid w:val="002D3609"/>
    <w:rsid w:val="002D6B39"/>
    <w:rsid w:val="002E3118"/>
    <w:rsid w:val="002E44B5"/>
    <w:rsid w:val="002E5D16"/>
    <w:rsid w:val="002E7A33"/>
    <w:rsid w:val="002F05B3"/>
    <w:rsid w:val="002F0C3D"/>
    <w:rsid w:val="002F1892"/>
    <w:rsid w:val="002F2D55"/>
    <w:rsid w:val="002F47C9"/>
    <w:rsid w:val="002F56A0"/>
    <w:rsid w:val="002F6850"/>
    <w:rsid w:val="002F73B5"/>
    <w:rsid w:val="003017DC"/>
    <w:rsid w:val="00302717"/>
    <w:rsid w:val="00302F80"/>
    <w:rsid w:val="003057E3"/>
    <w:rsid w:val="00305B88"/>
    <w:rsid w:val="00305D37"/>
    <w:rsid w:val="0030650E"/>
    <w:rsid w:val="00306AD3"/>
    <w:rsid w:val="00306EC6"/>
    <w:rsid w:val="00310C6A"/>
    <w:rsid w:val="003113ED"/>
    <w:rsid w:val="00311BE5"/>
    <w:rsid w:val="00312587"/>
    <w:rsid w:val="00312D3A"/>
    <w:rsid w:val="00313D34"/>
    <w:rsid w:val="00314962"/>
    <w:rsid w:val="003157BE"/>
    <w:rsid w:val="00317C74"/>
    <w:rsid w:val="00321D0A"/>
    <w:rsid w:val="00325B0A"/>
    <w:rsid w:val="00325B68"/>
    <w:rsid w:val="003272DD"/>
    <w:rsid w:val="00327EDD"/>
    <w:rsid w:val="00331CC2"/>
    <w:rsid w:val="00333F3D"/>
    <w:rsid w:val="0033549F"/>
    <w:rsid w:val="00337AE8"/>
    <w:rsid w:val="003413C9"/>
    <w:rsid w:val="0034169E"/>
    <w:rsid w:val="00344CE1"/>
    <w:rsid w:val="00346413"/>
    <w:rsid w:val="00351EAB"/>
    <w:rsid w:val="003523DB"/>
    <w:rsid w:val="0035263D"/>
    <w:rsid w:val="00352BBD"/>
    <w:rsid w:val="00356AF6"/>
    <w:rsid w:val="00356F69"/>
    <w:rsid w:val="00362D4D"/>
    <w:rsid w:val="003641FF"/>
    <w:rsid w:val="00364849"/>
    <w:rsid w:val="0036552C"/>
    <w:rsid w:val="00366CDD"/>
    <w:rsid w:val="00366CF3"/>
    <w:rsid w:val="00367E5D"/>
    <w:rsid w:val="003701BE"/>
    <w:rsid w:val="00370632"/>
    <w:rsid w:val="003706D0"/>
    <w:rsid w:val="0037198A"/>
    <w:rsid w:val="00371EEE"/>
    <w:rsid w:val="00372CDC"/>
    <w:rsid w:val="00373D45"/>
    <w:rsid w:val="003746BA"/>
    <w:rsid w:val="0037475C"/>
    <w:rsid w:val="00381F1E"/>
    <w:rsid w:val="00383506"/>
    <w:rsid w:val="003845F6"/>
    <w:rsid w:val="00385338"/>
    <w:rsid w:val="0038584C"/>
    <w:rsid w:val="00386F5B"/>
    <w:rsid w:val="00390527"/>
    <w:rsid w:val="00391C4F"/>
    <w:rsid w:val="00392721"/>
    <w:rsid w:val="0039277C"/>
    <w:rsid w:val="00394D2B"/>
    <w:rsid w:val="003A1755"/>
    <w:rsid w:val="003A23B1"/>
    <w:rsid w:val="003A37E3"/>
    <w:rsid w:val="003A5082"/>
    <w:rsid w:val="003A58AA"/>
    <w:rsid w:val="003A58E0"/>
    <w:rsid w:val="003A5E53"/>
    <w:rsid w:val="003A5E68"/>
    <w:rsid w:val="003A7644"/>
    <w:rsid w:val="003B0D99"/>
    <w:rsid w:val="003B294A"/>
    <w:rsid w:val="003B3EDE"/>
    <w:rsid w:val="003B73AB"/>
    <w:rsid w:val="003C1C7B"/>
    <w:rsid w:val="003C2247"/>
    <w:rsid w:val="003C3346"/>
    <w:rsid w:val="003D0EEB"/>
    <w:rsid w:val="003D0F19"/>
    <w:rsid w:val="003D1B44"/>
    <w:rsid w:val="003D257A"/>
    <w:rsid w:val="003D2AFA"/>
    <w:rsid w:val="003D47D1"/>
    <w:rsid w:val="003D4A45"/>
    <w:rsid w:val="003D65AA"/>
    <w:rsid w:val="003D66DA"/>
    <w:rsid w:val="003D6A16"/>
    <w:rsid w:val="003E254D"/>
    <w:rsid w:val="003E28FA"/>
    <w:rsid w:val="003E2C97"/>
    <w:rsid w:val="003E43C6"/>
    <w:rsid w:val="003E49D6"/>
    <w:rsid w:val="003E75D9"/>
    <w:rsid w:val="003F1DB5"/>
    <w:rsid w:val="003F1E17"/>
    <w:rsid w:val="003F42C3"/>
    <w:rsid w:val="003F46EF"/>
    <w:rsid w:val="003F582D"/>
    <w:rsid w:val="003F6018"/>
    <w:rsid w:val="003F7700"/>
    <w:rsid w:val="003F79ED"/>
    <w:rsid w:val="004056CD"/>
    <w:rsid w:val="004100D3"/>
    <w:rsid w:val="00412C3A"/>
    <w:rsid w:val="00413362"/>
    <w:rsid w:val="00413536"/>
    <w:rsid w:val="00414979"/>
    <w:rsid w:val="00415942"/>
    <w:rsid w:val="00415EC7"/>
    <w:rsid w:val="00416C46"/>
    <w:rsid w:val="00420048"/>
    <w:rsid w:val="0042166B"/>
    <w:rsid w:val="004228FB"/>
    <w:rsid w:val="00422B94"/>
    <w:rsid w:val="004230D7"/>
    <w:rsid w:val="004232AC"/>
    <w:rsid w:val="0042583C"/>
    <w:rsid w:val="004258A8"/>
    <w:rsid w:val="00427E0B"/>
    <w:rsid w:val="00430419"/>
    <w:rsid w:val="004319E4"/>
    <w:rsid w:val="0043204E"/>
    <w:rsid w:val="00441922"/>
    <w:rsid w:val="00443066"/>
    <w:rsid w:val="004430F9"/>
    <w:rsid w:val="00443BFF"/>
    <w:rsid w:val="0044595E"/>
    <w:rsid w:val="0045296B"/>
    <w:rsid w:val="0045336F"/>
    <w:rsid w:val="00453F3E"/>
    <w:rsid w:val="004544D1"/>
    <w:rsid w:val="004551F6"/>
    <w:rsid w:val="004556B4"/>
    <w:rsid w:val="00456897"/>
    <w:rsid w:val="004577F1"/>
    <w:rsid w:val="00460F26"/>
    <w:rsid w:val="00461A79"/>
    <w:rsid w:val="00461C69"/>
    <w:rsid w:val="00464B4D"/>
    <w:rsid w:val="00466133"/>
    <w:rsid w:val="00471D40"/>
    <w:rsid w:val="0047204E"/>
    <w:rsid w:val="004722BE"/>
    <w:rsid w:val="00473AC2"/>
    <w:rsid w:val="004761F3"/>
    <w:rsid w:val="0048090C"/>
    <w:rsid w:val="00480F1E"/>
    <w:rsid w:val="00482EF0"/>
    <w:rsid w:val="00484937"/>
    <w:rsid w:val="004851A6"/>
    <w:rsid w:val="00487524"/>
    <w:rsid w:val="00487B79"/>
    <w:rsid w:val="00487D69"/>
    <w:rsid w:val="00487E3D"/>
    <w:rsid w:val="00492AC6"/>
    <w:rsid w:val="0049426A"/>
    <w:rsid w:val="0049462E"/>
    <w:rsid w:val="004959BA"/>
    <w:rsid w:val="00495D7C"/>
    <w:rsid w:val="00497643"/>
    <w:rsid w:val="00497B1A"/>
    <w:rsid w:val="004A07AF"/>
    <w:rsid w:val="004A2E44"/>
    <w:rsid w:val="004A3580"/>
    <w:rsid w:val="004A7989"/>
    <w:rsid w:val="004B14E5"/>
    <w:rsid w:val="004B3585"/>
    <w:rsid w:val="004B56DD"/>
    <w:rsid w:val="004B7A42"/>
    <w:rsid w:val="004B7B4F"/>
    <w:rsid w:val="004C2DAE"/>
    <w:rsid w:val="004C2E56"/>
    <w:rsid w:val="004C3CE6"/>
    <w:rsid w:val="004D2239"/>
    <w:rsid w:val="004D3B6E"/>
    <w:rsid w:val="004D5BF7"/>
    <w:rsid w:val="004D6651"/>
    <w:rsid w:val="004E01E8"/>
    <w:rsid w:val="004E0F94"/>
    <w:rsid w:val="004E1F9A"/>
    <w:rsid w:val="004E4A3C"/>
    <w:rsid w:val="004E616B"/>
    <w:rsid w:val="004E7B45"/>
    <w:rsid w:val="004F1D04"/>
    <w:rsid w:val="004F3832"/>
    <w:rsid w:val="004F5B80"/>
    <w:rsid w:val="004F62C5"/>
    <w:rsid w:val="00503A8B"/>
    <w:rsid w:val="00505A35"/>
    <w:rsid w:val="005069D2"/>
    <w:rsid w:val="005111DF"/>
    <w:rsid w:val="00511C4B"/>
    <w:rsid w:val="0051246A"/>
    <w:rsid w:val="00512899"/>
    <w:rsid w:val="00513D80"/>
    <w:rsid w:val="00513F28"/>
    <w:rsid w:val="00514F00"/>
    <w:rsid w:val="00515BCD"/>
    <w:rsid w:val="00515F49"/>
    <w:rsid w:val="00516AA5"/>
    <w:rsid w:val="00521483"/>
    <w:rsid w:val="005228FB"/>
    <w:rsid w:val="005244B7"/>
    <w:rsid w:val="00524EDE"/>
    <w:rsid w:val="005254E0"/>
    <w:rsid w:val="00525CB6"/>
    <w:rsid w:val="0052765B"/>
    <w:rsid w:val="005305EE"/>
    <w:rsid w:val="005325C1"/>
    <w:rsid w:val="00532BBA"/>
    <w:rsid w:val="0053423D"/>
    <w:rsid w:val="00535117"/>
    <w:rsid w:val="00535402"/>
    <w:rsid w:val="00537A67"/>
    <w:rsid w:val="00537CA2"/>
    <w:rsid w:val="0054127B"/>
    <w:rsid w:val="00541B0C"/>
    <w:rsid w:val="00544505"/>
    <w:rsid w:val="00545E7B"/>
    <w:rsid w:val="00546CD2"/>
    <w:rsid w:val="0054748B"/>
    <w:rsid w:val="00550331"/>
    <w:rsid w:val="005505C2"/>
    <w:rsid w:val="005517AA"/>
    <w:rsid w:val="00552583"/>
    <w:rsid w:val="00554C72"/>
    <w:rsid w:val="00555F81"/>
    <w:rsid w:val="005579D2"/>
    <w:rsid w:val="00561B49"/>
    <w:rsid w:val="005622D6"/>
    <w:rsid w:val="00562329"/>
    <w:rsid w:val="00562B48"/>
    <w:rsid w:val="00563F94"/>
    <w:rsid w:val="00564955"/>
    <w:rsid w:val="005657F9"/>
    <w:rsid w:val="00570326"/>
    <w:rsid w:val="005719B8"/>
    <w:rsid w:val="00571EF7"/>
    <w:rsid w:val="0057329A"/>
    <w:rsid w:val="0057531A"/>
    <w:rsid w:val="0057638C"/>
    <w:rsid w:val="00577FBC"/>
    <w:rsid w:val="00581A4F"/>
    <w:rsid w:val="00581D0A"/>
    <w:rsid w:val="00582FAD"/>
    <w:rsid w:val="00583167"/>
    <w:rsid w:val="00583BBD"/>
    <w:rsid w:val="00584067"/>
    <w:rsid w:val="005843F0"/>
    <w:rsid w:val="00584E65"/>
    <w:rsid w:val="00585CB1"/>
    <w:rsid w:val="0058690F"/>
    <w:rsid w:val="00587AB8"/>
    <w:rsid w:val="00593A49"/>
    <w:rsid w:val="00594743"/>
    <w:rsid w:val="00596348"/>
    <w:rsid w:val="0059663C"/>
    <w:rsid w:val="00596B3A"/>
    <w:rsid w:val="00596C6D"/>
    <w:rsid w:val="005A03CA"/>
    <w:rsid w:val="005A2074"/>
    <w:rsid w:val="005A2E2D"/>
    <w:rsid w:val="005A34FD"/>
    <w:rsid w:val="005A3C00"/>
    <w:rsid w:val="005A595F"/>
    <w:rsid w:val="005A6F92"/>
    <w:rsid w:val="005A773F"/>
    <w:rsid w:val="005A7BC8"/>
    <w:rsid w:val="005B044F"/>
    <w:rsid w:val="005B100E"/>
    <w:rsid w:val="005B1675"/>
    <w:rsid w:val="005B2D91"/>
    <w:rsid w:val="005B3F42"/>
    <w:rsid w:val="005B46F7"/>
    <w:rsid w:val="005B4C1F"/>
    <w:rsid w:val="005B4F2A"/>
    <w:rsid w:val="005B5C86"/>
    <w:rsid w:val="005B72C0"/>
    <w:rsid w:val="005C45C2"/>
    <w:rsid w:val="005C48A3"/>
    <w:rsid w:val="005C4AB5"/>
    <w:rsid w:val="005C6286"/>
    <w:rsid w:val="005C77DB"/>
    <w:rsid w:val="005C7C25"/>
    <w:rsid w:val="005D1955"/>
    <w:rsid w:val="005D40B6"/>
    <w:rsid w:val="005D5904"/>
    <w:rsid w:val="005D5990"/>
    <w:rsid w:val="005D6638"/>
    <w:rsid w:val="005D775D"/>
    <w:rsid w:val="005D7C5A"/>
    <w:rsid w:val="005E1A9F"/>
    <w:rsid w:val="005E2103"/>
    <w:rsid w:val="005E3951"/>
    <w:rsid w:val="005E5AE7"/>
    <w:rsid w:val="005E613F"/>
    <w:rsid w:val="005E6A36"/>
    <w:rsid w:val="005E7093"/>
    <w:rsid w:val="005F0372"/>
    <w:rsid w:val="005F0F52"/>
    <w:rsid w:val="005F13A1"/>
    <w:rsid w:val="005F1A12"/>
    <w:rsid w:val="005F2115"/>
    <w:rsid w:val="005F2F7D"/>
    <w:rsid w:val="005F497D"/>
    <w:rsid w:val="006009EB"/>
    <w:rsid w:val="006013B3"/>
    <w:rsid w:val="0060278D"/>
    <w:rsid w:val="006035C7"/>
    <w:rsid w:val="00604306"/>
    <w:rsid w:val="00607591"/>
    <w:rsid w:val="00614D57"/>
    <w:rsid w:val="00617A6E"/>
    <w:rsid w:val="00622694"/>
    <w:rsid w:val="00622722"/>
    <w:rsid w:val="00622E62"/>
    <w:rsid w:val="006245FA"/>
    <w:rsid w:val="00624A10"/>
    <w:rsid w:val="00624CE3"/>
    <w:rsid w:val="00624DEC"/>
    <w:rsid w:val="00625011"/>
    <w:rsid w:val="00625ADC"/>
    <w:rsid w:val="00626802"/>
    <w:rsid w:val="00627755"/>
    <w:rsid w:val="0063273E"/>
    <w:rsid w:val="00632F4E"/>
    <w:rsid w:val="006337EF"/>
    <w:rsid w:val="00633DBB"/>
    <w:rsid w:val="00636371"/>
    <w:rsid w:val="00636492"/>
    <w:rsid w:val="00636E1B"/>
    <w:rsid w:val="006372D2"/>
    <w:rsid w:val="00637D12"/>
    <w:rsid w:val="006414A1"/>
    <w:rsid w:val="006423FE"/>
    <w:rsid w:val="00642B3E"/>
    <w:rsid w:val="006446B1"/>
    <w:rsid w:val="00647E15"/>
    <w:rsid w:val="00650553"/>
    <w:rsid w:val="00650864"/>
    <w:rsid w:val="006508A5"/>
    <w:rsid w:val="006519B4"/>
    <w:rsid w:val="00652D55"/>
    <w:rsid w:val="00653704"/>
    <w:rsid w:val="006538F2"/>
    <w:rsid w:val="00653BBC"/>
    <w:rsid w:val="00654841"/>
    <w:rsid w:val="00655881"/>
    <w:rsid w:val="00657041"/>
    <w:rsid w:val="00660970"/>
    <w:rsid w:val="006610F7"/>
    <w:rsid w:val="00661962"/>
    <w:rsid w:val="0066291B"/>
    <w:rsid w:val="00662B78"/>
    <w:rsid w:val="00663E37"/>
    <w:rsid w:val="00664E34"/>
    <w:rsid w:val="006658B4"/>
    <w:rsid w:val="00670E47"/>
    <w:rsid w:val="0067167C"/>
    <w:rsid w:val="0067169E"/>
    <w:rsid w:val="00671DEE"/>
    <w:rsid w:val="00671FC7"/>
    <w:rsid w:val="00673FA4"/>
    <w:rsid w:val="00676840"/>
    <w:rsid w:val="00676AF1"/>
    <w:rsid w:val="00680AE0"/>
    <w:rsid w:val="0068292B"/>
    <w:rsid w:val="006834BA"/>
    <w:rsid w:val="00683583"/>
    <w:rsid w:val="00683BCC"/>
    <w:rsid w:val="006845E8"/>
    <w:rsid w:val="00684B53"/>
    <w:rsid w:val="00686347"/>
    <w:rsid w:val="006909C7"/>
    <w:rsid w:val="0069583B"/>
    <w:rsid w:val="00695AB4"/>
    <w:rsid w:val="006A1D49"/>
    <w:rsid w:val="006A5916"/>
    <w:rsid w:val="006A6A7F"/>
    <w:rsid w:val="006A72D9"/>
    <w:rsid w:val="006B0A5F"/>
    <w:rsid w:val="006B10F7"/>
    <w:rsid w:val="006B14E6"/>
    <w:rsid w:val="006B1B49"/>
    <w:rsid w:val="006B4453"/>
    <w:rsid w:val="006B5893"/>
    <w:rsid w:val="006B7D19"/>
    <w:rsid w:val="006C05FB"/>
    <w:rsid w:val="006C0F33"/>
    <w:rsid w:val="006C1965"/>
    <w:rsid w:val="006C4426"/>
    <w:rsid w:val="006C5675"/>
    <w:rsid w:val="006C7345"/>
    <w:rsid w:val="006C73FB"/>
    <w:rsid w:val="006D0C05"/>
    <w:rsid w:val="006D11F0"/>
    <w:rsid w:val="006D1673"/>
    <w:rsid w:val="006D1BA0"/>
    <w:rsid w:val="006D3219"/>
    <w:rsid w:val="006D4098"/>
    <w:rsid w:val="006D4E73"/>
    <w:rsid w:val="006D58BB"/>
    <w:rsid w:val="006D67CD"/>
    <w:rsid w:val="006D70B4"/>
    <w:rsid w:val="006E03A7"/>
    <w:rsid w:val="006E0EC8"/>
    <w:rsid w:val="006E3F59"/>
    <w:rsid w:val="006E6BFB"/>
    <w:rsid w:val="006E7F65"/>
    <w:rsid w:val="006F0C3E"/>
    <w:rsid w:val="006F1687"/>
    <w:rsid w:val="006F32A6"/>
    <w:rsid w:val="006F33BD"/>
    <w:rsid w:val="006F3AFB"/>
    <w:rsid w:val="006F4107"/>
    <w:rsid w:val="006F5F5D"/>
    <w:rsid w:val="006F6F5D"/>
    <w:rsid w:val="006F7A9D"/>
    <w:rsid w:val="007003AB"/>
    <w:rsid w:val="00700431"/>
    <w:rsid w:val="00701078"/>
    <w:rsid w:val="00703792"/>
    <w:rsid w:val="007052EB"/>
    <w:rsid w:val="007054C8"/>
    <w:rsid w:val="0071101A"/>
    <w:rsid w:val="0071337E"/>
    <w:rsid w:val="00713914"/>
    <w:rsid w:val="00714039"/>
    <w:rsid w:val="00714D73"/>
    <w:rsid w:val="00716CF2"/>
    <w:rsid w:val="00720725"/>
    <w:rsid w:val="007252CC"/>
    <w:rsid w:val="00725B6A"/>
    <w:rsid w:val="00730BD0"/>
    <w:rsid w:val="00732124"/>
    <w:rsid w:val="00732F30"/>
    <w:rsid w:val="00734C40"/>
    <w:rsid w:val="00735946"/>
    <w:rsid w:val="00735A9B"/>
    <w:rsid w:val="00736F22"/>
    <w:rsid w:val="00737CCD"/>
    <w:rsid w:val="00740979"/>
    <w:rsid w:val="00740E24"/>
    <w:rsid w:val="007424AA"/>
    <w:rsid w:val="00742B24"/>
    <w:rsid w:val="00745703"/>
    <w:rsid w:val="007471CA"/>
    <w:rsid w:val="00747D92"/>
    <w:rsid w:val="00750A18"/>
    <w:rsid w:val="007520AF"/>
    <w:rsid w:val="007526F0"/>
    <w:rsid w:val="0075273B"/>
    <w:rsid w:val="007537B0"/>
    <w:rsid w:val="00753A31"/>
    <w:rsid w:val="00754121"/>
    <w:rsid w:val="00754C78"/>
    <w:rsid w:val="00754CC1"/>
    <w:rsid w:val="007602CA"/>
    <w:rsid w:val="0076145F"/>
    <w:rsid w:val="00763A01"/>
    <w:rsid w:val="007641CF"/>
    <w:rsid w:val="007648F6"/>
    <w:rsid w:val="00765464"/>
    <w:rsid w:val="00767B86"/>
    <w:rsid w:val="00767ED9"/>
    <w:rsid w:val="00770872"/>
    <w:rsid w:val="00771DF1"/>
    <w:rsid w:val="00773099"/>
    <w:rsid w:val="007731C8"/>
    <w:rsid w:val="007734F6"/>
    <w:rsid w:val="00774012"/>
    <w:rsid w:val="007756A9"/>
    <w:rsid w:val="0077652F"/>
    <w:rsid w:val="00776C12"/>
    <w:rsid w:val="00777A64"/>
    <w:rsid w:val="007800F3"/>
    <w:rsid w:val="00780F00"/>
    <w:rsid w:val="00784622"/>
    <w:rsid w:val="007859FC"/>
    <w:rsid w:val="00786B97"/>
    <w:rsid w:val="00786BF1"/>
    <w:rsid w:val="00790A8D"/>
    <w:rsid w:val="0079120C"/>
    <w:rsid w:val="00792563"/>
    <w:rsid w:val="00794173"/>
    <w:rsid w:val="00794578"/>
    <w:rsid w:val="007958DF"/>
    <w:rsid w:val="00795D9F"/>
    <w:rsid w:val="0079600A"/>
    <w:rsid w:val="007965F3"/>
    <w:rsid w:val="007A1F86"/>
    <w:rsid w:val="007A460B"/>
    <w:rsid w:val="007A5241"/>
    <w:rsid w:val="007A5251"/>
    <w:rsid w:val="007A6D02"/>
    <w:rsid w:val="007A6D20"/>
    <w:rsid w:val="007B0C33"/>
    <w:rsid w:val="007B73C5"/>
    <w:rsid w:val="007C0CBB"/>
    <w:rsid w:val="007C1D13"/>
    <w:rsid w:val="007C51F7"/>
    <w:rsid w:val="007C77D9"/>
    <w:rsid w:val="007D4962"/>
    <w:rsid w:val="007D6192"/>
    <w:rsid w:val="007D65E3"/>
    <w:rsid w:val="007E10A6"/>
    <w:rsid w:val="007E1FD9"/>
    <w:rsid w:val="007E2AD6"/>
    <w:rsid w:val="007E70AA"/>
    <w:rsid w:val="007E788A"/>
    <w:rsid w:val="007F0955"/>
    <w:rsid w:val="007F254D"/>
    <w:rsid w:val="007F7F5E"/>
    <w:rsid w:val="00801CE0"/>
    <w:rsid w:val="00802779"/>
    <w:rsid w:val="00802EA4"/>
    <w:rsid w:val="0080338A"/>
    <w:rsid w:val="00803DB4"/>
    <w:rsid w:val="008040E0"/>
    <w:rsid w:val="00805258"/>
    <w:rsid w:val="00805493"/>
    <w:rsid w:val="008054FF"/>
    <w:rsid w:val="00806600"/>
    <w:rsid w:val="0080665D"/>
    <w:rsid w:val="00806C10"/>
    <w:rsid w:val="0081067A"/>
    <w:rsid w:val="00810AE1"/>
    <w:rsid w:val="00811AAB"/>
    <w:rsid w:val="00811DB3"/>
    <w:rsid w:val="00813105"/>
    <w:rsid w:val="008202E0"/>
    <w:rsid w:val="00820622"/>
    <w:rsid w:val="008218AE"/>
    <w:rsid w:val="00823C41"/>
    <w:rsid w:val="00824601"/>
    <w:rsid w:val="008249C7"/>
    <w:rsid w:val="00824F9B"/>
    <w:rsid w:val="0082661D"/>
    <w:rsid w:val="008267FB"/>
    <w:rsid w:val="0083264F"/>
    <w:rsid w:val="0083563B"/>
    <w:rsid w:val="0083591F"/>
    <w:rsid w:val="00836FF3"/>
    <w:rsid w:val="008400F3"/>
    <w:rsid w:val="00842693"/>
    <w:rsid w:val="00842C0C"/>
    <w:rsid w:val="00843AF5"/>
    <w:rsid w:val="008446F0"/>
    <w:rsid w:val="00844E25"/>
    <w:rsid w:val="00847B75"/>
    <w:rsid w:val="00856098"/>
    <w:rsid w:val="008566FA"/>
    <w:rsid w:val="0085726E"/>
    <w:rsid w:val="008605CF"/>
    <w:rsid w:val="00862BD1"/>
    <w:rsid w:val="008631EE"/>
    <w:rsid w:val="00863A02"/>
    <w:rsid w:val="00863AE5"/>
    <w:rsid w:val="0086513E"/>
    <w:rsid w:val="00866EC6"/>
    <w:rsid w:val="00866F02"/>
    <w:rsid w:val="00866F3A"/>
    <w:rsid w:val="00867FF0"/>
    <w:rsid w:val="0087000E"/>
    <w:rsid w:val="00870CFE"/>
    <w:rsid w:val="00872C8E"/>
    <w:rsid w:val="00873A68"/>
    <w:rsid w:val="008763B8"/>
    <w:rsid w:val="00876F2A"/>
    <w:rsid w:val="008827D8"/>
    <w:rsid w:val="00882978"/>
    <w:rsid w:val="00882AE7"/>
    <w:rsid w:val="0088334E"/>
    <w:rsid w:val="00883DD2"/>
    <w:rsid w:val="00883EC5"/>
    <w:rsid w:val="00886693"/>
    <w:rsid w:val="00886EDC"/>
    <w:rsid w:val="008875D9"/>
    <w:rsid w:val="00891D02"/>
    <w:rsid w:val="008932D3"/>
    <w:rsid w:val="0089388E"/>
    <w:rsid w:val="00896057"/>
    <w:rsid w:val="008963D3"/>
    <w:rsid w:val="008A0BDB"/>
    <w:rsid w:val="008A0C1D"/>
    <w:rsid w:val="008A30D2"/>
    <w:rsid w:val="008A5369"/>
    <w:rsid w:val="008A5D74"/>
    <w:rsid w:val="008B0EE1"/>
    <w:rsid w:val="008B1939"/>
    <w:rsid w:val="008B1C64"/>
    <w:rsid w:val="008B5428"/>
    <w:rsid w:val="008C0BF5"/>
    <w:rsid w:val="008C17ED"/>
    <w:rsid w:val="008C2A1F"/>
    <w:rsid w:val="008C3710"/>
    <w:rsid w:val="008C3974"/>
    <w:rsid w:val="008C61BA"/>
    <w:rsid w:val="008C6C1C"/>
    <w:rsid w:val="008D20B8"/>
    <w:rsid w:val="008D2957"/>
    <w:rsid w:val="008D39B5"/>
    <w:rsid w:val="008D3F5F"/>
    <w:rsid w:val="008D5480"/>
    <w:rsid w:val="008D7098"/>
    <w:rsid w:val="008E0831"/>
    <w:rsid w:val="008E2478"/>
    <w:rsid w:val="008E3477"/>
    <w:rsid w:val="008E3AFB"/>
    <w:rsid w:val="008E6C3B"/>
    <w:rsid w:val="008E7690"/>
    <w:rsid w:val="008F0371"/>
    <w:rsid w:val="008F1416"/>
    <w:rsid w:val="008F1E54"/>
    <w:rsid w:val="008F3167"/>
    <w:rsid w:val="008F3649"/>
    <w:rsid w:val="008F59CE"/>
    <w:rsid w:val="008F6DA9"/>
    <w:rsid w:val="00901A89"/>
    <w:rsid w:val="009028D4"/>
    <w:rsid w:val="00903850"/>
    <w:rsid w:val="00903D0C"/>
    <w:rsid w:val="00904C7E"/>
    <w:rsid w:val="00905F7D"/>
    <w:rsid w:val="00907CAE"/>
    <w:rsid w:val="00910FD4"/>
    <w:rsid w:val="00911553"/>
    <w:rsid w:val="00912822"/>
    <w:rsid w:val="009137B4"/>
    <w:rsid w:val="00914A1E"/>
    <w:rsid w:val="00915724"/>
    <w:rsid w:val="009157ED"/>
    <w:rsid w:val="00917B8C"/>
    <w:rsid w:val="00921717"/>
    <w:rsid w:val="00921A13"/>
    <w:rsid w:val="0092242F"/>
    <w:rsid w:val="00922BA8"/>
    <w:rsid w:val="0092320A"/>
    <w:rsid w:val="0092364F"/>
    <w:rsid w:val="00926514"/>
    <w:rsid w:val="00926A2D"/>
    <w:rsid w:val="009273DA"/>
    <w:rsid w:val="00931DF3"/>
    <w:rsid w:val="00933C0E"/>
    <w:rsid w:val="009374F0"/>
    <w:rsid w:val="00937941"/>
    <w:rsid w:val="009446F4"/>
    <w:rsid w:val="009450AA"/>
    <w:rsid w:val="00945292"/>
    <w:rsid w:val="00945EB9"/>
    <w:rsid w:val="00945FAA"/>
    <w:rsid w:val="009469A5"/>
    <w:rsid w:val="009504E1"/>
    <w:rsid w:val="00951DDA"/>
    <w:rsid w:val="00952A7F"/>
    <w:rsid w:val="00952CD5"/>
    <w:rsid w:val="0095393D"/>
    <w:rsid w:val="0095421E"/>
    <w:rsid w:val="009565C3"/>
    <w:rsid w:val="00957975"/>
    <w:rsid w:val="00961356"/>
    <w:rsid w:val="00963264"/>
    <w:rsid w:val="00963C55"/>
    <w:rsid w:val="0096403F"/>
    <w:rsid w:val="0096511D"/>
    <w:rsid w:val="00965321"/>
    <w:rsid w:val="00965469"/>
    <w:rsid w:val="00967A35"/>
    <w:rsid w:val="00967B8B"/>
    <w:rsid w:val="00974FC0"/>
    <w:rsid w:val="009751A1"/>
    <w:rsid w:val="009754C9"/>
    <w:rsid w:val="00980F0B"/>
    <w:rsid w:val="00981316"/>
    <w:rsid w:val="0098339A"/>
    <w:rsid w:val="009835C4"/>
    <w:rsid w:val="00983665"/>
    <w:rsid w:val="0098461F"/>
    <w:rsid w:val="00984E99"/>
    <w:rsid w:val="00986B33"/>
    <w:rsid w:val="00994B5E"/>
    <w:rsid w:val="00997170"/>
    <w:rsid w:val="00997C39"/>
    <w:rsid w:val="00997FC8"/>
    <w:rsid w:val="009A3FCE"/>
    <w:rsid w:val="009A5CAE"/>
    <w:rsid w:val="009A74E0"/>
    <w:rsid w:val="009B1996"/>
    <w:rsid w:val="009B1FFF"/>
    <w:rsid w:val="009B5032"/>
    <w:rsid w:val="009C0FC5"/>
    <w:rsid w:val="009C2F46"/>
    <w:rsid w:val="009C3D48"/>
    <w:rsid w:val="009C40CE"/>
    <w:rsid w:val="009C57A1"/>
    <w:rsid w:val="009C5AAA"/>
    <w:rsid w:val="009C60EB"/>
    <w:rsid w:val="009C6FEC"/>
    <w:rsid w:val="009D02F8"/>
    <w:rsid w:val="009D05EA"/>
    <w:rsid w:val="009D0EDE"/>
    <w:rsid w:val="009D2772"/>
    <w:rsid w:val="009D3F1B"/>
    <w:rsid w:val="009D4883"/>
    <w:rsid w:val="009D628E"/>
    <w:rsid w:val="009E01BA"/>
    <w:rsid w:val="009E0207"/>
    <w:rsid w:val="009E0480"/>
    <w:rsid w:val="009E173E"/>
    <w:rsid w:val="009E1E25"/>
    <w:rsid w:val="009E2F53"/>
    <w:rsid w:val="009E3BF6"/>
    <w:rsid w:val="009E3DFF"/>
    <w:rsid w:val="009E3F8E"/>
    <w:rsid w:val="009E6DF4"/>
    <w:rsid w:val="009E732B"/>
    <w:rsid w:val="009E7D3D"/>
    <w:rsid w:val="009F009F"/>
    <w:rsid w:val="009F023B"/>
    <w:rsid w:val="009F1F80"/>
    <w:rsid w:val="009F2A9E"/>
    <w:rsid w:val="009F4541"/>
    <w:rsid w:val="009F485C"/>
    <w:rsid w:val="009F4C4F"/>
    <w:rsid w:val="009F4CD4"/>
    <w:rsid w:val="009F5F51"/>
    <w:rsid w:val="009F76B9"/>
    <w:rsid w:val="00A01648"/>
    <w:rsid w:val="00A02077"/>
    <w:rsid w:val="00A02357"/>
    <w:rsid w:val="00A043D5"/>
    <w:rsid w:val="00A04CD1"/>
    <w:rsid w:val="00A05C50"/>
    <w:rsid w:val="00A06FC3"/>
    <w:rsid w:val="00A0707B"/>
    <w:rsid w:val="00A07BB3"/>
    <w:rsid w:val="00A104E7"/>
    <w:rsid w:val="00A10A6B"/>
    <w:rsid w:val="00A10DF7"/>
    <w:rsid w:val="00A11651"/>
    <w:rsid w:val="00A117C0"/>
    <w:rsid w:val="00A13C8D"/>
    <w:rsid w:val="00A14E96"/>
    <w:rsid w:val="00A14F52"/>
    <w:rsid w:val="00A15F84"/>
    <w:rsid w:val="00A16C5F"/>
    <w:rsid w:val="00A212E0"/>
    <w:rsid w:val="00A23EE1"/>
    <w:rsid w:val="00A24A3D"/>
    <w:rsid w:val="00A25456"/>
    <w:rsid w:val="00A2642C"/>
    <w:rsid w:val="00A26E9C"/>
    <w:rsid w:val="00A310A2"/>
    <w:rsid w:val="00A32374"/>
    <w:rsid w:val="00A34867"/>
    <w:rsid w:val="00A351B9"/>
    <w:rsid w:val="00A3558B"/>
    <w:rsid w:val="00A37C63"/>
    <w:rsid w:val="00A44583"/>
    <w:rsid w:val="00A44CB4"/>
    <w:rsid w:val="00A45165"/>
    <w:rsid w:val="00A4781C"/>
    <w:rsid w:val="00A50E71"/>
    <w:rsid w:val="00A53E7D"/>
    <w:rsid w:val="00A5421E"/>
    <w:rsid w:val="00A5534F"/>
    <w:rsid w:val="00A5541C"/>
    <w:rsid w:val="00A55B0A"/>
    <w:rsid w:val="00A561C1"/>
    <w:rsid w:val="00A5708D"/>
    <w:rsid w:val="00A5796D"/>
    <w:rsid w:val="00A60EBF"/>
    <w:rsid w:val="00A610D4"/>
    <w:rsid w:val="00A61360"/>
    <w:rsid w:val="00A626C2"/>
    <w:rsid w:val="00A63977"/>
    <w:rsid w:val="00A651F5"/>
    <w:rsid w:val="00A667A7"/>
    <w:rsid w:val="00A70DD4"/>
    <w:rsid w:val="00A70EE3"/>
    <w:rsid w:val="00A75FA3"/>
    <w:rsid w:val="00A764B1"/>
    <w:rsid w:val="00A81A78"/>
    <w:rsid w:val="00A81CEA"/>
    <w:rsid w:val="00A82002"/>
    <w:rsid w:val="00A87257"/>
    <w:rsid w:val="00A87400"/>
    <w:rsid w:val="00A90503"/>
    <w:rsid w:val="00A916E4"/>
    <w:rsid w:val="00A9258C"/>
    <w:rsid w:val="00A928AA"/>
    <w:rsid w:val="00A92998"/>
    <w:rsid w:val="00A95640"/>
    <w:rsid w:val="00A96266"/>
    <w:rsid w:val="00A97AD6"/>
    <w:rsid w:val="00A97E2A"/>
    <w:rsid w:val="00AA3048"/>
    <w:rsid w:val="00AA52C6"/>
    <w:rsid w:val="00AB1451"/>
    <w:rsid w:val="00AB2826"/>
    <w:rsid w:val="00AB4946"/>
    <w:rsid w:val="00AB4A17"/>
    <w:rsid w:val="00AB51BC"/>
    <w:rsid w:val="00AB7914"/>
    <w:rsid w:val="00AC2837"/>
    <w:rsid w:val="00AC3CE5"/>
    <w:rsid w:val="00AC5618"/>
    <w:rsid w:val="00AD019D"/>
    <w:rsid w:val="00AD1CC0"/>
    <w:rsid w:val="00AD6323"/>
    <w:rsid w:val="00AD6A7C"/>
    <w:rsid w:val="00AD7CCC"/>
    <w:rsid w:val="00AE14E4"/>
    <w:rsid w:val="00AE293F"/>
    <w:rsid w:val="00AF207D"/>
    <w:rsid w:val="00AF28C0"/>
    <w:rsid w:val="00AF4A45"/>
    <w:rsid w:val="00AF5193"/>
    <w:rsid w:val="00AF5291"/>
    <w:rsid w:val="00AF593B"/>
    <w:rsid w:val="00AF6E65"/>
    <w:rsid w:val="00AF736A"/>
    <w:rsid w:val="00B01346"/>
    <w:rsid w:val="00B01708"/>
    <w:rsid w:val="00B01C42"/>
    <w:rsid w:val="00B02443"/>
    <w:rsid w:val="00B028D9"/>
    <w:rsid w:val="00B02E2A"/>
    <w:rsid w:val="00B04F34"/>
    <w:rsid w:val="00B05BD4"/>
    <w:rsid w:val="00B1011D"/>
    <w:rsid w:val="00B11046"/>
    <w:rsid w:val="00B11FD3"/>
    <w:rsid w:val="00B13359"/>
    <w:rsid w:val="00B1425B"/>
    <w:rsid w:val="00B14CC6"/>
    <w:rsid w:val="00B15491"/>
    <w:rsid w:val="00B15606"/>
    <w:rsid w:val="00B1588D"/>
    <w:rsid w:val="00B22A98"/>
    <w:rsid w:val="00B2324A"/>
    <w:rsid w:val="00B23304"/>
    <w:rsid w:val="00B233E4"/>
    <w:rsid w:val="00B24F6C"/>
    <w:rsid w:val="00B253EC"/>
    <w:rsid w:val="00B307F3"/>
    <w:rsid w:val="00B332F2"/>
    <w:rsid w:val="00B33335"/>
    <w:rsid w:val="00B338DC"/>
    <w:rsid w:val="00B35B32"/>
    <w:rsid w:val="00B4259D"/>
    <w:rsid w:val="00B43799"/>
    <w:rsid w:val="00B455DD"/>
    <w:rsid w:val="00B4568F"/>
    <w:rsid w:val="00B45D38"/>
    <w:rsid w:val="00B45F48"/>
    <w:rsid w:val="00B460BA"/>
    <w:rsid w:val="00B50ACD"/>
    <w:rsid w:val="00B50D05"/>
    <w:rsid w:val="00B52DC0"/>
    <w:rsid w:val="00B5444E"/>
    <w:rsid w:val="00B565BE"/>
    <w:rsid w:val="00B574D3"/>
    <w:rsid w:val="00B57D30"/>
    <w:rsid w:val="00B6032C"/>
    <w:rsid w:val="00B60C90"/>
    <w:rsid w:val="00B62ED9"/>
    <w:rsid w:val="00B62F56"/>
    <w:rsid w:val="00B66A7E"/>
    <w:rsid w:val="00B71DF4"/>
    <w:rsid w:val="00B7234B"/>
    <w:rsid w:val="00B72506"/>
    <w:rsid w:val="00B73A8B"/>
    <w:rsid w:val="00B75108"/>
    <w:rsid w:val="00B7545F"/>
    <w:rsid w:val="00B75CE5"/>
    <w:rsid w:val="00B76472"/>
    <w:rsid w:val="00B76B72"/>
    <w:rsid w:val="00B7706A"/>
    <w:rsid w:val="00B8134F"/>
    <w:rsid w:val="00B81E87"/>
    <w:rsid w:val="00B83979"/>
    <w:rsid w:val="00B83DD4"/>
    <w:rsid w:val="00B8485E"/>
    <w:rsid w:val="00B85A34"/>
    <w:rsid w:val="00B86147"/>
    <w:rsid w:val="00B87D93"/>
    <w:rsid w:val="00B91457"/>
    <w:rsid w:val="00B91A1D"/>
    <w:rsid w:val="00B948C7"/>
    <w:rsid w:val="00B95B87"/>
    <w:rsid w:val="00B95D6C"/>
    <w:rsid w:val="00B97326"/>
    <w:rsid w:val="00B9738B"/>
    <w:rsid w:val="00BA0EA4"/>
    <w:rsid w:val="00BA13BE"/>
    <w:rsid w:val="00BA3F4D"/>
    <w:rsid w:val="00BA4056"/>
    <w:rsid w:val="00BA435C"/>
    <w:rsid w:val="00BA438D"/>
    <w:rsid w:val="00BA5B9F"/>
    <w:rsid w:val="00BA6C54"/>
    <w:rsid w:val="00BA723B"/>
    <w:rsid w:val="00BA7D48"/>
    <w:rsid w:val="00BB202D"/>
    <w:rsid w:val="00BB28C1"/>
    <w:rsid w:val="00BB3B09"/>
    <w:rsid w:val="00BB510B"/>
    <w:rsid w:val="00BC01A0"/>
    <w:rsid w:val="00BC1247"/>
    <w:rsid w:val="00BC2DCA"/>
    <w:rsid w:val="00BC3A6B"/>
    <w:rsid w:val="00BC458B"/>
    <w:rsid w:val="00BC6089"/>
    <w:rsid w:val="00BC6BBC"/>
    <w:rsid w:val="00BD4C1C"/>
    <w:rsid w:val="00BD64C9"/>
    <w:rsid w:val="00BD7700"/>
    <w:rsid w:val="00BE0768"/>
    <w:rsid w:val="00BE0D71"/>
    <w:rsid w:val="00BE52A7"/>
    <w:rsid w:val="00BE5646"/>
    <w:rsid w:val="00BE745C"/>
    <w:rsid w:val="00BE7F07"/>
    <w:rsid w:val="00BF075C"/>
    <w:rsid w:val="00BF53A3"/>
    <w:rsid w:val="00C018AF"/>
    <w:rsid w:val="00C02BBA"/>
    <w:rsid w:val="00C0774F"/>
    <w:rsid w:val="00C07C19"/>
    <w:rsid w:val="00C10891"/>
    <w:rsid w:val="00C11F8D"/>
    <w:rsid w:val="00C124AA"/>
    <w:rsid w:val="00C1371C"/>
    <w:rsid w:val="00C13AF3"/>
    <w:rsid w:val="00C14164"/>
    <w:rsid w:val="00C15E57"/>
    <w:rsid w:val="00C16B42"/>
    <w:rsid w:val="00C2315A"/>
    <w:rsid w:val="00C25151"/>
    <w:rsid w:val="00C279BB"/>
    <w:rsid w:val="00C31E06"/>
    <w:rsid w:val="00C3268D"/>
    <w:rsid w:val="00C328CE"/>
    <w:rsid w:val="00C33475"/>
    <w:rsid w:val="00C335DE"/>
    <w:rsid w:val="00C33AFD"/>
    <w:rsid w:val="00C33E1F"/>
    <w:rsid w:val="00C34336"/>
    <w:rsid w:val="00C409D7"/>
    <w:rsid w:val="00C428C2"/>
    <w:rsid w:val="00C42BB3"/>
    <w:rsid w:val="00C4476C"/>
    <w:rsid w:val="00C467C7"/>
    <w:rsid w:val="00C46F1F"/>
    <w:rsid w:val="00C52AA9"/>
    <w:rsid w:val="00C56C06"/>
    <w:rsid w:val="00C613C2"/>
    <w:rsid w:val="00C6299B"/>
    <w:rsid w:val="00C64A3E"/>
    <w:rsid w:val="00C669FA"/>
    <w:rsid w:val="00C66A09"/>
    <w:rsid w:val="00C71B00"/>
    <w:rsid w:val="00C73987"/>
    <w:rsid w:val="00C739AE"/>
    <w:rsid w:val="00C73BEC"/>
    <w:rsid w:val="00C763BF"/>
    <w:rsid w:val="00C77A6E"/>
    <w:rsid w:val="00C8051F"/>
    <w:rsid w:val="00C80F95"/>
    <w:rsid w:val="00C81901"/>
    <w:rsid w:val="00C81B78"/>
    <w:rsid w:val="00C81FEC"/>
    <w:rsid w:val="00C828B2"/>
    <w:rsid w:val="00C834DB"/>
    <w:rsid w:val="00C83795"/>
    <w:rsid w:val="00C849A5"/>
    <w:rsid w:val="00C85D37"/>
    <w:rsid w:val="00C85E8B"/>
    <w:rsid w:val="00C86908"/>
    <w:rsid w:val="00C8766B"/>
    <w:rsid w:val="00C87A7D"/>
    <w:rsid w:val="00C9020B"/>
    <w:rsid w:val="00C91ACB"/>
    <w:rsid w:val="00C92BF5"/>
    <w:rsid w:val="00CA02C8"/>
    <w:rsid w:val="00CA092E"/>
    <w:rsid w:val="00CA417D"/>
    <w:rsid w:val="00CA4D0B"/>
    <w:rsid w:val="00CA7BC9"/>
    <w:rsid w:val="00CB1CCD"/>
    <w:rsid w:val="00CB3A1F"/>
    <w:rsid w:val="00CB4D47"/>
    <w:rsid w:val="00CB5694"/>
    <w:rsid w:val="00CB5AC4"/>
    <w:rsid w:val="00CB687E"/>
    <w:rsid w:val="00CB68B9"/>
    <w:rsid w:val="00CB7840"/>
    <w:rsid w:val="00CB7985"/>
    <w:rsid w:val="00CC082E"/>
    <w:rsid w:val="00CC3F4F"/>
    <w:rsid w:val="00CC4B76"/>
    <w:rsid w:val="00CC5A9D"/>
    <w:rsid w:val="00CC5EDA"/>
    <w:rsid w:val="00CC6C74"/>
    <w:rsid w:val="00CC75DE"/>
    <w:rsid w:val="00CD0F44"/>
    <w:rsid w:val="00CD1B25"/>
    <w:rsid w:val="00CD1E71"/>
    <w:rsid w:val="00CD2779"/>
    <w:rsid w:val="00CD3617"/>
    <w:rsid w:val="00CD4161"/>
    <w:rsid w:val="00CE0D9B"/>
    <w:rsid w:val="00CE1DE0"/>
    <w:rsid w:val="00CE1FC5"/>
    <w:rsid w:val="00CE24FD"/>
    <w:rsid w:val="00CE692A"/>
    <w:rsid w:val="00CE7235"/>
    <w:rsid w:val="00CE7D4C"/>
    <w:rsid w:val="00CE7E69"/>
    <w:rsid w:val="00CF1446"/>
    <w:rsid w:val="00CF2CCF"/>
    <w:rsid w:val="00CF36A6"/>
    <w:rsid w:val="00CF39B0"/>
    <w:rsid w:val="00CF4F71"/>
    <w:rsid w:val="00D002A0"/>
    <w:rsid w:val="00D00A78"/>
    <w:rsid w:val="00D01638"/>
    <w:rsid w:val="00D028F9"/>
    <w:rsid w:val="00D03729"/>
    <w:rsid w:val="00D062D3"/>
    <w:rsid w:val="00D0700B"/>
    <w:rsid w:val="00D1037F"/>
    <w:rsid w:val="00D11D7B"/>
    <w:rsid w:val="00D13AD5"/>
    <w:rsid w:val="00D14835"/>
    <w:rsid w:val="00D1583A"/>
    <w:rsid w:val="00D16F3C"/>
    <w:rsid w:val="00D201D8"/>
    <w:rsid w:val="00D21F9E"/>
    <w:rsid w:val="00D229FB"/>
    <w:rsid w:val="00D249FF"/>
    <w:rsid w:val="00D24B3E"/>
    <w:rsid w:val="00D257BF"/>
    <w:rsid w:val="00D2672A"/>
    <w:rsid w:val="00D27AEC"/>
    <w:rsid w:val="00D30AA8"/>
    <w:rsid w:val="00D30E35"/>
    <w:rsid w:val="00D31907"/>
    <w:rsid w:val="00D31E41"/>
    <w:rsid w:val="00D328ED"/>
    <w:rsid w:val="00D32C5C"/>
    <w:rsid w:val="00D33610"/>
    <w:rsid w:val="00D34B20"/>
    <w:rsid w:val="00D34F0E"/>
    <w:rsid w:val="00D3500D"/>
    <w:rsid w:val="00D35D94"/>
    <w:rsid w:val="00D35E30"/>
    <w:rsid w:val="00D37FB1"/>
    <w:rsid w:val="00D40A53"/>
    <w:rsid w:val="00D4244F"/>
    <w:rsid w:val="00D45BCB"/>
    <w:rsid w:val="00D468AD"/>
    <w:rsid w:val="00D46CA7"/>
    <w:rsid w:val="00D50253"/>
    <w:rsid w:val="00D60F1E"/>
    <w:rsid w:val="00D611D2"/>
    <w:rsid w:val="00D6185D"/>
    <w:rsid w:val="00D64A53"/>
    <w:rsid w:val="00D653A1"/>
    <w:rsid w:val="00D656F8"/>
    <w:rsid w:val="00D66163"/>
    <w:rsid w:val="00D67DAF"/>
    <w:rsid w:val="00D71EB6"/>
    <w:rsid w:val="00D73BFC"/>
    <w:rsid w:val="00D73DF1"/>
    <w:rsid w:val="00D749AD"/>
    <w:rsid w:val="00D74E02"/>
    <w:rsid w:val="00D75FDB"/>
    <w:rsid w:val="00D76DD6"/>
    <w:rsid w:val="00D772C0"/>
    <w:rsid w:val="00D775F9"/>
    <w:rsid w:val="00D818D5"/>
    <w:rsid w:val="00D81E33"/>
    <w:rsid w:val="00D82BE3"/>
    <w:rsid w:val="00D83764"/>
    <w:rsid w:val="00D854E5"/>
    <w:rsid w:val="00D872F5"/>
    <w:rsid w:val="00D90708"/>
    <w:rsid w:val="00D91467"/>
    <w:rsid w:val="00D93DEF"/>
    <w:rsid w:val="00D94992"/>
    <w:rsid w:val="00D94AD2"/>
    <w:rsid w:val="00D94C76"/>
    <w:rsid w:val="00DA3190"/>
    <w:rsid w:val="00DA5B3F"/>
    <w:rsid w:val="00DA5C71"/>
    <w:rsid w:val="00DA62E2"/>
    <w:rsid w:val="00DA64D6"/>
    <w:rsid w:val="00DB2050"/>
    <w:rsid w:val="00DB3A2A"/>
    <w:rsid w:val="00DB4144"/>
    <w:rsid w:val="00DB4B32"/>
    <w:rsid w:val="00DB4DA0"/>
    <w:rsid w:val="00DB754B"/>
    <w:rsid w:val="00DC28CF"/>
    <w:rsid w:val="00DC60F9"/>
    <w:rsid w:val="00DC7318"/>
    <w:rsid w:val="00DC7971"/>
    <w:rsid w:val="00DC7FBA"/>
    <w:rsid w:val="00DD357C"/>
    <w:rsid w:val="00DD3CFD"/>
    <w:rsid w:val="00DD6742"/>
    <w:rsid w:val="00DD6AA2"/>
    <w:rsid w:val="00DD6D44"/>
    <w:rsid w:val="00DD7C4A"/>
    <w:rsid w:val="00DE177C"/>
    <w:rsid w:val="00DE19C5"/>
    <w:rsid w:val="00DE1EF6"/>
    <w:rsid w:val="00DE3052"/>
    <w:rsid w:val="00DE63E2"/>
    <w:rsid w:val="00DE676C"/>
    <w:rsid w:val="00DF1C21"/>
    <w:rsid w:val="00DF4286"/>
    <w:rsid w:val="00DF4F00"/>
    <w:rsid w:val="00DF5EBA"/>
    <w:rsid w:val="00E001CD"/>
    <w:rsid w:val="00E00C48"/>
    <w:rsid w:val="00E04594"/>
    <w:rsid w:val="00E05279"/>
    <w:rsid w:val="00E060F2"/>
    <w:rsid w:val="00E06E6D"/>
    <w:rsid w:val="00E134BD"/>
    <w:rsid w:val="00E1545C"/>
    <w:rsid w:val="00E15777"/>
    <w:rsid w:val="00E164F9"/>
    <w:rsid w:val="00E16A28"/>
    <w:rsid w:val="00E16B97"/>
    <w:rsid w:val="00E172EA"/>
    <w:rsid w:val="00E173DB"/>
    <w:rsid w:val="00E17BFD"/>
    <w:rsid w:val="00E17C8A"/>
    <w:rsid w:val="00E21B0A"/>
    <w:rsid w:val="00E22485"/>
    <w:rsid w:val="00E23A19"/>
    <w:rsid w:val="00E249C3"/>
    <w:rsid w:val="00E24E45"/>
    <w:rsid w:val="00E24E62"/>
    <w:rsid w:val="00E25F19"/>
    <w:rsid w:val="00E26793"/>
    <w:rsid w:val="00E274F7"/>
    <w:rsid w:val="00E2754C"/>
    <w:rsid w:val="00E330D8"/>
    <w:rsid w:val="00E33737"/>
    <w:rsid w:val="00E35445"/>
    <w:rsid w:val="00E35CF2"/>
    <w:rsid w:val="00E35EFC"/>
    <w:rsid w:val="00E36669"/>
    <w:rsid w:val="00E370F6"/>
    <w:rsid w:val="00E37286"/>
    <w:rsid w:val="00E40B27"/>
    <w:rsid w:val="00E4217F"/>
    <w:rsid w:val="00E42410"/>
    <w:rsid w:val="00E4327A"/>
    <w:rsid w:val="00E43C64"/>
    <w:rsid w:val="00E43D52"/>
    <w:rsid w:val="00E44505"/>
    <w:rsid w:val="00E46E33"/>
    <w:rsid w:val="00E501EA"/>
    <w:rsid w:val="00E52234"/>
    <w:rsid w:val="00E535D8"/>
    <w:rsid w:val="00E5443D"/>
    <w:rsid w:val="00E55B4B"/>
    <w:rsid w:val="00E55C7C"/>
    <w:rsid w:val="00E55FFA"/>
    <w:rsid w:val="00E56A01"/>
    <w:rsid w:val="00E57689"/>
    <w:rsid w:val="00E57FFE"/>
    <w:rsid w:val="00E6049E"/>
    <w:rsid w:val="00E63475"/>
    <w:rsid w:val="00E63B55"/>
    <w:rsid w:val="00E648A6"/>
    <w:rsid w:val="00E70FA1"/>
    <w:rsid w:val="00E711D2"/>
    <w:rsid w:val="00E7181E"/>
    <w:rsid w:val="00E71BFF"/>
    <w:rsid w:val="00E7676B"/>
    <w:rsid w:val="00E80FD9"/>
    <w:rsid w:val="00E81163"/>
    <w:rsid w:val="00E83EC1"/>
    <w:rsid w:val="00E85ED9"/>
    <w:rsid w:val="00E86B3F"/>
    <w:rsid w:val="00E87849"/>
    <w:rsid w:val="00E900C2"/>
    <w:rsid w:val="00E90949"/>
    <w:rsid w:val="00E92E3F"/>
    <w:rsid w:val="00E9403D"/>
    <w:rsid w:val="00E94481"/>
    <w:rsid w:val="00E950BC"/>
    <w:rsid w:val="00E95532"/>
    <w:rsid w:val="00E97A9B"/>
    <w:rsid w:val="00E97BA8"/>
    <w:rsid w:val="00EA0F38"/>
    <w:rsid w:val="00EA1932"/>
    <w:rsid w:val="00EA2A37"/>
    <w:rsid w:val="00EA3481"/>
    <w:rsid w:val="00EA351F"/>
    <w:rsid w:val="00EA4D8B"/>
    <w:rsid w:val="00EA4E61"/>
    <w:rsid w:val="00EA4FAD"/>
    <w:rsid w:val="00EB1596"/>
    <w:rsid w:val="00EB47AF"/>
    <w:rsid w:val="00EB6F29"/>
    <w:rsid w:val="00EC0A7C"/>
    <w:rsid w:val="00EC1685"/>
    <w:rsid w:val="00EC1841"/>
    <w:rsid w:val="00EC3601"/>
    <w:rsid w:val="00EC62EA"/>
    <w:rsid w:val="00EC7FC2"/>
    <w:rsid w:val="00ED24A8"/>
    <w:rsid w:val="00ED261C"/>
    <w:rsid w:val="00ED4737"/>
    <w:rsid w:val="00ED5532"/>
    <w:rsid w:val="00EE198D"/>
    <w:rsid w:val="00EE3924"/>
    <w:rsid w:val="00EE4990"/>
    <w:rsid w:val="00EE560F"/>
    <w:rsid w:val="00EE5CF8"/>
    <w:rsid w:val="00EF0F7B"/>
    <w:rsid w:val="00EF110E"/>
    <w:rsid w:val="00EF1AFA"/>
    <w:rsid w:val="00EF1EE7"/>
    <w:rsid w:val="00EF251E"/>
    <w:rsid w:val="00EF502A"/>
    <w:rsid w:val="00EF643F"/>
    <w:rsid w:val="00EF6FB6"/>
    <w:rsid w:val="00EF71DA"/>
    <w:rsid w:val="00F0018C"/>
    <w:rsid w:val="00F027C0"/>
    <w:rsid w:val="00F03EBE"/>
    <w:rsid w:val="00F04628"/>
    <w:rsid w:val="00F04C6B"/>
    <w:rsid w:val="00F05CC0"/>
    <w:rsid w:val="00F078C6"/>
    <w:rsid w:val="00F1140E"/>
    <w:rsid w:val="00F1257D"/>
    <w:rsid w:val="00F127CB"/>
    <w:rsid w:val="00F12F9B"/>
    <w:rsid w:val="00F13C20"/>
    <w:rsid w:val="00F154CF"/>
    <w:rsid w:val="00F17763"/>
    <w:rsid w:val="00F177F2"/>
    <w:rsid w:val="00F20DEA"/>
    <w:rsid w:val="00F21450"/>
    <w:rsid w:val="00F21C54"/>
    <w:rsid w:val="00F224AB"/>
    <w:rsid w:val="00F23CF3"/>
    <w:rsid w:val="00F266BB"/>
    <w:rsid w:val="00F26F92"/>
    <w:rsid w:val="00F273C3"/>
    <w:rsid w:val="00F302D2"/>
    <w:rsid w:val="00F304EF"/>
    <w:rsid w:val="00F317E7"/>
    <w:rsid w:val="00F330F3"/>
    <w:rsid w:val="00F35997"/>
    <w:rsid w:val="00F360FC"/>
    <w:rsid w:val="00F367E3"/>
    <w:rsid w:val="00F37FF0"/>
    <w:rsid w:val="00F41F37"/>
    <w:rsid w:val="00F42B24"/>
    <w:rsid w:val="00F44444"/>
    <w:rsid w:val="00F4711D"/>
    <w:rsid w:val="00F4732D"/>
    <w:rsid w:val="00F5089E"/>
    <w:rsid w:val="00F515A7"/>
    <w:rsid w:val="00F53629"/>
    <w:rsid w:val="00F53F7A"/>
    <w:rsid w:val="00F54D32"/>
    <w:rsid w:val="00F54E79"/>
    <w:rsid w:val="00F55538"/>
    <w:rsid w:val="00F60DA1"/>
    <w:rsid w:val="00F616C8"/>
    <w:rsid w:val="00F61D43"/>
    <w:rsid w:val="00F6378A"/>
    <w:rsid w:val="00F638D0"/>
    <w:rsid w:val="00F6412C"/>
    <w:rsid w:val="00F7004E"/>
    <w:rsid w:val="00F719E5"/>
    <w:rsid w:val="00F74130"/>
    <w:rsid w:val="00F76B6C"/>
    <w:rsid w:val="00F775D1"/>
    <w:rsid w:val="00F802A7"/>
    <w:rsid w:val="00F81499"/>
    <w:rsid w:val="00F821A3"/>
    <w:rsid w:val="00F83C05"/>
    <w:rsid w:val="00F84E8D"/>
    <w:rsid w:val="00F85FD3"/>
    <w:rsid w:val="00F8731B"/>
    <w:rsid w:val="00F91574"/>
    <w:rsid w:val="00F91E43"/>
    <w:rsid w:val="00F946CB"/>
    <w:rsid w:val="00FA06ED"/>
    <w:rsid w:val="00FA5A4A"/>
    <w:rsid w:val="00FA5FA2"/>
    <w:rsid w:val="00FA6629"/>
    <w:rsid w:val="00FB3C38"/>
    <w:rsid w:val="00FB4769"/>
    <w:rsid w:val="00FB7FA9"/>
    <w:rsid w:val="00FC0E33"/>
    <w:rsid w:val="00FC1EA5"/>
    <w:rsid w:val="00FC3294"/>
    <w:rsid w:val="00FC3E57"/>
    <w:rsid w:val="00FC498E"/>
    <w:rsid w:val="00FC627E"/>
    <w:rsid w:val="00FC646C"/>
    <w:rsid w:val="00FC6AD8"/>
    <w:rsid w:val="00FC6EFE"/>
    <w:rsid w:val="00FC7915"/>
    <w:rsid w:val="00FC7C15"/>
    <w:rsid w:val="00FC7EFE"/>
    <w:rsid w:val="00FC7FFA"/>
    <w:rsid w:val="00FD232D"/>
    <w:rsid w:val="00FD3526"/>
    <w:rsid w:val="00FD3708"/>
    <w:rsid w:val="00FD3E74"/>
    <w:rsid w:val="00FD55A9"/>
    <w:rsid w:val="00FD648C"/>
    <w:rsid w:val="00FD7C37"/>
    <w:rsid w:val="00FE0E62"/>
    <w:rsid w:val="00FE39DA"/>
    <w:rsid w:val="00FE416D"/>
    <w:rsid w:val="00FE51CC"/>
    <w:rsid w:val="00FE7799"/>
    <w:rsid w:val="00FE785E"/>
    <w:rsid w:val="00FF035F"/>
    <w:rsid w:val="00FF07C1"/>
    <w:rsid w:val="00FF0C52"/>
    <w:rsid w:val="00FF1870"/>
    <w:rsid w:val="00FF307A"/>
    <w:rsid w:val="00FF6DC3"/>
    <w:rsid w:val="2F7685B6"/>
    <w:rsid w:val="3E1C103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6357"/>
  <w15:chartTrackingRefBased/>
  <w15:docId w15:val="{19CCAE03-AECB-40CF-994F-28EDB644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8F"/>
  </w:style>
  <w:style w:type="paragraph" w:styleId="Heading1">
    <w:name w:val="heading 1"/>
    <w:basedOn w:val="Normal"/>
    <w:next w:val="Normal"/>
    <w:link w:val="Heading1Char"/>
    <w:uiPriority w:val="9"/>
    <w:qFormat/>
    <w:rsid w:val="001154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56A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526F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53F7A"/>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F53F7A"/>
    <w:rPr>
      <w:color w:val="0000FF"/>
      <w:u w:val="single"/>
    </w:rPr>
  </w:style>
  <w:style w:type="paragraph" w:styleId="PlainText">
    <w:name w:val="Plain Text"/>
    <w:basedOn w:val="Normal"/>
    <w:link w:val="PlainTextChar"/>
    <w:uiPriority w:val="99"/>
    <w:semiHidden/>
    <w:unhideWhenUsed/>
    <w:rsid w:val="00911553"/>
    <w:rPr>
      <w:rFonts w:ascii="Consolas" w:hAnsi="Consolas"/>
      <w:sz w:val="21"/>
      <w:szCs w:val="21"/>
    </w:rPr>
  </w:style>
  <w:style w:type="character" w:customStyle="1" w:styleId="PlainTextChar">
    <w:name w:val="Plain Text Char"/>
    <w:basedOn w:val="DefaultParagraphFont"/>
    <w:link w:val="PlainText"/>
    <w:uiPriority w:val="99"/>
    <w:semiHidden/>
    <w:rsid w:val="00911553"/>
    <w:rPr>
      <w:rFonts w:ascii="Consolas" w:hAnsi="Consolas"/>
      <w:sz w:val="21"/>
      <w:szCs w:val="21"/>
    </w:rPr>
  </w:style>
  <w:style w:type="paragraph" w:styleId="ListParagraph">
    <w:name w:val="List Paragraph"/>
    <w:aliases w:val="2,Bullet Points,Bullet list,Equipment,Figure_name,H&amp;P List Paragraph,List Paragraph1,MAIN CONTENT,Normal bullet 2,Numbered Indented Text,PPS_Bullet,Paragraph,Paragraphe de liste PBLH,Strip,Subtle Emphasis1,Yellow Bullet"/>
    <w:basedOn w:val="Normal"/>
    <w:link w:val="ListParagraphChar"/>
    <w:uiPriority w:val="34"/>
    <w:qFormat/>
    <w:rsid w:val="00505A35"/>
    <w:pPr>
      <w:ind w:left="720"/>
      <w:contextualSpacing/>
    </w:pPr>
  </w:style>
  <w:style w:type="paragraph" w:styleId="NormalWeb">
    <w:name w:val="Normal (Web)"/>
    <w:basedOn w:val="Normal"/>
    <w:uiPriority w:val="99"/>
    <w:unhideWhenUsed/>
    <w:rsid w:val="00E05279"/>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8A5369"/>
    <w:rPr>
      <w:b/>
      <w:bCs/>
    </w:rPr>
  </w:style>
  <w:style w:type="table" w:styleId="TableGrid">
    <w:name w:val="Table Grid"/>
    <w:basedOn w:val="TableNormal"/>
    <w:uiPriority w:val="59"/>
    <w:qFormat/>
    <w:rsid w:val="00290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62B48"/>
    <w:rPr>
      <w:color w:val="605E5C"/>
      <w:shd w:val="clear" w:color="auto" w:fill="E1DFDD"/>
    </w:rPr>
  </w:style>
  <w:style w:type="character" w:customStyle="1" w:styleId="Heading1Char">
    <w:name w:val="Heading 1 Char"/>
    <w:basedOn w:val="DefaultParagraphFont"/>
    <w:link w:val="Heading1"/>
    <w:uiPriority w:val="9"/>
    <w:rsid w:val="001154C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154CC"/>
    <w:pPr>
      <w:outlineLvl w:val="9"/>
    </w:pPr>
    <w:rPr>
      <w:kern w:val="0"/>
      <w14:ligatures w14:val="none"/>
    </w:rPr>
  </w:style>
  <w:style w:type="paragraph" w:styleId="TOC1">
    <w:name w:val="toc 1"/>
    <w:basedOn w:val="Normal"/>
    <w:next w:val="Normal"/>
    <w:autoRedefine/>
    <w:uiPriority w:val="39"/>
    <w:unhideWhenUsed/>
    <w:rsid w:val="009D0EDE"/>
    <w:pPr>
      <w:tabs>
        <w:tab w:val="right" w:leader="dot" w:pos="9781"/>
      </w:tabs>
      <w:spacing w:after="100"/>
    </w:pPr>
  </w:style>
  <w:style w:type="paragraph" w:customStyle="1" w:styleId="Style1">
    <w:name w:val="Style1"/>
    <w:basedOn w:val="Normal"/>
    <w:link w:val="Style1Char"/>
    <w:rsid w:val="001154CC"/>
    <w:pPr>
      <w:keepNext/>
      <w:spacing w:before="360" w:after="40"/>
      <w:jc w:val="center"/>
      <w:outlineLvl w:val="0"/>
    </w:pPr>
    <w:rPr>
      <w:rFonts w:ascii="Times New Roman" w:eastAsia="Times New Roman" w:hAnsi="Times New Roman" w:cs="Times New Roman"/>
      <w:b/>
      <w:bCs/>
      <w:color w:val="4472C4" w:themeColor="accent1"/>
      <w:kern w:val="0"/>
      <w:sz w:val="28"/>
      <w:szCs w:val="28"/>
      <w14:ligatures w14:val="none"/>
    </w:rPr>
  </w:style>
  <w:style w:type="paragraph" w:customStyle="1" w:styleId="Style2">
    <w:name w:val="Style2"/>
    <w:basedOn w:val="Normal"/>
    <w:link w:val="Style2Char"/>
    <w:rsid w:val="001154CC"/>
    <w:pPr>
      <w:pBdr>
        <w:bottom w:val="single" w:sz="18" w:space="1" w:color="2F5496" w:themeColor="accent1" w:themeShade="BF"/>
      </w:pBdr>
    </w:pPr>
    <w:rPr>
      <w:rFonts w:ascii="Times New Roman" w:hAnsi="Times New Roman" w:cs="Times New Roman"/>
      <w:b/>
      <w:bCs/>
      <w:color w:val="2F5496" w:themeColor="accent1" w:themeShade="BF"/>
      <w:sz w:val="28"/>
      <w:szCs w:val="28"/>
    </w:rPr>
  </w:style>
  <w:style w:type="character" w:customStyle="1" w:styleId="Style1Char">
    <w:name w:val="Style1 Char"/>
    <w:basedOn w:val="DefaultParagraphFont"/>
    <w:link w:val="Style1"/>
    <w:rsid w:val="001154CC"/>
    <w:rPr>
      <w:rFonts w:ascii="Times New Roman" w:eastAsia="Times New Roman" w:hAnsi="Times New Roman" w:cs="Times New Roman"/>
      <w:b/>
      <w:bCs/>
      <w:color w:val="4472C4" w:themeColor="accent1"/>
      <w:kern w:val="0"/>
      <w:sz w:val="28"/>
      <w:szCs w:val="28"/>
      <w14:ligatures w14:val="none"/>
    </w:rPr>
  </w:style>
  <w:style w:type="paragraph" w:customStyle="1" w:styleId="Style3">
    <w:name w:val="Style3"/>
    <w:basedOn w:val="Style2"/>
    <w:next w:val="Heading1"/>
    <w:link w:val="Style3Char"/>
    <w:rsid w:val="003157BE"/>
  </w:style>
  <w:style w:type="character" w:customStyle="1" w:styleId="Style2Char">
    <w:name w:val="Style2 Char"/>
    <w:basedOn w:val="DefaultParagraphFont"/>
    <w:link w:val="Style2"/>
    <w:rsid w:val="001154CC"/>
    <w:rPr>
      <w:rFonts w:ascii="Times New Roman" w:hAnsi="Times New Roman" w:cs="Times New Roman"/>
      <w:b/>
      <w:bCs/>
      <w:color w:val="2F5496" w:themeColor="accent1" w:themeShade="BF"/>
      <w:sz w:val="28"/>
      <w:szCs w:val="28"/>
    </w:rPr>
  </w:style>
  <w:style w:type="paragraph" w:customStyle="1" w:styleId="Style4">
    <w:name w:val="Style4"/>
    <w:basedOn w:val="Heading1"/>
    <w:link w:val="Style4Char"/>
    <w:qFormat/>
    <w:rsid w:val="008400F3"/>
    <w:pPr>
      <w:pBdr>
        <w:bottom w:val="single" w:sz="18" w:space="1" w:color="2F5496" w:themeColor="accent1" w:themeShade="BF"/>
      </w:pBdr>
    </w:pPr>
    <w:rPr>
      <w:rFonts w:ascii="Times New Roman" w:hAnsi="Times New Roman"/>
      <w:b/>
      <w:sz w:val="28"/>
    </w:rPr>
  </w:style>
  <w:style w:type="character" w:customStyle="1" w:styleId="Style3Char">
    <w:name w:val="Style3 Char"/>
    <w:basedOn w:val="Style2Char"/>
    <w:link w:val="Style3"/>
    <w:rsid w:val="003157BE"/>
    <w:rPr>
      <w:rFonts w:ascii="Times New Roman" w:hAnsi="Times New Roman" w:cs="Times New Roman"/>
      <w:b/>
      <w:bCs/>
      <w:color w:val="2F5496" w:themeColor="accent1" w:themeShade="BF"/>
      <w:sz w:val="28"/>
      <w:szCs w:val="28"/>
    </w:rPr>
  </w:style>
  <w:style w:type="paragraph" w:styleId="Header">
    <w:name w:val="header"/>
    <w:basedOn w:val="Normal"/>
    <w:link w:val="HeaderChar"/>
    <w:uiPriority w:val="99"/>
    <w:unhideWhenUsed/>
    <w:rsid w:val="008400F3"/>
    <w:pPr>
      <w:tabs>
        <w:tab w:val="center" w:pos="4153"/>
        <w:tab w:val="right" w:pos="8306"/>
      </w:tabs>
    </w:pPr>
  </w:style>
  <w:style w:type="character" w:customStyle="1" w:styleId="Style4Char">
    <w:name w:val="Style4 Char"/>
    <w:basedOn w:val="Heading1Char"/>
    <w:link w:val="Style4"/>
    <w:rsid w:val="008400F3"/>
    <w:rPr>
      <w:rFonts w:ascii="Times New Roman" w:eastAsiaTheme="majorEastAsia" w:hAnsi="Times New Roman" w:cstheme="majorBidi"/>
      <w:b/>
      <w:color w:val="2F5496" w:themeColor="accent1" w:themeShade="BF"/>
      <w:sz w:val="28"/>
      <w:szCs w:val="32"/>
    </w:rPr>
  </w:style>
  <w:style w:type="character" w:customStyle="1" w:styleId="HeaderChar">
    <w:name w:val="Header Char"/>
    <w:basedOn w:val="DefaultParagraphFont"/>
    <w:link w:val="Header"/>
    <w:uiPriority w:val="99"/>
    <w:rsid w:val="008400F3"/>
  </w:style>
  <w:style w:type="paragraph" w:styleId="Footer">
    <w:name w:val="footer"/>
    <w:basedOn w:val="Normal"/>
    <w:link w:val="FooterChar"/>
    <w:uiPriority w:val="99"/>
    <w:unhideWhenUsed/>
    <w:rsid w:val="008400F3"/>
    <w:pPr>
      <w:tabs>
        <w:tab w:val="center" w:pos="4153"/>
        <w:tab w:val="right" w:pos="8306"/>
      </w:tabs>
    </w:pPr>
  </w:style>
  <w:style w:type="character" w:customStyle="1" w:styleId="FooterChar">
    <w:name w:val="Footer Char"/>
    <w:basedOn w:val="DefaultParagraphFont"/>
    <w:link w:val="Footer"/>
    <w:uiPriority w:val="99"/>
    <w:rsid w:val="008400F3"/>
  </w:style>
  <w:style w:type="character" w:styleId="FollowedHyperlink">
    <w:name w:val="FollowedHyperlink"/>
    <w:basedOn w:val="DefaultParagraphFont"/>
    <w:uiPriority w:val="99"/>
    <w:semiHidden/>
    <w:unhideWhenUsed/>
    <w:rsid w:val="00896057"/>
    <w:rPr>
      <w:color w:val="954F72" w:themeColor="followedHyperlink"/>
      <w:u w:val="single"/>
    </w:rPr>
  </w:style>
  <w:style w:type="paragraph" w:styleId="FootnoteText">
    <w:name w:val="footnote text"/>
    <w:basedOn w:val="Normal"/>
    <w:link w:val="FootnoteTextChar"/>
    <w:uiPriority w:val="99"/>
    <w:unhideWhenUsed/>
    <w:rsid w:val="00896057"/>
    <w:rPr>
      <w:sz w:val="20"/>
      <w:szCs w:val="20"/>
    </w:rPr>
  </w:style>
  <w:style w:type="character" w:customStyle="1" w:styleId="FootnoteTextChar">
    <w:name w:val="Footnote Text Char"/>
    <w:basedOn w:val="DefaultParagraphFont"/>
    <w:link w:val="FootnoteText"/>
    <w:uiPriority w:val="99"/>
    <w:rsid w:val="00896057"/>
    <w:rPr>
      <w:sz w:val="20"/>
      <w:szCs w:val="20"/>
    </w:rPr>
  </w:style>
  <w:style w:type="character" w:styleId="FootnoteReference">
    <w:name w:val="footnote reference"/>
    <w:aliases w:val="Footnote Reference Number,Footnote Refernece"/>
    <w:basedOn w:val="DefaultParagraphFont"/>
    <w:uiPriority w:val="99"/>
    <w:unhideWhenUsed/>
    <w:qFormat/>
    <w:rsid w:val="00896057"/>
    <w:rPr>
      <w:vertAlign w:val="superscript"/>
    </w:rPr>
  </w:style>
  <w:style w:type="character" w:customStyle="1" w:styleId="ui-provider">
    <w:name w:val="ui-provider"/>
    <w:basedOn w:val="DefaultParagraphFont"/>
    <w:rsid w:val="000C0C81"/>
  </w:style>
  <w:style w:type="character" w:styleId="CommentReference">
    <w:name w:val="annotation reference"/>
    <w:basedOn w:val="DefaultParagraphFont"/>
    <w:uiPriority w:val="99"/>
    <w:semiHidden/>
    <w:unhideWhenUsed/>
    <w:rsid w:val="001750D0"/>
    <w:rPr>
      <w:sz w:val="16"/>
      <w:szCs w:val="16"/>
    </w:rPr>
  </w:style>
  <w:style w:type="paragraph" w:styleId="CommentText">
    <w:name w:val="annotation text"/>
    <w:basedOn w:val="Normal"/>
    <w:link w:val="CommentTextChar"/>
    <w:uiPriority w:val="99"/>
    <w:unhideWhenUsed/>
    <w:rsid w:val="001750D0"/>
    <w:rPr>
      <w:sz w:val="20"/>
      <w:szCs w:val="20"/>
    </w:rPr>
  </w:style>
  <w:style w:type="character" w:customStyle="1" w:styleId="CommentTextChar">
    <w:name w:val="Comment Text Char"/>
    <w:basedOn w:val="DefaultParagraphFont"/>
    <w:link w:val="CommentText"/>
    <w:uiPriority w:val="99"/>
    <w:rsid w:val="001750D0"/>
    <w:rPr>
      <w:sz w:val="20"/>
      <w:szCs w:val="20"/>
    </w:rPr>
  </w:style>
  <w:style w:type="paragraph" w:styleId="CommentSubject">
    <w:name w:val="annotation subject"/>
    <w:basedOn w:val="CommentText"/>
    <w:next w:val="CommentText"/>
    <w:link w:val="CommentSubjectChar"/>
    <w:uiPriority w:val="99"/>
    <w:semiHidden/>
    <w:unhideWhenUsed/>
    <w:rsid w:val="001750D0"/>
    <w:rPr>
      <w:b/>
      <w:bCs/>
    </w:rPr>
  </w:style>
  <w:style w:type="character" w:customStyle="1" w:styleId="CommentSubjectChar">
    <w:name w:val="Comment Subject Char"/>
    <w:basedOn w:val="CommentTextChar"/>
    <w:link w:val="CommentSubject"/>
    <w:uiPriority w:val="99"/>
    <w:semiHidden/>
    <w:rsid w:val="001750D0"/>
    <w:rPr>
      <w:b/>
      <w:bCs/>
      <w:sz w:val="20"/>
      <w:szCs w:val="20"/>
    </w:rPr>
  </w:style>
  <w:style w:type="paragraph" w:styleId="Revision">
    <w:name w:val="Revision"/>
    <w:hidden/>
    <w:uiPriority w:val="99"/>
    <w:semiHidden/>
    <w:rsid w:val="007F254D"/>
  </w:style>
  <w:style w:type="character" w:customStyle="1" w:styleId="Heading2Char">
    <w:name w:val="Heading 2 Char"/>
    <w:basedOn w:val="DefaultParagraphFont"/>
    <w:link w:val="Heading2"/>
    <w:uiPriority w:val="9"/>
    <w:rsid w:val="007756A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65AD7"/>
    <w:pPr>
      <w:spacing w:after="100"/>
      <w:ind w:left="220"/>
    </w:pPr>
  </w:style>
  <w:style w:type="table" w:customStyle="1" w:styleId="TableGrid1">
    <w:name w:val="Table Grid1"/>
    <w:basedOn w:val="TableNormal"/>
    <w:next w:val="TableGrid"/>
    <w:uiPriority w:val="59"/>
    <w:qFormat/>
    <w:rsid w:val="00A5541C"/>
    <w:rPr>
      <w:rFonts w:ascii="Times New Roman" w:hAnsi="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541C"/>
    <w:rPr>
      <w:kern w:val="0"/>
      <w14:ligatures w14:val="none"/>
    </w:rPr>
  </w:style>
  <w:style w:type="character" w:customStyle="1" w:styleId="cf01">
    <w:name w:val="cf01"/>
    <w:basedOn w:val="DefaultParagraphFont"/>
    <w:rsid w:val="00A5541C"/>
    <w:rPr>
      <w:rFonts w:ascii="Segoe UI" w:hAnsi="Segoe UI" w:cs="Segoe UI" w:hint="default"/>
      <w:sz w:val="18"/>
      <w:szCs w:val="18"/>
    </w:rPr>
  </w:style>
  <w:style w:type="character" w:customStyle="1" w:styleId="ListParagraphChar">
    <w:name w:val="List Paragraph Char"/>
    <w:aliases w:val="2 Char,Bullet Points Char,Bullet list Char,Equipment Char,Figure_name Char,H&amp;P List Paragraph Char,List Paragraph1 Char,MAIN CONTENT Char,Normal bullet 2 Char,Numbered Indented Text Char,PPS_Bullet Char,Paragraph Char,Strip Char"/>
    <w:link w:val="ListParagraph"/>
    <w:uiPriority w:val="34"/>
    <w:qFormat/>
    <w:locked/>
    <w:rsid w:val="00A5541C"/>
  </w:style>
  <w:style w:type="paragraph" w:customStyle="1" w:styleId="pf0">
    <w:name w:val="pf0"/>
    <w:basedOn w:val="Normal"/>
    <w:rsid w:val="00A5541C"/>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cf11">
    <w:name w:val="cf11"/>
    <w:basedOn w:val="DefaultParagraphFont"/>
    <w:rsid w:val="00A5541C"/>
    <w:rPr>
      <w:rFonts w:ascii="Segoe UI" w:hAnsi="Segoe UI" w:cs="Segoe UI" w:hint="default"/>
      <w:i/>
      <w:iCs/>
      <w:sz w:val="18"/>
      <w:szCs w:val="18"/>
    </w:rPr>
  </w:style>
  <w:style w:type="character" w:customStyle="1" w:styleId="cf21">
    <w:name w:val="cf21"/>
    <w:basedOn w:val="DefaultParagraphFont"/>
    <w:rsid w:val="00A5541C"/>
    <w:rPr>
      <w:rFonts w:ascii="Segoe UI" w:hAnsi="Segoe UI" w:cs="Segoe UI" w:hint="default"/>
      <w:b/>
      <w:bCs/>
      <w:sz w:val="18"/>
      <w:szCs w:val="18"/>
    </w:rPr>
  </w:style>
  <w:style w:type="paragraph" w:customStyle="1" w:styleId="naisf">
    <w:name w:val="naisf"/>
    <w:basedOn w:val="Normal"/>
    <w:rsid w:val="009450AA"/>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apple-style-span">
    <w:name w:val="apple-style-span"/>
    <w:rsid w:val="009450AA"/>
  </w:style>
  <w:style w:type="character" w:customStyle="1" w:styleId="header3">
    <w:name w:val="header3"/>
    <w:basedOn w:val="DefaultParagraphFont"/>
    <w:rsid w:val="00695AB4"/>
  </w:style>
  <w:style w:type="table" w:customStyle="1" w:styleId="TableGrid2">
    <w:name w:val="Table Grid2"/>
    <w:basedOn w:val="TableNormal"/>
    <w:next w:val="TableGrid"/>
    <w:uiPriority w:val="39"/>
    <w:rsid w:val="009E0207"/>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7526F0"/>
    <w:rPr>
      <w:rFonts w:asciiTheme="majorHAnsi" w:eastAsiaTheme="majorEastAsia" w:hAnsiTheme="majorHAnsi" w:cstheme="majorBidi"/>
      <w:color w:val="1F3763" w:themeColor="accent1" w:themeShade="7F"/>
      <w:sz w:val="24"/>
      <w:szCs w:val="24"/>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1">
    <w:name w:val="placeholder_paragraph1"/>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8157">
      <w:bodyDiv w:val="1"/>
      <w:marLeft w:val="0"/>
      <w:marRight w:val="0"/>
      <w:marTop w:val="0"/>
      <w:marBottom w:val="0"/>
      <w:divBdr>
        <w:top w:val="none" w:sz="0" w:space="0" w:color="auto"/>
        <w:left w:val="none" w:sz="0" w:space="0" w:color="auto"/>
        <w:bottom w:val="none" w:sz="0" w:space="0" w:color="auto"/>
        <w:right w:val="none" w:sz="0" w:space="0" w:color="auto"/>
      </w:divBdr>
    </w:div>
    <w:div w:id="67266361">
      <w:bodyDiv w:val="1"/>
      <w:marLeft w:val="0"/>
      <w:marRight w:val="0"/>
      <w:marTop w:val="0"/>
      <w:marBottom w:val="0"/>
      <w:divBdr>
        <w:top w:val="none" w:sz="0" w:space="0" w:color="auto"/>
        <w:left w:val="none" w:sz="0" w:space="0" w:color="auto"/>
        <w:bottom w:val="none" w:sz="0" w:space="0" w:color="auto"/>
        <w:right w:val="none" w:sz="0" w:space="0" w:color="auto"/>
      </w:divBdr>
    </w:div>
    <w:div w:id="76948611">
      <w:bodyDiv w:val="1"/>
      <w:marLeft w:val="0"/>
      <w:marRight w:val="0"/>
      <w:marTop w:val="0"/>
      <w:marBottom w:val="0"/>
      <w:divBdr>
        <w:top w:val="none" w:sz="0" w:space="0" w:color="auto"/>
        <w:left w:val="none" w:sz="0" w:space="0" w:color="auto"/>
        <w:bottom w:val="none" w:sz="0" w:space="0" w:color="auto"/>
        <w:right w:val="none" w:sz="0" w:space="0" w:color="auto"/>
      </w:divBdr>
      <w:divsChild>
        <w:div w:id="697391794">
          <w:marLeft w:val="446"/>
          <w:marRight w:val="0"/>
          <w:marTop w:val="0"/>
          <w:marBottom w:val="0"/>
          <w:divBdr>
            <w:top w:val="none" w:sz="0" w:space="0" w:color="auto"/>
            <w:left w:val="none" w:sz="0" w:space="0" w:color="auto"/>
            <w:bottom w:val="none" w:sz="0" w:space="0" w:color="auto"/>
            <w:right w:val="none" w:sz="0" w:space="0" w:color="auto"/>
          </w:divBdr>
        </w:div>
      </w:divsChild>
    </w:div>
    <w:div w:id="78066799">
      <w:bodyDiv w:val="1"/>
      <w:marLeft w:val="0"/>
      <w:marRight w:val="0"/>
      <w:marTop w:val="0"/>
      <w:marBottom w:val="0"/>
      <w:divBdr>
        <w:top w:val="none" w:sz="0" w:space="0" w:color="auto"/>
        <w:left w:val="none" w:sz="0" w:space="0" w:color="auto"/>
        <w:bottom w:val="none" w:sz="0" w:space="0" w:color="auto"/>
        <w:right w:val="none" w:sz="0" w:space="0" w:color="auto"/>
      </w:divBdr>
    </w:div>
    <w:div w:id="89090151">
      <w:bodyDiv w:val="1"/>
      <w:marLeft w:val="0"/>
      <w:marRight w:val="0"/>
      <w:marTop w:val="0"/>
      <w:marBottom w:val="0"/>
      <w:divBdr>
        <w:top w:val="none" w:sz="0" w:space="0" w:color="auto"/>
        <w:left w:val="none" w:sz="0" w:space="0" w:color="auto"/>
        <w:bottom w:val="none" w:sz="0" w:space="0" w:color="auto"/>
        <w:right w:val="none" w:sz="0" w:space="0" w:color="auto"/>
      </w:divBdr>
    </w:div>
    <w:div w:id="107429388">
      <w:bodyDiv w:val="1"/>
      <w:marLeft w:val="0"/>
      <w:marRight w:val="0"/>
      <w:marTop w:val="0"/>
      <w:marBottom w:val="0"/>
      <w:divBdr>
        <w:top w:val="none" w:sz="0" w:space="0" w:color="auto"/>
        <w:left w:val="none" w:sz="0" w:space="0" w:color="auto"/>
        <w:bottom w:val="none" w:sz="0" w:space="0" w:color="auto"/>
        <w:right w:val="none" w:sz="0" w:space="0" w:color="auto"/>
      </w:divBdr>
    </w:div>
    <w:div w:id="133521422">
      <w:bodyDiv w:val="1"/>
      <w:marLeft w:val="0"/>
      <w:marRight w:val="0"/>
      <w:marTop w:val="0"/>
      <w:marBottom w:val="0"/>
      <w:divBdr>
        <w:top w:val="none" w:sz="0" w:space="0" w:color="auto"/>
        <w:left w:val="none" w:sz="0" w:space="0" w:color="auto"/>
        <w:bottom w:val="none" w:sz="0" w:space="0" w:color="auto"/>
        <w:right w:val="none" w:sz="0" w:space="0" w:color="auto"/>
      </w:divBdr>
    </w:div>
    <w:div w:id="135882207">
      <w:bodyDiv w:val="1"/>
      <w:marLeft w:val="0"/>
      <w:marRight w:val="0"/>
      <w:marTop w:val="0"/>
      <w:marBottom w:val="0"/>
      <w:divBdr>
        <w:top w:val="none" w:sz="0" w:space="0" w:color="auto"/>
        <w:left w:val="none" w:sz="0" w:space="0" w:color="auto"/>
        <w:bottom w:val="none" w:sz="0" w:space="0" w:color="auto"/>
        <w:right w:val="none" w:sz="0" w:space="0" w:color="auto"/>
      </w:divBdr>
    </w:div>
    <w:div w:id="161821923">
      <w:bodyDiv w:val="1"/>
      <w:marLeft w:val="0"/>
      <w:marRight w:val="0"/>
      <w:marTop w:val="0"/>
      <w:marBottom w:val="0"/>
      <w:divBdr>
        <w:top w:val="none" w:sz="0" w:space="0" w:color="auto"/>
        <w:left w:val="none" w:sz="0" w:space="0" w:color="auto"/>
        <w:bottom w:val="none" w:sz="0" w:space="0" w:color="auto"/>
        <w:right w:val="none" w:sz="0" w:space="0" w:color="auto"/>
      </w:divBdr>
    </w:div>
    <w:div w:id="199784212">
      <w:bodyDiv w:val="1"/>
      <w:marLeft w:val="0"/>
      <w:marRight w:val="0"/>
      <w:marTop w:val="0"/>
      <w:marBottom w:val="0"/>
      <w:divBdr>
        <w:top w:val="none" w:sz="0" w:space="0" w:color="auto"/>
        <w:left w:val="none" w:sz="0" w:space="0" w:color="auto"/>
        <w:bottom w:val="none" w:sz="0" w:space="0" w:color="auto"/>
        <w:right w:val="none" w:sz="0" w:space="0" w:color="auto"/>
      </w:divBdr>
    </w:div>
    <w:div w:id="276454361">
      <w:bodyDiv w:val="1"/>
      <w:marLeft w:val="0"/>
      <w:marRight w:val="0"/>
      <w:marTop w:val="0"/>
      <w:marBottom w:val="0"/>
      <w:divBdr>
        <w:top w:val="none" w:sz="0" w:space="0" w:color="auto"/>
        <w:left w:val="none" w:sz="0" w:space="0" w:color="auto"/>
        <w:bottom w:val="none" w:sz="0" w:space="0" w:color="auto"/>
        <w:right w:val="none" w:sz="0" w:space="0" w:color="auto"/>
      </w:divBdr>
    </w:div>
    <w:div w:id="287323110">
      <w:bodyDiv w:val="1"/>
      <w:marLeft w:val="0"/>
      <w:marRight w:val="0"/>
      <w:marTop w:val="0"/>
      <w:marBottom w:val="0"/>
      <w:divBdr>
        <w:top w:val="none" w:sz="0" w:space="0" w:color="auto"/>
        <w:left w:val="none" w:sz="0" w:space="0" w:color="auto"/>
        <w:bottom w:val="none" w:sz="0" w:space="0" w:color="auto"/>
        <w:right w:val="none" w:sz="0" w:space="0" w:color="auto"/>
      </w:divBdr>
      <w:divsChild>
        <w:div w:id="1329754143">
          <w:marLeft w:val="446"/>
          <w:marRight w:val="0"/>
          <w:marTop w:val="0"/>
          <w:marBottom w:val="0"/>
          <w:divBdr>
            <w:top w:val="none" w:sz="0" w:space="0" w:color="auto"/>
            <w:left w:val="none" w:sz="0" w:space="0" w:color="auto"/>
            <w:bottom w:val="none" w:sz="0" w:space="0" w:color="auto"/>
            <w:right w:val="none" w:sz="0" w:space="0" w:color="auto"/>
          </w:divBdr>
        </w:div>
      </w:divsChild>
    </w:div>
    <w:div w:id="296883672">
      <w:bodyDiv w:val="1"/>
      <w:marLeft w:val="0"/>
      <w:marRight w:val="0"/>
      <w:marTop w:val="0"/>
      <w:marBottom w:val="0"/>
      <w:divBdr>
        <w:top w:val="none" w:sz="0" w:space="0" w:color="auto"/>
        <w:left w:val="none" w:sz="0" w:space="0" w:color="auto"/>
        <w:bottom w:val="none" w:sz="0" w:space="0" w:color="auto"/>
        <w:right w:val="none" w:sz="0" w:space="0" w:color="auto"/>
      </w:divBdr>
    </w:div>
    <w:div w:id="390883415">
      <w:bodyDiv w:val="1"/>
      <w:marLeft w:val="0"/>
      <w:marRight w:val="0"/>
      <w:marTop w:val="0"/>
      <w:marBottom w:val="0"/>
      <w:divBdr>
        <w:top w:val="none" w:sz="0" w:space="0" w:color="auto"/>
        <w:left w:val="none" w:sz="0" w:space="0" w:color="auto"/>
        <w:bottom w:val="none" w:sz="0" w:space="0" w:color="auto"/>
        <w:right w:val="none" w:sz="0" w:space="0" w:color="auto"/>
      </w:divBdr>
    </w:div>
    <w:div w:id="404570263">
      <w:bodyDiv w:val="1"/>
      <w:marLeft w:val="0"/>
      <w:marRight w:val="0"/>
      <w:marTop w:val="0"/>
      <w:marBottom w:val="0"/>
      <w:divBdr>
        <w:top w:val="none" w:sz="0" w:space="0" w:color="auto"/>
        <w:left w:val="none" w:sz="0" w:space="0" w:color="auto"/>
        <w:bottom w:val="none" w:sz="0" w:space="0" w:color="auto"/>
        <w:right w:val="none" w:sz="0" w:space="0" w:color="auto"/>
      </w:divBdr>
    </w:div>
    <w:div w:id="408892873">
      <w:bodyDiv w:val="1"/>
      <w:marLeft w:val="0"/>
      <w:marRight w:val="0"/>
      <w:marTop w:val="0"/>
      <w:marBottom w:val="0"/>
      <w:divBdr>
        <w:top w:val="none" w:sz="0" w:space="0" w:color="auto"/>
        <w:left w:val="none" w:sz="0" w:space="0" w:color="auto"/>
        <w:bottom w:val="none" w:sz="0" w:space="0" w:color="auto"/>
        <w:right w:val="none" w:sz="0" w:space="0" w:color="auto"/>
      </w:divBdr>
    </w:div>
    <w:div w:id="420686977">
      <w:bodyDiv w:val="1"/>
      <w:marLeft w:val="0"/>
      <w:marRight w:val="0"/>
      <w:marTop w:val="0"/>
      <w:marBottom w:val="0"/>
      <w:divBdr>
        <w:top w:val="none" w:sz="0" w:space="0" w:color="auto"/>
        <w:left w:val="none" w:sz="0" w:space="0" w:color="auto"/>
        <w:bottom w:val="none" w:sz="0" w:space="0" w:color="auto"/>
        <w:right w:val="none" w:sz="0" w:space="0" w:color="auto"/>
      </w:divBdr>
    </w:div>
    <w:div w:id="448206013">
      <w:bodyDiv w:val="1"/>
      <w:marLeft w:val="0"/>
      <w:marRight w:val="0"/>
      <w:marTop w:val="0"/>
      <w:marBottom w:val="0"/>
      <w:divBdr>
        <w:top w:val="none" w:sz="0" w:space="0" w:color="auto"/>
        <w:left w:val="none" w:sz="0" w:space="0" w:color="auto"/>
        <w:bottom w:val="none" w:sz="0" w:space="0" w:color="auto"/>
        <w:right w:val="none" w:sz="0" w:space="0" w:color="auto"/>
      </w:divBdr>
    </w:div>
    <w:div w:id="452140132">
      <w:bodyDiv w:val="1"/>
      <w:marLeft w:val="0"/>
      <w:marRight w:val="0"/>
      <w:marTop w:val="0"/>
      <w:marBottom w:val="0"/>
      <w:divBdr>
        <w:top w:val="none" w:sz="0" w:space="0" w:color="auto"/>
        <w:left w:val="none" w:sz="0" w:space="0" w:color="auto"/>
        <w:bottom w:val="none" w:sz="0" w:space="0" w:color="auto"/>
        <w:right w:val="none" w:sz="0" w:space="0" w:color="auto"/>
      </w:divBdr>
    </w:div>
    <w:div w:id="496651446">
      <w:bodyDiv w:val="1"/>
      <w:marLeft w:val="0"/>
      <w:marRight w:val="0"/>
      <w:marTop w:val="0"/>
      <w:marBottom w:val="0"/>
      <w:divBdr>
        <w:top w:val="none" w:sz="0" w:space="0" w:color="auto"/>
        <w:left w:val="none" w:sz="0" w:space="0" w:color="auto"/>
        <w:bottom w:val="none" w:sz="0" w:space="0" w:color="auto"/>
        <w:right w:val="none" w:sz="0" w:space="0" w:color="auto"/>
      </w:divBdr>
    </w:div>
    <w:div w:id="529338563">
      <w:bodyDiv w:val="1"/>
      <w:marLeft w:val="0"/>
      <w:marRight w:val="0"/>
      <w:marTop w:val="0"/>
      <w:marBottom w:val="0"/>
      <w:divBdr>
        <w:top w:val="none" w:sz="0" w:space="0" w:color="auto"/>
        <w:left w:val="none" w:sz="0" w:space="0" w:color="auto"/>
        <w:bottom w:val="none" w:sz="0" w:space="0" w:color="auto"/>
        <w:right w:val="none" w:sz="0" w:space="0" w:color="auto"/>
      </w:divBdr>
    </w:div>
    <w:div w:id="546527631">
      <w:bodyDiv w:val="1"/>
      <w:marLeft w:val="0"/>
      <w:marRight w:val="0"/>
      <w:marTop w:val="0"/>
      <w:marBottom w:val="0"/>
      <w:divBdr>
        <w:top w:val="none" w:sz="0" w:space="0" w:color="auto"/>
        <w:left w:val="none" w:sz="0" w:space="0" w:color="auto"/>
        <w:bottom w:val="none" w:sz="0" w:space="0" w:color="auto"/>
        <w:right w:val="none" w:sz="0" w:space="0" w:color="auto"/>
      </w:divBdr>
    </w:div>
    <w:div w:id="592401575">
      <w:bodyDiv w:val="1"/>
      <w:marLeft w:val="0"/>
      <w:marRight w:val="0"/>
      <w:marTop w:val="0"/>
      <w:marBottom w:val="0"/>
      <w:divBdr>
        <w:top w:val="none" w:sz="0" w:space="0" w:color="auto"/>
        <w:left w:val="none" w:sz="0" w:space="0" w:color="auto"/>
        <w:bottom w:val="none" w:sz="0" w:space="0" w:color="auto"/>
        <w:right w:val="none" w:sz="0" w:space="0" w:color="auto"/>
      </w:divBdr>
    </w:div>
    <w:div w:id="645430186">
      <w:bodyDiv w:val="1"/>
      <w:marLeft w:val="0"/>
      <w:marRight w:val="0"/>
      <w:marTop w:val="0"/>
      <w:marBottom w:val="0"/>
      <w:divBdr>
        <w:top w:val="none" w:sz="0" w:space="0" w:color="auto"/>
        <w:left w:val="none" w:sz="0" w:space="0" w:color="auto"/>
        <w:bottom w:val="none" w:sz="0" w:space="0" w:color="auto"/>
        <w:right w:val="none" w:sz="0" w:space="0" w:color="auto"/>
      </w:divBdr>
      <w:divsChild>
        <w:div w:id="1904295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4839467">
      <w:bodyDiv w:val="1"/>
      <w:marLeft w:val="0"/>
      <w:marRight w:val="0"/>
      <w:marTop w:val="0"/>
      <w:marBottom w:val="0"/>
      <w:divBdr>
        <w:top w:val="none" w:sz="0" w:space="0" w:color="auto"/>
        <w:left w:val="none" w:sz="0" w:space="0" w:color="auto"/>
        <w:bottom w:val="none" w:sz="0" w:space="0" w:color="auto"/>
        <w:right w:val="none" w:sz="0" w:space="0" w:color="auto"/>
      </w:divBdr>
    </w:div>
    <w:div w:id="690837555">
      <w:bodyDiv w:val="1"/>
      <w:marLeft w:val="0"/>
      <w:marRight w:val="0"/>
      <w:marTop w:val="0"/>
      <w:marBottom w:val="0"/>
      <w:divBdr>
        <w:top w:val="none" w:sz="0" w:space="0" w:color="auto"/>
        <w:left w:val="none" w:sz="0" w:space="0" w:color="auto"/>
        <w:bottom w:val="none" w:sz="0" w:space="0" w:color="auto"/>
        <w:right w:val="none" w:sz="0" w:space="0" w:color="auto"/>
      </w:divBdr>
    </w:div>
    <w:div w:id="763189207">
      <w:bodyDiv w:val="1"/>
      <w:marLeft w:val="0"/>
      <w:marRight w:val="0"/>
      <w:marTop w:val="0"/>
      <w:marBottom w:val="0"/>
      <w:divBdr>
        <w:top w:val="none" w:sz="0" w:space="0" w:color="auto"/>
        <w:left w:val="none" w:sz="0" w:space="0" w:color="auto"/>
        <w:bottom w:val="none" w:sz="0" w:space="0" w:color="auto"/>
        <w:right w:val="none" w:sz="0" w:space="0" w:color="auto"/>
      </w:divBdr>
      <w:divsChild>
        <w:div w:id="843473943">
          <w:marLeft w:val="0"/>
          <w:marRight w:val="0"/>
          <w:marTop w:val="0"/>
          <w:marBottom w:val="0"/>
          <w:divBdr>
            <w:top w:val="none" w:sz="0" w:space="0" w:color="auto"/>
            <w:left w:val="none" w:sz="0" w:space="0" w:color="auto"/>
            <w:bottom w:val="none" w:sz="0" w:space="0" w:color="auto"/>
            <w:right w:val="none" w:sz="0" w:space="0" w:color="auto"/>
          </w:divBdr>
          <w:divsChild>
            <w:div w:id="1772045842">
              <w:marLeft w:val="0"/>
              <w:marRight w:val="0"/>
              <w:marTop w:val="0"/>
              <w:marBottom w:val="0"/>
              <w:divBdr>
                <w:top w:val="none" w:sz="0" w:space="0" w:color="auto"/>
                <w:left w:val="none" w:sz="0" w:space="0" w:color="auto"/>
                <w:bottom w:val="none" w:sz="0" w:space="0" w:color="auto"/>
                <w:right w:val="none" w:sz="0" w:space="0" w:color="auto"/>
              </w:divBdr>
              <w:divsChild>
                <w:div w:id="1367440749">
                  <w:marLeft w:val="0"/>
                  <w:marRight w:val="0"/>
                  <w:marTop w:val="0"/>
                  <w:marBottom w:val="0"/>
                  <w:divBdr>
                    <w:top w:val="none" w:sz="0" w:space="0" w:color="auto"/>
                    <w:left w:val="none" w:sz="0" w:space="0" w:color="auto"/>
                    <w:bottom w:val="none" w:sz="0" w:space="0" w:color="auto"/>
                    <w:right w:val="none" w:sz="0" w:space="0" w:color="auto"/>
                  </w:divBdr>
                  <w:divsChild>
                    <w:div w:id="1542474556">
                      <w:marLeft w:val="0"/>
                      <w:marRight w:val="0"/>
                      <w:marTop w:val="0"/>
                      <w:marBottom w:val="0"/>
                      <w:divBdr>
                        <w:top w:val="none" w:sz="0" w:space="0" w:color="auto"/>
                        <w:left w:val="none" w:sz="0" w:space="0" w:color="auto"/>
                        <w:bottom w:val="none" w:sz="0" w:space="0" w:color="auto"/>
                        <w:right w:val="none" w:sz="0" w:space="0" w:color="auto"/>
                      </w:divBdr>
                      <w:divsChild>
                        <w:div w:id="925770013">
                          <w:marLeft w:val="0"/>
                          <w:marRight w:val="0"/>
                          <w:marTop w:val="0"/>
                          <w:marBottom w:val="0"/>
                          <w:divBdr>
                            <w:top w:val="none" w:sz="0" w:space="0" w:color="auto"/>
                            <w:left w:val="none" w:sz="0" w:space="0" w:color="auto"/>
                            <w:bottom w:val="none" w:sz="0" w:space="0" w:color="auto"/>
                            <w:right w:val="none" w:sz="0" w:space="0" w:color="auto"/>
                          </w:divBdr>
                          <w:divsChild>
                            <w:div w:id="479738752">
                              <w:marLeft w:val="0"/>
                              <w:marRight w:val="0"/>
                              <w:marTop w:val="0"/>
                              <w:marBottom w:val="0"/>
                              <w:divBdr>
                                <w:top w:val="none" w:sz="0" w:space="0" w:color="auto"/>
                                <w:left w:val="none" w:sz="0" w:space="0" w:color="auto"/>
                                <w:bottom w:val="none" w:sz="0" w:space="0" w:color="auto"/>
                                <w:right w:val="none" w:sz="0" w:space="0" w:color="auto"/>
                              </w:divBdr>
                              <w:divsChild>
                                <w:div w:id="20969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166251">
          <w:marLeft w:val="0"/>
          <w:marRight w:val="0"/>
          <w:marTop w:val="0"/>
          <w:marBottom w:val="0"/>
          <w:divBdr>
            <w:top w:val="none" w:sz="0" w:space="0" w:color="auto"/>
            <w:left w:val="none" w:sz="0" w:space="0" w:color="auto"/>
            <w:bottom w:val="none" w:sz="0" w:space="0" w:color="auto"/>
            <w:right w:val="none" w:sz="0" w:space="0" w:color="auto"/>
          </w:divBdr>
          <w:divsChild>
            <w:div w:id="954873555">
              <w:marLeft w:val="0"/>
              <w:marRight w:val="0"/>
              <w:marTop w:val="0"/>
              <w:marBottom w:val="0"/>
              <w:divBdr>
                <w:top w:val="none" w:sz="0" w:space="0" w:color="auto"/>
                <w:left w:val="none" w:sz="0" w:space="0" w:color="auto"/>
                <w:bottom w:val="none" w:sz="0" w:space="0" w:color="auto"/>
                <w:right w:val="none" w:sz="0" w:space="0" w:color="auto"/>
              </w:divBdr>
              <w:divsChild>
                <w:div w:id="210044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77272">
      <w:bodyDiv w:val="1"/>
      <w:marLeft w:val="0"/>
      <w:marRight w:val="0"/>
      <w:marTop w:val="0"/>
      <w:marBottom w:val="0"/>
      <w:divBdr>
        <w:top w:val="none" w:sz="0" w:space="0" w:color="auto"/>
        <w:left w:val="none" w:sz="0" w:space="0" w:color="auto"/>
        <w:bottom w:val="none" w:sz="0" w:space="0" w:color="auto"/>
        <w:right w:val="none" w:sz="0" w:space="0" w:color="auto"/>
      </w:divBdr>
    </w:div>
    <w:div w:id="770128203">
      <w:bodyDiv w:val="1"/>
      <w:marLeft w:val="0"/>
      <w:marRight w:val="0"/>
      <w:marTop w:val="0"/>
      <w:marBottom w:val="0"/>
      <w:divBdr>
        <w:top w:val="none" w:sz="0" w:space="0" w:color="auto"/>
        <w:left w:val="none" w:sz="0" w:space="0" w:color="auto"/>
        <w:bottom w:val="none" w:sz="0" w:space="0" w:color="auto"/>
        <w:right w:val="none" w:sz="0" w:space="0" w:color="auto"/>
      </w:divBdr>
    </w:div>
    <w:div w:id="771627531">
      <w:bodyDiv w:val="1"/>
      <w:marLeft w:val="0"/>
      <w:marRight w:val="0"/>
      <w:marTop w:val="0"/>
      <w:marBottom w:val="0"/>
      <w:divBdr>
        <w:top w:val="none" w:sz="0" w:space="0" w:color="auto"/>
        <w:left w:val="none" w:sz="0" w:space="0" w:color="auto"/>
        <w:bottom w:val="none" w:sz="0" w:space="0" w:color="auto"/>
        <w:right w:val="none" w:sz="0" w:space="0" w:color="auto"/>
      </w:divBdr>
    </w:div>
    <w:div w:id="779108755">
      <w:bodyDiv w:val="1"/>
      <w:marLeft w:val="0"/>
      <w:marRight w:val="0"/>
      <w:marTop w:val="0"/>
      <w:marBottom w:val="0"/>
      <w:divBdr>
        <w:top w:val="none" w:sz="0" w:space="0" w:color="auto"/>
        <w:left w:val="none" w:sz="0" w:space="0" w:color="auto"/>
        <w:bottom w:val="none" w:sz="0" w:space="0" w:color="auto"/>
        <w:right w:val="none" w:sz="0" w:space="0" w:color="auto"/>
      </w:divBdr>
    </w:div>
    <w:div w:id="828834948">
      <w:bodyDiv w:val="1"/>
      <w:marLeft w:val="0"/>
      <w:marRight w:val="0"/>
      <w:marTop w:val="0"/>
      <w:marBottom w:val="0"/>
      <w:divBdr>
        <w:top w:val="none" w:sz="0" w:space="0" w:color="auto"/>
        <w:left w:val="none" w:sz="0" w:space="0" w:color="auto"/>
        <w:bottom w:val="none" w:sz="0" w:space="0" w:color="auto"/>
        <w:right w:val="none" w:sz="0" w:space="0" w:color="auto"/>
      </w:divBdr>
    </w:div>
    <w:div w:id="838468258">
      <w:bodyDiv w:val="1"/>
      <w:marLeft w:val="0"/>
      <w:marRight w:val="0"/>
      <w:marTop w:val="0"/>
      <w:marBottom w:val="0"/>
      <w:divBdr>
        <w:top w:val="none" w:sz="0" w:space="0" w:color="auto"/>
        <w:left w:val="none" w:sz="0" w:space="0" w:color="auto"/>
        <w:bottom w:val="none" w:sz="0" w:space="0" w:color="auto"/>
        <w:right w:val="none" w:sz="0" w:space="0" w:color="auto"/>
      </w:divBdr>
    </w:div>
    <w:div w:id="841774265">
      <w:bodyDiv w:val="1"/>
      <w:marLeft w:val="0"/>
      <w:marRight w:val="0"/>
      <w:marTop w:val="0"/>
      <w:marBottom w:val="0"/>
      <w:divBdr>
        <w:top w:val="none" w:sz="0" w:space="0" w:color="auto"/>
        <w:left w:val="none" w:sz="0" w:space="0" w:color="auto"/>
        <w:bottom w:val="none" w:sz="0" w:space="0" w:color="auto"/>
        <w:right w:val="none" w:sz="0" w:space="0" w:color="auto"/>
      </w:divBdr>
    </w:div>
    <w:div w:id="881862559">
      <w:bodyDiv w:val="1"/>
      <w:marLeft w:val="0"/>
      <w:marRight w:val="0"/>
      <w:marTop w:val="0"/>
      <w:marBottom w:val="0"/>
      <w:divBdr>
        <w:top w:val="none" w:sz="0" w:space="0" w:color="auto"/>
        <w:left w:val="none" w:sz="0" w:space="0" w:color="auto"/>
        <w:bottom w:val="none" w:sz="0" w:space="0" w:color="auto"/>
        <w:right w:val="none" w:sz="0" w:space="0" w:color="auto"/>
      </w:divBdr>
    </w:div>
    <w:div w:id="889926082">
      <w:bodyDiv w:val="1"/>
      <w:marLeft w:val="0"/>
      <w:marRight w:val="0"/>
      <w:marTop w:val="0"/>
      <w:marBottom w:val="0"/>
      <w:divBdr>
        <w:top w:val="none" w:sz="0" w:space="0" w:color="auto"/>
        <w:left w:val="none" w:sz="0" w:space="0" w:color="auto"/>
        <w:bottom w:val="none" w:sz="0" w:space="0" w:color="auto"/>
        <w:right w:val="none" w:sz="0" w:space="0" w:color="auto"/>
      </w:divBdr>
    </w:div>
    <w:div w:id="910195158">
      <w:bodyDiv w:val="1"/>
      <w:marLeft w:val="0"/>
      <w:marRight w:val="0"/>
      <w:marTop w:val="0"/>
      <w:marBottom w:val="0"/>
      <w:divBdr>
        <w:top w:val="none" w:sz="0" w:space="0" w:color="auto"/>
        <w:left w:val="none" w:sz="0" w:space="0" w:color="auto"/>
        <w:bottom w:val="none" w:sz="0" w:space="0" w:color="auto"/>
        <w:right w:val="none" w:sz="0" w:space="0" w:color="auto"/>
      </w:divBdr>
    </w:div>
    <w:div w:id="916940680">
      <w:bodyDiv w:val="1"/>
      <w:marLeft w:val="0"/>
      <w:marRight w:val="0"/>
      <w:marTop w:val="0"/>
      <w:marBottom w:val="0"/>
      <w:divBdr>
        <w:top w:val="none" w:sz="0" w:space="0" w:color="auto"/>
        <w:left w:val="none" w:sz="0" w:space="0" w:color="auto"/>
        <w:bottom w:val="none" w:sz="0" w:space="0" w:color="auto"/>
        <w:right w:val="none" w:sz="0" w:space="0" w:color="auto"/>
      </w:divBdr>
    </w:div>
    <w:div w:id="942879215">
      <w:bodyDiv w:val="1"/>
      <w:marLeft w:val="0"/>
      <w:marRight w:val="0"/>
      <w:marTop w:val="0"/>
      <w:marBottom w:val="0"/>
      <w:divBdr>
        <w:top w:val="none" w:sz="0" w:space="0" w:color="auto"/>
        <w:left w:val="none" w:sz="0" w:space="0" w:color="auto"/>
        <w:bottom w:val="none" w:sz="0" w:space="0" w:color="auto"/>
        <w:right w:val="none" w:sz="0" w:space="0" w:color="auto"/>
      </w:divBdr>
    </w:div>
    <w:div w:id="961807896">
      <w:bodyDiv w:val="1"/>
      <w:marLeft w:val="0"/>
      <w:marRight w:val="0"/>
      <w:marTop w:val="0"/>
      <w:marBottom w:val="0"/>
      <w:divBdr>
        <w:top w:val="none" w:sz="0" w:space="0" w:color="auto"/>
        <w:left w:val="none" w:sz="0" w:space="0" w:color="auto"/>
        <w:bottom w:val="none" w:sz="0" w:space="0" w:color="auto"/>
        <w:right w:val="none" w:sz="0" w:space="0" w:color="auto"/>
      </w:divBdr>
    </w:div>
    <w:div w:id="968391520">
      <w:bodyDiv w:val="1"/>
      <w:marLeft w:val="0"/>
      <w:marRight w:val="0"/>
      <w:marTop w:val="0"/>
      <w:marBottom w:val="0"/>
      <w:divBdr>
        <w:top w:val="none" w:sz="0" w:space="0" w:color="auto"/>
        <w:left w:val="none" w:sz="0" w:space="0" w:color="auto"/>
        <w:bottom w:val="none" w:sz="0" w:space="0" w:color="auto"/>
        <w:right w:val="none" w:sz="0" w:space="0" w:color="auto"/>
      </w:divBdr>
    </w:div>
    <w:div w:id="990523870">
      <w:bodyDiv w:val="1"/>
      <w:marLeft w:val="0"/>
      <w:marRight w:val="0"/>
      <w:marTop w:val="0"/>
      <w:marBottom w:val="0"/>
      <w:divBdr>
        <w:top w:val="none" w:sz="0" w:space="0" w:color="auto"/>
        <w:left w:val="none" w:sz="0" w:space="0" w:color="auto"/>
        <w:bottom w:val="none" w:sz="0" w:space="0" w:color="auto"/>
        <w:right w:val="none" w:sz="0" w:space="0" w:color="auto"/>
      </w:divBdr>
    </w:div>
    <w:div w:id="1025787140">
      <w:bodyDiv w:val="1"/>
      <w:marLeft w:val="0"/>
      <w:marRight w:val="0"/>
      <w:marTop w:val="0"/>
      <w:marBottom w:val="0"/>
      <w:divBdr>
        <w:top w:val="none" w:sz="0" w:space="0" w:color="auto"/>
        <w:left w:val="none" w:sz="0" w:space="0" w:color="auto"/>
        <w:bottom w:val="none" w:sz="0" w:space="0" w:color="auto"/>
        <w:right w:val="none" w:sz="0" w:space="0" w:color="auto"/>
      </w:divBdr>
    </w:div>
    <w:div w:id="1075392385">
      <w:bodyDiv w:val="1"/>
      <w:marLeft w:val="0"/>
      <w:marRight w:val="0"/>
      <w:marTop w:val="0"/>
      <w:marBottom w:val="0"/>
      <w:divBdr>
        <w:top w:val="none" w:sz="0" w:space="0" w:color="auto"/>
        <w:left w:val="none" w:sz="0" w:space="0" w:color="auto"/>
        <w:bottom w:val="none" w:sz="0" w:space="0" w:color="auto"/>
        <w:right w:val="none" w:sz="0" w:space="0" w:color="auto"/>
      </w:divBdr>
    </w:div>
    <w:div w:id="1096442050">
      <w:bodyDiv w:val="1"/>
      <w:marLeft w:val="0"/>
      <w:marRight w:val="0"/>
      <w:marTop w:val="0"/>
      <w:marBottom w:val="0"/>
      <w:divBdr>
        <w:top w:val="none" w:sz="0" w:space="0" w:color="auto"/>
        <w:left w:val="none" w:sz="0" w:space="0" w:color="auto"/>
        <w:bottom w:val="none" w:sz="0" w:space="0" w:color="auto"/>
        <w:right w:val="none" w:sz="0" w:space="0" w:color="auto"/>
      </w:divBdr>
    </w:div>
    <w:div w:id="1134255976">
      <w:bodyDiv w:val="1"/>
      <w:marLeft w:val="0"/>
      <w:marRight w:val="0"/>
      <w:marTop w:val="0"/>
      <w:marBottom w:val="0"/>
      <w:divBdr>
        <w:top w:val="none" w:sz="0" w:space="0" w:color="auto"/>
        <w:left w:val="none" w:sz="0" w:space="0" w:color="auto"/>
        <w:bottom w:val="none" w:sz="0" w:space="0" w:color="auto"/>
        <w:right w:val="none" w:sz="0" w:space="0" w:color="auto"/>
      </w:divBdr>
      <w:divsChild>
        <w:div w:id="217788502">
          <w:marLeft w:val="0"/>
          <w:marRight w:val="0"/>
          <w:marTop w:val="0"/>
          <w:marBottom w:val="0"/>
          <w:divBdr>
            <w:top w:val="none" w:sz="0" w:space="0" w:color="auto"/>
            <w:left w:val="none" w:sz="0" w:space="0" w:color="auto"/>
            <w:bottom w:val="none" w:sz="0" w:space="0" w:color="auto"/>
            <w:right w:val="none" w:sz="0" w:space="0" w:color="auto"/>
          </w:divBdr>
        </w:div>
        <w:div w:id="1984264476">
          <w:marLeft w:val="0"/>
          <w:marRight w:val="0"/>
          <w:marTop w:val="0"/>
          <w:marBottom w:val="0"/>
          <w:divBdr>
            <w:top w:val="none" w:sz="0" w:space="0" w:color="auto"/>
            <w:left w:val="none" w:sz="0" w:space="0" w:color="auto"/>
            <w:bottom w:val="none" w:sz="0" w:space="0" w:color="auto"/>
            <w:right w:val="none" w:sz="0" w:space="0" w:color="auto"/>
          </w:divBdr>
        </w:div>
      </w:divsChild>
    </w:div>
    <w:div w:id="1177305331">
      <w:bodyDiv w:val="1"/>
      <w:marLeft w:val="0"/>
      <w:marRight w:val="0"/>
      <w:marTop w:val="0"/>
      <w:marBottom w:val="0"/>
      <w:divBdr>
        <w:top w:val="none" w:sz="0" w:space="0" w:color="auto"/>
        <w:left w:val="none" w:sz="0" w:space="0" w:color="auto"/>
        <w:bottom w:val="none" w:sz="0" w:space="0" w:color="auto"/>
        <w:right w:val="none" w:sz="0" w:space="0" w:color="auto"/>
      </w:divBdr>
    </w:div>
    <w:div w:id="1236823185">
      <w:bodyDiv w:val="1"/>
      <w:marLeft w:val="0"/>
      <w:marRight w:val="0"/>
      <w:marTop w:val="0"/>
      <w:marBottom w:val="0"/>
      <w:divBdr>
        <w:top w:val="none" w:sz="0" w:space="0" w:color="auto"/>
        <w:left w:val="none" w:sz="0" w:space="0" w:color="auto"/>
        <w:bottom w:val="none" w:sz="0" w:space="0" w:color="auto"/>
        <w:right w:val="none" w:sz="0" w:space="0" w:color="auto"/>
      </w:divBdr>
    </w:div>
    <w:div w:id="1285767360">
      <w:bodyDiv w:val="1"/>
      <w:marLeft w:val="0"/>
      <w:marRight w:val="0"/>
      <w:marTop w:val="0"/>
      <w:marBottom w:val="0"/>
      <w:divBdr>
        <w:top w:val="none" w:sz="0" w:space="0" w:color="auto"/>
        <w:left w:val="none" w:sz="0" w:space="0" w:color="auto"/>
        <w:bottom w:val="none" w:sz="0" w:space="0" w:color="auto"/>
        <w:right w:val="none" w:sz="0" w:space="0" w:color="auto"/>
      </w:divBdr>
    </w:div>
    <w:div w:id="1288505447">
      <w:bodyDiv w:val="1"/>
      <w:marLeft w:val="0"/>
      <w:marRight w:val="0"/>
      <w:marTop w:val="0"/>
      <w:marBottom w:val="0"/>
      <w:divBdr>
        <w:top w:val="none" w:sz="0" w:space="0" w:color="auto"/>
        <w:left w:val="none" w:sz="0" w:space="0" w:color="auto"/>
        <w:bottom w:val="none" w:sz="0" w:space="0" w:color="auto"/>
        <w:right w:val="none" w:sz="0" w:space="0" w:color="auto"/>
      </w:divBdr>
    </w:div>
    <w:div w:id="1302274165">
      <w:bodyDiv w:val="1"/>
      <w:marLeft w:val="0"/>
      <w:marRight w:val="0"/>
      <w:marTop w:val="0"/>
      <w:marBottom w:val="0"/>
      <w:divBdr>
        <w:top w:val="none" w:sz="0" w:space="0" w:color="auto"/>
        <w:left w:val="none" w:sz="0" w:space="0" w:color="auto"/>
        <w:bottom w:val="none" w:sz="0" w:space="0" w:color="auto"/>
        <w:right w:val="none" w:sz="0" w:space="0" w:color="auto"/>
      </w:divBdr>
      <w:divsChild>
        <w:div w:id="1668242815">
          <w:marLeft w:val="0"/>
          <w:marRight w:val="0"/>
          <w:marTop w:val="0"/>
          <w:marBottom w:val="0"/>
          <w:divBdr>
            <w:top w:val="none" w:sz="0" w:space="0" w:color="auto"/>
            <w:left w:val="none" w:sz="0" w:space="0" w:color="auto"/>
            <w:bottom w:val="none" w:sz="0" w:space="0" w:color="auto"/>
            <w:right w:val="none" w:sz="0" w:space="0" w:color="auto"/>
          </w:divBdr>
          <w:divsChild>
            <w:div w:id="1123571540">
              <w:marLeft w:val="0"/>
              <w:marRight w:val="0"/>
              <w:marTop w:val="0"/>
              <w:marBottom w:val="0"/>
              <w:divBdr>
                <w:top w:val="none" w:sz="0" w:space="0" w:color="auto"/>
                <w:left w:val="none" w:sz="0" w:space="0" w:color="auto"/>
                <w:bottom w:val="none" w:sz="0" w:space="0" w:color="auto"/>
                <w:right w:val="none" w:sz="0" w:space="0" w:color="auto"/>
              </w:divBdr>
              <w:divsChild>
                <w:div w:id="522397587">
                  <w:marLeft w:val="0"/>
                  <w:marRight w:val="0"/>
                  <w:marTop w:val="0"/>
                  <w:marBottom w:val="0"/>
                  <w:divBdr>
                    <w:top w:val="none" w:sz="0" w:space="0" w:color="auto"/>
                    <w:left w:val="none" w:sz="0" w:space="0" w:color="auto"/>
                    <w:bottom w:val="none" w:sz="0" w:space="0" w:color="auto"/>
                    <w:right w:val="none" w:sz="0" w:space="0" w:color="auto"/>
                  </w:divBdr>
                  <w:divsChild>
                    <w:div w:id="1624144241">
                      <w:marLeft w:val="0"/>
                      <w:marRight w:val="0"/>
                      <w:marTop w:val="0"/>
                      <w:marBottom w:val="0"/>
                      <w:divBdr>
                        <w:top w:val="none" w:sz="0" w:space="0" w:color="auto"/>
                        <w:left w:val="none" w:sz="0" w:space="0" w:color="auto"/>
                        <w:bottom w:val="none" w:sz="0" w:space="0" w:color="auto"/>
                        <w:right w:val="none" w:sz="0" w:space="0" w:color="auto"/>
                      </w:divBdr>
                    </w:div>
                    <w:div w:id="1941521730">
                      <w:marLeft w:val="0"/>
                      <w:marRight w:val="0"/>
                      <w:marTop w:val="300"/>
                      <w:marBottom w:val="0"/>
                      <w:divBdr>
                        <w:top w:val="single" w:sz="6" w:space="15" w:color="DCDCDC"/>
                        <w:left w:val="none" w:sz="0" w:space="0" w:color="auto"/>
                        <w:bottom w:val="none" w:sz="0" w:space="30" w:color="auto"/>
                        <w:right w:val="none" w:sz="0" w:space="0" w:color="auto"/>
                      </w:divBdr>
                      <w:divsChild>
                        <w:div w:id="6768875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2118719">
          <w:marLeft w:val="0"/>
          <w:marRight w:val="0"/>
          <w:marTop w:val="0"/>
          <w:marBottom w:val="0"/>
          <w:divBdr>
            <w:top w:val="none" w:sz="0" w:space="0" w:color="auto"/>
            <w:left w:val="none" w:sz="0" w:space="0" w:color="auto"/>
            <w:bottom w:val="none" w:sz="0" w:space="0" w:color="auto"/>
            <w:right w:val="none" w:sz="0" w:space="0" w:color="auto"/>
          </w:divBdr>
          <w:divsChild>
            <w:div w:id="743726639">
              <w:marLeft w:val="0"/>
              <w:marRight w:val="0"/>
              <w:marTop w:val="0"/>
              <w:marBottom w:val="300"/>
              <w:divBdr>
                <w:top w:val="none" w:sz="0" w:space="0" w:color="auto"/>
                <w:left w:val="none" w:sz="0" w:space="0" w:color="auto"/>
                <w:bottom w:val="none" w:sz="0" w:space="0" w:color="auto"/>
                <w:right w:val="none" w:sz="0" w:space="0" w:color="auto"/>
              </w:divBdr>
              <w:divsChild>
                <w:div w:id="1074159650">
                  <w:marLeft w:val="0"/>
                  <w:marRight w:val="0"/>
                  <w:marTop w:val="0"/>
                  <w:marBottom w:val="0"/>
                  <w:divBdr>
                    <w:top w:val="none" w:sz="0" w:space="0" w:color="auto"/>
                    <w:left w:val="none" w:sz="0" w:space="0" w:color="auto"/>
                    <w:bottom w:val="none" w:sz="0" w:space="0" w:color="auto"/>
                    <w:right w:val="none" w:sz="0" w:space="0" w:color="auto"/>
                  </w:divBdr>
                  <w:divsChild>
                    <w:div w:id="18383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630100">
              <w:marLeft w:val="0"/>
              <w:marRight w:val="0"/>
              <w:marTop w:val="0"/>
              <w:marBottom w:val="300"/>
              <w:divBdr>
                <w:top w:val="none" w:sz="0" w:space="0" w:color="auto"/>
                <w:left w:val="none" w:sz="0" w:space="0" w:color="auto"/>
                <w:bottom w:val="none" w:sz="0" w:space="0" w:color="auto"/>
                <w:right w:val="none" w:sz="0" w:space="0" w:color="auto"/>
              </w:divBdr>
              <w:divsChild>
                <w:div w:id="1308898077">
                  <w:marLeft w:val="0"/>
                  <w:marRight w:val="0"/>
                  <w:marTop w:val="0"/>
                  <w:marBottom w:val="0"/>
                  <w:divBdr>
                    <w:top w:val="none" w:sz="0" w:space="0" w:color="auto"/>
                    <w:left w:val="none" w:sz="0" w:space="0" w:color="auto"/>
                    <w:bottom w:val="none" w:sz="0" w:space="0" w:color="auto"/>
                    <w:right w:val="none" w:sz="0" w:space="0" w:color="auto"/>
                  </w:divBdr>
                  <w:divsChild>
                    <w:div w:id="134108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555616">
      <w:bodyDiv w:val="1"/>
      <w:marLeft w:val="0"/>
      <w:marRight w:val="0"/>
      <w:marTop w:val="0"/>
      <w:marBottom w:val="0"/>
      <w:divBdr>
        <w:top w:val="none" w:sz="0" w:space="0" w:color="auto"/>
        <w:left w:val="none" w:sz="0" w:space="0" w:color="auto"/>
        <w:bottom w:val="none" w:sz="0" w:space="0" w:color="auto"/>
        <w:right w:val="none" w:sz="0" w:space="0" w:color="auto"/>
      </w:divBdr>
    </w:div>
    <w:div w:id="1376538477">
      <w:bodyDiv w:val="1"/>
      <w:marLeft w:val="0"/>
      <w:marRight w:val="0"/>
      <w:marTop w:val="0"/>
      <w:marBottom w:val="0"/>
      <w:divBdr>
        <w:top w:val="none" w:sz="0" w:space="0" w:color="auto"/>
        <w:left w:val="none" w:sz="0" w:space="0" w:color="auto"/>
        <w:bottom w:val="none" w:sz="0" w:space="0" w:color="auto"/>
        <w:right w:val="none" w:sz="0" w:space="0" w:color="auto"/>
      </w:divBdr>
    </w:div>
    <w:div w:id="1392538625">
      <w:bodyDiv w:val="1"/>
      <w:marLeft w:val="0"/>
      <w:marRight w:val="0"/>
      <w:marTop w:val="0"/>
      <w:marBottom w:val="0"/>
      <w:divBdr>
        <w:top w:val="none" w:sz="0" w:space="0" w:color="auto"/>
        <w:left w:val="none" w:sz="0" w:space="0" w:color="auto"/>
        <w:bottom w:val="none" w:sz="0" w:space="0" w:color="auto"/>
        <w:right w:val="none" w:sz="0" w:space="0" w:color="auto"/>
      </w:divBdr>
    </w:div>
    <w:div w:id="1395470161">
      <w:bodyDiv w:val="1"/>
      <w:marLeft w:val="0"/>
      <w:marRight w:val="0"/>
      <w:marTop w:val="0"/>
      <w:marBottom w:val="0"/>
      <w:divBdr>
        <w:top w:val="none" w:sz="0" w:space="0" w:color="auto"/>
        <w:left w:val="none" w:sz="0" w:space="0" w:color="auto"/>
        <w:bottom w:val="none" w:sz="0" w:space="0" w:color="auto"/>
        <w:right w:val="none" w:sz="0" w:space="0" w:color="auto"/>
      </w:divBdr>
    </w:div>
    <w:div w:id="1455251447">
      <w:bodyDiv w:val="1"/>
      <w:marLeft w:val="0"/>
      <w:marRight w:val="0"/>
      <w:marTop w:val="0"/>
      <w:marBottom w:val="0"/>
      <w:divBdr>
        <w:top w:val="none" w:sz="0" w:space="0" w:color="auto"/>
        <w:left w:val="none" w:sz="0" w:space="0" w:color="auto"/>
        <w:bottom w:val="none" w:sz="0" w:space="0" w:color="auto"/>
        <w:right w:val="none" w:sz="0" w:space="0" w:color="auto"/>
      </w:divBdr>
    </w:div>
    <w:div w:id="1461806782">
      <w:bodyDiv w:val="1"/>
      <w:marLeft w:val="0"/>
      <w:marRight w:val="0"/>
      <w:marTop w:val="0"/>
      <w:marBottom w:val="0"/>
      <w:divBdr>
        <w:top w:val="none" w:sz="0" w:space="0" w:color="auto"/>
        <w:left w:val="none" w:sz="0" w:space="0" w:color="auto"/>
        <w:bottom w:val="none" w:sz="0" w:space="0" w:color="auto"/>
        <w:right w:val="none" w:sz="0" w:space="0" w:color="auto"/>
      </w:divBdr>
    </w:div>
    <w:div w:id="1467240406">
      <w:bodyDiv w:val="1"/>
      <w:marLeft w:val="0"/>
      <w:marRight w:val="0"/>
      <w:marTop w:val="0"/>
      <w:marBottom w:val="0"/>
      <w:divBdr>
        <w:top w:val="none" w:sz="0" w:space="0" w:color="auto"/>
        <w:left w:val="none" w:sz="0" w:space="0" w:color="auto"/>
        <w:bottom w:val="none" w:sz="0" w:space="0" w:color="auto"/>
        <w:right w:val="none" w:sz="0" w:space="0" w:color="auto"/>
      </w:divBdr>
    </w:div>
    <w:div w:id="1482430087">
      <w:bodyDiv w:val="1"/>
      <w:marLeft w:val="0"/>
      <w:marRight w:val="0"/>
      <w:marTop w:val="0"/>
      <w:marBottom w:val="0"/>
      <w:divBdr>
        <w:top w:val="none" w:sz="0" w:space="0" w:color="auto"/>
        <w:left w:val="none" w:sz="0" w:space="0" w:color="auto"/>
        <w:bottom w:val="none" w:sz="0" w:space="0" w:color="auto"/>
        <w:right w:val="none" w:sz="0" w:space="0" w:color="auto"/>
      </w:divBdr>
    </w:div>
    <w:div w:id="1485662683">
      <w:bodyDiv w:val="1"/>
      <w:marLeft w:val="0"/>
      <w:marRight w:val="0"/>
      <w:marTop w:val="0"/>
      <w:marBottom w:val="0"/>
      <w:divBdr>
        <w:top w:val="none" w:sz="0" w:space="0" w:color="auto"/>
        <w:left w:val="none" w:sz="0" w:space="0" w:color="auto"/>
        <w:bottom w:val="none" w:sz="0" w:space="0" w:color="auto"/>
        <w:right w:val="none" w:sz="0" w:space="0" w:color="auto"/>
      </w:divBdr>
    </w:div>
    <w:div w:id="1541472994">
      <w:bodyDiv w:val="1"/>
      <w:marLeft w:val="0"/>
      <w:marRight w:val="0"/>
      <w:marTop w:val="0"/>
      <w:marBottom w:val="0"/>
      <w:divBdr>
        <w:top w:val="none" w:sz="0" w:space="0" w:color="auto"/>
        <w:left w:val="none" w:sz="0" w:space="0" w:color="auto"/>
        <w:bottom w:val="none" w:sz="0" w:space="0" w:color="auto"/>
        <w:right w:val="none" w:sz="0" w:space="0" w:color="auto"/>
      </w:divBdr>
    </w:div>
    <w:div w:id="1568028035">
      <w:bodyDiv w:val="1"/>
      <w:marLeft w:val="0"/>
      <w:marRight w:val="0"/>
      <w:marTop w:val="0"/>
      <w:marBottom w:val="0"/>
      <w:divBdr>
        <w:top w:val="none" w:sz="0" w:space="0" w:color="auto"/>
        <w:left w:val="none" w:sz="0" w:space="0" w:color="auto"/>
        <w:bottom w:val="none" w:sz="0" w:space="0" w:color="auto"/>
        <w:right w:val="none" w:sz="0" w:space="0" w:color="auto"/>
      </w:divBdr>
    </w:div>
    <w:div w:id="1655529119">
      <w:bodyDiv w:val="1"/>
      <w:marLeft w:val="0"/>
      <w:marRight w:val="0"/>
      <w:marTop w:val="0"/>
      <w:marBottom w:val="0"/>
      <w:divBdr>
        <w:top w:val="none" w:sz="0" w:space="0" w:color="auto"/>
        <w:left w:val="none" w:sz="0" w:space="0" w:color="auto"/>
        <w:bottom w:val="none" w:sz="0" w:space="0" w:color="auto"/>
        <w:right w:val="none" w:sz="0" w:space="0" w:color="auto"/>
      </w:divBdr>
    </w:div>
    <w:div w:id="1714114561">
      <w:bodyDiv w:val="1"/>
      <w:marLeft w:val="0"/>
      <w:marRight w:val="0"/>
      <w:marTop w:val="0"/>
      <w:marBottom w:val="0"/>
      <w:divBdr>
        <w:top w:val="none" w:sz="0" w:space="0" w:color="auto"/>
        <w:left w:val="none" w:sz="0" w:space="0" w:color="auto"/>
        <w:bottom w:val="none" w:sz="0" w:space="0" w:color="auto"/>
        <w:right w:val="none" w:sz="0" w:space="0" w:color="auto"/>
      </w:divBdr>
    </w:div>
    <w:div w:id="1723478020">
      <w:bodyDiv w:val="1"/>
      <w:marLeft w:val="0"/>
      <w:marRight w:val="0"/>
      <w:marTop w:val="0"/>
      <w:marBottom w:val="0"/>
      <w:divBdr>
        <w:top w:val="none" w:sz="0" w:space="0" w:color="auto"/>
        <w:left w:val="none" w:sz="0" w:space="0" w:color="auto"/>
        <w:bottom w:val="none" w:sz="0" w:space="0" w:color="auto"/>
        <w:right w:val="none" w:sz="0" w:space="0" w:color="auto"/>
      </w:divBdr>
    </w:div>
    <w:div w:id="1747653024">
      <w:bodyDiv w:val="1"/>
      <w:marLeft w:val="0"/>
      <w:marRight w:val="0"/>
      <w:marTop w:val="0"/>
      <w:marBottom w:val="0"/>
      <w:divBdr>
        <w:top w:val="none" w:sz="0" w:space="0" w:color="auto"/>
        <w:left w:val="none" w:sz="0" w:space="0" w:color="auto"/>
        <w:bottom w:val="none" w:sz="0" w:space="0" w:color="auto"/>
        <w:right w:val="none" w:sz="0" w:space="0" w:color="auto"/>
      </w:divBdr>
    </w:div>
    <w:div w:id="1791777584">
      <w:bodyDiv w:val="1"/>
      <w:marLeft w:val="0"/>
      <w:marRight w:val="0"/>
      <w:marTop w:val="0"/>
      <w:marBottom w:val="0"/>
      <w:divBdr>
        <w:top w:val="none" w:sz="0" w:space="0" w:color="auto"/>
        <w:left w:val="none" w:sz="0" w:space="0" w:color="auto"/>
        <w:bottom w:val="none" w:sz="0" w:space="0" w:color="auto"/>
        <w:right w:val="none" w:sz="0" w:space="0" w:color="auto"/>
      </w:divBdr>
    </w:div>
    <w:div w:id="1852835531">
      <w:bodyDiv w:val="1"/>
      <w:marLeft w:val="0"/>
      <w:marRight w:val="0"/>
      <w:marTop w:val="0"/>
      <w:marBottom w:val="0"/>
      <w:divBdr>
        <w:top w:val="none" w:sz="0" w:space="0" w:color="auto"/>
        <w:left w:val="none" w:sz="0" w:space="0" w:color="auto"/>
        <w:bottom w:val="none" w:sz="0" w:space="0" w:color="auto"/>
        <w:right w:val="none" w:sz="0" w:space="0" w:color="auto"/>
      </w:divBdr>
    </w:div>
    <w:div w:id="1875922730">
      <w:bodyDiv w:val="1"/>
      <w:marLeft w:val="0"/>
      <w:marRight w:val="0"/>
      <w:marTop w:val="0"/>
      <w:marBottom w:val="0"/>
      <w:divBdr>
        <w:top w:val="none" w:sz="0" w:space="0" w:color="auto"/>
        <w:left w:val="none" w:sz="0" w:space="0" w:color="auto"/>
        <w:bottom w:val="none" w:sz="0" w:space="0" w:color="auto"/>
        <w:right w:val="none" w:sz="0" w:space="0" w:color="auto"/>
      </w:divBdr>
    </w:div>
    <w:div w:id="1884365256">
      <w:bodyDiv w:val="1"/>
      <w:marLeft w:val="0"/>
      <w:marRight w:val="0"/>
      <w:marTop w:val="0"/>
      <w:marBottom w:val="0"/>
      <w:divBdr>
        <w:top w:val="none" w:sz="0" w:space="0" w:color="auto"/>
        <w:left w:val="none" w:sz="0" w:space="0" w:color="auto"/>
        <w:bottom w:val="none" w:sz="0" w:space="0" w:color="auto"/>
        <w:right w:val="none" w:sz="0" w:space="0" w:color="auto"/>
      </w:divBdr>
    </w:div>
    <w:div w:id="1923836324">
      <w:bodyDiv w:val="1"/>
      <w:marLeft w:val="0"/>
      <w:marRight w:val="0"/>
      <w:marTop w:val="0"/>
      <w:marBottom w:val="0"/>
      <w:divBdr>
        <w:top w:val="none" w:sz="0" w:space="0" w:color="auto"/>
        <w:left w:val="none" w:sz="0" w:space="0" w:color="auto"/>
        <w:bottom w:val="none" w:sz="0" w:space="0" w:color="auto"/>
        <w:right w:val="none" w:sz="0" w:space="0" w:color="auto"/>
      </w:divBdr>
    </w:div>
    <w:div w:id="1941645530">
      <w:bodyDiv w:val="1"/>
      <w:marLeft w:val="0"/>
      <w:marRight w:val="0"/>
      <w:marTop w:val="0"/>
      <w:marBottom w:val="0"/>
      <w:divBdr>
        <w:top w:val="none" w:sz="0" w:space="0" w:color="auto"/>
        <w:left w:val="none" w:sz="0" w:space="0" w:color="auto"/>
        <w:bottom w:val="none" w:sz="0" w:space="0" w:color="auto"/>
        <w:right w:val="none" w:sz="0" w:space="0" w:color="auto"/>
      </w:divBdr>
    </w:div>
    <w:div w:id="1973289543">
      <w:bodyDiv w:val="1"/>
      <w:marLeft w:val="0"/>
      <w:marRight w:val="0"/>
      <w:marTop w:val="0"/>
      <w:marBottom w:val="0"/>
      <w:divBdr>
        <w:top w:val="none" w:sz="0" w:space="0" w:color="auto"/>
        <w:left w:val="none" w:sz="0" w:space="0" w:color="auto"/>
        <w:bottom w:val="none" w:sz="0" w:space="0" w:color="auto"/>
        <w:right w:val="none" w:sz="0" w:space="0" w:color="auto"/>
      </w:divBdr>
    </w:div>
    <w:div w:id="1997496063">
      <w:bodyDiv w:val="1"/>
      <w:marLeft w:val="0"/>
      <w:marRight w:val="0"/>
      <w:marTop w:val="0"/>
      <w:marBottom w:val="0"/>
      <w:divBdr>
        <w:top w:val="none" w:sz="0" w:space="0" w:color="auto"/>
        <w:left w:val="none" w:sz="0" w:space="0" w:color="auto"/>
        <w:bottom w:val="none" w:sz="0" w:space="0" w:color="auto"/>
        <w:right w:val="none" w:sz="0" w:space="0" w:color="auto"/>
      </w:divBdr>
    </w:div>
    <w:div w:id="2032681835">
      <w:bodyDiv w:val="1"/>
      <w:marLeft w:val="0"/>
      <w:marRight w:val="0"/>
      <w:marTop w:val="0"/>
      <w:marBottom w:val="0"/>
      <w:divBdr>
        <w:top w:val="none" w:sz="0" w:space="0" w:color="auto"/>
        <w:left w:val="none" w:sz="0" w:space="0" w:color="auto"/>
        <w:bottom w:val="none" w:sz="0" w:space="0" w:color="auto"/>
        <w:right w:val="none" w:sz="0" w:space="0" w:color="auto"/>
      </w:divBdr>
    </w:div>
    <w:div w:id="2041513147">
      <w:bodyDiv w:val="1"/>
      <w:marLeft w:val="0"/>
      <w:marRight w:val="0"/>
      <w:marTop w:val="0"/>
      <w:marBottom w:val="0"/>
      <w:divBdr>
        <w:top w:val="none" w:sz="0" w:space="0" w:color="auto"/>
        <w:left w:val="none" w:sz="0" w:space="0" w:color="auto"/>
        <w:bottom w:val="none" w:sz="0" w:space="0" w:color="auto"/>
        <w:right w:val="none" w:sz="0" w:space="0" w:color="auto"/>
      </w:divBdr>
    </w:div>
    <w:div w:id="2060474268">
      <w:bodyDiv w:val="1"/>
      <w:marLeft w:val="0"/>
      <w:marRight w:val="0"/>
      <w:marTop w:val="0"/>
      <w:marBottom w:val="0"/>
      <w:divBdr>
        <w:top w:val="none" w:sz="0" w:space="0" w:color="auto"/>
        <w:left w:val="none" w:sz="0" w:space="0" w:color="auto"/>
        <w:bottom w:val="none" w:sz="0" w:space="0" w:color="auto"/>
        <w:right w:val="none" w:sz="0" w:space="0" w:color="auto"/>
      </w:divBdr>
      <w:divsChild>
        <w:div w:id="724647385">
          <w:marLeft w:val="288"/>
          <w:marRight w:val="0"/>
          <w:marTop w:val="0"/>
          <w:marBottom w:val="0"/>
          <w:divBdr>
            <w:top w:val="none" w:sz="0" w:space="0" w:color="auto"/>
            <w:left w:val="none" w:sz="0" w:space="0" w:color="auto"/>
            <w:bottom w:val="none" w:sz="0" w:space="0" w:color="auto"/>
            <w:right w:val="none" w:sz="0" w:space="0" w:color="auto"/>
          </w:divBdr>
        </w:div>
        <w:div w:id="1404641949">
          <w:marLeft w:val="288"/>
          <w:marRight w:val="0"/>
          <w:marTop w:val="0"/>
          <w:marBottom w:val="0"/>
          <w:divBdr>
            <w:top w:val="none" w:sz="0" w:space="0" w:color="auto"/>
            <w:left w:val="none" w:sz="0" w:space="0" w:color="auto"/>
            <w:bottom w:val="none" w:sz="0" w:space="0" w:color="auto"/>
            <w:right w:val="none" w:sz="0" w:space="0" w:color="auto"/>
          </w:divBdr>
        </w:div>
      </w:divsChild>
    </w:div>
    <w:div w:id="2063095980">
      <w:bodyDiv w:val="1"/>
      <w:marLeft w:val="0"/>
      <w:marRight w:val="0"/>
      <w:marTop w:val="0"/>
      <w:marBottom w:val="0"/>
      <w:divBdr>
        <w:top w:val="none" w:sz="0" w:space="0" w:color="auto"/>
        <w:left w:val="none" w:sz="0" w:space="0" w:color="auto"/>
        <w:bottom w:val="none" w:sz="0" w:space="0" w:color="auto"/>
        <w:right w:val="none" w:sz="0" w:space="0" w:color="auto"/>
      </w:divBdr>
    </w:div>
    <w:div w:id="2065060554">
      <w:bodyDiv w:val="1"/>
      <w:marLeft w:val="0"/>
      <w:marRight w:val="0"/>
      <w:marTop w:val="0"/>
      <w:marBottom w:val="0"/>
      <w:divBdr>
        <w:top w:val="none" w:sz="0" w:space="0" w:color="auto"/>
        <w:left w:val="none" w:sz="0" w:space="0" w:color="auto"/>
        <w:bottom w:val="none" w:sz="0" w:space="0" w:color="auto"/>
        <w:right w:val="none" w:sz="0" w:space="0" w:color="auto"/>
      </w:divBdr>
    </w:div>
    <w:div w:id="2075466196">
      <w:bodyDiv w:val="1"/>
      <w:marLeft w:val="0"/>
      <w:marRight w:val="0"/>
      <w:marTop w:val="0"/>
      <w:marBottom w:val="0"/>
      <w:divBdr>
        <w:top w:val="none" w:sz="0" w:space="0" w:color="auto"/>
        <w:left w:val="none" w:sz="0" w:space="0" w:color="auto"/>
        <w:bottom w:val="none" w:sz="0" w:space="0" w:color="auto"/>
        <w:right w:val="none" w:sz="0" w:space="0" w:color="auto"/>
      </w:divBdr>
      <w:divsChild>
        <w:div w:id="70197951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europa.eu/data/datasets/s2250_92_1_498_eng?locale=lv" TargetMode="External"/><Relationship Id="rId18" Type="http://schemas.openxmlformats.org/officeDocument/2006/relationships/chart" Target="charts/chart5.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png"/><Relationship Id="rId28" Type="http://schemas.openxmlformats.org/officeDocument/2006/relationships/chart" Target="charts/chart12.xml"/><Relationship Id="rId10" Type="http://schemas.openxmlformats.org/officeDocument/2006/relationships/chart" Target="charts/chart1.xml"/><Relationship Id="rId19" Type="http://schemas.openxmlformats.org/officeDocument/2006/relationships/chart" Target="charts/chart6.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ata.europa.eu/data/datasets/s2250_92_1_498_eng?locale=lv" TargetMode="External"/><Relationship Id="rId22" Type="http://schemas.openxmlformats.org/officeDocument/2006/relationships/chart" Target="charts/chart9.xml"/><Relationship Id="rId27" Type="http://schemas.openxmlformats.org/officeDocument/2006/relationships/image" Target="media/image6.png"/><Relationship Id="rId30" Type="http://schemas.openxmlformats.org/officeDocument/2006/relationships/image" Target="media/image7.png"/><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browser/view/sdg_08_10/default/table?lang=en" TargetMode="External"/><Relationship Id="rId13" Type="http://schemas.openxmlformats.org/officeDocument/2006/relationships/hyperlink" Target="https://www.mk.gov.lv/lv/media/16704/download?attachment" TargetMode="External"/><Relationship Id="rId18" Type="http://schemas.openxmlformats.org/officeDocument/2006/relationships/hyperlink" Target="https://www.europarl.europa.eu/RegData/etudes/STUD/2022/734007/IPOL_STU(2022)734007_EN.pdf" TargetMode="External"/><Relationship Id="rId26" Type="http://schemas.openxmlformats.org/officeDocument/2006/relationships/hyperlink" Target="https://www.lb.lt/uploads/consultations/docs/34217_bff2383bc37f0a7222f9068e1d97b6e0.pdf" TargetMode="External"/><Relationship Id="rId3" Type="http://schemas.openxmlformats.org/officeDocument/2006/relationships/hyperlink" Target="https://www.sseriga.edu/sites/default/files/2023-05/Enu_ekonomikas_indekss_2009_2022_0.pdf" TargetMode="External"/><Relationship Id="rId21" Type="http://schemas.openxmlformats.org/officeDocument/2006/relationships/hyperlink" Target="https://leta.lv/news/Latvia/36B556EC-C1FD-4B79-B8C0-904DF721CBD4" TargetMode="External"/><Relationship Id="rId7" Type="http://schemas.openxmlformats.org/officeDocument/2006/relationships/hyperlink" Target="https://www.fm.gov.lv/lv/media/13776/download?attachment" TargetMode="External"/><Relationship Id="rId12" Type="http://schemas.openxmlformats.org/officeDocument/2006/relationships/hyperlink" Target="https://www.oecdregionalwellbeing.org/US26.html" TargetMode="External"/><Relationship Id="rId17" Type="http://schemas.openxmlformats.org/officeDocument/2006/relationships/hyperlink" Target="https://www.europarl.europa.eu/RegData/etudes/STUD/2022/734007/IPOL_STU(2022)734007_EN.pdf" TargetMode="External"/><Relationship Id="rId25" Type="http://schemas.openxmlformats.org/officeDocument/2006/relationships/hyperlink" Target="https://tapportals.mk.gov.lv/meetings/protocols/ab34369d-2244-4093-9cb2-867888cfeea1" TargetMode="External"/><Relationship Id="rId2" Type="http://schemas.openxmlformats.org/officeDocument/2006/relationships/hyperlink" Target="https://docs.iza.org/dp1043.pdf" TargetMode="External"/><Relationship Id="rId16" Type="http://schemas.openxmlformats.org/officeDocument/2006/relationships/hyperlink" Target="https://www.fm.gov.lv/lv/media/13788/download?attachment" TargetMode="External"/><Relationship Id="rId20" Type="http://schemas.openxmlformats.org/officeDocument/2006/relationships/hyperlink" Target="https://stat.gov.lv/lv/statistikas-temas/valsts-ekonomika/ikp-istermina/preses-relizes/12251-iekszemes-kopprodukts-2022" TargetMode="External"/><Relationship Id="rId1" Type="http://schemas.openxmlformats.org/officeDocument/2006/relationships/hyperlink" Target="https://www.oecd.org/tax/crime/shining-light-on-the-shadow-economy-opportunities-and-threats.pdf" TargetMode="External"/><Relationship Id="rId6" Type="http://schemas.openxmlformats.org/officeDocument/2006/relationships/hyperlink" Target="https://www.fm.gov.lv/lv/media/13786/download?attachment" TargetMode="External"/><Relationship Id="rId11" Type="http://schemas.openxmlformats.org/officeDocument/2006/relationships/hyperlink" Target="https://www.fm.gov.lv/lv/media/11131/download?attachment" TargetMode="External"/><Relationship Id="rId24" Type="http://schemas.openxmlformats.org/officeDocument/2006/relationships/hyperlink" Target="https://data.worldbank.org/indicator/NY.GDP.PCAP.CD?locations=OE" TargetMode="External"/><Relationship Id="rId5" Type="http://schemas.openxmlformats.org/officeDocument/2006/relationships/hyperlink" Target="https://www.europarl.europa.eu/RegData/etudes/STUD/2022/734007/IPOL_STU(2022)734007_EN.pdf" TargetMode="External"/><Relationship Id="rId15" Type="http://schemas.openxmlformats.org/officeDocument/2006/relationships/hyperlink" Target="https://www.cesifo.org/en/publications/2020/working-paper/payment-innovations-shadow-economy-and-cash-demand-households-euro" TargetMode="External"/><Relationship Id="rId23" Type="http://schemas.openxmlformats.org/officeDocument/2006/relationships/hyperlink" Target="https://ec.europa.eu/eurostat/databrowser/view/sdg_08_10/default/table?lang=en" TargetMode="External"/><Relationship Id="rId28" Type="http://schemas.openxmlformats.org/officeDocument/2006/relationships/hyperlink" Target="https://www.swedbank.lv/business/cash/cashflow/cardservice?language=LAT&amp;cid=allyear_S-daily-banking-DailyDigital-corporate-uzturosa_search_pos-terminali_lv_lat&amp;s_kwcid=AL!12017!3!648773434013!p!!g!!pos&amp;gclid=EAIaIQobChMItpTblbyggwMV0QqiAx1b8QAmEAAYBCAAEgJ3A_D_BwE" TargetMode="External"/><Relationship Id="rId10" Type="http://schemas.openxmlformats.org/officeDocument/2006/relationships/hyperlink" Target="https://ec.europa.eu/eurostat/databrowser/view/sdg_08_10/default/table?lang=en" TargetMode="External"/><Relationship Id="rId19" Type="http://schemas.openxmlformats.org/officeDocument/2006/relationships/hyperlink" Target="https://www.sseriga.edu/sites/default/files/2023-05/Enu_ekonomikas_indekss_2009_2022_0.pdf" TargetMode="External"/><Relationship Id="rId4" Type="http://schemas.openxmlformats.org/officeDocument/2006/relationships/hyperlink" Target="https://www.researchgate.net/publication/356303562_Outside_the_State_-_The_Shadow_Economy_and_Shadow_Economy_Labor_Force" TargetMode="External"/><Relationship Id="rId9" Type="http://schemas.openxmlformats.org/officeDocument/2006/relationships/hyperlink" Target="https://op.europa.eu/en/publication-detail/-/publication/030df522-7452-11ed-9887-01aa75ed71a1" TargetMode="External"/><Relationship Id="rId14" Type="http://schemas.openxmlformats.org/officeDocument/2006/relationships/hyperlink" Target="https://www.cesifo.org/en/publications/2020/working-paper/payment-innovations-shadow-economy-and-cash-demand-households-euro" TargetMode="External"/><Relationship Id="rId22" Type="http://schemas.openxmlformats.org/officeDocument/2006/relationships/hyperlink" Target="https://www.sseriga.edu/sites/default/files/2022-05/SSERiga_Enu_ekonomikas_indekss_2009_2021_brosura_0.pdf" TargetMode="External"/><Relationship Id="rId27" Type="http://schemas.openxmlformats.org/officeDocument/2006/relationships/hyperlink" Target="https://www.riigiteataja.ee/en/eli/ee/509012023001/consolide"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ee-zvirg\Desktop\Mani%20dokumenti\3_Enu%20ekonomika\ee%202020_DATI-sep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e-zvirg\Desktop\Mani%20dokumenti\3_Enu%20ekonomika\ee%202020_DATI-sep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3" Type="http://schemas.openxmlformats.org/officeDocument/2006/relationships/oleObject" Target="file:///C:\Users\ee-zvirg\Desktop\Mani%20dokumenti\3_Enu%20ekonomika\ee%202020_DATI-sept.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fk\eeikd\1.%20MAPES%20DARBAM\17.%20&#274;NU%20PL&#256;NS\JAUNA%20&#275;nu%20pl&#257;na%20IZSTRADE\1_PL&#256;NA%20PROJEKTS\1_IEVADS\GDP%20per%20capita_uznem_GDP_ofic%20ekon%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oleObject" Target="file:///\\fk\eeikd\1.%20MAPES%20DARBAM\17.%20&#274;NU%20PL&#256;NS\JAUNA%20&#275;nu%20pl&#257;na%20IZSTRADE\1_PL&#256;NA%20PROJEKTS\GDP%20per%20capita%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k\eeikd\1.%20MAPES%20DARBAM\17.%20&#274;NU%20PL&#256;NS\JAUNA%20&#275;nu%20pl&#257;na%20IZSTRADE\1_PL&#256;NA%20PROJEKTS\Life_satisfaction_index%20-%20grafik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k\eeikd\1.%20MAPES%20DARBAM\17.%20&#274;NU%20PL&#256;NS\JAUNA%20&#275;nu%20pl&#257;na%20IZSTRADE\1_PL&#256;NA%20PROJEKTS\2_IEVADS\Life_satisfaction_index%20-%20grafiks%20skaitl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Sheet1!$B$1</c:f>
              <c:strCache>
                <c:ptCount val="1"/>
                <c:pt idx="0">
                  <c:v>0 Pilnībā nepieņemama </c:v>
                </c:pt>
              </c:strCache>
            </c:strRef>
          </c:tx>
          <c:spPr>
            <a:solidFill>
              <a:schemeClr val="accent2">
                <a:shade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Sheet1!$B$2:$B$7</c:f>
              <c:numCache>
                <c:formatCode>0%</c:formatCode>
                <c:ptCount val="6"/>
                <c:pt idx="0">
                  <c:v>0.3542990218991694</c:v>
                </c:pt>
                <c:pt idx="1">
                  <c:v>0.42359952668829676</c:v>
                </c:pt>
                <c:pt idx="2">
                  <c:v>0.38801882976459723</c:v>
                </c:pt>
                <c:pt idx="3">
                  <c:v>0.19716056309844382</c:v>
                </c:pt>
                <c:pt idx="4">
                  <c:v>0.30410857021236215</c:v>
                </c:pt>
                <c:pt idx="5">
                  <c:v>0.39538904731900648</c:v>
                </c:pt>
              </c:numCache>
            </c:numRef>
          </c:val>
          <c:extLst>
            <c:ext xmlns:c16="http://schemas.microsoft.com/office/drawing/2014/chart" uri="{C3380CC4-5D6E-409C-BE32-E72D297353CC}">
              <c16:uniqueId val="{00000000-4560-472A-A13E-916BF8191C7A}"/>
            </c:ext>
          </c:extLst>
        </c:ser>
        <c:ser>
          <c:idx val="1"/>
          <c:order val="1"/>
          <c:tx>
            <c:strRef>
              <c:f>Sheet1!$C$1</c:f>
              <c:strCache>
                <c:ptCount val="1"/>
                <c:pt idx="0">
                  <c:v>1</c:v>
                </c:pt>
              </c:strCache>
            </c:strRef>
          </c:tx>
          <c:spPr>
            <a:solidFill>
              <a:schemeClr val="accent2">
                <a:shade val="5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Sheet1!$C$2:$C$7</c:f>
              <c:numCache>
                <c:formatCode>0%</c:formatCode>
                <c:ptCount val="6"/>
                <c:pt idx="0">
                  <c:v>0.11319853281902223</c:v>
                </c:pt>
                <c:pt idx="1">
                  <c:v>9.5377512194635014E-2</c:v>
                </c:pt>
                <c:pt idx="2">
                  <c:v>8.1666618998635879E-2</c:v>
                </c:pt>
                <c:pt idx="3">
                  <c:v>5.3954312205876508E-2</c:v>
                </c:pt>
                <c:pt idx="4">
                  <c:v>8.2398095731060619E-2</c:v>
                </c:pt>
                <c:pt idx="5">
                  <c:v>9.3234949251341306E-2</c:v>
                </c:pt>
              </c:numCache>
            </c:numRef>
          </c:val>
          <c:extLst>
            <c:ext xmlns:c16="http://schemas.microsoft.com/office/drawing/2014/chart" uri="{C3380CC4-5D6E-409C-BE32-E72D297353CC}">
              <c16:uniqueId val="{00000001-4560-472A-A13E-916BF8191C7A}"/>
            </c:ext>
          </c:extLst>
        </c:ser>
        <c:ser>
          <c:idx val="2"/>
          <c:order val="2"/>
          <c:tx>
            <c:strRef>
              <c:f>Sheet1!$D$1</c:f>
              <c:strCache>
                <c:ptCount val="1"/>
                <c:pt idx="0">
                  <c:v>2</c:v>
                </c:pt>
              </c:strCache>
            </c:strRef>
          </c:tx>
          <c:spPr>
            <a:solidFill>
              <a:schemeClr val="accent2">
                <a:shade val="6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Sheet1!$D$2:$D$7</c:f>
              <c:numCache>
                <c:formatCode>0%</c:formatCode>
                <c:ptCount val="6"/>
                <c:pt idx="0">
                  <c:v>6.4196163912135146E-2</c:v>
                </c:pt>
                <c:pt idx="1">
                  <c:v>7.1875594582122657E-2</c:v>
                </c:pt>
                <c:pt idx="2">
                  <c:v>5.8419409844377566E-2</c:v>
                </c:pt>
                <c:pt idx="3">
                  <c:v>7.599503620379397E-2</c:v>
                </c:pt>
                <c:pt idx="4">
                  <c:v>7.8174522120176476E-2</c:v>
                </c:pt>
                <c:pt idx="5">
                  <c:v>7.8897147384187211E-2</c:v>
                </c:pt>
              </c:numCache>
            </c:numRef>
          </c:val>
          <c:extLst>
            <c:ext xmlns:c16="http://schemas.microsoft.com/office/drawing/2014/chart" uri="{C3380CC4-5D6E-409C-BE32-E72D297353CC}">
              <c16:uniqueId val="{00000002-4560-472A-A13E-916BF8191C7A}"/>
            </c:ext>
          </c:extLst>
        </c:ser>
        <c:ser>
          <c:idx val="3"/>
          <c:order val="3"/>
          <c:tx>
            <c:strRef>
              <c:f>Sheet1!$E$1</c:f>
              <c:strCache>
                <c:ptCount val="1"/>
                <c:pt idx="0">
                  <c:v>3</c:v>
                </c:pt>
              </c:strCache>
            </c:strRef>
          </c:tx>
          <c:spPr>
            <a:solidFill>
              <a:schemeClr val="accent2">
                <a:shade val="7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Sheet1!$E$2:$E$7</c:f>
              <c:numCache>
                <c:formatCode>0%</c:formatCode>
                <c:ptCount val="6"/>
                <c:pt idx="0">
                  <c:v>6.5902855307280073E-2</c:v>
                </c:pt>
                <c:pt idx="1">
                  <c:v>5.464757187397707E-2</c:v>
                </c:pt>
                <c:pt idx="2">
                  <c:v>3.9962132682540695E-2</c:v>
                </c:pt>
                <c:pt idx="3">
                  <c:v>4.4726110592299549E-2</c:v>
                </c:pt>
                <c:pt idx="4">
                  <c:v>7.5918693277560623E-2</c:v>
                </c:pt>
                <c:pt idx="5">
                  <c:v>7.6696792511418393E-2</c:v>
                </c:pt>
              </c:numCache>
            </c:numRef>
          </c:val>
          <c:extLst>
            <c:ext xmlns:c16="http://schemas.microsoft.com/office/drawing/2014/chart" uri="{C3380CC4-5D6E-409C-BE32-E72D297353CC}">
              <c16:uniqueId val="{00000003-4560-472A-A13E-916BF8191C7A}"/>
            </c:ext>
          </c:extLst>
        </c:ser>
        <c:ser>
          <c:idx val="4"/>
          <c:order val="4"/>
          <c:tx>
            <c:strRef>
              <c:f>Sheet1!$F$1</c:f>
              <c:strCache>
                <c:ptCount val="1"/>
                <c:pt idx="0">
                  <c:v>4</c:v>
                </c:pt>
              </c:strCache>
            </c:strRef>
          </c:tx>
          <c:spPr>
            <a:solidFill>
              <a:schemeClr val="accent2">
                <a:shade val="8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Sheet1!$F$2:$F$7</c:f>
              <c:numCache>
                <c:formatCode>0%</c:formatCode>
                <c:ptCount val="6"/>
                <c:pt idx="0">
                  <c:v>5.3388913686809959E-2</c:v>
                </c:pt>
                <c:pt idx="1">
                  <c:v>4.7071195285437364E-2</c:v>
                </c:pt>
                <c:pt idx="2">
                  <c:v>5.8106282976615485E-2</c:v>
                </c:pt>
                <c:pt idx="3">
                  <c:v>5.7278823755977412E-2</c:v>
                </c:pt>
                <c:pt idx="4">
                  <c:v>5.4432625648686297E-2</c:v>
                </c:pt>
                <c:pt idx="5">
                  <c:v>6.0258137500126388E-2</c:v>
                </c:pt>
              </c:numCache>
            </c:numRef>
          </c:val>
          <c:extLst>
            <c:ext xmlns:c16="http://schemas.microsoft.com/office/drawing/2014/chart" uri="{C3380CC4-5D6E-409C-BE32-E72D297353CC}">
              <c16:uniqueId val="{00000004-4560-472A-A13E-916BF8191C7A}"/>
            </c:ext>
          </c:extLst>
        </c:ser>
        <c:ser>
          <c:idx val="5"/>
          <c:order val="5"/>
          <c:tx>
            <c:strRef>
              <c:f>Sheet1!$G$1</c:f>
              <c:strCache>
                <c:ptCount val="1"/>
                <c:pt idx="0">
                  <c:v>5</c:v>
                </c:pt>
              </c:strCache>
            </c:strRef>
          </c:tx>
          <c:spPr>
            <a:solidFill>
              <a:schemeClr val="accent2">
                <a:shade val="9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Sheet1!$G$2:$G$7</c:f>
              <c:numCache>
                <c:formatCode>0%</c:formatCode>
                <c:ptCount val="6"/>
                <c:pt idx="0">
                  <c:v>0.11002044572153274</c:v>
                </c:pt>
                <c:pt idx="1">
                  <c:v>8.8155231197560469E-2</c:v>
                </c:pt>
                <c:pt idx="2">
                  <c:v>9.7251113134442763E-2</c:v>
                </c:pt>
                <c:pt idx="3">
                  <c:v>0.1274463466364959</c:v>
                </c:pt>
                <c:pt idx="4">
                  <c:v>0.12917419222878207</c:v>
                </c:pt>
                <c:pt idx="5">
                  <c:v>8.3212168751741852E-2</c:v>
                </c:pt>
              </c:numCache>
            </c:numRef>
          </c:val>
          <c:extLst>
            <c:ext xmlns:c16="http://schemas.microsoft.com/office/drawing/2014/chart" uri="{C3380CC4-5D6E-409C-BE32-E72D297353CC}">
              <c16:uniqueId val="{00000005-4560-472A-A13E-916BF8191C7A}"/>
            </c:ext>
          </c:extLst>
        </c:ser>
        <c:ser>
          <c:idx val="6"/>
          <c:order val="6"/>
          <c:tx>
            <c:strRef>
              <c:f>Sheet1!$H$1</c:f>
              <c:strCache>
                <c:ptCount val="1"/>
                <c:pt idx="0">
                  <c:v>6</c:v>
                </c:pt>
              </c:strCache>
            </c:strRef>
          </c:tx>
          <c:spPr>
            <a:solidFill>
              <a:schemeClr val="accent2">
                <a:tint val="95000"/>
              </a:schemeClr>
            </a:solidFill>
            <a:ln>
              <a:noFill/>
            </a:ln>
            <a:effectLst/>
          </c:spPr>
          <c:invertIfNegative val="0"/>
          <c:dLbls>
            <c:delete val="1"/>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Sheet1!$H$2:$H$7</c:f>
              <c:numCache>
                <c:formatCode>0%</c:formatCode>
                <c:ptCount val="6"/>
                <c:pt idx="0">
                  <c:v>5.772652635725594E-2</c:v>
                </c:pt>
                <c:pt idx="1">
                  <c:v>4.3707955469564547E-2</c:v>
                </c:pt>
                <c:pt idx="2">
                  <c:v>6.1971349776527032E-2</c:v>
                </c:pt>
                <c:pt idx="3">
                  <c:v>5.8617163889517307E-2</c:v>
                </c:pt>
                <c:pt idx="4">
                  <c:v>4.3607096994106115E-2</c:v>
                </c:pt>
                <c:pt idx="5">
                  <c:v>3.7645672824517938E-2</c:v>
                </c:pt>
              </c:numCache>
            </c:numRef>
          </c:val>
          <c:extLst>
            <c:ext xmlns:c16="http://schemas.microsoft.com/office/drawing/2014/chart" uri="{C3380CC4-5D6E-409C-BE32-E72D297353CC}">
              <c16:uniqueId val="{00000006-4560-472A-A13E-916BF8191C7A}"/>
            </c:ext>
          </c:extLst>
        </c:ser>
        <c:ser>
          <c:idx val="7"/>
          <c:order val="7"/>
          <c:tx>
            <c:strRef>
              <c:f>Sheet1!$I$1</c:f>
              <c:strCache>
                <c:ptCount val="1"/>
                <c:pt idx="0">
                  <c:v>7</c:v>
                </c:pt>
              </c:strCache>
            </c:strRef>
          </c:tx>
          <c:spPr>
            <a:solidFill>
              <a:schemeClr val="accent2">
                <a:tint val="84000"/>
              </a:schemeClr>
            </a:solidFill>
            <a:ln>
              <a:noFill/>
            </a:ln>
            <a:effectLst/>
          </c:spPr>
          <c:invertIfNegative val="0"/>
          <c:dLbls>
            <c:delete val="1"/>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Sheet1!$I$2:$I$7</c:f>
              <c:numCache>
                <c:formatCode>0%</c:formatCode>
                <c:ptCount val="6"/>
                <c:pt idx="0">
                  <c:v>2.5193382807758909E-2</c:v>
                </c:pt>
                <c:pt idx="1">
                  <c:v>2.1738592775821942E-2</c:v>
                </c:pt>
                <c:pt idx="2">
                  <c:v>4.6244299819407565E-2</c:v>
                </c:pt>
                <c:pt idx="3">
                  <c:v>7.3277694827155834E-2</c:v>
                </c:pt>
                <c:pt idx="4">
                  <c:v>4.1612189641284256E-2</c:v>
                </c:pt>
                <c:pt idx="5">
                  <c:v>2.4046825336331384E-2</c:v>
                </c:pt>
              </c:numCache>
            </c:numRef>
          </c:val>
          <c:extLst>
            <c:ext xmlns:c16="http://schemas.microsoft.com/office/drawing/2014/chart" uri="{C3380CC4-5D6E-409C-BE32-E72D297353CC}">
              <c16:uniqueId val="{00000007-4560-472A-A13E-916BF8191C7A}"/>
            </c:ext>
          </c:extLst>
        </c:ser>
        <c:ser>
          <c:idx val="8"/>
          <c:order val="8"/>
          <c:tx>
            <c:strRef>
              <c:f>Sheet1!$J$1</c:f>
              <c:strCache>
                <c:ptCount val="1"/>
                <c:pt idx="0">
                  <c:v>8</c:v>
                </c:pt>
              </c:strCache>
            </c:strRef>
          </c:tx>
          <c:spPr>
            <a:solidFill>
              <a:schemeClr val="accent2">
                <a:tint val="74000"/>
              </a:schemeClr>
            </a:solidFill>
            <a:ln>
              <a:noFill/>
            </a:ln>
            <a:effectLst/>
          </c:spPr>
          <c:invertIfNegative val="0"/>
          <c:dLbls>
            <c:delete val="1"/>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Sheet1!$J$2:$J$7</c:f>
              <c:numCache>
                <c:formatCode>0%</c:formatCode>
                <c:ptCount val="6"/>
                <c:pt idx="0">
                  <c:v>2.2917159315314191E-2</c:v>
                </c:pt>
                <c:pt idx="1">
                  <c:v>3.3495878782079491E-2</c:v>
                </c:pt>
                <c:pt idx="2">
                  <c:v>3.2213144578802262E-2</c:v>
                </c:pt>
                <c:pt idx="3">
                  <c:v>8.1422585524651717E-2</c:v>
                </c:pt>
                <c:pt idx="4">
                  <c:v>4.6478141193443206E-2</c:v>
                </c:pt>
                <c:pt idx="5">
                  <c:v>2.1197644002270834E-2</c:v>
                </c:pt>
              </c:numCache>
            </c:numRef>
          </c:val>
          <c:extLst>
            <c:ext xmlns:c16="http://schemas.microsoft.com/office/drawing/2014/chart" uri="{C3380CC4-5D6E-409C-BE32-E72D297353CC}">
              <c16:uniqueId val="{00000008-4560-472A-A13E-916BF8191C7A}"/>
            </c:ext>
          </c:extLst>
        </c:ser>
        <c:ser>
          <c:idx val="9"/>
          <c:order val="9"/>
          <c:tx>
            <c:strRef>
              <c:f>Sheet1!$K$1</c:f>
              <c:strCache>
                <c:ptCount val="1"/>
                <c:pt idx="0">
                  <c:v>9</c:v>
                </c:pt>
              </c:strCache>
            </c:strRef>
          </c:tx>
          <c:spPr>
            <a:solidFill>
              <a:schemeClr val="accent2">
                <a:tint val="63000"/>
              </a:schemeClr>
            </a:solidFill>
            <a:ln>
              <a:noFill/>
            </a:ln>
            <a:effectLst/>
          </c:spPr>
          <c:invertIfNegative val="0"/>
          <c:dLbls>
            <c:delete val="1"/>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Sheet1!$K$2:$K$7</c:f>
              <c:numCache>
                <c:formatCode>0%</c:formatCode>
                <c:ptCount val="6"/>
                <c:pt idx="0">
                  <c:v>1.590350966516775E-2</c:v>
                </c:pt>
                <c:pt idx="1">
                  <c:v>1.9227700171077462E-2</c:v>
                </c:pt>
                <c:pt idx="2">
                  <c:v>2.2960031515653893E-2</c:v>
                </c:pt>
                <c:pt idx="3">
                  <c:v>3.7954715018147234E-2</c:v>
                </c:pt>
                <c:pt idx="4">
                  <c:v>1.9510544748242011E-2</c:v>
                </c:pt>
                <c:pt idx="5">
                  <c:v>6.471178745293067E-3</c:v>
                </c:pt>
              </c:numCache>
            </c:numRef>
          </c:val>
          <c:extLst>
            <c:ext xmlns:c16="http://schemas.microsoft.com/office/drawing/2014/chart" uri="{C3380CC4-5D6E-409C-BE32-E72D297353CC}">
              <c16:uniqueId val="{00000009-4560-472A-A13E-916BF8191C7A}"/>
            </c:ext>
          </c:extLst>
        </c:ser>
        <c:ser>
          <c:idx val="10"/>
          <c:order val="10"/>
          <c:tx>
            <c:strRef>
              <c:f>Sheet1!$L$1</c:f>
              <c:strCache>
                <c:ptCount val="1"/>
                <c:pt idx="0">
                  <c:v>10 Pilnībā pieņemama</c:v>
                </c:pt>
              </c:strCache>
            </c:strRef>
          </c:tx>
          <c:spPr>
            <a:solidFill>
              <a:schemeClr val="accent2">
                <a:tint val="52000"/>
              </a:schemeClr>
            </a:solidFill>
            <a:ln>
              <a:noFill/>
            </a:ln>
            <a:effectLst/>
          </c:spPr>
          <c:invertIfNegative val="0"/>
          <c:dLbls>
            <c:delete val="1"/>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Sheet1!$L$2:$L$7</c:f>
              <c:numCache>
                <c:formatCode>0%</c:formatCode>
                <c:ptCount val="6"/>
                <c:pt idx="0">
                  <c:v>4.1817585185956421E-2</c:v>
                </c:pt>
                <c:pt idx="1">
                  <c:v>4.8653935605454751E-2</c:v>
                </c:pt>
                <c:pt idx="2">
                  <c:v>4.4417372685048889E-2</c:v>
                </c:pt>
                <c:pt idx="3">
                  <c:v>0.1152895689864411</c:v>
                </c:pt>
                <c:pt idx="4">
                  <c:v>3.4010094882416048E-2</c:v>
                </c:pt>
                <c:pt idx="5">
                  <c:v>1.910255579504375E-2</c:v>
                </c:pt>
              </c:numCache>
            </c:numRef>
          </c:val>
          <c:extLst>
            <c:ext xmlns:c16="http://schemas.microsoft.com/office/drawing/2014/chart" uri="{C3380CC4-5D6E-409C-BE32-E72D297353CC}">
              <c16:uniqueId val="{0000000A-4560-472A-A13E-916BF8191C7A}"/>
            </c:ext>
          </c:extLst>
        </c:ser>
        <c:ser>
          <c:idx val="11"/>
          <c:order val="11"/>
          <c:tx>
            <c:strRef>
              <c:f>Sheet1!$M$1</c:f>
              <c:strCache>
                <c:ptCount val="1"/>
                <c:pt idx="0">
                  <c:v>Nezina/NA</c:v>
                </c:pt>
              </c:strCache>
            </c:strRef>
          </c:tx>
          <c:spPr>
            <a:solidFill>
              <a:schemeClr val="accent2">
                <a:tint val="4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Kāds izvairās no nodokļu maksāšanas nemaksājot vai tikai daļēji maksājot par to valstī noteiktos nodokļus</c:v>
                </c:pt>
                <c:pt idx="1">
                  <c:v>Uzņēmums nolīgst darbā privātpersonu, bet visa vai daļa algas tiek maksāta aploksnē</c:v>
                </c:pt>
                <c:pt idx="2">
                  <c:v>Kāds saņem sociālā pabalsta (bezdarbnieka pabalsts, slimības pabalsts utml.) maksājumus, slēpjot patiesos apstākļus, kas liegtu saņemt šos pabalsta maksājumus</c:v>
                </c:pt>
                <c:pt idx="3">
                  <c:v>Privātpersona ir nolīgta darbā privātā mājsaimniecībā un viņš (viņa) par saņemto atalgojumu neinformē nodokļu vai sociālās apdrošināšanas institūcijas, lai gan par to būtu jāziņo</c:v>
                </c:pt>
                <c:pt idx="4">
                  <c:v>Kāds uzņēmums sniedz savus pakalpojumus privātai mājsaimniecībai, bet par saņemto samaksu neinformē nodokļu vai sociālās apdrošināšanas institūcijas</c:v>
                </c:pt>
                <c:pt idx="5">
                  <c:v>Kāds uzņēmums sniedz savus pakalpojumus citam uzņēmumam, bet par savām darbībām neinformē nodokļu vai sociālās apdrošināšanas institūcijas</c:v>
                </c:pt>
              </c:strCache>
            </c:strRef>
          </c:cat>
          <c:val>
            <c:numRef>
              <c:f>Sheet1!$M$2:$M$7</c:f>
              <c:numCache>
                <c:formatCode>0%</c:formatCode>
                <c:ptCount val="6"/>
                <c:pt idx="0">
                  <c:v>7.5435903322599085E-2</c:v>
                </c:pt>
                <c:pt idx="1">
                  <c:v>5.2449305373974291E-2</c:v>
                </c:pt>
                <c:pt idx="2">
                  <c:v>6.8769414223352601E-2</c:v>
                </c:pt>
                <c:pt idx="3">
                  <c:v>7.6877079261201423E-2</c:v>
                </c:pt>
                <c:pt idx="4">
                  <c:v>9.0575233321882026E-2</c:v>
                </c:pt>
                <c:pt idx="5">
                  <c:v>0.1038478805787231</c:v>
                </c:pt>
              </c:numCache>
            </c:numRef>
          </c:val>
          <c:extLst>
            <c:ext xmlns:c16="http://schemas.microsoft.com/office/drawing/2014/chart" uri="{C3380CC4-5D6E-409C-BE32-E72D297353CC}">
              <c16:uniqueId val="{0000000B-4560-472A-A13E-916BF8191C7A}"/>
            </c:ext>
          </c:extLst>
        </c:ser>
        <c:dLbls>
          <c:dLblPos val="ctr"/>
          <c:showLegendKey val="0"/>
          <c:showVal val="1"/>
          <c:showCatName val="0"/>
          <c:showSerName val="0"/>
          <c:showPercent val="0"/>
          <c:showBubbleSize val="0"/>
        </c:dLbls>
        <c:gapWidth val="150"/>
        <c:overlap val="100"/>
        <c:axId val="825875768"/>
        <c:axId val="825864008"/>
      </c:barChart>
      <c:catAx>
        <c:axId val="8258757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lv-LV"/>
          </a:p>
        </c:txPr>
        <c:crossAx val="825864008"/>
        <c:crosses val="autoZero"/>
        <c:auto val="1"/>
        <c:lblAlgn val="ctr"/>
        <c:lblOffset val="100"/>
        <c:noMultiLvlLbl val="0"/>
      </c:catAx>
      <c:valAx>
        <c:axId val="82586400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75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952974301697582E-2"/>
          <c:y val="2.9505940451900903E-2"/>
          <c:w val="0.97488464625694438"/>
          <c:h val="0.71274782085851596"/>
        </c:manualLayout>
      </c:layout>
      <c:lineChart>
        <c:grouping val="standard"/>
        <c:varyColors val="0"/>
        <c:ser>
          <c:idx val="1"/>
          <c:order val="0"/>
          <c:tx>
            <c:strRef>
              <c:f>'[ee 2020_DATI-sept.xlsx]EE_Šneiders'!$B$30</c:f>
              <c:strCache>
                <c:ptCount val="1"/>
                <c:pt idx="0">
                  <c:v>Latvija</c:v>
                </c:pt>
              </c:strCache>
            </c:strRef>
          </c:tx>
          <c:spPr>
            <a:ln w="28575" cap="rnd">
              <a:solidFill>
                <a:srgbClr val="800000"/>
              </a:solidFill>
              <a:round/>
            </a:ln>
            <a:effectLst/>
          </c:spPr>
          <c:marker>
            <c:symbol val="circle"/>
            <c:size val="5"/>
            <c:spPr>
              <a:solidFill>
                <a:schemeClr val="bg1"/>
              </a:solidFill>
              <a:ln w="9525">
                <a:solidFill>
                  <a:srgbClr val="800000"/>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rgbClr val="8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 2020_DATI-sept.xlsx]EE_Šneiders'!$A$31:$A$44</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 2020_DATI-sept.xlsx]EE_Šneiders'!$B$31:$B$44</c:f>
              <c:numCache>
                <c:formatCode>General</c:formatCode>
                <c:ptCount val="14"/>
                <c:pt idx="0">
                  <c:v>27.1</c:v>
                </c:pt>
                <c:pt idx="1">
                  <c:v>27.3</c:v>
                </c:pt>
                <c:pt idx="2">
                  <c:v>26.5</c:v>
                </c:pt>
                <c:pt idx="3" formatCode="0.0">
                  <c:v>26.1</c:v>
                </c:pt>
                <c:pt idx="4" formatCode="0.0">
                  <c:v>25.5</c:v>
                </c:pt>
                <c:pt idx="5" formatCode="0.0">
                  <c:v>24.7</c:v>
                </c:pt>
                <c:pt idx="6" formatCode="0.0">
                  <c:v>23.6</c:v>
                </c:pt>
                <c:pt idx="7" formatCode="0.0">
                  <c:v>22.9</c:v>
                </c:pt>
                <c:pt idx="8" formatCode="0.0">
                  <c:v>21.3</c:v>
                </c:pt>
                <c:pt idx="9" formatCode="0.0">
                  <c:v>20.239999999999998</c:v>
                </c:pt>
                <c:pt idx="10" formatCode="0.0">
                  <c:v>19.84</c:v>
                </c:pt>
                <c:pt idx="11" formatCode="0.0">
                  <c:v>20.9</c:v>
                </c:pt>
                <c:pt idx="12" formatCode="0.0">
                  <c:v>20.2</c:v>
                </c:pt>
                <c:pt idx="13" formatCode="0.0">
                  <c:v>19.899999999999999</c:v>
                </c:pt>
              </c:numCache>
            </c:numRef>
          </c:val>
          <c:smooth val="0"/>
          <c:extLst>
            <c:ext xmlns:c16="http://schemas.microsoft.com/office/drawing/2014/chart" uri="{C3380CC4-5D6E-409C-BE32-E72D297353CC}">
              <c16:uniqueId val="{00000000-9C1A-4758-8190-E455FF8917FA}"/>
            </c:ext>
          </c:extLst>
        </c:ser>
        <c:ser>
          <c:idx val="2"/>
          <c:order val="1"/>
          <c:tx>
            <c:strRef>
              <c:f>'[ee 2020_DATI-sept.xlsx]EE_Šneiders'!$C$30</c:f>
              <c:strCache>
                <c:ptCount val="1"/>
                <c:pt idx="0">
                  <c:v>Lietuva</c:v>
                </c:pt>
              </c:strCache>
            </c:strRef>
          </c:tx>
          <c:spPr>
            <a:ln w="28575" cap="rnd">
              <a:solidFill>
                <a:srgbClr val="006600"/>
              </a:solidFill>
              <a:round/>
            </a:ln>
            <a:effectLst/>
          </c:spPr>
          <c:marker>
            <c:symbol val="circle"/>
            <c:size val="5"/>
            <c:spPr>
              <a:solidFill>
                <a:schemeClr val="bg1"/>
              </a:solidFill>
              <a:ln w="9525">
                <a:solidFill>
                  <a:srgbClr val="006600"/>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rgbClr val="0066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 2020_DATI-sept.xlsx]EE_Šneiders'!$A$31:$A$44</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 2020_DATI-sept.xlsx]EE_Šneiders'!$C$31:$C$44</c:f>
              <c:numCache>
                <c:formatCode>General</c:formatCode>
                <c:ptCount val="14"/>
                <c:pt idx="0">
                  <c:v>29.6</c:v>
                </c:pt>
                <c:pt idx="1">
                  <c:v>29.7</c:v>
                </c:pt>
                <c:pt idx="2">
                  <c:v>29</c:v>
                </c:pt>
                <c:pt idx="3" formatCode="0.0">
                  <c:v>28.5</c:v>
                </c:pt>
                <c:pt idx="4" formatCode="0.0">
                  <c:v>28</c:v>
                </c:pt>
                <c:pt idx="5" formatCode="0.0">
                  <c:v>27.1</c:v>
                </c:pt>
                <c:pt idx="6" formatCode="0.0">
                  <c:v>25.8</c:v>
                </c:pt>
                <c:pt idx="7" formatCode="0.0">
                  <c:v>24.9</c:v>
                </c:pt>
                <c:pt idx="8" formatCode="0.0">
                  <c:v>23.8</c:v>
                </c:pt>
                <c:pt idx="9" formatCode="0.0">
                  <c:v>22.96</c:v>
                </c:pt>
                <c:pt idx="10" formatCode="0.0">
                  <c:v>21.92</c:v>
                </c:pt>
                <c:pt idx="11" formatCode="0.0">
                  <c:v>23.1</c:v>
                </c:pt>
                <c:pt idx="12" formatCode="0.0">
                  <c:v>22.9</c:v>
                </c:pt>
                <c:pt idx="13" formatCode="0.0">
                  <c:v>22.4</c:v>
                </c:pt>
              </c:numCache>
            </c:numRef>
          </c:val>
          <c:smooth val="0"/>
          <c:extLst>
            <c:ext xmlns:c16="http://schemas.microsoft.com/office/drawing/2014/chart" uri="{C3380CC4-5D6E-409C-BE32-E72D297353CC}">
              <c16:uniqueId val="{00000001-9C1A-4758-8190-E455FF8917FA}"/>
            </c:ext>
          </c:extLst>
        </c:ser>
        <c:ser>
          <c:idx val="3"/>
          <c:order val="2"/>
          <c:tx>
            <c:strRef>
              <c:f>'[ee 2020_DATI-sept.xlsx]EE_Šneiders'!$D$30</c:f>
              <c:strCache>
                <c:ptCount val="1"/>
                <c:pt idx="0">
                  <c:v>Igaunija</c:v>
                </c:pt>
              </c:strCache>
            </c:strRef>
          </c:tx>
          <c:spPr>
            <a:ln w="28575" cap="rnd">
              <a:solidFill>
                <a:schemeClr val="tx2"/>
              </a:solidFill>
              <a:round/>
            </a:ln>
            <a:effectLst/>
          </c:spPr>
          <c:marker>
            <c:symbol val="circle"/>
            <c:size val="5"/>
            <c:spPr>
              <a:solidFill>
                <a:schemeClr val="bg1"/>
              </a:solidFill>
              <a:ln w="9525">
                <a:solidFill>
                  <a:schemeClr val="tx2"/>
                </a:solidFill>
              </a:ln>
              <a:effectLst/>
            </c:spPr>
          </c:marker>
          <c:dLbls>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 2020_DATI-sept.xlsx]EE_Šneiders'!$A$31:$A$44</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 2020_DATI-sept.xlsx]EE_Šneiders'!$D$31:$D$44</c:f>
              <c:numCache>
                <c:formatCode>General</c:formatCode>
                <c:ptCount val="14"/>
                <c:pt idx="0">
                  <c:v>29.6</c:v>
                </c:pt>
                <c:pt idx="1">
                  <c:v>29.3</c:v>
                </c:pt>
                <c:pt idx="2">
                  <c:v>28.6</c:v>
                </c:pt>
                <c:pt idx="3" formatCode="0.0">
                  <c:v>28.2</c:v>
                </c:pt>
                <c:pt idx="4" formatCode="0.0">
                  <c:v>27.6</c:v>
                </c:pt>
                <c:pt idx="5" formatCode="0.0">
                  <c:v>27.1</c:v>
                </c:pt>
                <c:pt idx="6" formatCode="0.0">
                  <c:v>26.2</c:v>
                </c:pt>
                <c:pt idx="7" formatCode="0.0">
                  <c:v>25.4</c:v>
                </c:pt>
                <c:pt idx="8" formatCode="0.0">
                  <c:v>24.6</c:v>
                </c:pt>
                <c:pt idx="9" formatCode="0.0">
                  <c:v>23.2</c:v>
                </c:pt>
                <c:pt idx="10" formatCode="0.0">
                  <c:v>22.06</c:v>
                </c:pt>
                <c:pt idx="11" formatCode="0.0">
                  <c:v>23.6</c:v>
                </c:pt>
                <c:pt idx="12" formatCode="0.0">
                  <c:v>23.1</c:v>
                </c:pt>
                <c:pt idx="13" formatCode="0.0">
                  <c:v>22.7</c:v>
                </c:pt>
              </c:numCache>
            </c:numRef>
          </c:val>
          <c:smooth val="0"/>
          <c:extLst>
            <c:ext xmlns:c16="http://schemas.microsoft.com/office/drawing/2014/chart" uri="{C3380CC4-5D6E-409C-BE32-E72D297353CC}">
              <c16:uniqueId val="{00000002-9C1A-4758-8190-E455FF8917FA}"/>
            </c:ext>
          </c:extLst>
        </c:ser>
        <c:dLbls>
          <c:showLegendKey val="0"/>
          <c:showVal val="0"/>
          <c:showCatName val="0"/>
          <c:showSerName val="0"/>
          <c:showPercent val="0"/>
          <c:showBubbleSize val="0"/>
        </c:dLbls>
        <c:marker val="1"/>
        <c:smooth val="0"/>
        <c:axId val="825851464"/>
        <c:axId val="825863224"/>
      </c:lineChart>
      <c:catAx>
        <c:axId val="825851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25863224"/>
        <c:crosses val="autoZero"/>
        <c:auto val="1"/>
        <c:lblAlgn val="ctr"/>
        <c:lblOffset val="100"/>
        <c:noMultiLvlLbl val="0"/>
      </c:catAx>
      <c:valAx>
        <c:axId val="825863224"/>
        <c:scaling>
          <c:orientation val="minMax"/>
          <c:max val="32"/>
          <c:min val="18"/>
        </c:scaling>
        <c:delete val="1"/>
        <c:axPos val="l"/>
        <c:numFmt formatCode="General" sourceLinked="1"/>
        <c:majorTickMark val="out"/>
        <c:minorTickMark val="none"/>
        <c:tickLblPos val="nextTo"/>
        <c:crossAx val="825851464"/>
        <c:crosses val="autoZero"/>
        <c:crossBetween val="between"/>
        <c:majorUnit val="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sz="1200">
          <a:latin typeface="Corbel" panose="020B0503020204020204" pitchFamily="34"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9.2592592592592587E-2"/>
          <c:w val="0.90286351706036749"/>
          <c:h val="0.69410469524642748"/>
        </c:manualLayout>
      </c:layout>
      <c:lineChart>
        <c:grouping val="standard"/>
        <c:varyColors val="0"/>
        <c:ser>
          <c:idx val="0"/>
          <c:order val="0"/>
          <c:tx>
            <c:strRef>
              <c:f>EE_Sauka!$B$6</c:f>
              <c:strCache>
                <c:ptCount val="1"/>
                <c:pt idx="0">
                  <c:v>Latvija</c:v>
                </c:pt>
              </c:strCache>
            </c:strRef>
          </c:tx>
          <c:spPr>
            <a:ln w="28575" cap="rnd">
              <a:solidFill>
                <a:srgbClr val="800000"/>
              </a:solidFill>
              <a:round/>
            </a:ln>
            <a:effectLst/>
          </c:spPr>
          <c:marker>
            <c:symbol val="circle"/>
            <c:size val="5"/>
            <c:spPr>
              <a:solidFill>
                <a:schemeClr val="bg1"/>
              </a:solidFill>
              <a:ln w="9525">
                <a:solidFill>
                  <a:srgbClr val="800000"/>
                </a:solidFill>
              </a:ln>
              <a:effectLst/>
            </c:spPr>
          </c:marker>
          <c:dLbls>
            <c:dLbl>
              <c:idx val="2"/>
              <c:layout>
                <c:manualLayout>
                  <c:x val="-2.1774647970427451E-2"/>
                  <c:y val="-4.97303848353205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8.6012140951470611E-2"/>
                      <c:h val="6.9110927138187367E-2"/>
                    </c:manualLayout>
                  </c15:layout>
                </c:ext>
                <c:ext xmlns:c16="http://schemas.microsoft.com/office/drawing/2014/chart" uri="{C3380CC4-5D6E-409C-BE32-E72D297353CC}">
                  <c16:uniqueId val="{00000000-3B6D-4801-9710-3AA0E79835CC}"/>
                </c:ext>
              </c:extLst>
            </c:dLbl>
            <c:dLbl>
              <c:idx val="3"/>
              <c:layout>
                <c:manualLayout>
                  <c:x val="-3.551262723856783E-2"/>
                  <c:y val="-5.4066076625671096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7.3523068889524812E-2"/>
                      <c:h val="6.0439543557486312E-2"/>
                    </c:manualLayout>
                  </c15:layout>
                </c:ext>
                <c:ext xmlns:c16="http://schemas.microsoft.com/office/drawing/2014/chart" uri="{C3380CC4-5D6E-409C-BE32-E72D297353CC}">
                  <c16:uniqueId val="{00000001-3B6D-4801-9710-3AA0E79835CC}"/>
                </c:ext>
              </c:extLst>
            </c:dLbl>
            <c:dLbl>
              <c:idx val="4"/>
              <c:layout>
                <c:manualLayout>
                  <c:x val="-4.4254977681929888E-2"/>
                  <c:y val="-5.4066076625671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6D-4801-9710-3AA0E79835CC}"/>
                </c:ext>
              </c:extLst>
            </c:dLbl>
            <c:dLbl>
              <c:idx val="5"/>
              <c:layout>
                <c:manualLayout>
                  <c:x val="-4.175716326954073E-2"/>
                  <c:y val="-5.4066076625671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6D-4801-9710-3AA0E79835CC}"/>
                </c:ext>
              </c:extLst>
            </c:dLbl>
            <c:spPr>
              <a:noFill/>
              <a:ln>
                <a:noFill/>
              </a:ln>
              <a:effectLst/>
            </c:spPr>
            <c:txPr>
              <a:bodyPr rot="0" spcFirstLastPara="1" vertOverflow="ellipsis" vert="horz" wrap="square" anchor="ctr" anchorCtr="1"/>
              <a:lstStyle/>
              <a:p>
                <a:pPr>
                  <a:defRPr sz="1000" b="0" i="0" u="none" strike="noStrike" kern="1200" baseline="0">
                    <a:solidFill>
                      <a:srgbClr val="8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EE_Sauka!$A$7:$A$20</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EE_Sauka!$B$7:$B$20</c:f>
              <c:numCache>
                <c:formatCode>General</c:formatCode>
                <c:ptCount val="14"/>
                <c:pt idx="0">
                  <c:v>36.6</c:v>
                </c:pt>
                <c:pt idx="1">
                  <c:v>38.1</c:v>
                </c:pt>
                <c:pt idx="2">
                  <c:v>30.2</c:v>
                </c:pt>
                <c:pt idx="3">
                  <c:v>21.1</c:v>
                </c:pt>
                <c:pt idx="4">
                  <c:v>23.8</c:v>
                </c:pt>
                <c:pt idx="5">
                  <c:v>23.5</c:v>
                </c:pt>
                <c:pt idx="6">
                  <c:v>21.3</c:v>
                </c:pt>
                <c:pt idx="7">
                  <c:v>20.7</c:v>
                </c:pt>
                <c:pt idx="8" formatCode="0.0">
                  <c:v>22</c:v>
                </c:pt>
                <c:pt idx="9">
                  <c:v>24.2</c:v>
                </c:pt>
                <c:pt idx="10">
                  <c:v>23.9</c:v>
                </c:pt>
                <c:pt idx="11">
                  <c:v>25.5</c:v>
                </c:pt>
                <c:pt idx="12">
                  <c:v>26.6</c:v>
                </c:pt>
                <c:pt idx="13">
                  <c:v>26.5</c:v>
                </c:pt>
              </c:numCache>
            </c:numRef>
          </c:val>
          <c:smooth val="0"/>
          <c:extLst>
            <c:ext xmlns:c16="http://schemas.microsoft.com/office/drawing/2014/chart" uri="{C3380CC4-5D6E-409C-BE32-E72D297353CC}">
              <c16:uniqueId val="{00000004-3B6D-4801-9710-3AA0E79835CC}"/>
            </c:ext>
          </c:extLst>
        </c:ser>
        <c:ser>
          <c:idx val="1"/>
          <c:order val="1"/>
          <c:tx>
            <c:strRef>
              <c:f>EE_Sauka!$C$6</c:f>
              <c:strCache>
                <c:ptCount val="1"/>
                <c:pt idx="0">
                  <c:v>Lietuva</c:v>
                </c:pt>
              </c:strCache>
            </c:strRef>
          </c:tx>
          <c:spPr>
            <a:ln w="28575" cap="rnd">
              <a:solidFill>
                <a:srgbClr val="006600"/>
              </a:solidFill>
              <a:round/>
            </a:ln>
            <a:effectLst/>
          </c:spPr>
          <c:marker>
            <c:symbol val="circle"/>
            <c:size val="5"/>
            <c:spPr>
              <a:solidFill>
                <a:schemeClr val="bg1"/>
              </a:solidFill>
              <a:ln w="9525">
                <a:solidFill>
                  <a:srgbClr val="006600"/>
                </a:solidFill>
              </a:ln>
              <a:effectLst/>
            </c:spPr>
          </c:marker>
          <c:dLbls>
            <c:dLbl>
              <c:idx val="0"/>
              <c:layout>
                <c:manualLayout>
                  <c:x val="-5.6744049743875695E-2"/>
                  <c:y val="4.5654834552391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6D-4801-9710-3AA0E79835CC}"/>
                </c:ext>
              </c:extLst>
            </c:dLbl>
            <c:dLbl>
              <c:idx val="1"/>
              <c:layout>
                <c:manualLayout>
                  <c:x val="-4.9250606506708226E-2"/>
                  <c:y val="4.99905263427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6D-4801-9710-3AA0E79835CC}"/>
                </c:ext>
              </c:extLst>
            </c:dLbl>
            <c:dLbl>
              <c:idx val="2"/>
              <c:layout>
                <c:manualLayout>
                  <c:x val="-4.6752792094319047E-2"/>
                  <c:y val="4.99905263427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6D-4801-9710-3AA0E79835CC}"/>
                </c:ext>
              </c:extLst>
            </c:dLbl>
            <c:dLbl>
              <c:idx val="3"/>
              <c:layout>
                <c:manualLayout>
                  <c:x val="-4.6752792094319047E-2"/>
                  <c:y val="4.99905263427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6D-4801-9710-3AA0E79835CC}"/>
                </c:ext>
              </c:extLst>
            </c:dLbl>
            <c:dLbl>
              <c:idx val="4"/>
              <c:layout>
                <c:manualLayout>
                  <c:x val="-5.9241864156264847E-2"/>
                  <c:y val="4.1319142762040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6D-4801-9710-3AA0E79835CC}"/>
                </c:ext>
              </c:extLst>
            </c:dLbl>
            <c:dLbl>
              <c:idx val="5"/>
              <c:layout>
                <c:manualLayout>
                  <c:x val="-4.9250606506708254E-2"/>
                  <c:y val="4.99905263427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6D-4801-9710-3AA0E79835CC}"/>
                </c:ext>
              </c:extLst>
            </c:dLbl>
            <c:dLbl>
              <c:idx val="7"/>
              <c:layout>
                <c:manualLayout>
                  <c:x val="-3.6989385654551378E-2"/>
                  <c:y val="-4.950495049504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63-4D37-AAED-8C092AA92253}"/>
                </c:ext>
              </c:extLst>
            </c:dLbl>
            <c:dLbl>
              <c:idx val="8"/>
              <c:layout>
                <c:manualLayout>
                  <c:x val="-3.9133697866409349E-2"/>
                  <c:y val="-4.9504950495049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63-4D37-AAED-8C092AA92253}"/>
                </c:ext>
              </c:extLst>
            </c:dLbl>
            <c:dLbl>
              <c:idx val="9"/>
              <c:layout>
                <c:manualLayout>
                  <c:x val="-3.6989385654551302E-2"/>
                  <c:y val="-4.9504950495049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F63-4D37-AAED-8C092AA92253}"/>
                </c:ext>
              </c:extLst>
            </c:dLbl>
            <c:dLbl>
              <c:idx val="10"/>
              <c:layout>
                <c:manualLayout>
                  <c:x val="-5.2044498974926197E-2"/>
                  <c:y val="-4.54834340131214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6D-4801-9710-3AA0E79835CC}"/>
                </c:ext>
              </c:extLst>
            </c:dLbl>
            <c:dLbl>
              <c:idx val="11"/>
              <c:layout>
                <c:manualLayout>
                  <c:x val="-5.2044498974926197E-2"/>
                  <c:y val="-4.9827601540640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B6D-4801-9710-3AA0E79835CC}"/>
                </c:ext>
              </c:extLst>
            </c:dLbl>
            <c:dLbl>
              <c:idx val="12"/>
              <c:layout>
                <c:manualLayout>
                  <c:x val="-5.2044483503569931E-2"/>
                  <c:y val="-2.5479735825101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6D-4801-9710-3AA0E79835CC}"/>
                </c:ext>
              </c:extLst>
            </c:dLbl>
            <c:dLbl>
              <c:idx val="13"/>
              <c:layout>
                <c:manualLayout>
                  <c:x val="-2.7557282261557126E-2"/>
                  <c:y val="4.40272193698559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B6D-4801-9710-3AA0E79835CC}"/>
                </c:ext>
              </c:extLst>
            </c:dLbl>
            <c:spPr>
              <a:noFill/>
              <a:ln>
                <a:noFill/>
              </a:ln>
              <a:effectLst/>
            </c:spPr>
            <c:txPr>
              <a:bodyPr rot="0" spcFirstLastPara="1" vertOverflow="ellipsis" vert="horz" wrap="square" anchor="ctr" anchorCtr="1"/>
              <a:lstStyle/>
              <a:p>
                <a:pPr>
                  <a:defRPr sz="1000" b="0" i="0" u="none" strike="noStrike" kern="1200" baseline="0">
                    <a:solidFill>
                      <a:srgbClr val="0066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EE_Sauka!$A$7:$A$20</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EE_Sauka!$C$7:$C$20</c:f>
              <c:numCache>
                <c:formatCode>General</c:formatCode>
                <c:ptCount val="14"/>
                <c:pt idx="0">
                  <c:v>17.7</c:v>
                </c:pt>
                <c:pt idx="1">
                  <c:v>18.2</c:v>
                </c:pt>
                <c:pt idx="2">
                  <c:v>17.100000000000001</c:v>
                </c:pt>
                <c:pt idx="3">
                  <c:v>18.2</c:v>
                </c:pt>
                <c:pt idx="4">
                  <c:v>15.3</c:v>
                </c:pt>
                <c:pt idx="5">
                  <c:v>12.5</c:v>
                </c:pt>
                <c:pt idx="6" formatCode="0.0">
                  <c:v>15</c:v>
                </c:pt>
                <c:pt idx="7">
                  <c:v>16.5</c:v>
                </c:pt>
                <c:pt idx="8">
                  <c:v>18.2</c:v>
                </c:pt>
                <c:pt idx="9">
                  <c:v>18.7</c:v>
                </c:pt>
                <c:pt idx="10">
                  <c:v>18.2</c:v>
                </c:pt>
                <c:pt idx="11">
                  <c:v>20.399999999999999</c:v>
                </c:pt>
                <c:pt idx="12">
                  <c:v>23.1</c:v>
                </c:pt>
                <c:pt idx="13">
                  <c:v>25.8</c:v>
                </c:pt>
              </c:numCache>
            </c:numRef>
          </c:val>
          <c:smooth val="0"/>
          <c:extLst>
            <c:ext xmlns:c16="http://schemas.microsoft.com/office/drawing/2014/chart" uri="{C3380CC4-5D6E-409C-BE32-E72D297353CC}">
              <c16:uniqueId val="{0000000F-3B6D-4801-9710-3AA0E79835CC}"/>
            </c:ext>
          </c:extLst>
        </c:ser>
        <c:ser>
          <c:idx val="2"/>
          <c:order val="2"/>
          <c:tx>
            <c:strRef>
              <c:f>EE_Sauka!$D$6</c:f>
              <c:strCache>
                <c:ptCount val="1"/>
                <c:pt idx="0">
                  <c:v>Igaunija</c:v>
                </c:pt>
              </c:strCache>
            </c:strRef>
          </c:tx>
          <c:spPr>
            <a:ln w="28575" cap="rnd">
              <a:solidFill>
                <a:schemeClr val="accent1"/>
              </a:solidFill>
              <a:round/>
            </a:ln>
            <a:effectLst/>
          </c:spPr>
          <c:marker>
            <c:symbol val="circle"/>
            <c:size val="5"/>
            <c:spPr>
              <a:solidFill>
                <a:schemeClr val="bg1"/>
              </a:solidFill>
              <a:ln w="9525">
                <a:solidFill>
                  <a:schemeClr val="accent1"/>
                </a:solidFill>
              </a:ln>
              <a:effectLst/>
            </c:spPr>
          </c:marker>
          <c:dLbls>
            <c:dLbl>
              <c:idx val="0"/>
              <c:layout>
                <c:manualLayout>
                  <c:x val="-5.4246235331486523E-2"/>
                  <c:y val="-4.56548345523910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B6D-4801-9710-3AA0E79835CC}"/>
                </c:ext>
              </c:extLst>
            </c:dLbl>
            <c:dLbl>
              <c:idx val="1"/>
              <c:layout>
                <c:manualLayout>
                  <c:x val="-4.6752792094319047E-2"/>
                  <c:y val="-5.43262181330921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B6D-4801-9710-3AA0E79835CC}"/>
                </c:ext>
              </c:extLst>
            </c:dLbl>
            <c:dLbl>
              <c:idx val="2"/>
              <c:layout>
                <c:manualLayout>
                  <c:x val="-4.9250606506708254E-2"/>
                  <c:y val="-4.99905263427415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B6D-4801-9710-3AA0E79835CC}"/>
                </c:ext>
              </c:extLst>
            </c:dLbl>
            <c:dLbl>
              <c:idx val="3"/>
              <c:layout>
                <c:manualLayout>
                  <c:x val="-1.1783390320870812E-2"/>
                  <c:y val="-2.8312067390988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B6D-4801-9710-3AA0E79835CC}"/>
                </c:ext>
              </c:extLst>
            </c:dLbl>
            <c:dLbl>
              <c:idx val="4"/>
              <c:layout>
                <c:manualLayout>
                  <c:x val="-3.4263720032373247E-2"/>
                  <c:y val="-3.698345097168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B6D-4801-9710-3AA0E79835CC}"/>
                </c:ext>
              </c:extLst>
            </c:dLbl>
            <c:dLbl>
              <c:idx val="5"/>
              <c:layout>
                <c:manualLayout>
                  <c:x val="-4.6752792094319047E-2"/>
                  <c:y val="-4.1319142762040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B6D-4801-9710-3AA0E79835CC}"/>
                </c:ext>
              </c:extLst>
            </c:dLbl>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EE_Sauka!$A$7:$A$20</c:f>
              <c:numCache>
                <c:formatCode>General</c:formatCode>
                <c:ptCount val="14"/>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numCache>
            </c:numRef>
          </c:cat>
          <c:val>
            <c:numRef>
              <c:f>EE_Sauka!$D$7:$D$20</c:f>
              <c:numCache>
                <c:formatCode>General</c:formatCode>
                <c:ptCount val="14"/>
                <c:pt idx="0">
                  <c:v>20.2</c:v>
                </c:pt>
                <c:pt idx="1">
                  <c:v>19.399999999999999</c:v>
                </c:pt>
                <c:pt idx="2">
                  <c:v>18.899999999999999</c:v>
                </c:pt>
                <c:pt idx="3">
                  <c:v>19.2</c:v>
                </c:pt>
                <c:pt idx="4">
                  <c:v>15.7</c:v>
                </c:pt>
                <c:pt idx="5">
                  <c:v>13.2</c:v>
                </c:pt>
                <c:pt idx="6">
                  <c:v>14.9</c:v>
                </c:pt>
                <c:pt idx="7">
                  <c:v>15.4</c:v>
                </c:pt>
                <c:pt idx="8">
                  <c:v>18.2</c:v>
                </c:pt>
                <c:pt idx="9">
                  <c:v>16.7</c:v>
                </c:pt>
                <c:pt idx="10">
                  <c:v>14.3</c:v>
                </c:pt>
                <c:pt idx="11">
                  <c:v>16.5</c:v>
                </c:pt>
                <c:pt idx="12" formatCode="0.0">
                  <c:v>19</c:v>
                </c:pt>
                <c:pt idx="13" formatCode="0.0">
                  <c:v>18</c:v>
                </c:pt>
              </c:numCache>
            </c:numRef>
          </c:val>
          <c:smooth val="0"/>
          <c:extLst>
            <c:ext xmlns:c16="http://schemas.microsoft.com/office/drawing/2014/chart" uri="{C3380CC4-5D6E-409C-BE32-E72D297353CC}">
              <c16:uniqueId val="{00000016-3B6D-4801-9710-3AA0E79835CC}"/>
            </c:ext>
          </c:extLst>
        </c:ser>
        <c:dLbls>
          <c:showLegendKey val="0"/>
          <c:showVal val="0"/>
          <c:showCatName val="0"/>
          <c:showSerName val="0"/>
          <c:showPercent val="0"/>
          <c:showBubbleSize val="0"/>
        </c:dLbls>
        <c:marker val="1"/>
        <c:smooth val="0"/>
        <c:axId val="825852248"/>
        <c:axId val="825855776"/>
      </c:lineChart>
      <c:catAx>
        <c:axId val="825852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825855776"/>
        <c:crosses val="autoZero"/>
        <c:auto val="1"/>
        <c:lblAlgn val="ctr"/>
        <c:lblOffset val="100"/>
        <c:noMultiLvlLbl val="0"/>
      </c:catAx>
      <c:valAx>
        <c:axId val="825855776"/>
        <c:scaling>
          <c:orientation val="minMax"/>
          <c:max val="40"/>
          <c:min val="0"/>
        </c:scaling>
        <c:delete val="1"/>
        <c:axPos val="l"/>
        <c:numFmt formatCode="General" sourceLinked="1"/>
        <c:majorTickMark val="none"/>
        <c:minorTickMark val="none"/>
        <c:tickLblPos val="nextTo"/>
        <c:crossAx val="825852248"/>
        <c:crosses val="autoZero"/>
        <c:crossBetween val="between"/>
        <c:majorUnit val="10"/>
      </c:valAx>
      <c:spPr>
        <a:noFill/>
        <a:ln>
          <a:noFill/>
        </a:ln>
        <a:effectLst/>
      </c:spPr>
    </c:plotArea>
    <c:legend>
      <c:legendPos val="b"/>
      <c:layout>
        <c:manualLayout>
          <c:xMode val="edge"/>
          <c:yMode val="edge"/>
          <c:x val="0.16953463804576296"/>
          <c:y val="0.90868277292110144"/>
          <c:w val="0.63603445834830807"/>
          <c:h val="7.38194143054952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latin typeface="Verdana" panose="020B0604030504040204" pitchFamily="34"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lumMod val="75000"/>
              </a:schemeClr>
            </a:solidFill>
            <a:ln>
              <a:noFill/>
            </a:ln>
            <a:effectLst/>
          </c:spPr>
          <c:invertIfNegative val="0"/>
          <c:dPt>
            <c:idx val="7"/>
            <c:invertIfNegative val="0"/>
            <c:bubble3D val="0"/>
            <c:spPr>
              <a:solidFill>
                <a:schemeClr val="accent1">
                  <a:lumMod val="75000"/>
                </a:schemeClr>
              </a:solidFill>
              <a:ln>
                <a:noFill/>
              </a:ln>
              <a:effectLst/>
            </c:spPr>
            <c:extLst>
              <c:ext xmlns:c16="http://schemas.microsoft.com/office/drawing/2014/chart" uri="{C3380CC4-5D6E-409C-BE32-E72D297353CC}">
                <c16:uniqueId val="{00000001-4FE0-4DA5-80C8-DE94379D0FAE}"/>
              </c:ext>
            </c:extLst>
          </c:dPt>
          <c:dPt>
            <c:idx val="8"/>
            <c:invertIfNegative val="0"/>
            <c:bubble3D val="0"/>
            <c:spPr>
              <a:solidFill>
                <a:schemeClr val="accent1">
                  <a:lumMod val="75000"/>
                </a:schemeClr>
              </a:solidFill>
              <a:ln>
                <a:noFill/>
              </a:ln>
              <a:effectLst/>
            </c:spPr>
            <c:extLst>
              <c:ext xmlns:c16="http://schemas.microsoft.com/office/drawing/2014/chart" uri="{C3380CC4-5D6E-409C-BE32-E72D297353CC}">
                <c16:uniqueId val="{00000003-4FE0-4DA5-80C8-DE94379D0FAE}"/>
              </c:ext>
            </c:extLst>
          </c:dPt>
          <c:dPt>
            <c:idx val="13"/>
            <c:invertIfNegative val="0"/>
            <c:bubble3D val="0"/>
            <c:spPr>
              <a:solidFill>
                <a:schemeClr val="accent1">
                  <a:lumMod val="75000"/>
                </a:schemeClr>
              </a:solidFill>
              <a:ln>
                <a:noFill/>
              </a:ln>
              <a:effectLst/>
            </c:spPr>
            <c:extLst>
              <c:ext xmlns:c16="http://schemas.microsoft.com/office/drawing/2014/chart" uri="{C3380CC4-5D6E-409C-BE32-E72D297353CC}">
                <c16:uniqueId val="{00000005-4FE0-4DA5-80C8-DE94379D0FAE}"/>
              </c:ext>
            </c:extLst>
          </c:dPt>
          <c:dPt>
            <c:idx val="14"/>
            <c:invertIfNegative val="0"/>
            <c:bubble3D val="0"/>
            <c:spPr>
              <a:pattFill prst="pct60">
                <a:fgClr>
                  <a:schemeClr val="accent1">
                    <a:lumMod val="75000"/>
                  </a:schemeClr>
                </a:fgClr>
                <a:bgClr>
                  <a:schemeClr val="bg1"/>
                </a:bgClr>
              </a:pattFill>
              <a:ln>
                <a:noFill/>
              </a:ln>
              <a:effectLst/>
            </c:spPr>
            <c:extLst>
              <c:ext xmlns:c16="http://schemas.microsoft.com/office/drawing/2014/chart" uri="{C3380CC4-5D6E-409C-BE32-E72D297353CC}">
                <c16:uniqueId val="{00000007-4FE0-4DA5-80C8-DE94379D0FAE}"/>
              </c:ext>
            </c:extLst>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'31 valstis'!$A$3:$A$34</c:f>
              <c:strCache>
                <c:ptCount val="32"/>
                <c:pt idx="0">
                  <c:v>Bulgaria</c:v>
                </c:pt>
                <c:pt idx="1">
                  <c:v>Turkey</c:v>
                </c:pt>
                <c:pt idx="2">
                  <c:v>Croatia</c:v>
                </c:pt>
                <c:pt idx="3">
                  <c:v>Romania</c:v>
                </c:pt>
                <c:pt idx="4">
                  <c:v>Hungary</c:v>
                </c:pt>
                <c:pt idx="5">
                  <c:v>South Cyprus</c:v>
                </c:pt>
                <c:pt idx="6">
                  <c:v>Malta</c:v>
                </c:pt>
                <c:pt idx="7">
                  <c:v>Estonia</c:v>
                </c:pt>
                <c:pt idx="8">
                  <c:v>Lithuania</c:v>
                </c:pt>
                <c:pt idx="9">
                  <c:v>Slovenia</c:v>
                </c:pt>
                <c:pt idx="10">
                  <c:v>Poland</c:v>
                </c:pt>
                <c:pt idx="11">
                  <c:v>Greece</c:v>
                </c:pt>
                <c:pt idx="12">
                  <c:v>Italy</c:v>
                </c:pt>
                <c:pt idx="13">
                  <c:v>Latvia</c:v>
                </c:pt>
                <c:pt idx="14">
                  <c:v>AVERAGE</c:v>
                </c:pt>
                <c:pt idx="15">
                  <c:v>Belgium</c:v>
                </c:pt>
                <c:pt idx="16">
                  <c:v>Spain</c:v>
                </c:pt>
                <c:pt idx="17">
                  <c:v>Portugal</c:v>
                </c:pt>
                <c:pt idx="18">
                  <c:v>France</c:v>
                </c:pt>
                <c:pt idx="19">
                  <c:v>Czech Republic</c:v>
                </c:pt>
                <c:pt idx="20">
                  <c:v>Slovakia</c:v>
                </c:pt>
                <c:pt idx="21">
                  <c:v>United Kingdom</c:v>
                </c:pt>
                <c:pt idx="22">
                  <c:v>Sweden</c:v>
                </c:pt>
                <c:pt idx="23">
                  <c:v>Finland</c:v>
                </c:pt>
                <c:pt idx="24">
                  <c:v>Norway</c:v>
                </c:pt>
                <c:pt idx="25">
                  <c:v>Ireland</c:v>
                </c:pt>
                <c:pt idx="26">
                  <c:v>Denmark</c:v>
                </c:pt>
                <c:pt idx="27">
                  <c:v>Germany</c:v>
                </c:pt>
                <c:pt idx="28">
                  <c:v>Luxembourg</c:v>
                </c:pt>
                <c:pt idx="29">
                  <c:v>Netherlands</c:v>
                </c:pt>
                <c:pt idx="30">
                  <c:v>Austria</c:v>
                </c:pt>
                <c:pt idx="31">
                  <c:v>Switzerland</c:v>
                </c:pt>
              </c:strCache>
            </c:strRef>
          </c:cat>
          <c:val>
            <c:numRef>
              <c:f>'31 valstis'!$F$3:$F$34</c:f>
              <c:numCache>
                <c:formatCode>0.0</c:formatCode>
                <c:ptCount val="32"/>
                <c:pt idx="0">
                  <c:v>33.1</c:v>
                </c:pt>
                <c:pt idx="1">
                  <c:v>32.9</c:v>
                </c:pt>
                <c:pt idx="2">
                  <c:v>29.7</c:v>
                </c:pt>
                <c:pt idx="3">
                  <c:v>29</c:v>
                </c:pt>
                <c:pt idx="4">
                  <c:v>25.01</c:v>
                </c:pt>
                <c:pt idx="5">
                  <c:v>23.9</c:v>
                </c:pt>
                <c:pt idx="6">
                  <c:v>23.4</c:v>
                </c:pt>
                <c:pt idx="7">
                  <c:v>22.7</c:v>
                </c:pt>
                <c:pt idx="8">
                  <c:v>22.4</c:v>
                </c:pt>
                <c:pt idx="9">
                  <c:v>22.1</c:v>
                </c:pt>
                <c:pt idx="10">
                  <c:v>21.9</c:v>
                </c:pt>
                <c:pt idx="11">
                  <c:v>20.93</c:v>
                </c:pt>
                <c:pt idx="12">
                  <c:v>20.3</c:v>
                </c:pt>
                <c:pt idx="13">
                  <c:v>19.899999999999999</c:v>
                </c:pt>
                <c:pt idx="14">
                  <c:v>17.2</c:v>
                </c:pt>
                <c:pt idx="15">
                  <c:v>16.010000000000002</c:v>
                </c:pt>
                <c:pt idx="16">
                  <c:v>15.8</c:v>
                </c:pt>
                <c:pt idx="17">
                  <c:v>15.7</c:v>
                </c:pt>
                <c:pt idx="18">
                  <c:v>14.2</c:v>
                </c:pt>
                <c:pt idx="19">
                  <c:v>13.5</c:v>
                </c:pt>
                <c:pt idx="20">
                  <c:v>13.1</c:v>
                </c:pt>
                <c:pt idx="21">
                  <c:v>10.9</c:v>
                </c:pt>
                <c:pt idx="22">
                  <c:v>10.8</c:v>
                </c:pt>
                <c:pt idx="23">
                  <c:v>10.8</c:v>
                </c:pt>
                <c:pt idx="24">
                  <c:v>10.4</c:v>
                </c:pt>
                <c:pt idx="25">
                  <c:v>10.1</c:v>
                </c:pt>
                <c:pt idx="26">
                  <c:v>9.6999999999999993</c:v>
                </c:pt>
                <c:pt idx="27">
                  <c:v>8.8000000000000007</c:v>
                </c:pt>
                <c:pt idx="28">
                  <c:v>8.3000000000000007</c:v>
                </c:pt>
                <c:pt idx="29">
                  <c:v>8.1999999999999993</c:v>
                </c:pt>
                <c:pt idx="30">
                  <c:v>6.6</c:v>
                </c:pt>
                <c:pt idx="31">
                  <c:v>5.6</c:v>
                </c:pt>
              </c:numCache>
            </c:numRef>
          </c:val>
          <c:extLst>
            <c:ext xmlns:c16="http://schemas.microsoft.com/office/drawing/2014/chart" uri="{C3380CC4-5D6E-409C-BE32-E72D297353CC}">
              <c16:uniqueId val="{00000008-4FE0-4DA5-80C8-DE94379D0FAE}"/>
            </c:ext>
          </c:extLst>
        </c:ser>
        <c:dLbls>
          <c:showLegendKey val="0"/>
          <c:showVal val="0"/>
          <c:showCatName val="0"/>
          <c:showSerName val="0"/>
          <c:showPercent val="0"/>
          <c:showBubbleSize val="0"/>
        </c:dLbls>
        <c:gapWidth val="123"/>
        <c:overlap val="-23"/>
        <c:axId val="825859696"/>
        <c:axId val="963969328"/>
      </c:barChart>
      <c:catAx>
        <c:axId val="82585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963969328"/>
        <c:crosses val="autoZero"/>
        <c:auto val="1"/>
        <c:lblAlgn val="ctr"/>
        <c:lblOffset val="100"/>
        <c:noMultiLvlLbl val="0"/>
      </c:catAx>
      <c:valAx>
        <c:axId val="963969328"/>
        <c:scaling>
          <c:orientation val="minMax"/>
        </c:scaling>
        <c:delete val="1"/>
        <c:axPos val="l"/>
        <c:numFmt formatCode="0.0" sourceLinked="1"/>
        <c:majorTickMark val="none"/>
        <c:minorTickMark val="none"/>
        <c:tickLblPos val="nextTo"/>
        <c:crossAx val="825859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Nozares!$B$5</c:f>
              <c:strCache>
                <c:ptCount val="1"/>
                <c:pt idx="0">
                  <c:v>Latvijā</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Nozares!$C$4:$J$4</c:f>
              <c:numCache>
                <c:formatCode>General</c:formatCode>
                <c:ptCount val="8"/>
                <c:pt idx="0">
                  <c:v>2015</c:v>
                </c:pt>
                <c:pt idx="1">
                  <c:v>2016</c:v>
                </c:pt>
                <c:pt idx="2">
                  <c:v>2017</c:v>
                </c:pt>
                <c:pt idx="3">
                  <c:v>2018</c:v>
                </c:pt>
                <c:pt idx="4">
                  <c:v>2019</c:v>
                </c:pt>
                <c:pt idx="5">
                  <c:v>2020</c:v>
                </c:pt>
                <c:pt idx="6">
                  <c:v>2021</c:v>
                </c:pt>
                <c:pt idx="7">
                  <c:v>2022</c:v>
                </c:pt>
              </c:numCache>
            </c:numRef>
          </c:cat>
          <c:val>
            <c:numRef>
              <c:f>Nozares!$C$5:$J$5</c:f>
              <c:numCache>
                <c:formatCode>General</c:formatCode>
                <c:ptCount val="8"/>
                <c:pt idx="0">
                  <c:v>21.3</c:v>
                </c:pt>
                <c:pt idx="1">
                  <c:v>20.7</c:v>
                </c:pt>
                <c:pt idx="2" formatCode="0.0">
                  <c:v>22</c:v>
                </c:pt>
                <c:pt idx="3">
                  <c:v>24.2</c:v>
                </c:pt>
                <c:pt idx="4">
                  <c:v>23.9</c:v>
                </c:pt>
                <c:pt idx="5">
                  <c:v>25.5</c:v>
                </c:pt>
                <c:pt idx="6">
                  <c:v>26.6</c:v>
                </c:pt>
                <c:pt idx="7">
                  <c:v>26.5</c:v>
                </c:pt>
              </c:numCache>
            </c:numRef>
          </c:val>
          <c:extLst>
            <c:ext xmlns:c16="http://schemas.microsoft.com/office/drawing/2014/chart" uri="{C3380CC4-5D6E-409C-BE32-E72D297353CC}">
              <c16:uniqueId val="{00000000-C9B5-4982-A870-A57CD0267BE2}"/>
            </c:ext>
          </c:extLst>
        </c:ser>
        <c:ser>
          <c:idx val="1"/>
          <c:order val="1"/>
          <c:tx>
            <c:strRef>
              <c:f>Nozares!$B$6</c:f>
              <c:strCache>
                <c:ptCount val="1"/>
                <c:pt idx="0">
                  <c:v>Būvniecības nozarē</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Nozares!$C$4:$J$4</c:f>
              <c:numCache>
                <c:formatCode>General</c:formatCode>
                <c:ptCount val="8"/>
                <c:pt idx="0">
                  <c:v>2015</c:v>
                </c:pt>
                <c:pt idx="1">
                  <c:v>2016</c:v>
                </c:pt>
                <c:pt idx="2">
                  <c:v>2017</c:v>
                </c:pt>
                <c:pt idx="3">
                  <c:v>2018</c:v>
                </c:pt>
                <c:pt idx="4">
                  <c:v>2019</c:v>
                </c:pt>
                <c:pt idx="5">
                  <c:v>2020</c:v>
                </c:pt>
                <c:pt idx="6">
                  <c:v>2021</c:v>
                </c:pt>
                <c:pt idx="7">
                  <c:v>2022</c:v>
                </c:pt>
              </c:numCache>
            </c:numRef>
          </c:cat>
          <c:val>
            <c:numRef>
              <c:f>Nozares!$C$6:$J$6</c:f>
              <c:numCache>
                <c:formatCode>0.0</c:formatCode>
                <c:ptCount val="8"/>
                <c:pt idx="0">
                  <c:v>40</c:v>
                </c:pt>
                <c:pt idx="1">
                  <c:v>38.5</c:v>
                </c:pt>
                <c:pt idx="2" formatCode="General">
                  <c:v>35.200000000000003</c:v>
                </c:pt>
                <c:pt idx="3" formatCode="General">
                  <c:v>34.1</c:v>
                </c:pt>
                <c:pt idx="4" formatCode="General">
                  <c:v>30.7</c:v>
                </c:pt>
                <c:pt idx="5" formatCode="General">
                  <c:v>28.7</c:v>
                </c:pt>
                <c:pt idx="6" formatCode="General">
                  <c:v>31.2</c:v>
                </c:pt>
                <c:pt idx="7" formatCode="General">
                  <c:v>34.5</c:v>
                </c:pt>
              </c:numCache>
            </c:numRef>
          </c:val>
          <c:extLst>
            <c:ext xmlns:c16="http://schemas.microsoft.com/office/drawing/2014/chart" uri="{C3380CC4-5D6E-409C-BE32-E72D297353CC}">
              <c16:uniqueId val="{00000001-C9B5-4982-A870-A57CD0267BE2}"/>
            </c:ext>
          </c:extLst>
        </c:ser>
        <c:dLbls>
          <c:showLegendKey val="0"/>
          <c:showVal val="0"/>
          <c:showCatName val="0"/>
          <c:showSerName val="0"/>
          <c:showPercent val="0"/>
          <c:showBubbleSize val="0"/>
        </c:dLbls>
        <c:gapWidth val="219"/>
        <c:overlap val="-27"/>
        <c:axId val="963979128"/>
        <c:axId val="963975600"/>
      </c:barChart>
      <c:catAx>
        <c:axId val="96397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63975600"/>
        <c:crosses val="autoZero"/>
        <c:auto val="1"/>
        <c:lblAlgn val="ctr"/>
        <c:lblOffset val="100"/>
        <c:noMultiLvlLbl val="0"/>
      </c:catAx>
      <c:valAx>
        <c:axId val="963975600"/>
        <c:scaling>
          <c:orientation val="minMax"/>
        </c:scaling>
        <c:delete val="1"/>
        <c:axPos val="l"/>
        <c:numFmt formatCode="General" sourceLinked="1"/>
        <c:majorTickMark val="none"/>
        <c:minorTickMark val="none"/>
        <c:tickLblPos val="nextTo"/>
        <c:crossAx val="963979128"/>
        <c:crosses val="autoZero"/>
        <c:crossBetween val="between"/>
      </c:valAx>
      <c:spPr>
        <a:noFill/>
        <a:ln>
          <a:noFill/>
        </a:ln>
        <a:effectLst/>
      </c:spPr>
    </c:plotArea>
    <c:legend>
      <c:legendPos val="b"/>
      <c:layout>
        <c:manualLayout>
          <c:xMode val="edge"/>
          <c:yMode val="edge"/>
          <c:x val="0.18429825398444499"/>
          <c:y val="0.88786706808707738"/>
          <c:w val="0.63140349203111001"/>
          <c:h val="8.272116720704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GB" sz="1000">
                <a:latin typeface="Times New Roman" panose="02020603050405020304" pitchFamily="18" charset="0"/>
                <a:cs typeface="Times New Roman" panose="02020603050405020304" pitchFamily="18" charset="0"/>
              </a:rPr>
              <a:t>What do you think are the two main reasons for people to work or provide services without paying all or part of their taxes? </a:t>
            </a:r>
          </a:p>
        </c:rich>
      </c:tx>
      <c:layout>
        <c:manualLayout>
          <c:xMode val="edge"/>
          <c:yMode val="edge"/>
          <c:x val="0.12558957593951806"/>
          <c:y val="1.7957351290684626E-2"/>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50131572810264635"/>
          <c:y val="0.16411251623850048"/>
          <c:w val="0.46407574658983458"/>
          <c:h val="0.7427873654830579"/>
        </c:manualLayout>
      </c:layout>
      <c:barChart>
        <c:barDir val="bar"/>
        <c:grouping val="clustered"/>
        <c:varyColors val="0"/>
        <c:ser>
          <c:idx val="0"/>
          <c:order val="0"/>
          <c:tx>
            <c:strRef>
              <c:f>Sheet1!$B$1</c:f>
              <c:strCache>
                <c:ptCount val="1"/>
                <c:pt idx="0">
                  <c:v>People working in the shadow economy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Insufficient control by the authorities</c:v>
                </c:pt>
                <c:pt idx="1">
                  <c:v>Penalties for tax evasion are too weak</c:v>
                </c:pt>
                <c:pt idx="2">
                  <c:v>People seek opportunities to earn extra money at the expense of other citizens</c:v>
                </c:pt>
                <c:pt idx="3">
                  <c:v>Public ignorance about tax payment matters</c:v>
                </c:pt>
                <c:pt idx="4">
                  <c:v>People receiving social benefits that restrict their ability to work need to earn extra money</c:v>
                </c:pt>
                <c:pt idx="5">
                  <c:v>No other alternatives in certain sectors or regions</c:v>
                </c:pt>
                <c:pt idx="6">
                  <c:v>Too complex bureaucracy relating to declaring income</c:v>
                </c:pt>
                <c:pt idx="7">
                  <c:v>No action by the State for the benefit of people, so why should they pay taxes</c:v>
                </c:pt>
                <c:pt idx="8">
                  <c:v>Lack of permanent jobs</c:v>
                </c:pt>
                <c:pt idx="9">
                  <c:v>Taxes and/or social security contributions are too high</c:v>
                </c:pt>
              </c:strCache>
            </c:strRef>
          </c:cat>
          <c:val>
            <c:numRef>
              <c:f>Sheet1!$B$2:$B$11</c:f>
              <c:numCache>
                <c:formatCode>0%</c:formatCode>
                <c:ptCount val="10"/>
                <c:pt idx="0">
                  <c:v>5.0327981018981019E-2</c:v>
                </c:pt>
                <c:pt idx="1">
                  <c:v>5.9174405694305689E-2</c:v>
                </c:pt>
                <c:pt idx="2">
                  <c:v>0.11443431268731268</c:v>
                </c:pt>
                <c:pt idx="3">
                  <c:v>0.13657614985014985</c:v>
                </c:pt>
                <c:pt idx="4">
                  <c:v>0.15253755844155845</c:v>
                </c:pt>
                <c:pt idx="5">
                  <c:v>0.16301227522477524</c:v>
                </c:pt>
                <c:pt idx="6">
                  <c:v>0.21230793406593407</c:v>
                </c:pt>
                <c:pt idx="7">
                  <c:v>0.22419143646353648</c:v>
                </c:pt>
                <c:pt idx="8">
                  <c:v>0.24369751248751251</c:v>
                </c:pt>
                <c:pt idx="9">
                  <c:v>0.54833282717282716</c:v>
                </c:pt>
              </c:numCache>
            </c:numRef>
          </c:val>
          <c:extLst>
            <c:ext xmlns:c16="http://schemas.microsoft.com/office/drawing/2014/chart" uri="{C3380CC4-5D6E-409C-BE32-E72D297353CC}">
              <c16:uniqueId val="{00000000-7C3E-471F-9194-DF94170CD2B2}"/>
            </c:ext>
          </c:extLst>
        </c:ser>
        <c:dLbls>
          <c:dLblPos val="outEnd"/>
          <c:showLegendKey val="0"/>
          <c:showVal val="1"/>
          <c:showCatName val="0"/>
          <c:showSerName val="0"/>
          <c:showPercent val="0"/>
          <c:showBubbleSize val="0"/>
        </c:dLbls>
        <c:gapWidth val="182"/>
        <c:axId val="825877728"/>
        <c:axId val="825878120"/>
      </c:barChart>
      <c:catAx>
        <c:axId val="82587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78120"/>
        <c:crosses val="autoZero"/>
        <c:auto val="1"/>
        <c:lblAlgn val="ctr"/>
        <c:lblOffset val="100"/>
        <c:noMultiLvlLbl val="0"/>
      </c:catAx>
      <c:valAx>
        <c:axId val="8258781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77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'IKP un enas'!$A$20</c:f>
              <c:strCache>
                <c:ptCount val="1"/>
                <c:pt idx="0">
                  <c:v>IKP uz vienu iedzīvotāju, euro</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'IKP un enas'!$B$19:$J$19</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'IKP un enas'!$B$20:$J$20</c:f>
              <c:numCache>
                <c:formatCode>0</c:formatCode>
                <c:ptCount val="9"/>
                <c:pt idx="0">
                  <c:v>10270</c:v>
                </c:pt>
                <c:pt idx="1">
                  <c:v>10760</c:v>
                </c:pt>
                <c:pt idx="2">
                  <c:v>11110</c:v>
                </c:pt>
                <c:pt idx="3">
                  <c:v>11590</c:v>
                </c:pt>
                <c:pt idx="4">
                  <c:v>12140</c:v>
                </c:pt>
                <c:pt idx="5">
                  <c:v>12540</c:v>
                </c:pt>
                <c:pt idx="6">
                  <c:v>12330</c:v>
                </c:pt>
                <c:pt idx="7">
                  <c:v>12980</c:v>
                </c:pt>
                <c:pt idx="8">
                  <c:v>13320</c:v>
                </c:pt>
              </c:numCache>
            </c:numRef>
          </c:val>
          <c:extLst>
            <c:ext xmlns:c16="http://schemas.microsoft.com/office/drawing/2014/chart" uri="{C3380CC4-5D6E-409C-BE32-E72D297353CC}">
              <c16:uniqueId val="{00000000-F967-4103-9811-14CC32E592C3}"/>
            </c:ext>
          </c:extLst>
        </c:ser>
        <c:dLbls>
          <c:showLegendKey val="0"/>
          <c:showVal val="0"/>
          <c:showCatName val="0"/>
          <c:showSerName val="0"/>
          <c:showPercent val="0"/>
          <c:showBubbleSize val="0"/>
        </c:dLbls>
        <c:gapWidth val="86"/>
        <c:axId val="825883608"/>
        <c:axId val="825880864"/>
      </c:barChart>
      <c:lineChart>
        <c:grouping val="standard"/>
        <c:varyColors val="0"/>
        <c:ser>
          <c:idx val="1"/>
          <c:order val="1"/>
          <c:tx>
            <c:strRef>
              <c:f>'IKP un enas'!$A$21</c:f>
              <c:strCache>
                <c:ptCount val="1"/>
                <c:pt idx="0">
                  <c:v>Formālās ekonomikas daļa, % no IKP</c:v>
                </c:pt>
              </c:strCache>
            </c:strRef>
          </c:tx>
          <c:spPr>
            <a:ln w="28575" cap="rnd">
              <a:solidFill>
                <a:schemeClr val="accent6">
                  <a:lumMod val="60000"/>
                  <a:lumOff val="40000"/>
                </a:schemeClr>
              </a:solidFill>
              <a:round/>
            </a:ln>
            <a:effectLst/>
          </c:spPr>
          <c:marker>
            <c:symbol val="none"/>
          </c:marker>
          <c:val>
            <c:numRef>
              <c:f>'IKP un enas'!$B$21:$J$21</c:f>
              <c:numCache>
                <c:formatCode>General</c:formatCode>
                <c:ptCount val="9"/>
                <c:pt idx="0">
                  <c:v>75.3</c:v>
                </c:pt>
                <c:pt idx="1">
                  <c:v>76.400000000000006</c:v>
                </c:pt>
                <c:pt idx="2">
                  <c:v>77.099999999999994</c:v>
                </c:pt>
                <c:pt idx="3">
                  <c:v>78.7</c:v>
                </c:pt>
                <c:pt idx="4">
                  <c:v>79.760000000000005</c:v>
                </c:pt>
                <c:pt idx="5">
                  <c:v>80.16</c:v>
                </c:pt>
                <c:pt idx="6">
                  <c:v>79.09</c:v>
                </c:pt>
                <c:pt idx="7">
                  <c:v>79.78</c:v>
                </c:pt>
                <c:pt idx="8">
                  <c:v>80.099999999999994</c:v>
                </c:pt>
              </c:numCache>
            </c:numRef>
          </c:val>
          <c:smooth val="0"/>
          <c:extLst>
            <c:ext xmlns:c16="http://schemas.microsoft.com/office/drawing/2014/chart" uri="{C3380CC4-5D6E-409C-BE32-E72D297353CC}">
              <c16:uniqueId val="{00000001-F967-4103-9811-14CC32E592C3}"/>
            </c:ext>
          </c:extLst>
        </c:ser>
        <c:dLbls>
          <c:showLegendKey val="0"/>
          <c:showVal val="0"/>
          <c:showCatName val="0"/>
          <c:showSerName val="0"/>
          <c:showPercent val="0"/>
          <c:showBubbleSize val="0"/>
        </c:dLbls>
        <c:marker val="1"/>
        <c:smooth val="0"/>
        <c:axId val="825879688"/>
        <c:axId val="825876944"/>
      </c:lineChart>
      <c:catAx>
        <c:axId val="82588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80864"/>
        <c:crosses val="autoZero"/>
        <c:auto val="1"/>
        <c:lblAlgn val="ctr"/>
        <c:lblOffset val="100"/>
        <c:noMultiLvlLbl val="0"/>
      </c:catAx>
      <c:valAx>
        <c:axId val="825880864"/>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5883608"/>
        <c:crosses val="autoZero"/>
        <c:crossBetween val="between"/>
        <c:majorUnit val="10000"/>
      </c:valAx>
      <c:valAx>
        <c:axId val="825876944"/>
        <c:scaling>
          <c:orientation val="minMax"/>
          <c:max val="82"/>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79688"/>
        <c:crosses val="max"/>
        <c:crossBetween val="between"/>
        <c:majorUnit val="5"/>
      </c:valAx>
      <c:catAx>
        <c:axId val="825879688"/>
        <c:scaling>
          <c:orientation val="minMax"/>
        </c:scaling>
        <c:delete val="1"/>
        <c:axPos val="b"/>
        <c:majorTickMark val="out"/>
        <c:minorTickMark val="none"/>
        <c:tickLblPos val="nextTo"/>
        <c:crossAx val="825876944"/>
        <c:crosses val="autoZero"/>
        <c:auto val="1"/>
        <c:lblAlgn val="ctr"/>
        <c:lblOffset val="100"/>
        <c:noMultiLvlLbl val="0"/>
      </c:catAx>
      <c:spPr>
        <a:noFill/>
        <a:ln>
          <a:noFill/>
        </a:ln>
        <a:effectLst/>
      </c:spPr>
    </c:plotArea>
    <c:legend>
      <c:legendPos val="b"/>
      <c:layout>
        <c:manualLayout>
          <c:xMode val="edge"/>
          <c:yMode val="edge"/>
          <c:x val="1.3621045192525749E-2"/>
          <c:y val="0.86380184258344228"/>
          <c:w val="0.9727576459171674"/>
          <c:h val="0.103809493448946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176126432222007E-2"/>
                  <c:y val="-0.27714691952422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rendlineLbl>
          </c:trendline>
          <c:xVal>
            <c:numRef>
              <c:f>Sheet1!$A$2:$A$13</c:f>
              <c:numCache>
                <c:formatCode>#,##0.00</c:formatCode>
                <c:ptCount val="12"/>
                <c:pt idx="0">
                  <c:v>18.087980000000002</c:v>
                </c:pt>
                <c:pt idx="1">
                  <c:v>19.763839999999998</c:v>
                </c:pt>
                <c:pt idx="2">
                  <c:v>21.924454999999998</c:v>
                </c:pt>
                <c:pt idx="3">
                  <c:v>22.749009999999998</c:v>
                </c:pt>
                <c:pt idx="4">
                  <c:v>23.625802</c:v>
                </c:pt>
                <c:pt idx="5">
                  <c:v>24.572126000000001</c:v>
                </c:pt>
                <c:pt idx="6">
                  <c:v>25.371324000000001</c:v>
                </c:pt>
                <c:pt idx="7">
                  <c:v>26.984432999999999</c:v>
                </c:pt>
                <c:pt idx="8">
                  <c:v>29.153555999999998</c:v>
                </c:pt>
                <c:pt idx="9">
                  <c:v>30.678644999999999</c:v>
                </c:pt>
                <c:pt idx="10">
                  <c:v>30.265089</c:v>
                </c:pt>
                <c:pt idx="11">
                  <c:v>33.616534999999999</c:v>
                </c:pt>
              </c:numCache>
            </c:numRef>
          </c:xVal>
          <c:yVal>
            <c:numRef>
              <c:f>Sheet1!$B$2:$B$13</c:f>
              <c:numCache>
                <c:formatCode>0%</c:formatCode>
                <c:ptCount val="12"/>
                <c:pt idx="0">
                  <c:v>0.32799999999999996</c:v>
                </c:pt>
                <c:pt idx="1">
                  <c:v>0.29799999999999999</c:v>
                </c:pt>
                <c:pt idx="2">
                  <c:v>0.25700000000000001</c:v>
                </c:pt>
                <c:pt idx="3">
                  <c:v>0.26600000000000001</c:v>
                </c:pt>
                <c:pt idx="4">
                  <c:v>0.221</c:v>
                </c:pt>
                <c:pt idx="5">
                  <c:v>0.20299999999999999</c:v>
                </c:pt>
                <c:pt idx="6">
                  <c:v>0.16999999999999998</c:v>
                </c:pt>
                <c:pt idx="7">
                  <c:v>0.16799999999999998</c:v>
                </c:pt>
                <c:pt idx="8">
                  <c:v>0.122</c:v>
                </c:pt>
                <c:pt idx="9">
                  <c:v>9.7000000000000003E-2</c:v>
                </c:pt>
                <c:pt idx="10">
                  <c:v>8.199999999999999E-2</c:v>
                </c:pt>
                <c:pt idx="11">
                  <c:v>0.10300000000000001</c:v>
                </c:pt>
              </c:numCache>
            </c:numRef>
          </c:yVal>
          <c:smooth val="0"/>
          <c:extLst>
            <c:ext xmlns:c16="http://schemas.microsoft.com/office/drawing/2014/chart" uri="{C3380CC4-5D6E-409C-BE32-E72D297353CC}">
              <c16:uniqueId val="{00000001-AB16-4200-A188-873285F3004C}"/>
            </c:ext>
          </c:extLst>
        </c:ser>
        <c:dLbls>
          <c:showLegendKey val="0"/>
          <c:showVal val="0"/>
          <c:showCatName val="0"/>
          <c:showSerName val="0"/>
          <c:showPercent val="0"/>
          <c:showBubbleSize val="0"/>
        </c:dLbls>
        <c:axId val="825878512"/>
        <c:axId val="825881256"/>
      </c:scatterChart>
      <c:valAx>
        <c:axId val="82587851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GDP, mln. EUR</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81256"/>
        <c:crosses val="autoZero"/>
        <c:crossBetween val="midCat"/>
      </c:valAx>
      <c:valAx>
        <c:axId val="825881256"/>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VAT gap, %</a:t>
                </a:r>
              </a:p>
            </c:rich>
          </c:tx>
          <c:layout>
            <c:manualLayout>
              <c:xMode val="edge"/>
              <c:yMode val="edge"/>
              <c:x val="2.6143760830479493E-2"/>
              <c:y val="8.9256167225868654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78512"/>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176126432222007E-2"/>
                  <c:y val="-0.27714691952422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rendlineLbl>
          </c:trendline>
          <c:xVal>
            <c:numRef>
              <c:f>Sheet1!$A$3:$A$11</c:f>
              <c:numCache>
                <c:formatCode>#,##0.00</c:formatCode>
                <c:ptCount val="9"/>
                <c:pt idx="0">
                  <c:v>19.763839999999998</c:v>
                </c:pt>
                <c:pt idx="1">
                  <c:v>21.924454999999998</c:v>
                </c:pt>
                <c:pt idx="2">
                  <c:v>22.749009999999998</c:v>
                </c:pt>
                <c:pt idx="3">
                  <c:v>23.625802</c:v>
                </c:pt>
                <c:pt idx="4">
                  <c:v>24.572126000000001</c:v>
                </c:pt>
                <c:pt idx="5">
                  <c:v>25.371324000000001</c:v>
                </c:pt>
                <c:pt idx="6">
                  <c:v>26.984432999999999</c:v>
                </c:pt>
                <c:pt idx="7">
                  <c:v>29.153555999999998</c:v>
                </c:pt>
                <c:pt idx="8">
                  <c:v>30.678644999999999</c:v>
                </c:pt>
              </c:numCache>
            </c:numRef>
          </c:xVal>
          <c:yVal>
            <c:numRef>
              <c:f>Sheet1!$C$3:$C$11</c:f>
              <c:numCache>
                <c:formatCode>0.0%</c:formatCode>
                <c:ptCount val="9"/>
                <c:pt idx="0">
                  <c:v>0.27482656230342506</c:v>
                </c:pt>
                <c:pt idx="1">
                  <c:v>0.28538600523873947</c:v>
                </c:pt>
                <c:pt idx="2">
                  <c:v>0.2342080139097589</c:v>
                </c:pt>
                <c:pt idx="3">
                  <c:v>0.2134356126274092</c:v>
                </c:pt>
                <c:pt idx="4">
                  <c:v>0.19208254824812415</c:v>
                </c:pt>
                <c:pt idx="5">
                  <c:v>0.16126959276688024</c:v>
                </c:pt>
                <c:pt idx="6">
                  <c:v>0.13690556186645447</c:v>
                </c:pt>
                <c:pt idx="7">
                  <c:v>0.13516265292059157</c:v>
                </c:pt>
                <c:pt idx="8">
                  <c:v>0.12769492057533727</c:v>
                </c:pt>
              </c:numCache>
            </c:numRef>
          </c:yVal>
          <c:smooth val="0"/>
          <c:extLst>
            <c:ext xmlns:c16="http://schemas.microsoft.com/office/drawing/2014/chart" uri="{C3380CC4-5D6E-409C-BE32-E72D297353CC}">
              <c16:uniqueId val="{00000001-1E77-4138-BE8B-E96E13AA2B29}"/>
            </c:ext>
          </c:extLst>
        </c:ser>
        <c:dLbls>
          <c:showLegendKey val="0"/>
          <c:showVal val="0"/>
          <c:showCatName val="0"/>
          <c:showSerName val="0"/>
          <c:showPercent val="0"/>
          <c:showBubbleSize val="0"/>
        </c:dLbls>
        <c:axId val="825856952"/>
        <c:axId val="825854208"/>
      </c:scatterChart>
      <c:valAx>
        <c:axId val="82585695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GDP, mln. EUR</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54208"/>
        <c:crosses val="autoZero"/>
        <c:crossBetween val="midCat"/>
      </c:valAx>
      <c:valAx>
        <c:axId val="825854208"/>
        <c:scaling>
          <c:orientation val="minMax"/>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PIT gap, %</a:t>
                </a:r>
              </a:p>
            </c:rich>
          </c:tx>
          <c:layout>
            <c:manualLayout>
              <c:xMode val="edge"/>
              <c:yMode val="edge"/>
              <c:x val="2.6143832020997376E-2"/>
              <c:y val="0.1556075570874925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56952"/>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176126432222007E-2"/>
                  <c:y val="-0.27714691952422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trendlineLbl>
          </c:trendline>
          <c:xVal>
            <c:numRef>
              <c:f>Sheet1!$A$3:$A$11</c:f>
              <c:numCache>
                <c:formatCode>#,##0.00</c:formatCode>
                <c:ptCount val="9"/>
                <c:pt idx="0">
                  <c:v>19.763839999999998</c:v>
                </c:pt>
                <c:pt idx="1">
                  <c:v>21.924454999999998</c:v>
                </c:pt>
                <c:pt idx="2">
                  <c:v>22.749009999999998</c:v>
                </c:pt>
                <c:pt idx="3">
                  <c:v>23.625802</c:v>
                </c:pt>
                <c:pt idx="4">
                  <c:v>24.572126000000001</c:v>
                </c:pt>
                <c:pt idx="5">
                  <c:v>25.371324000000001</c:v>
                </c:pt>
                <c:pt idx="6">
                  <c:v>26.984432999999999</c:v>
                </c:pt>
                <c:pt idx="7">
                  <c:v>29.153555999999998</c:v>
                </c:pt>
                <c:pt idx="8">
                  <c:v>30.678644999999999</c:v>
                </c:pt>
              </c:numCache>
            </c:numRef>
          </c:xVal>
          <c:yVal>
            <c:numRef>
              <c:f>Sheet1!$D$3:$D$11</c:f>
              <c:numCache>
                <c:formatCode>0%</c:formatCode>
                <c:ptCount val="9"/>
                <c:pt idx="0">
                  <c:v>0.28242005760127364</c:v>
                </c:pt>
                <c:pt idx="1">
                  <c:v>0.29461418479887597</c:v>
                </c:pt>
                <c:pt idx="2">
                  <c:v>0.24126751592368156</c:v>
                </c:pt>
                <c:pt idx="3">
                  <c:v>0.22015679806220395</c:v>
                </c:pt>
                <c:pt idx="4">
                  <c:v>0.19567535529886956</c:v>
                </c:pt>
                <c:pt idx="5">
                  <c:v>0.16295052352929215</c:v>
                </c:pt>
                <c:pt idx="6">
                  <c:v>0.1380078005148635</c:v>
                </c:pt>
                <c:pt idx="7">
                  <c:v>0.14517126049612272</c:v>
                </c:pt>
                <c:pt idx="8">
                  <c:v>0.1228937183099017</c:v>
                </c:pt>
              </c:numCache>
            </c:numRef>
          </c:yVal>
          <c:smooth val="0"/>
          <c:extLst>
            <c:ext xmlns:c16="http://schemas.microsoft.com/office/drawing/2014/chart" uri="{C3380CC4-5D6E-409C-BE32-E72D297353CC}">
              <c16:uniqueId val="{00000001-B823-46D7-A6D5-81D5DB656FBF}"/>
            </c:ext>
          </c:extLst>
        </c:ser>
        <c:dLbls>
          <c:showLegendKey val="0"/>
          <c:showVal val="0"/>
          <c:showCatName val="0"/>
          <c:showSerName val="0"/>
          <c:showPercent val="0"/>
          <c:showBubbleSize val="0"/>
        </c:dLbls>
        <c:axId val="825853424"/>
        <c:axId val="825857344"/>
      </c:scatterChart>
      <c:valAx>
        <c:axId val="82585342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GDP, mln. EUR</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57344"/>
        <c:crosses val="autoZero"/>
        <c:crossBetween val="midCat"/>
      </c:valAx>
      <c:valAx>
        <c:axId val="825857344"/>
        <c:scaling>
          <c:orientation val="minMax"/>
          <c:max val="0.30000000000000004"/>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800">
                    <a:latin typeface="Times New Roman" panose="02020603050405020304" pitchFamily="18" charset="0"/>
                    <a:cs typeface="Times New Roman" panose="02020603050405020304" pitchFamily="18" charset="0"/>
                  </a:rPr>
                  <a:t>MSSIC </a:t>
                </a:r>
                <a:r>
                  <a:rPr lang="en-GB">
                    <a:latin typeface="Times New Roman" panose="02020603050405020304" pitchFamily="18" charset="0"/>
                    <a:cs typeface="Times New Roman" panose="02020603050405020304" pitchFamily="18" charset="0"/>
                  </a:rPr>
                  <a:t>gap, %</a:t>
                </a:r>
              </a:p>
            </c:rich>
          </c:tx>
          <c:layout>
            <c:manualLayout>
              <c:xMode val="edge"/>
              <c:yMode val="edge"/>
              <c:x val="2.6143790849673207E-2"/>
              <c:y val="9.898098870187753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53424"/>
        <c:crosses val="autoZero"/>
        <c:crossBetween val="midCat"/>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5870516185478"/>
          <c:y val="4.7743055555555552E-2"/>
          <c:w val="0.83978164127154653"/>
          <c:h val="0.79134815179352569"/>
        </c:manualLayout>
      </c:layout>
      <c:scatterChart>
        <c:scatterStyle val="lineMarker"/>
        <c:varyColors val="0"/>
        <c:ser>
          <c:idx val="0"/>
          <c:order val="0"/>
          <c:tx>
            <c:strRef>
              <c:f>Sheet1!$D$3</c:f>
              <c:strCache>
                <c:ptCount val="1"/>
                <c:pt idx="0">
                  <c:v>Ēnu ekonomikas īpatsvars 2022.gadā, % no IKP, F.Šneidera dati</c:v>
                </c:pt>
              </c:strCache>
            </c:strRef>
          </c:tx>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2.4403771491957847E-2"/>
                  <c:y val="4.6874999999999903E-2"/>
                </c:manualLayout>
              </c:layout>
              <c:tx>
                <c:rich>
                  <a:bodyPr/>
                  <a:lstStyle/>
                  <a:p>
                    <a:r>
                      <a:rPr lang="en-US" baseline="0"/>
                      <a:t>LU, </a:t>
                    </a:r>
                    <a:fld id="{0992B042-3476-4999-BF3D-BC6B52FCA508}"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0-D472-41C6-9D27-972753712776}"/>
                </c:ext>
              </c:extLst>
            </c:dLbl>
            <c:dLbl>
              <c:idx val="1"/>
              <c:tx>
                <c:rich>
                  <a:bodyPr/>
                  <a:lstStyle/>
                  <a:p>
                    <a:r>
                      <a:rPr lang="en-US"/>
                      <a:t>IE</a:t>
                    </a:r>
                    <a:r>
                      <a:rPr lang="en-US" baseline="0"/>
                      <a:t>, </a:t>
                    </a:r>
                    <a:fld id="{FB913106-DAA2-4A3D-872A-8B489224BE7E}"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D472-41C6-9D27-972753712776}"/>
                </c:ext>
              </c:extLst>
            </c:dLbl>
            <c:dLbl>
              <c:idx val="2"/>
              <c:layout>
                <c:manualLayout>
                  <c:x val="-2.6622296173045089E-2"/>
                  <c:y val="-4.6875E-2"/>
                </c:manualLayout>
              </c:layout>
              <c:tx>
                <c:rich>
                  <a:bodyPr/>
                  <a:lstStyle/>
                  <a:p>
                    <a:r>
                      <a:rPr lang="en-US" baseline="0"/>
                      <a:t>NO, </a:t>
                    </a:r>
                    <a:fld id="{704E6227-B5B8-4275-93FC-3D150CA2BCCD}"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2-D472-41C6-9D27-972753712776}"/>
                </c:ext>
              </c:extLst>
            </c:dLbl>
            <c:dLbl>
              <c:idx val="3"/>
              <c:tx>
                <c:rich>
                  <a:bodyPr/>
                  <a:lstStyle/>
                  <a:p>
                    <a:r>
                      <a:rPr lang="en-US"/>
                      <a:t>CH</a:t>
                    </a:r>
                    <a:r>
                      <a:rPr lang="en-US" baseline="0"/>
                      <a:t>, </a:t>
                    </a:r>
                    <a:fld id="{226B55ED-0A0E-4E67-BE9C-232622364031}"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D472-41C6-9D27-972753712776}"/>
                </c:ext>
              </c:extLst>
            </c:dLbl>
            <c:dLbl>
              <c:idx val="4"/>
              <c:tx>
                <c:rich>
                  <a:bodyPr/>
                  <a:lstStyle/>
                  <a:p>
                    <a:r>
                      <a:rPr lang="en-US"/>
                      <a:t>DK</a:t>
                    </a:r>
                    <a:r>
                      <a:rPr lang="en-US" baseline="0"/>
                      <a:t>, </a:t>
                    </a:r>
                    <a:fld id="{F0D4E9F1-A770-4B12-AA21-C8C0CD5FFB6B}"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4-D472-41C6-9D27-972753712776}"/>
                </c:ext>
              </c:extLst>
            </c:dLbl>
            <c:dLbl>
              <c:idx val="5"/>
              <c:layout>
                <c:manualLayout>
                  <c:x val="-2.8840820854132001E-2"/>
                  <c:y val="-3.125E-2"/>
                </c:manualLayout>
              </c:layout>
              <c:tx>
                <c:rich>
                  <a:bodyPr/>
                  <a:lstStyle/>
                  <a:p>
                    <a:r>
                      <a:rPr lang="en-US" baseline="0"/>
                      <a:t>SE, </a:t>
                    </a:r>
                    <a:fld id="{116D75EA-D874-43B3-B547-269226E0F61E}"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D472-41C6-9D27-972753712776}"/>
                </c:ext>
              </c:extLst>
            </c:dLbl>
            <c:dLbl>
              <c:idx val="6"/>
              <c:tx>
                <c:rich>
                  <a:bodyPr/>
                  <a:lstStyle/>
                  <a:p>
                    <a:r>
                      <a:rPr lang="en-US"/>
                      <a:t>NL</a:t>
                    </a:r>
                    <a:r>
                      <a:rPr lang="en-US" baseline="0"/>
                      <a:t>, </a:t>
                    </a:r>
                    <a:fld id="{6C2074C6-0DA4-4381-A374-CDAEEF1BFA29}"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6-D472-41C6-9D27-972753712776}"/>
                </c:ext>
              </c:extLst>
            </c:dLbl>
            <c:dLbl>
              <c:idx val="7"/>
              <c:tx>
                <c:rich>
                  <a:bodyPr/>
                  <a:lstStyle/>
                  <a:p>
                    <a:r>
                      <a:rPr lang="en-US"/>
                      <a:t>AT</a:t>
                    </a:r>
                    <a:r>
                      <a:rPr lang="en-US" baseline="0"/>
                      <a:t>, </a:t>
                    </a:r>
                    <a:fld id="{C51CD2DA-A0AC-4B74-B990-618A2711A0C0}"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7-D472-41C6-9D27-972753712776}"/>
                </c:ext>
              </c:extLst>
            </c:dLbl>
            <c:dLbl>
              <c:idx val="8"/>
              <c:layout>
                <c:manualLayout>
                  <c:x val="-0.10427066001109263"/>
                  <c:y val="0"/>
                </c:manualLayout>
              </c:layout>
              <c:tx>
                <c:rich>
                  <a:bodyPr/>
                  <a:lstStyle/>
                  <a:p>
                    <a:r>
                      <a:rPr lang="en-US" baseline="0"/>
                      <a:t>FI, </a:t>
                    </a:r>
                    <a:fld id="{F674A55E-3673-4730-88F9-3F51B5D5B774}"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8-D472-41C6-9D27-972753712776}"/>
                </c:ext>
              </c:extLst>
            </c:dLbl>
            <c:dLbl>
              <c:idx val="9"/>
              <c:layout>
                <c:manualLayout>
                  <c:x val="-6.655574043261313E-3"/>
                  <c:y val="-2.0833333333333381E-2"/>
                </c:manualLayout>
              </c:layout>
              <c:tx>
                <c:rich>
                  <a:bodyPr/>
                  <a:lstStyle/>
                  <a:p>
                    <a:r>
                      <a:rPr lang="en-US" baseline="0"/>
                      <a:t>BE, </a:t>
                    </a:r>
                    <a:fld id="{D0333891-9D12-4833-BC88-A53B676A2415}"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9-D472-41C6-9D27-972753712776}"/>
                </c:ext>
              </c:extLst>
            </c:dLbl>
            <c:dLbl>
              <c:idx val="10"/>
              <c:layout>
                <c:manualLayout>
                  <c:x val="-9.7615085967831389E-2"/>
                  <c:y val="5.2083333333332376E-3"/>
                </c:manualLayout>
              </c:layout>
              <c:tx>
                <c:rich>
                  <a:bodyPr/>
                  <a:lstStyle/>
                  <a:p>
                    <a:r>
                      <a:rPr lang="en-US" baseline="0"/>
                      <a:t>DE, </a:t>
                    </a:r>
                    <a:fld id="{FB18E340-09B6-404C-93B9-2E5E39C27004}"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A-D472-41C6-9D27-972753712776}"/>
                </c:ext>
              </c:extLst>
            </c:dLbl>
            <c:dLbl>
              <c:idx val="11"/>
              <c:layout>
                <c:manualLayout>
                  <c:x val="-1.1092623405435386E-2"/>
                  <c:y val="0"/>
                </c:manualLayout>
              </c:layout>
              <c:tx>
                <c:rich>
                  <a:bodyPr/>
                  <a:lstStyle/>
                  <a:p>
                    <a:r>
                      <a:rPr lang="en-US"/>
                      <a:t>FR</a:t>
                    </a:r>
                    <a:r>
                      <a:rPr lang="en-US" baseline="0"/>
                      <a:t>, </a:t>
                    </a:r>
                    <a:fld id="{B85E5888-1455-4486-BF7D-0AED76F698CD}"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B-D472-41C6-9D27-972753712776}"/>
                </c:ext>
              </c:extLst>
            </c:dLbl>
            <c:dLbl>
              <c:idx val="12"/>
              <c:layout>
                <c:manualLayout>
                  <c:x val="-2.6622296173044926E-2"/>
                  <c:y val="-2.6041666666666619E-2"/>
                </c:manualLayout>
              </c:layout>
              <c:tx>
                <c:rich>
                  <a:bodyPr/>
                  <a:lstStyle/>
                  <a:p>
                    <a:r>
                      <a:rPr lang="en-US" baseline="0"/>
                      <a:t>ES, </a:t>
                    </a:r>
                    <a:fld id="{A5D5CA96-9A39-4846-8318-A84965D17F0A}"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C-D472-41C6-9D27-972753712776}"/>
                </c:ext>
              </c:extLst>
            </c:dLbl>
            <c:dLbl>
              <c:idx val="13"/>
              <c:layout>
                <c:manualLayout>
                  <c:x val="-0.11314475873544093"/>
                  <c:y val="-5.2083333333334285E-3"/>
                </c:manualLayout>
              </c:layout>
              <c:tx>
                <c:rich>
                  <a:bodyPr/>
                  <a:lstStyle/>
                  <a:p>
                    <a:r>
                      <a:rPr lang="en-US" baseline="0"/>
                      <a:t>PT, </a:t>
                    </a:r>
                    <a:fld id="{314FADE1-621E-49BD-AF6D-0A7638D83454}"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D-D472-41C6-9D27-972753712776}"/>
                </c:ext>
              </c:extLst>
            </c:dLbl>
            <c:dLbl>
              <c:idx val="14"/>
              <c:layout>
                <c:manualLayout>
                  <c:x val="-6.6555740432612314E-3"/>
                  <c:y val="5.208333333333333E-3"/>
                </c:manualLayout>
              </c:layout>
              <c:tx>
                <c:rich>
                  <a:bodyPr/>
                  <a:lstStyle/>
                  <a:p>
                    <a:r>
                      <a:rPr lang="en-US" baseline="0"/>
                      <a:t>CZ, </a:t>
                    </a:r>
                    <a:fld id="{79F561CC-FDFD-4E03-A012-D4172C9FEBF2}"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E-D472-41C6-9D27-972753712776}"/>
                </c:ext>
              </c:extLst>
            </c:dLbl>
            <c:dLbl>
              <c:idx val="15"/>
              <c:layout>
                <c:manualLayout>
                  <c:x val="-0.10427066001109263"/>
                  <c:y val="0"/>
                </c:manualLayout>
              </c:layout>
              <c:tx>
                <c:rich>
                  <a:bodyPr/>
                  <a:lstStyle/>
                  <a:p>
                    <a:r>
                      <a:rPr lang="en-US" baseline="0"/>
                      <a:t>SC, </a:t>
                    </a:r>
                    <a:fld id="{806FBD1A-3DA1-42BD-8404-E7BA4DEB55F4}"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F-D472-41C6-9D27-972753712776}"/>
                </c:ext>
              </c:extLst>
            </c:dLbl>
            <c:dLbl>
              <c:idx val="16"/>
              <c:layout>
                <c:manualLayout>
                  <c:x val="0"/>
                  <c:y val="-5.208333333333333E-3"/>
                </c:manualLayout>
              </c:layout>
              <c:tx>
                <c:rich>
                  <a:bodyPr/>
                  <a:lstStyle/>
                  <a:p>
                    <a:r>
                      <a:rPr lang="en-US" baseline="0"/>
                      <a:t>EE, </a:t>
                    </a:r>
                    <a:fld id="{EB246597-85EF-4993-BED7-5D9BE7D9D147}"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0-D472-41C6-9D27-972753712776}"/>
                </c:ext>
              </c:extLst>
            </c:dLbl>
            <c:dLbl>
              <c:idx val="17"/>
              <c:layout>
                <c:manualLayout>
                  <c:x val="0"/>
                  <c:y val="2.6041666666666619E-2"/>
                </c:manualLayout>
              </c:layout>
              <c:tx>
                <c:rich>
                  <a:bodyPr/>
                  <a:lstStyle/>
                  <a:p>
                    <a:r>
                      <a:rPr lang="en-US" baseline="0"/>
                      <a:t>LT, </a:t>
                    </a:r>
                    <a:fld id="{FB98AD56-329C-4ECC-8112-4808E2F92E70}"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1-D472-41C6-9D27-972753712776}"/>
                </c:ext>
              </c:extLst>
            </c:dLbl>
            <c:dLbl>
              <c:idx val="18"/>
              <c:layout>
                <c:manualLayout>
                  <c:x val="-0.1042706600110926"/>
                  <c:y val="-5.2083333333333807E-3"/>
                </c:manualLayout>
              </c:layout>
              <c:tx>
                <c:rich>
                  <a:bodyPr/>
                  <a:lstStyle/>
                  <a:p>
                    <a:r>
                      <a:rPr lang="en-US" baseline="0"/>
                      <a:t>PL, </a:t>
                    </a:r>
                    <a:fld id="{A90EA2B0-AEAD-47EC-B6E7-F122374E5A4F}"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2-D472-41C6-9D27-972753712776}"/>
                </c:ext>
              </c:extLst>
            </c:dLbl>
            <c:dLbl>
              <c:idx val="19"/>
              <c:layout>
                <c:manualLayout>
                  <c:x val="-2.2185246810870773E-3"/>
                  <c:y val="-1.0416666666666666E-2"/>
                </c:manualLayout>
              </c:layout>
              <c:tx>
                <c:rich>
                  <a:bodyPr/>
                  <a:lstStyle/>
                  <a:p>
                    <a:r>
                      <a:rPr lang="en-US" baseline="0"/>
                      <a:t>HR, </a:t>
                    </a:r>
                    <a:fld id="{D4AEF8C4-4ADB-4425-AAEF-D09486A13755}"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3-D472-41C6-9D27-972753712776}"/>
                </c:ext>
              </c:extLst>
            </c:dLbl>
            <c:dLbl>
              <c:idx val="20"/>
              <c:tx>
                <c:rich>
                  <a:bodyPr/>
                  <a:lstStyle/>
                  <a:p>
                    <a:r>
                      <a:rPr lang="en-US"/>
                      <a:t>HU</a:t>
                    </a:r>
                    <a:r>
                      <a:rPr lang="en-US" baseline="0"/>
                      <a:t>, </a:t>
                    </a:r>
                    <a:fld id="{946FA593-1D6D-467E-BEDF-96E7CF73B898}"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4-D472-41C6-9D27-972753712776}"/>
                </c:ext>
              </c:extLst>
            </c:dLbl>
            <c:dLbl>
              <c:idx val="21"/>
              <c:layout>
                <c:manualLayout>
                  <c:x val="-4.4370493621741546E-3"/>
                  <c:y val="2.0833333333333332E-2"/>
                </c:manualLayout>
              </c:layout>
              <c:tx>
                <c:rich>
                  <a:bodyPr/>
                  <a:lstStyle/>
                  <a:p>
                    <a:r>
                      <a:rPr lang="en-US" baseline="0"/>
                      <a:t>LV, </a:t>
                    </a:r>
                    <a:fld id="{440040C7-A348-402D-A8C4-782D9F0C61B6}"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5-D472-41C6-9D27-972753712776}"/>
                </c:ext>
              </c:extLst>
            </c:dLbl>
            <c:dLbl>
              <c:idx val="22"/>
              <c:layout>
                <c:manualLayout>
                  <c:x val="-4.4370493621741546E-3"/>
                  <c:y val="1.5625E-2"/>
                </c:manualLayout>
              </c:layout>
              <c:tx>
                <c:rich>
                  <a:bodyPr/>
                  <a:lstStyle/>
                  <a:p>
                    <a:r>
                      <a:rPr lang="en-US" baseline="0"/>
                      <a:t>RO, </a:t>
                    </a:r>
                    <a:fld id="{2FA423D1-9DBF-4A89-AEF9-3D743BF05D78}"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6-D472-41C6-9D27-972753712776}"/>
                </c:ext>
              </c:extLst>
            </c:dLbl>
            <c:dLbl>
              <c:idx val="23"/>
              <c:tx>
                <c:rich>
                  <a:bodyPr/>
                  <a:lstStyle/>
                  <a:p>
                    <a:r>
                      <a:rPr lang="en-US"/>
                      <a:t>BG</a:t>
                    </a:r>
                    <a:r>
                      <a:rPr lang="en-US" baseline="0"/>
                      <a:t>, </a:t>
                    </a:r>
                    <a:fld id="{703EC6D7-EF05-4FE6-BB3E-221D9E07CBD8}" type="YVALUE">
                      <a:rPr lang="en-US" baseline="0"/>
                      <a:pPr/>
                      <a:t>[Y VALUE]</a:t>
                    </a:fld>
                    <a:endParaRPr lang="en-US" baseline="0"/>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7-D472-41C6-9D27-9727537127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wer"/>
            <c:dispRSqr val="0"/>
            <c:dispEq val="0"/>
          </c:trendline>
          <c:xVal>
            <c:numRef>
              <c:f>Sheet1!$C$4:$C$27</c:f>
              <c:numCache>
                <c:formatCode>#,##0</c:formatCode>
                <c:ptCount val="24"/>
                <c:pt idx="0">
                  <c:v>83940</c:v>
                </c:pt>
                <c:pt idx="1">
                  <c:v>77430</c:v>
                </c:pt>
                <c:pt idx="2">
                  <c:v>72820</c:v>
                </c:pt>
                <c:pt idx="3">
                  <c:v>62820</c:v>
                </c:pt>
                <c:pt idx="4">
                  <c:v>51660</c:v>
                </c:pt>
                <c:pt idx="5">
                  <c:v>46250</c:v>
                </c:pt>
                <c:pt idx="6">
                  <c:v>43800</c:v>
                </c:pt>
                <c:pt idx="7">
                  <c:v>38340</c:v>
                </c:pt>
                <c:pt idx="8">
                  <c:v>37780</c:v>
                </c:pt>
                <c:pt idx="9">
                  <c:v>36860</c:v>
                </c:pt>
                <c:pt idx="10">
                  <c:v>35870</c:v>
                </c:pt>
                <c:pt idx="11">
                  <c:v>33180</c:v>
                </c:pt>
                <c:pt idx="12">
                  <c:v>24580</c:v>
                </c:pt>
                <c:pt idx="13">
                  <c:v>19290</c:v>
                </c:pt>
                <c:pt idx="14">
                  <c:v>18460</c:v>
                </c:pt>
                <c:pt idx="15">
                  <c:v>16300</c:v>
                </c:pt>
                <c:pt idx="16">
                  <c:v>16250</c:v>
                </c:pt>
                <c:pt idx="17">
                  <c:v>14970</c:v>
                </c:pt>
                <c:pt idx="18">
                  <c:v>14600</c:v>
                </c:pt>
                <c:pt idx="19">
                  <c:v>14540</c:v>
                </c:pt>
                <c:pt idx="20">
                  <c:v>14370</c:v>
                </c:pt>
                <c:pt idx="21">
                  <c:v>13320</c:v>
                </c:pt>
                <c:pt idx="22">
                  <c:v>10110</c:v>
                </c:pt>
                <c:pt idx="23">
                  <c:v>7250</c:v>
                </c:pt>
              </c:numCache>
            </c:numRef>
          </c:xVal>
          <c:yVal>
            <c:numRef>
              <c:f>Sheet1!$D$4:$D$27</c:f>
              <c:numCache>
                <c:formatCode>General</c:formatCode>
                <c:ptCount val="24"/>
                <c:pt idx="0">
                  <c:v>8.3000000000000007</c:v>
                </c:pt>
                <c:pt idx="1">
                  <c:v>10.1</c:v>
                </c:pt>
                <c:pt idx="2">
                  <c:v>10.4</c:v>
                </c:pt>
                <c:pt idx="3">
                  <c:v>5.6</c:v>
                </c:pt>
                <c:pt idx="4">
                  <c:v>9.6999999999999993</c:v>
                </c:pt>
                <c:pt idx="5">
                  <c:v>10.8</c:v>
                </c:pt>
                <c:pt idx="6">
                  <c:v>8.1999999999999993</c:v>
                </c:pt>
                <c:pt idx="7">
                  <c:v>6.6</c:v>
                </c:pt>
                <c:pt idx="8">
                  <c:v>10.8</c:v>
                </c:pt>
                <c:pt idx="9">
                  <c:v>16</c:v>
                </c:pt>
                <c:pt idx="10">
                  <c:v>8.8000000000000007</c:v>
                </c:pt>
                <c:pt idx="11">
                  <c:v>14.2</c:v>
                </c:pt>
                <c:pt idx="12">
                  <c:v>15.8</c:v>
                </c:pt>
                <c:pt idx="13">
                  <c:v>15.7</c:v>
                </c:pt>
                <c:pt idx="14">
                  <c:v>13.5</c:v>
                </c:pt>
                <c:pt idx="15">
                  <c:v>13.1</c:v>
                </c:pt>
                <c:pt idx="16">
                  <c:v>22.7</c:v>
                </c:pt>
                <c:pt idx="17">
                  <c:v>22.4</c:v>
                </c:pt>
                <c:pt idx="18">
                  <c:v>21.9</c:v>
                </c:pt>
                <c:pt idx="19">
                  <c:v>29.7</c:v>
                </c:pt>
                <c:pt idx="20">
                  <c:v>25.4</c:v>
                </c:pt>
                <c:pt idx="21">
                  <c:v>19.899999999999999</c:v>
                </c:pt>
                <c:pt idx="22">
                  <c:v>29</c:v>
                </c:pt>
                <c:pt idx="23">
                  <c:v>33.1</c:v>
                </c:pt>
              </c:numCache>
            </c:numRef>
          </c:yVal>
          <c:smooth val="0"/>
          <c:extLst>
            <c:ext xmlns:c15="http://schemas.microsoft.com/office/drawing/2012/chart" uri="{02D57815-91ED-43cb-92C2-25804820EDAC}">
              <c15:datalabelsRange>
                <c15:f>Sheet1!$B$4:$B$27</c15:f>
                <c15:dlblRangeCache>
                  <c:ptCount val="24"/>
                  <c:pt idx="0">
                    <c:v>Luksemburga</c:v>
                  </c:pt>
                  <c:pt idx="1">
                    <c:v>Īrija</c:v>
                  </c:pt>
                  <c:pt idx="2">
                    <c:v>Norvēģija</c:v>
                  </c:pt>
                  <c:pt idx="3">
                    <c:v>Šveice</c:v>
                  </c:pt>
                  <c:pt idx="4">
                    <c:v>Dānija</c:v>
                  </c:pt>
                  <c:pt idx="5">
                    <c:v>Zviedrija</c:v>
                  </c:pt>
                  <c:pt idx="6">
                    <c:v>Nīderlande</c:v>
                  </c:pt>
                  <c:pt idx="7">
                    <c:v>Austrija</c:v>
                  </c:pt>
                  <c:pt idx="8">
                    <c:v>Somija</c:v>
                  </c:pt>
                  <c:pt idx="9">
                    <c:v>Beļģija</c:v>
                  </c:pt>
                  <c:pt idx="10">
                    <c:v>Vācija</c:v>
                  </c:pt>
                  <c:pt idx="11">
                    <c:v>Francija</c:v>
                  </c:pt>
                  <c:pt idx="12">
                    <c:v>Spāinija</c:v>
                  </c:pt>
                  <c:pt idx="13">
                    <c:v>Portugāle</c:v>
                  </c:pt>
                  <c:pt idx="14">
                    <c:v>Čehija</c:v>
                  </c:pt>
                  <c:pt idx="15">
                    <c:v>Slovākija </c:v>
                  </c:pt>
                  <c:pt idx="16">
                    <c:v>Igaunija</c:v>
                  </c:pt>
                  <c:pt idx="17">
                    <c:v>Lietuva</c:v>
                  </c:pt>
                  <c:pt idx="18">
                    <c:v>Polija</c:v>
                  </c:pt>
                  <c:pt idx="19">
                    <c:v>Horvātija</c:v>
                  </c:pt>
                  <c:pt idx="20">
                    <c:v>Ungārija</c:v>
                  </c:pt>
                  <c:pt idx="21">
                    <c:v>Latvija</c:v>
                  </c:pt>
                  <c:pt idx="22">
                    <c:v>Rumānija</c:v>
                  </c:pt>
                  <c:pt idx="23">
                    <c:v>Bulgārija</c:v>
                  </c:pt>
                </c15:dlblRangeCache>
              </c15:datalabelsRange>
            </c:ext>
            <c:ext xmlns:c16="http://schemas.microsoft.com/office/drawing/2014/chart" uri="{C3380CC4-5D6E-409C-BE32-E72D297353CC}">
              <c16:uniqueId val="{00000018-D472-41C6-9D27-972753712776}"/>
            </c:ext>
          </c:extLst>
        </c:ser>
        <c:dLbls>
          <c:showLegendKey val="0"/>
          <c:showVal val="0"/>
          <c:showCatName val="0"/>
          <c:showSerName val="0"/>
          <c:showPercent val="0"/>
          <c:showBubbleSize val="0"/>
        </c:dLbls>
        <c:axId val="825862832"/>
        <c:axId val="825858912"/>
      </c:scatterChart>
      <c:valAx>
        <c:axId val="825862832"/>
        <c:scaling>
          <c:orientation val="minMax"/>
        </c:scaling>
        <c:delete val="0"/>
        <c:axPos val="b"/>
        <c:majorGridlines>
          <c:spPr>
            <a:ln w="9525" cap="flat" cmpd="sng" algn="ctr">
              <a:solidFill>
                <a:schemeClr val="bg1">
                  <a:lumMod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900">
                    <a:latin typeface="Times New Roman" panose="02020603050405020304" pitchFamily="18" charset="0"/>
                    <a:cs typeface="Times New Roman" panose="02020603050405020304" pitchFamily="18" charset="0"/>
                  </a:rPr>
                  <a:t>GDP per capita in 2022, EUR</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58912"/>
        <c:crosses val="autoZero"/>
        <c:crossBetween val="midCat"/>
      </c:valAx>
      <c:valAx>
        <c:axId val="825858912"/>
        <c:scaling>
          <c:orientation val="minMax"/>
        </c:scaling>
        <c:delete val="0"/>
        <c:axPos val="l"/>
        <c:majorGridlines>
          <c:spPr>
            <a:ln w="9525" cap="flat" cmpd="sng" algn="ctr">
              <a:solidFill>
                <a:schemeClr val="bg1">
                  <a:lumMod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900">
                    <a:latin typeface="Times New Roman" panose="02020603050405020304" pitchFamily="18" charset="0"/>
                    <a:cs typeface="Times New Roman" panose="02020603050405020304" pitchFamily="18" charset="0"/>
                  </a:rPr>
                  <a:t>Share of the shadow economy in 2022, % of GDP, F. Schneider data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2586283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93352029324454"/>
          <c:y val="3.653051078736437E-2"/>
          <c:w val="0.86355002552642823"/>
          <c:h val="0.80463783807476497"/>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5.413814124651895E-3"/>
                  <c:y val="-1.9200520441837281E-2"/>
                </c:manualLayout>
              </c:layout>
              <c:tx>
                <c:rich>
                  <a:bodyPr/>
                  <a:lstStyle/>
                  <a:p>
                    <a:r>
                      <a:rPr lang="en-US" baseline="0"/>
                      <a:t>HU; </a:t>
                    </a:r>
                    <a:fld id="{727D57B0-DB54-4C35-8838-FB6B90B53B61}"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0574-4145-B6AF-B7F2D24666B7}"/>
                </c:ext>
              </c:extLst>
            </c:dLbl>
            <c:dLbl>
              <c:idx val="1"/>
              <c:layout>
                <c:manualLayout>
                  <c:x val="-0.11235664970770032"/>
                  <c:y val="-2.5106273480520792E-2"/>
                </c:manualLayout>
              </c:layout>
              <c:tx>
                <c:rich>
                  <a:bodyPr/>
                  <a:lstStyle/>
                  <a:p>
                    <a:r>
                      <a:rPr lang="en-US" baseline="0"/>
                      <a:t>EE; </a:t>
                    </a:r>
                    <a:fld id="{29515139-A055-4B48-8A40-65082C854EF9}"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0574-4145-B6AF-B7F2D24666B7}"/>
                </c:ext>
              </c:extLst>
            </c:dLbl>
            <c:dLbl>
              <c:idx val="2"/>
              <c:layout>
                <c:manualLayout>
                  <c:x val="-2.7004217973794903E-2"/>
                  <c:y val="-4.8829870962259915E-2"/>
                </c:manualLayout>
              </c:layout>
              <c:tx>
                <c:rich>
                  <a:bodyPr/>
                  <a:lstStyle/>
                  <a:p>
                    <a:r>
                      <a:rPr lang="en-US" baseline="0"/>
                      <a:t>LT; </a:t>
                    </a:r>
                    <a:fld id="{AF98657C-FC04-4903-8BCF-550BA1852EFB}"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0574-4145-B6AF-B7F2D24666B7}"/>
                </c:ext>
              </c:extLst>
            </c:dLbl>
            <c:dLbl>
              <c:idx val="3"/>
              <c:layout>
                <c:manualLayout>
                  <c:x val="1.3502108986897476E-2"/>
                  <c:y val="-9.7659741924520233E-3"/>
                </c:manualLayout>
              </c:layout>
              <c:tx>
                <c:rich>
                  <a:bodyPr/>
                  <a:lstStyle/>
                  <a:p>
                    <a:r>
                      <a:rPr lang="en-US" baseline="0"/>
                      <a:t>SI; </a:t>
                    </a:r>
                    <a:fld id="{74B95050-618E-4148-A345-11E83B26BD04}"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0574-4145-B6AF-B7F2D24666B7}"/>
                </c:ext>
              </c:extLst>
            </c:dLbl>
            <c:dLbl>
              <c:idx val="4"/>
              <c:layout>
                <c:manualLayout>
                  <c:x val="-1.8902952581656446E-2"/>
                  <c:y val="2.4414935481129947E-2"/>
                </c:manualLayout>
              </c:layout>
              <c:tx>
                <c:rich>
                  <a:bodyPr/>
                  <a:lstStyle/>
                  <a:p>
                    <a:r>
                      <a:rPr lang="en-US" baseline="0"/>
                      <a:t>PL; </a:t>
                    </a:r>
                    <a:fld id="{BAE3BA13-09C2-4CE5-AB3D-AB8ED9C75B8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0574-4145-B6AF-B7F2D24666B7}"/>
                </c:ext>
              </c:extLst>
            </c:dLbl>
            <c:dLbl>
              <c:idx val="5"/>
              <c:layout>
                <c:manualLayout>
                  <c:x val="-0.10379469363641974"/>
                  <c:y val="-9.7658380937676904E-3"/>
                </c:manualLayout>
              </c:layout>
              <c:tx>
                <c:rich>
                  <a:bodyPr/>
                  <a:lstStyle/>
                  <a:p>
                    <a:r>
                      <a:rPr lang="en-US" sz="900" b="0" i="0" u="none" strike="noStrike" baseline="0"/>
                      <a:t>GR</a:t>
                    </a:r>
                    <a:r>
                      <a:rPr lang="en-US" baseline="0"/>
                      <a:t>; </a:t>
                    </a:r>
                    <a:fld id="{1DD3377A-0389-451A-9BEA-2D0513B3061B}"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0574-4145-B6AF-B7F2D24666B7}"/>
                </c:ext>
              </c:extLst>
            </c:dLbl>
            <c:dLbl>
              <c:idx val="6"/>
              <c:layout>
                <c:manualLayout>
                  <c:x val="-1.3502108986897476E-2"/>
                  <c:y val="2.4414935481129947E-2"/>
                </c:manualLayout>
              </c:layout>
              <c:tx>
                <c:rich>
                  <a:bodyPr/>
                  <a:lstStyle/>
                  <a:p>
                    <a:r>
                      <a:rPr lang="en-US" baseline="0"/>
                      <a:t>IT; </a:t>
                    </a:r>
                    <a:fld id="{CC93C5DD-2062-4BD8-880E-AC72E3FEBF59}"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0574-4145-B6AF-B7F2D24666B7}"/>
                </c:ext>
              </c:extLst>
            </c:dLbl>
            <c:dLbl>
              <c:idx val="7"/>
              <c:layout>
                <c:manualLayout>
                  <c:x val="-9.9186851363624345E-2"/>
                  <c:y val="3.8372497555452627E-2"/>
                </c:manualLayout>
              </c:layout>
              <c:tx>
                <c:rich>
                  <a:bodyPr/>
                  <a:lstStyle/>
                  <a:p>
                    <a:r>
                      <a:rPr lang="en-US" baseline="0"/>
                      <a:t>LV; </a:t>
                    </a:r>
                    <a:fld id="{CA4CE935-5576-4B23-9054-B8EDA8E0E182}"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0574-4145-B6AF-B7F2D24666B7}"/>
                </c:ext>
              </c:extLst>
            </c:dLbl>
            <c:dLbl>
              <c:idx val="8"/>
              <c:layout>
                <c:manualLayout>
                  <c:x val="2.7004217973794851E-3"/>
                  <c:y val="-3.4180909673581922E-2"/>
                </c:manualLayout>
              </c:layout>
              <c:tx>
                <c:rich>
                  <a:bodyPr/>
                  <a:lstStyle/>
                  <a:p>
                    <a:r>
                      <a:rPr lang="en-US" baseline="0"/>
                      <a:t>BE; </a:t>
                    </a:r>
                    <a:fld id="{00D3EF0C-9E50-405E-8E3F-F34E312B0462}"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0574-4145-B6AF-B7F2D24666B7}"/>
                </c:ext>
              </c:extLst>
            </c:dLbl>
            <c:dLbl>
              <c:idx val="9"/>
              <c:layout>
                <c:manualLayout>
                  <c:x val="-8.6413497516143578E-2"/>
                  <c:y val="-4.3946883866033903E-2"/>
                </c:manualLayout>
              </c:layout>
              <c:tx>
                <c:rich>
                  <a:bodyPr/>
                  <a:lstStyle/>
                  <a:p>
                    <a:r>
                      <a:rPr lang="en-US" baseline="0"/>
                      <a:t>ES; </a:t>
                    </a:r>
                    <a:fld id="{24609002-0E7F-4282-9351-1B4D6150DC03}"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0574-4145-B6AF-B7F2D24666B7}"/>
                </c:ext>
              </c:extLst>
            </c:dLbl>
            <c:dLbl>
              <c:idx val="10"/>
              <c:layout>
                <c:manualLayout>
                  <c:x val="-0.10616271790214353"/>
                  <c:y val="-4.7929729536075267E-17"/>
                </c:manualLayout>
              </c:layout>
              <c:tx>
                <c:rich>
                  <a:bodyPr/>
                  <a:lstStyle/>
                  <a:p>
                    <a:r>
                      <a:rPr lang="en-US" baseline="0"/>
                      <a:t>PT; </a:t>
                    </a:r>
                    <a:fld id="{1D2C9135-6CB5-4FDF-978E-B541DFDBDDC5}"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0574-4145-B6AF-B7F2D24666B7}"/>
                </c:ext>
              </c:extLst>
            </c:dLbl>
            <c:dLbl>
              <c:idx val="11"/>
              <c:layout>
                <c:manualLayout>
                  <c:x val="5.4008435947589702E-3"/>
                  <c:y val="-9.7659741924519781E-3"/>
                </c:manualLayout>
              </c:layout>
              <c:tx>
                <c:rich>
                  <a:bodyPr/>
                  <a:lstStyle/>
                  <a:p>
                    <a:r>
                      <a:rPr lang="en-US" baseline="0"/>
                      <a:t>FR; </a:t>
                    </a:r>
                    <a:fld id="{56F28153-96A5-4081-904D-0FCC6755089B}"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0574-4145-B6AF-B7F2D24666B7}"/>
                </c:ext>
              </c:extLst>
            </c:dLbl>
            <c:dLbl>
              <c:idx val="12"/>
              <c:layout>
                <c:manualLayout>
                  <c:x val="-8.1012653921385055E-3"/>
                  <c:y val="9.7659741924519781E-3"/>
                </c:manualLayout>
              </c:layout>
              <c:tx>
                <c:rich>
                  <a:bodyPr/>
                  <a:lstStyle/>
                  <a:p>
                    <a:r>
                      <a:rPr lang="en-US" baseline="0"/>
                      <a:t>CZ; </a:t>
                    </a:r>
                    <a:fld id="{07D3CF40-7CDA-42A9-A138-0E5076389E8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0574-4145-B6AF-B7F2D24666B7}"/>
                </c:ext>
              </c:extLst>
            </c:dLbl>
            <c:dLbl>
              <c:idx val="13"/>
              <c:layout>
                <c:manualLayout>
                  <c:x val="-9.6743525760287843E-2"/>
                  <c:y val="9.7658380937676904E-3"/>
                </c:manualLayout>
              </c:layout>
              <c:tx>
                <c:rich>
                  <a:bodyPr/>
                  <a:lstStyle/>
                  <a:p>
                    <a:r>
                      <a:rPr lang="en-US" baseline="0"/>
                      <a:t>SK; </a:t>
                    </a:r>
                    <a:fld id="{C541A012-B9BA-43B5-A8D4-4333FC28AFA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0574-4145-B6AF-B7F2D24666B7}"/>
                </c:ext>
              </c:extLst>
            </c:dLbl>
            <c:dLbl>
              <c:idx val="14"/>
              <c:layout>
                <c:manualLayout>
                  <c:x val="9.869236670164188E-3"/>
                  <c:y val="-4.39466831351963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AI; </a:t>
                    </a:r>
                    <a:fld id="{5E8E6DCD-0B01-4CC9-8E31-85F65CBFF94A}" type="YVALUE">
                      <a:rPr lang="en-US" baseline="0">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[Y VALUE]</a:t>
                    </a:fld>
                    <a:endParaRPr lang="en-US"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160178465933639"/>
                      <c:h val="5.356636302815089E-2"/>
                    </c:manualLayout>
                  </c15:layout>
                  <c15:dlblFieldTable/>
                  <c15:showDataLabelsRange val="1"/>
                </c:ext>
                <c:ext xmlns:c16="http://schemas.microsoft.com/office/drawing/2014/chart" uri="{C3380CC4-5D6E-409C-BE32-E72D297353CC}">
                  <c16:uniqueId val="{0000000E-0574-4145-B6AF-B7F2D24666B7}"/>
                </c:ext>
              </c:extLst>
            </c:dLbl>
            <c:dLbl>
              <c:idx val="15"/>
              <c:layout>
                <c:manualLayout>
                  <c:x val="-2.5621853259384011E-2"/>
                  <c:y val="-3.4872523287530238E-2"/>
                </c:manualLayout>
              </c:layout>
              <c:tx>
                <c:rich>
                  <a:bodyPr/>
                  <a:lstStyle/>
                  <a:p>
                    <a:r>
                      <a:rPr lang="en-US" baseline="0"/>
                      <a:t>SE; </a:t>
                    </a:r>
                    <a:fld id="{8B370AE5-2574-4F33-9D4B-73A688F7EF27}"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0574-4145-B6AF-B7F2D24666B7}"/>
                </c:ext>
              </c:extLst>
            </c:dLbl>
            <c:dLbl>
              <c:idx val="16"/>
              <c:layout>
                <c:manualLayout>
                  <c:x val="-0.10201567749160134"/>
                  <c:y val="-4.8829190468838452E-3"/>
                </c:manualLayout>
              </c:layout>
              <c:tx>
                <c:rich>
                  <a:bodyPr/>
                  <a:lstStyle/>
                  <a:p>
                    <a:r>
                      <a:rPr lang="en-US" baseline="0"/>
                      <a:t>FI; </a:t>
                    </a:r>
                    <a:fld id="{3A7BB117-2E17-48DD-ADB6-A0107D684CCC}"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0574-4145-B6AF-B7F2D24666B7}"/>
                </c:ext>
              </c:extLst>
            </c:dLbl>
            <c:dLbl>
              <c:idx val="17"/>
              <c:layout>
                <c:manualLayout>
                  <c:x val="3.5105483365933207E-2"/>
                  <c:y val="1.4648961288677967E-2"/>
                </c:manualLayout>
              </c:layout>
              <c:tx>
                <c:rich>
                  <a:bodyPr/>
                  <a:lstStyle/>
                  <a:p>
                    <a:r>
                      <a:rPr lang="en-US" baseline="0"/>
                      <a:t>NO; </a:t>
                    </a:r>
                    <a:fld id="{9804923E-2EE5-4127-8E92-DD066B64D5CE}"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0574-4145-B6AF-B7F2D24666B7}"/>
                </c:ext>
              </c:extLst>
            </c:dLbl>
            <c:dLbl>
              <c:idx val="18"/>
              <c:layout>
                <c:manualLayout>
                  <c:x val="-3.5105483365933304E-2"/>
                  <c:y val="2.4414935481129857E-2"/>
                </c:manualLayout>
              </c:layout>
              <c:tx>
                <c:rich>
                  <a:bodyPr/>
                  <a:lstStyle/>
                  <a:p>
                    <a:r>
                      <a:rPr lang="en-US" baseline="0"/>
                      <a:t>IE; </a:t>
                    </a:r>
                    <a:fld id="{78244810-ACD8-4239-AC64-2F93DBAAA3C5}"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0574-4145-B6AF-B7F2D24666B7}"/>
                </c:ext>
              </c:extLst>
            </c:dLbl>
            <c:dLbl>
              <c:idx val="19"/>
              <c:layout>
                <c:manualLayout>
                  <c:x val="-9.1149888458791475E-2"/>
                  <c:y val="2.5452112603571612E-2"/>
                </c:manualLayout>
              </c:layout>
              <c:tx>
                <c:rich>
                  <a:bodyPr/>
                  <a:lstStyle/>
                  <a:p>
                    <a:r>
                      <a:rPr lang="en-US" baseline="0"/>
                      <a:t>DK; </a:t>
                    </a:r>
                    <a:fld id="{2BD6968F-3237-4E1A-A66C-1EA83FE13778}"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0574-4145-B6AF-B7F2D24666B7}"/>
                </c:ext>
              </c:extLst>
            </c:dLbl>
            <c:dLbl>
              <c:idx val="20"/>
              <c:layout>
                <c:manualLayout>
                  <c:x val="-8.1012653921384552E-3"/>
                  <c:y val="3.9063896769807913E-2"/>
                </c:manualLayout>
              </c:layout>
              <c:tx>
                <c:rich>
                  <a:bodyPr/>
                  <a:lstStyle/>
                  <a:p>
                    <a:r>
                      <a:rPr lang="en-US" baseline="0"/>
                      <a:t>DE; </a:t>
                    </a:r>
                    <a:fld id="{FD3895C9-1BD4-4142-A527-F67C61E3E307}"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0574-4145-B6AF-B7F2D24666B7}"/>
                </c:ext>
              </c:extLst>
            </c:dLbl>
            <c:dLbl>
              <c:idx val="21"/>
              <c:tx>
                <c:rich>
                  <a:bodyPr/>
                  <a:lstStyle/>
                  <a:p>
                    <a:r>
                      <a:rPr lang="en-US"/>
                      <a:t>LU</a:t>
                    </a:r>
                    <a:r>
                      <a:rPr lang="en-US" baseline="0"/>
                      <a:t>; </a:t>
                    </a:r>
                    <a:fld id="{3B08B0D6-86B7-4887-852F-CA80CB5FF8B1}"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5-0574-4145-B6AF-B7F2D24666B7}"/>
                </c:ext>
              </c:extLst>
            </c:dLbl>
            <c:dLbl>
              <c:idx val="22"/>
              <c:layout>
                <c:manualLayout>
                  <c:x val="-7.5332904215640456E-2"/>
                  <c:y val="4.9175441305130976E-2"/>
                </c:manualLayout>
              </c:layout>
              <c:tx>
                <c:rich>
                  <a:bodyPr/>
                  <a:lstStyle/>
                  <a:p>
                    <a:r>
                      <a:rPr lang="en-US" baseline="0"/>
                      <a:t>NL; </a:t>
                    </a:r>
                    <a:fld id="{C62E2FBA-7C33-49BC-AC0D-011A7D475F77}"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0574-4145-B6AF-B7F2D24666B7}"/>
                </c:ext>
              </c:extLst>
            </c:dLbl>
            <c:dLbl>
              <c:idx val="23"/>
              <c:layout>
                <c:manualLayout>
                  <c:x val="-4.5907170555451245E-2"/>
                  <c:y val="4.8829870962259894E-2"/>
                </c:manualLayout>
              </c:layout>
              <c:tx>
                <c:rich>
                  <a:bodyPr/>
                  <a:lstStyle/>
                  <a:p>
                    <a:r>
                      <a:rPr lang="en-US" baseline="0"/>
                      <a:t>AT; </a:t>
                    </a:r>
                    <a:fld id="{1F40F71F-9424-43C7-91AF-5471694C8324}"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7-0574-4145-B6AF-B7F2D24666B7}"/>
                </c:ext>
              </c:extLst>
            </c:dLbl>
            <c:dLbl>
              <c:idx val="24"/>
              <c:layout>
                <c:manualLayout>
                  <c:x val="-5.4095601409979415E-3"/>
                  <c:y val="3.8621897703669687E-2"/>
                </c:manualLayout>
              </c:layout>
              <c:tx>
                <c:rich>
                  <a:bodyPr/>
                  <a:lstStyle/>
                  <a:p>
                    <a:r>
                      <a:rPr lang="en-US" baseline="0"/>
                      <a:t>CH; </a:t>
                    </a:r>
                    <a:fld id="{84B14B8A-1B1E-4647-8A08-63674080956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0574-4145-B6AF-B7F2D24666B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wer"/>
            <c:dispRSqr val="0"/>
            <c:dispEq val="0"/>
          </c:trendline>
          <c:xVal>
            <c:numRef>
              <c:f>Sheet1!$G$10:$G$40</c:f>
              <c:numCache>
                <c:formatCode>0.0</c:formatCode>
                <c:ptCount val="25"/>
                <c:pt idx="0">
                  <c:v>2.7112135176651302</c:v>
                </c:pt>
                <c:pt idx="1">
                  <c:v>2.8839082064888517</c:v>
                </c:pt>
                <c:pt idx="2">
                  <c:v>3.5167341618954522</c:v>
                </c:pt>
                <c:pt idx="3">
                  <c:v>3.469022017409114</c:v>
                </c:pt>
                <c:pt idx="4">
                  <c:v>3.1620350975189688</c:v>
                </c:pt>
                <c:pt idx="5">
                  <c:v>2.6735092864125121</c:v>
                </c:pt>
                <c:pt idx="6">
                  <c:v>3.9566168598426668</c:v>
                </c:pt>
                <c:pt idx="7">
                  <c:v>2.3486012195689616</c:v>
                </c:pt>
                <c:pt idx="8">
                  <c:v>4.6243541404831729</c:v>
                </c:pt>
                <c:pt idx="9">
                  <c:v>3.8027742866452545</c:v>
                </c:pt>
                <c:pt idx="10">
                  <c:v>3.2923707117255501</c:v>
                </c:pt>
                <c:pt idx="11">
                  <c:v>4.4411860540892798</c:v>
                </c:pt>
                <c:pt idx="12">
                  <c:v>3.2837592515011869</c:v>
                </c:pt>
                <c:pt idx="13">
                  <c:v>3.0479914350882091</c:v>
                </c:pt>
                <c:pt idx="14">
                  <c:v>4.9383233254201002</c:v>
                </c:pt>
                <c:pt idx="15">
                  <c:v>4.3771819578271192</c:v>
                </c:pt>
                <c:pt idx="16">
                  <c:v>4.1730670762928828</c:v>
                </c:pt>
                <c:pt idx="17">
                  <c:v>4.8221849834753066</c:v>
                </c:pt>
                <c:pt idx="18">
                  <c:v>4.2824558953591216</c:v>
                </c:pt>
                <c:pt idx="19">
                  <c:v>3.9021551924777729</c:v>
                </c:pt>
                <c:pt idx="20">
                  <c:v>5.2062095610482704</c:v>
                </c:pt>
                <c:pt idx="21">
                  <c:v>7.1845179909696046</c:v>
                </c:pt>
                <c:pt idx="22">
                  <c:v>4.2787320206675048</c:v>
                </c:pt>
                <c:pt idx="23">
                  <c:v>5.0898384769352507</c:v>
                </c:pt>
                <c:pt idx="24">
                  <c:v>10</c:v>
                </c:pt>
              </c:numCache>
            </c:numRef>
          </c:xVal>
          <c:yVal>
            <c:numRef>
              <c:f>Sheet1!$P$10:$P$41</c:f>
              <c:numCache>
                <c:formatCode>0.0</c:formatCode>
                <c:ptCount val="26"/>
                <c:pt idx="0">
                  <c:v>25.4</c:v>
                </c:pt>
                <c:pt idx="1">
                  <c:v>22.7</c:v>
                </c:pt>
                <c:pt idx="2">
                  <c:v>22.4</c:v>
                </c:pt>
                <c:pt idx="3">
                  <c:v>22.1</c:v>
                </c:pt>
                <c:pt idx="4">
                  <c:v>21.9</c:v>
                </c:pt>
                <c:pt idx="5">
                  <c:v>20.93</c:v>
                </c:pt>
                <c:pt idx="6">
                  <c:v>20.3</c:v>
                </c:pt>
                <c:pt idx="7">
                  <c:v>19.899999999999999</c:v>
                </c:pt>
                <c:pt idx="8">
                  <c:v>16</c:v>
                </c:pt>
                <c:pt idx="9">
                  <c:v>15.8</c:v>
                </c:pt>
                <c:pt idx="10">
                  <c:v>15.7</c:v>
                </c:pt>
                <c:pt idx="11">
                  <c:v>14.2</c:v>
                </c:pt>
                <c:pt idx="12">
                  <c:v>13.5</c:v>
                </c:pt>
                <c:pt idx="13">
                  <c:v>13.1</c:v>
                </c:pt>
                <c:pt idx="14">
                  <c:v>10.9</c:v>
                </c:pt>
                <c:pt idx="15">
                  <c:v>10.8</c:v>
                </c:pt>
                <c:pt idx="16">
                  <c:v>10.8</c:v>
                </c:pt>
                <c:pt idx="17">
                  <c:v>10.4</c:v>
                </c:pt>
                <c:pt idx="18">
                  <c:v>10.1</c:v>
                </c:pt>
                <c:pt idx="19">
                  <c:v>9.6999999999999993</c:v>
                </c:pt>
                <c:pt idx="20">
                  <c:v>8.8000000000000007</c:v>
                </c:pt>
                <c:pt idx="21">
                  <c:v>8.3000000000000007</c:v>
                </c:pt>
                <c:pt idx="22">
                  <c:v>8.1999999999999993</c:v>
                </c:pt>
                <c:pt idx="23">
                  <c:v>6.6</c:v>
                </c:pt>
                <c:pt idx="24">
                  <c:v>5.6</c:v>
                </c:pt>
              </c:numCache>
            </c:numRef>
          </c:yVal>
          <c:smooth val="0"/>
          <c:extLst>
            <c:ext xmlns:c15="http://schemas.microsoft.com/office/drawing/2012/chart" uri="{02D57815-91ED-43cb-92C2-25804820EDAC}">
              <c15:datalabelsRange>
                <c15:f>Sheet1!$C$10:$C$40</c15:f>
                <c15:dlblRangeCache>
                  <c:ptCount val="25"/>
                  <c:pt idx="0">
                    <c:v>Ungārija</c:v>
                  </c:pt>
                  <c:pt idx="1">
                    <c:v>Igaunija</c:v>
                  </c:pt>
                  <c:pt idx="2">
                    <c:v>Lietuva</c:v>
                  </c:pt>
                  <c:pt idx="3">
                    <c:v>Slovēnija</c:v>
                  </c:pt>
                  <c:pt idx="4">
                    <c:v>Polija</c:v>
                  </c:pt>
                  <c:pt idx="5">
                    <c:v>Grieķija</c:v>
                  </c:pt>
                  <c:pt idx="6">
                    <c:v>Itālija</c:v>
                  </c:pt>
                  <c:pt idx="7">
                    <c:v>Latvija</c:v>
                  </c:pt>
                  <c:pt idx="8">
                    <c:v>Beļģija</c:v>
                  </c:pt>
                  <c:pt idx="9">
                    <c:v>Spāinija</c:v>
                  </c:pt>
                  <c:pt idx="10">
                    <c:v>Portugāle</c:v>
                  </c:pt>
                  <c:pt idx="11">
                    <c:v>Francija</c:v>
                  </c:pt>
                  <c:pt idx="12">
                    <c:v>Čehija</c:v>
                  </c:pt>
                  <c:pt idx="13">
                    <c:v>Slovākija </c:v>
                  </c:pt>
                  <c:pt idx="14">
                    <c:v>Apvienotā Karaliste</c:v>
                  </c:pt>
                  <c:pt idx="15">
                    <c:v>Zviedrija</c:v>
                  </c:pt>
                  <c:pt idx="16">
                    <c:v>Somija</c:v>
                  </c:pt>
                  <c:pt idx="17">
                    <c:v>Norvēģija</c:v>
                  </c:pt>
                  <c:pt idx="18">
                    <c:v>Īrija</c:v>
                  </c:pt>
                  <c:pt idx="19">
                    <c:v>Dānija</c:v>
                  </c:pt>
                  <c:pt idx="20">
                    <c:v>Vācija</c:v>
                  </c:pt>
                  <c:pt idx="21">
                    <c:v>Lukemburga</c:v>
                  </c:pt>
                  <c:pt idx="22">
                    <c:v>Nīderlande</c:v>
                  </c:pt>
                  <c:pt idx="23">
                    <c:v>Austrija</c:v>
                  </c:pt>
                  <c:pt idx="24">
                    <c:v>Šveice</c:v>
                  </c:pt>
                </c15:dlblRangeCache>
              </c15:datalabelsRange>
            </c:ext>
            <c:ext xmlns:c16="http://schemas.microsoft.com/office/drawing/2014/chart" uri="{C3380CC4-5D6E-409C-BE32-E72D297353CC}">
              <c16:uniqueId val="{00000019-0574-4145-B6AF-B7F2D24666B7}"/>
            </c:ext>
          </c:extLst>
        </c:ser>
        <c:dLbls>
          <c:showLegendKey val="0"/>
          <c:showVal val="0"/>
          <c:showCatName val="0"/>
          <c:showSerName val="0"/>
          <c:showPercent val="0"/>
          <c:showBubbleSize val="0"/>
        </c:dLbls>
        <c:axId val="825857736"/>
        <c:axId val="825861264"/>
      </c:scatterChart>
      <c:valAx>
        <c:axId val="825857736"/>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900" i="1">
                    <a:latin typeface="Times New Roman" panose="02020603050405020304" pitchFamily="18" charset="0"/>
                    <a:cs typeface="Times New Roman" panose="02020603050405020304" pitchFamily="18" charset="0"/>
                  </a:rPr>
                  <a:t>Satisfaction rating (0 to 10 rating scale)</a:t>
                </a:r>
              </a:p>
            </c:rich>
          </c:tx>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5861264"/>
        <c:crosses val="autoZero"/>
        <c:crossBetween val="midCat"/>
      </c:valAx>
      <c:valAx>
        <c:axId val="82586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900" b="0">
                    <a:latin typeface="Times New Roman" panose="02020603050405020304" pitchFamily="18" charset="0"/>
                    <a:cs typeface="Times New Roman" panose="02020603050405020304" pitchFamily="18" charset="0"/>
                  </a:rPr>
                  <a:t>Share of the shadow economy, % of GDP, F. Schneider data</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825857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6920384951881"/>
          <c:y val="4.6296296296296294E-2"/>
          <c:w val="0.8303079615048119"/>
          <c:h val="0.81389690871974341"/>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fld id="{73F7C6CD-D499-4BC5-AB21-B7EEB2192CAC}" type="CELLRANGE">
                      <a:rPr lang="en-US" baseline="0"/>
                      <a:pPr/>
                      <a:t>[CELLRANGE]</a:t>
                    </a:fld>
                    <a:r>
                      <a:rPr lang="en-US" baseline="0"/>
                      <a:t>; </a:t>
                    </a:r>
                    <a:fld id="{C5130380-97C8-42AB-A87F-0AF9B6CD45E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803-43C7-8D06-88927B8981FD}"/>
                </c:ext>
              </c:extLst>
            </c:dLbl>
            <c:dLbl>
              <c:idx val="1"/>
              <c:tx>
                <c:rich>
                  <a:bodyPr/>
                  <a:lstStyle/>
                  <a:p>
                    <a:fld id="{0DE04E8E-7796-47EA-AAB0-18D1BDDFD798}" type="CELLRANGE">
                      <a:rPr lang="lv-LV"/>
                      <a:pPr/>
                      <a:t>[CELLRANGE]</a:t>
                    </a:fld>
                    <a:r>
                      <a:rPr lang="lv-LV" baseline="0"/>
                      <a:t>; </a:t>
                    </a:r>
                    <a:fld id="{349C77E3-3697-430C-9E0A-12A1332D3E84}"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803-43C7-8D06-88927B8981FD}"/>
                </c:ext>
              </c:extLst>
            </c:dLbl>
            <c:dLbl>
              <c:idx val="2"/>
              <c:tx>
                <c:rich>
                  <a:bodyPr/>
                  <a:lstStyle/>
                  <a:p>
                    <a:fld id="{7493047D-DA35-461A-92FD-5E31F635C837}" type="CELLRANGE">
                      <a:rPr lang="lv-LV"/>
                      <a:pPr/>
                      <a:t>[CELLRANGE]</a:t>
                    </a:fld>
                    <a:r>
                      <a:rPr lang="lv-LV" baseline="0"/>
                      <a:t>; </a:t>
                    </a:r>
                    <a:fld id="{A988CECB-E262-4EF2-BAF5-C7815BFECE59}"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803-43C7-8D06-88927B8981FD}"/>
                </c:ext>
              </c:extLst>
            </c:dLbl>
            <c:dLbl>
              <c:idx val="3"/>
              <c:tx>
                <c:rich>
                  <a:bodyPr/>
                  <a:lstStyle/>
                  <a:p>
                    <a:fld id="{591E320A-EF38-4CDF-BDC7-B46EEC08E76E}" type="CELLRANGE">
                      <a:rPr lang="lv-LV"/>
                      <a:pPr/>
                      <a:t>[CELLRANGE]</a:t>
                    </a:fld>
                    <a:r>
                      <a:rPr lang="lv-LV" baseline="0"/>
                      <a:t>; </a:t>
                    </a:r>
                    <a:fld id="{38FEF99D-EDEC-4D06-AEAB-63A173F2EC1E}"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803-43C7-8D06-88927B8981FD}"/>
                </c:ext>
              </c:extLst>
            </c:dLbl>
            <c:dLbl>
              <c:idx val="4"/>
              <c:layout>
                <c:manualLayout>
                  <c:x val="-8.3333333333332309E-3"/>
                  <c:y val="3.2407407407407406E-2"/>
                </c:manualLayout>
              </c:layout>
              <c:tx>
                <c:rich>
                  <a:bodyPr/>
                  <a:lstStyle/>
                  <a:p>
                    <a:fld id="{8F9D34C7-789F-4684-B475-7F9C6B36DA9E}" type="CELLRANGE">
                      <a:rPr lang="en-US" baseline="0"/>
                      <a:pPr/>
                      <a:t>[CELLRANGE]</a:t>
                    </a:fld>
                    <a:r>
                      <a:rPr lang="en-US" baseline="0"/>
                      <a:t>; </a:t>
                    </a:r>
                    <a:fld id="{AFD477E0-8B82-4263-BFE8-427727BF1BDB}"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5803-43C7-8D06-88927B8981FD}"/>
                </c:ext>
              </c:extLst>
            </c:dLbl>
            <c:dLbl>
              <c:idx val="5"/>
              <c:layout>
                <c:manualLayout>
                  <c:x val="-4.1666666666666664E-2"/>
                  <c:y val="4.629629629629621E-2"/>
                </c:manualLayout>
              </c:layout>
              <c:tx>
                <c:rich>
                  <a:bodyPr/>
                  <a:lstStyle/>
                  <a:p>
                    <a:fld id="{653EACD2-9EBE-4F39-92E8-A15DFC6DDF85}" type="CELLRANGE">
                      <a:rPr lang="en-US" baseline="0"/>
                      <a:pPr/>
                      <a:t>[CELLRANGE]</a:t>
                    </a:fld>
                    <a:r>
                      <a:rPr lang="en-US" baseline="0"/>
                      <a:t>; </a:t>
                    </a:r>
                    <a:fld id="{876C8C3C-D29B-4F29-999C-F0890DF51AD2}"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5803-43C7-8D06-88927B8981FD}"/>
                </c:ext>
              </c:extLst>
            </c:dLbl>
            <c:dLbl>
              <c:idx val="6"/>
              <c:layout>
                <c:manualLayout>
                  <c:x val="-8.3333333333333332E-3"/>
                  <c:y val="-2.7777777777777776E-2"/>
                </c:manualLayout>
              </c:layout>
              <c:tx>
                <c:rich>
                  <a:bodyPr/>
                  <a:lstStyle/>
                  <a:p>
                    <a:fld id="{A33A55D3-DF12-4DBE-BA56-895B73FCF5F8}" type="CELLRANGE">
                      <a:rPr lang="en-US" baseline="0"/>
                      <a:pPr/>
                      <a:t>[CELLRANGE]</a:t>
                    </a:fld>
                    <a:r>
                      <a:rPr lang="en-US" baseline="0"/>
                      <a:t>; </a:t>
                    </a:r>
                    <a:fld id="{67867299-F287-464C-85E0-D6A3D5960ED0}"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5803-43C7-8D06-88927B8981FD}"/>
                </c:ext>
              </c:extLst>
            </c:dLbl>
            <c:dLbl>
              <c:idx val="7"/>
              <c:layout>
                <c:manualLayout>
                  <c:x val="-2.7777777777777776E-2"/>
                  <c:y val="-4.6296296296296384E-2"/>
                </c:manualLayout>
              </c:layout>
              <c:tx>
                <c:rich>
                  <a:bodyPr/>
                  <a:lstStyle/>
                  <a:p>
                    <a:fld id="{88A1FC51-050C-4FDB-95FB-A75447E7FC45}" type="CELLRANGE">
                      <a:rPr lang="en-US" baseline="0"/>
                      <a:pPr/>
                      <a:t>[CELLRANGE]</a:t>
                    </a:fld>
                    <a:r>
                      <a:rPr lang="en-US" baseline="0"/>
                      <a:t>; </a:t>
                    </a:r>
                    <a:fld id="{BC47A97A-E559-435D-83F3-16AD1449EA41}"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5803-43C7-8D06-88927B8981FD}"/>
                </c:ext>
              </c:extLst>
            </c:dLbl>
            <c:dLbl>
              <c:idx val="8"/>
              <c:tx>
                <c:rich>
                  <a:bodyPr/>
                  <a:lstStyle/>
                  <a:p>
                    <a:fld id="{130424F6-7556-4395-9E14-70344CB23334}" type="CELLRANGE">
                      <a:rPr lang="lv-LV"/>
                      <a:pPr/>
                      <a:t>[CELLRANGE]</a:t>
                    </a:fld>
                    <a:r>
                      <a:rPr lang="lv-LV" baseline="0"/>
                      <a:t>; </a:t>
                    </a:r>
                    <a:fld id="{56A0A59B-635B-4EBE-86F8-B678EA47E39C}"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803-43C7-8D06-88927B8981FD}"/>
                </c:ext>
              </c:extLst>
            </c:dLbl>
            <c:dLbl>
              <c:idx val="9"/>
              <c:layout>
                <c:manualLayout>
                  <c:x val="-1.0185067526415994E-16"/>
                  <c:y val="1.3888888888888805E-2"/>
                </c:manualLayout>
              </c:layout>
              <c:tx>
                <c:rich>
                  <a:bodyPr/>
                  <a:lstStyle/>
                  <a:p>
                    <a:fld id="{A8EDC5CF-48B4-4E4B-856E-9109C48914D6}" type="CELLRANGE">
                      <a:rPr lang="en-US" baseline="0"/>
                      <a:pPr/>
                      <a:t>[CELLRANGE]</a:t>
                    </a:fld>
                    <a:r>
                      <a:rPr lang="en-US" baseline="0"/>
                      <a:t>; </a:t>
                    </a:r>
                    <a:fld id="{6657C18E-AF08-43E8-A847-61DC6BC6437A}"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5803-43C7-8D06-88927B8981FD}"/>
                </c:ext>
              </c:extLst>
            </c:dLbl>
            <c:dLbl>
              <c:idx val="10"/>
              <c:layout>
                <c:manualLayout>
                  <c:x val="-8.3333333333333332E-3"/>
                  <c:y val="-4.6296296296296294E-3"/>
                </c:manualLayout>
              </c:layout>
              <c:tx>
                <c:rich>
                  <a:bodyPr/>
                  <a:lstStyle/>
                  <a:p>
                    <a:fld id="{F27026D3-E9AE-4838-BBA8-DA2B2D3DD6A0}" type="CELLRANGE">
                      <a:rPr lang="en-US" baseline="0"/>
                      <a:pPr/>
                      <a:t>[CELLRANGE]</a:t>
                    </a:fld>
                    <a:r>
                      <a:rPr lang="en-US" baseline="0"/>
                      <a:t>; </a:t>
                    </a:r>
                    <a:fld id="{287BA743-E716-46BB-B5D1-C32BCA9BA8D3}"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5803-43C7-8D06-88927B8981FD}"/>
                </c:ext>
              </c:extLst>
            </c:dLbl>
            <c:dLbl>
              <c:idx val="11"/>
              <c:layout>
                <c:manualLayout>
                  <c:x val="-2.7777777777777779E-3"/>
                  <c:y val="2.7777777777777776E-2"/>
                </c:manualLayout>
              </c:layout>
              <c:tx>
                <c:rich>
                  <a:bodyPr/>
                  <a:lstStyle/>
                  <a:p>
                    <a:fld id="{7DFB71CE-D5CE-4C43-B29F-B0F0A76F46FB}" type="CELLRANGE">
                      <a:rPr lang="en-US" baseline="0"/>
                      <a:pPr/>
                      <a:t>[CELLRANGE]</a:t>
                    </a:fld>
                    <a:r>
                      <a:rPr lang="en-US" baseline="0"/>
                      <a:t>; </a:t>
                    </a:r>
                    <a:fld id="{635FDE5F-930E-437B-B9D5-26B52D04717B}"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5803-43C7-8D06-88927B8981FD}"/>
                </c:ext>
              </c:extLst>
            </c:dLbl>
            <c:dLbl>
              <c:idx val="12"/>
              <c:tx>
                <c:rich>
                  <a:bodyPr/>
                  <a:lstStyle/>
                  <a:p>
                    <a:fld id="{F9503515-5930-4214-8510-20091BFC58BE}" type="CELLRANGE">
                      <a:rPr lang="lv-LV"/>
                      <a:pPr/>
                      <a:t>[CELLRANGE]</a:t>
                    </a:fld>
                    <a:r>
                      <a:rPr lang="lv-LV" baseline="0"/>
                      <a:t>; </a:t>
                    </a:r>
                    <a:fld id="{0AAF96F0-04CA-4AA1-A915-0236B683D5A3}"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803-43C7-8D06-88927B8981FD}"/>
                </c:ext>
              </c:extLst>
            </c:dLbl>
            <c:dLbl>
              <c:idx val="13"/>
              <c:tx>
                <c:rich>
                  <a:bodyPr/>
                  <a:lstStyle/>
                  <a:p>
                    <a:fld id="{9401B931-D8FA-4BEC-84F7-E434710563AC}" type="CELLRANGE">
                      <a:rPr lang="lv-LV"/>
                      <a:pPr/>
                      <a:t>[CELLRANGE]</a:t>
                    </a:fld>
                    <a:r>
                      <a:rPr lang="lv-LV" baseline="0"/>
                      <a:t>; </a:t>
                    </a:r>
                    <a:fld id="{932590DC-802A-415F-B9CE-3E4691BC4FD3}"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803-43C7-8D06-88927B8981FD}"/>
                </c:ext>
              </c:extLst>
            </c:dLbl>
            <c:dLbl>
              <c:idx val="14"/>
              <c:layout>
                <c:manualLayout>
                  <c:x val="-3.3333333333333333E-2"/>
                  <c:y val="3.7037037037036993E-2"/>
                </c:manualLayout>
              </c:layout>
              <c:tx>
                <c:rich>
                  <a:bodyPr/>
                  <a:lstStyle/>
                  <a:p>
                    <a:fld id="{BF9DB27B-CFF9-43C5-9A03-B351A41B25FC}" type="CELLRANGE">
                      <a:rPr lang="en-US" baseline="0"/>
                      <a:pPr/>
                      <a:t>[CELLRANGE]</a:t>
                    </a:fld>
                    <a:r>
                      <a:rPr lang="en-US" baseline="0"/>
                      <a:t>; </a:t>
                    </a:r>
                    <a:fld id="{973ED310-1367-4242-9CBE-2C7ED2BA9577}"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5803-43C7-8D06-88927B8981FD}"/>
                </c:ext>
              </c:extLst>
            </c:dLbl>
            <c:dLbl>
              <c:idx val="15"/>
              <c:layout>
                <c:manualLayout>
                  <c:x val="8.3333333333333332E-3"/>
                  <c:y val="2.3148148148148147E-2"/>
                </c:manualLayout>
              </c:layout>
              <c:tx>
                <c:rich>
                  <a:bodyPr/>
                  <a:lstStyle/>
                  <a:p>
                    <a:fld id="{9EEB96AE-FB2C-4EDB-8E1F-12206AB4ECD9}" type="CELLRANGE">
                      <a:rPr lang="en-US" baseline="0"/>
                      <a:pPr/>
                      <a:t>[CELLRANGE]</a:t>
                    </a:fld>
                    <a:r>
                      <a:rPr lang="en-US" baseline="0"/>
                      <a:t>; </a:t>
                    </a:r>
                    <a:fld id="{3ADA96A1-1DED-4B69-AE00-8AAF11ED4AF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5803-43C7-8D06-88927B8981FD}"/>
                </c:ext>
              </c:extLst>
            </c:dLbl>
            <c:dLbl>
              <c:idx val="16"/>
              <c:tx>
                <c:rich>
                  <a:bodyPr/>
                  <a:lstStyle/>
                  <a:p>
                    <a:fld id="{8053884E-5C5A-4F73-8B62-081A4FC12A4D}" type="CELLRANGE">
                      <a:rPr lang="lv-LV"/>
                      <a:pPr/>
                      <a:t>[CELLRANGE]</a:t>
                    </a:fld>
                    <a:r>
                      <a:rPr lang="lv-LV" baseline="0"/>
                      <a:t>; </a:t>
                    </a:r>
                    <a:fld id="{7B0F411B-7297-4C26-AD15-8DC8018D924D}"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803-43C7-8D06-88927B8981FD}"/>
                </c:ext>
              </c:extLst>
            </c:dLbl>
            <c:dLbl>
              <c:idx val="17"/>
              <c:tx>
                <c:rich>
                  <a:bodyPr/>
                  <a:lstStyle/>
                  <a:p>
                    <a:fld id="{C3353574-F223-4850-854D-053C1A3546E2}" type="CELLRANGE">
                      <a:rPr lang="lv-LV"/>
                      <a:pPr/>
                      <a:t>[CELLRANGE]</a:t>
                    </a:fld>
                    <a:r>
                      <a:rPr lang="lv-LV" baseline="0"/>
                      <a:t>; </a:t>
                    </a:r>
                    <a:fld id="{4F1A827B-F84A-4DD9-A5DC-5791496224B4}"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803-43C7-8D06-88927B8981FD}"/>
                </c:ext>
              </c:extLst>
            </c:dLbl>
            <c:dLbl>
              <c:idx val="18"/>
              <c:layout>
                <c:manualLayout>
                  <c:x val="0"/>
                  <c:y val="4.6296296296296294E-3"/>
                </c:manualLayout>
              </c:layout>
              <c:tx>
                <c:rich>
                  <a:bodyPr/>
                  <a:lstStyle/>
                  <a:p>
                    <a:fld id="{804DACA2-D3F1-4541-AAAC-F2B5F9891452}" type="CELLRANGE">
                      <a:rPr lang="en-US" baseline="0"/>
                      <a:pPr/>
                      <a:t>[CELLRANGE]</a:t>
                    </a:fld>
                    <a:r>
                      <a:rPr lang="en-US" baseline="0"/>
                      <a:t>; </a:t>
                    </a:r>
                    <a:fld id="{AD600000-252C-4DD8-837D-E4EAEAC7622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5803-43C7-8D06-88927B8981FD}"/>
                </c:ext>
              </c:extLst>
            </c:dLbl>
            <c:dLbl>
              <c:idx val="19"/>
              <c:tx>
                <c:rich>
                  <a:bodyPr/>
                  <a:lstStyle/>
                  <a:p>
                    <a:fld id="{D7F73973-B34D-4C4A-BA73-B3B82B774FEE}" type="CELLRANGE">
                      <a:rPr lang="lv-LV"/>
                      <a:pPr/>
                      <a:t>[CELLRANGE]</a:t>
                    </a:fld>
                    <a:r>
                      <a:rPr lang="lv-LV" baseline="0"/>
                      <a:t>; </a:t>
                    </a:r>
                    <a:fld id="{99E7CF59-752B-4560-B930-20E5057E9E26}"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5803-43C7-8D06-88927B8981FD}"/>
                </c:ext>
              </c:extLst>
            </c:dLbl>
            <c:dLbl>
              <c:idx val="20"/>
              <c:tx>
                <c:rich>
                  <a:bodyPr/>
                  <a:lstStyle/>
                  <a:p>
                    <a:fld id="{19F2E450-DF13-4419-AD87-650E57E8E688}" type="CELLRANGE">
                      <a:rPr lang="lv-LV"/>
                      <a:pPr/>
                      <a:t>[CELLRANGE]</a:t>
                    </a:fld>
                    <a:r>
                      <a:rPr lang="lv-LV" baseline="0"/>
                      <a:t>; </a:t>
                    </a:r>
                    <a:fld id="{16EFD946-127D-48EA-995E-DE34CE229E7C}"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803-43C7-8D06-88927B8981FD}"/>
                </c:ext>
              </c:extLst>
            </c:dLbl>
            <c:dLbl>
              <c:idx val="21"/>
              <c:layout>
                <c:manualLayout>
                  <c:x val="-0.11805555555555555"/>
                  <c:y val="6.944444444444402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D75B3447-9DE3-4A1E-9F90-9226A9D10A64}" type="CELLRANGE">
                      <a:rPr lang="en-US" baseline="0">
                        <a:solidFill>
                          <a:schemeClr val="tx1"/>
                        </a:solidFill>
                        <a:latin typeface="Times New Roman" panose="02020603050405020304" pitchFamily="18" charset="0"/>
                        <a:cs typeface="Times New Roman" panose="02020603050405020304" pitchFamily="18" charset="0"/>
                      </a:rPr>
                      <a:pPr>
                        <a:defRPr>
                          <a:solidFill>
                            <a:schemeClr val="tx1"/>
                          </a:solidFill>
                          <a:latin typeface="Times New Roman" panose="02020603050405020304" pitchFamily="18" charset="0"/>
                          <a:cs typeface="Times New Roman" panose="02020603050405020304" pitchFamily="18" charset="0"/>
                        </a:defRPr>
                      </a:pPr>
                      <a:t>[CELLRANGE]</a:t>
                    </a:fld>
                    <a:r>
                      <a:rPr lang="en-US" baseline="0">
                        <a:solidFill>
                          <a:schemeClr val="tx1"/>
                        </a:solidFill>
                        <a:latin typeface="Times New Roman" panose="02020603050405020304" pitchFamily="18" charset="0"/>
                        <a:cs typeface="Times New Roman" panose="02020603050405020304" pitchFamily="18" charset="0"/>
                      </a:rPr>
                      <a:t>; </a:t>
                    </a:r>
                    <a:fld id="{CC6167D3-7A87-4FEF-A2D8-A19228856D86}" type="YVALUE">
                      <a:rPr lang="en-US" baseline="0">
                        <a:solidFill>
                          <a:schemeClr val="tx1"/>
                        </a:solidFill>
                        <a:latin typeface="Times New Roman" panose="02020603050405020304" pitchFamily="18" charset="0"/>
                        <a:cs typeface="Times New Roman" panose="02020603050405020304" pitchFamily="18" charset="0"/>
                      </a:rPr>
                      <a:pPr>
                        <a:defRPr>
                          <a:solidFill>
                            <a:schemeClr val="tx1"/>
                          </a:solidFill>
                          <a:latin typeface="Times New Roman" panose="02020603050405020304" pitchFamily="18" charset="0"/>
                          <a:cs typeface="Times New Roman" panose="02020603050405020304" pitchFamily="18" charset="0"/>
                        </a:defRPr>
                      </a:pPr>
                      <a:t>[Y VALUE]</a:t>
                    </a:fld>
                    <a:endParaRPr lang="en-US" baseline="0">
                      <a:solidFill>
                        <a:schemeClr val="tx1"/>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9236001749781274E-2"/>
                      <c:h val="6.0115923009623796E-2"/>
                    </c:manualLayout>
                  </c15:layout>
                  <c15:dlblFieldTable/>
                  <c15:showDataLabelsRange val="1"/>
                </c:ext>
                <c:ext xmlns:c16="http://schemas.microsoft.com/office/drawing/2014/chart" uri="{C3380CC4-5D6E-409C-BE32-E72D297353CC}">
                  <c16:uniqueId val="{00000015-5803-43C7-8D06-88927B8981FD}"/>
                </c:ext>
              </c:extLst>
            </c:dLbl>
            <c:dLbl>
              <c:idx val="22"/>
              <c:layout>
                <c:manualLayout>
                  <c:x val="-4.1666666666666664E-2"/>
                  <c:y val="-3.7037037037037077E-2"/>
                </c:manualLayout>
              </c:layout>
              <c:tx>
                <c:rich>
                  <a:bodyPr/>
                  <a:lstStyle/>
                  <a:p>
                    <a:fld id="{20E69825-52CB-427B-83B0-24BD8F07CB0B}" type="CELLRANGE">
                      <a:rPr lang="en-US" baseline="0"/>
                      <a:pPr/>
                      <a:t>[CELLRANGE]</a:t>
                    </a:fld>
                    <a:r>
                      <a:rPr lang="en-US" baseline="0"/>
                      <a:t>; </a:t>
                    </a:r>
                    <a:fld id="{29B0E5DC-ED63-4D82-9B4E-A916D2F045C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6-5803-43C7-8D06-88927B8981FD}"/>
                </c:ext>
              </c:extLst>
            </c:dLbl>
            <c:dLbl>
              <c:idx val="23"/>
              <c:tx>
                <c:rich>
                  <a:bodyPr/>
                  <a:lstStyle/>
                  <a:p>
                    <a:fld id="{FC87C2C5-1C83-4F8F-AD86-864FE163F633}" type="CELLRANGE">
                      <a:rPr lang="lv-LV"/>
                      <a:pPr/>
                      <a:t>[CELLRANGE]</a:t>
                    </a:fld>
                    <a:r>
                      <a:rPr lang="lv-LV" baseline="0"/>
                      <a:t>; </a:t>
                    </a:r>
                    <a:fld id="{190FAAEE-A98D-4254-B925-60E8D91CC41C}" type="YVALUE">
                      <a:rPr lang="lv-LV" baseline="0"/>
                      <a:pPr/>
                      <a:t>[Y VALUE]</a:t>
                    </a:fld>
                    <a:endParaRPr lang="lv-LV" baseline="0"/>
                  </a:p>
                </c:rich>
              </c:tx>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803-43C7-8D06-88927B8981FD}"/>
                </c:ext>
              </c:extLst>
            </c:dLbl>
            <c:dLbl>
              <c:idx val="24"/>
              <c:layout>
                <c:manualLayout>
                  <c:x val="-9.7048209573258382E-2"/>
                  <c:y val="4.6296296296296294E-3"/>
                </c:manualLayout>
              </c:layout>
              <c:tx>
                <c:rich>
                  <a:bodyPr/>
                  <a:lstStyle/>
                  <a:p>
                    <a:fld id="{B0F2B6F1-FDD2-475D-A3A8-8F2733077A28}" type="CELLRANGE">
                      <a:rPr lang="en-US" baseline="0"/>
                      <a:pPr/>
                      <a:t>[CELLRANGE]</a:t>
                    </a:fld>
                    <a:r>
                      <a:rPr lang="en-US" baseline="0"/>
                      <a:t>; </a:t>
                    </a:r>
                    <a:fld id="{A796A8F9-4A25-451B-821A-CF1A733DEEB6}" type="YVALUE">
                      <a:rPr lang="en-US" baseline="0"/>
                      <a:pPr/>
                      <a:t>[Y VALUE]</a:t>
                    </a:fld>
                    <a:endParaRPr lang="en-US" baseline="0"/>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5803-43C7-8D06-88927B8981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xVal>
            <c:numRef>
              <c:f>Sheet1!$P$10:$P$40</c:f>
              <c:numCache>
                <c:formatCode>0.0</c:formatCode>
                <c:ptCount val="25"/>
                <c:pt idx="0">
                  <c:v>25.4</c:v>
                </c:pt>
                <c:pt idx="1">
                  <c:v>22.7</c:v>
                </c:pt>
                <c:pt idx="2">
                  <c:v>22.4</c:v>
                </c:pt>
                <c:pt idx="3">
                  <c:v>22.1</c:v>
                </c:pt>
                <c:pt idx="4">
                  <c:v>21.9</c:v>
                </c:pt>
                <c:pt idx="5">
                  <c:v>20.93</c:v>
                </c:pt>
                <c:pt idx="6">
                  <c:v>20.3</c:v>
                </c:pt>
                <c:pt idx="7">
                  <c:v>19.899999999999999</c:v>
                </c:pt>
                <c:pt idx="8">
                  <c:v>16</c:v>
                </c:pt>
                <c:pt idx="9">
                  <c:v>15.8</c:v>
                </c:pt>
                <c:pt idx="10">
                  <c:v>15.7</c:v>
                </c:pt>
                <c:pt idx="11">
                  <c:v>14.2</c:v>
                </c:pt>
                <c:pt idx="12">
                  <c:v>13.5</c:v>
                </c:pt>
                <c:pt idx="13">
                  <c:v>13.1</c:v>
                </c:pt>
                <c:pt idx="14">
                  <c:v>10.9</c:v>
                </c:pt>
                <c:pt idx="15">
                  <c:v>10.8</c:v>
                </c:pt>
                <c:pt idx="16">
                  <c:v>10.8</c:v>
                </c:pt>
                <c:pt idx="17">
                  <c:v>10.4</c:v>
                </c:pt>
                <c:pt idx="18">
                  <c:v>10.1</c:v>
                </c:pt>
                <c:pt idx="19">
                  <c:v>9.6999999999999993</c:v>
                </c:pt>
                <c:pt idx="20">
                  <c:v>8.8000000000000007</c:v>
                </c:pt>
                <c:pt idx="21">
                  <c:v>8.3000000000000007</c:v>
                </c:pt>
                <c:pt idx="22">
                  <c:v>8.1999999999999993</c:v>
                </c:pt>
                <c:pt idx="23">
                  <c:v>6.6</c:v>
                </c:pt>
                <c:pt idx="24">
                  <c:v>5.6</c:v>
                </c:pt>
              </c:numCache>
            </c:numRef>
          </c:xVal>
          <c:yVal>
            <c:numRef>
              <c:f>Sheet1!$Q$10:$Q$40</c:f>
              <c:numCache>
                <c:formatCode>0</c:formatCode>
                <c:ptCount val="25"/>
                <c:pt idx="0">
                  <c:v>42</c:v>
                </c:pt>
                <c:pt idx="1">
                  <c:v>74</c:v>
                </c:pt>
                <c:pt idx="2">
                  <c:v>62</c:v>
                </c:pt>
                <c:pt idx="3">
                  <c:v>56</c:v>
                </c:pt>
                <c:pt idx="4">
                  <c:v>55</c:v>
                </c:pt>
                <c:pt idx="5">
                  <c:v>52</c:v>
                </c:pt>
                <c:pt idx="6">
                  <c:v>56</c:v>
                </c:pt>
                <c:pt idx="7">
                  <c:v>59</c:v>
                </c:pt>
                <c:pt idx="8">
                  <c:v>73</c:v>
                </c:pt>
                <c:pt idx="9">
                  <c:v>60</c:v>
                </c:pt>
                <c:pt idx="10">
                  <c:v>62</c:v>
                </c:pt>
                <c:pt idx="11">
                  <c:v>72</c:v>
                </c:pt>
                <c:pt idx="12">
                  <c:v>56</c:v>
                </c:pt>
                <c:pt idx="13">
                  <c:v>53</c:v>
                </c:pt>
                <c:pt idx="14">
                  <c:v>73</c:v>
                </c:pt>
                <c:pt idx="15">
                  <c:v>83</c:v>
                </c:pt>
                <c:pt idx="16">
                  <c:v>87</c:v>
                </c:pt>
                <c:pt idx="17">
                  <c:v>84</c:v>
                </c:pt>
                <c:pt idx="18">
                  <c:v>77</c:v>
                </c:pt>
                <c:pt idx="19">
                  <c:v>90</c:v>
                </c:pt>
                <c:pt idx="20">
                  <c:v>79</c:v>
                </c:pt>
                <c:pt idx="21">
                  <c:v>77</c:v>
                </c:pt>
                <c:pt idx="22">
                  <c:v>80</c:v>
                </c:pt>
                <c:pt idx="23">
                  <c:v>71</c:v>
                </c:pt>
                <c:pt idx="24">
                  <c:v>82</c:v>
                </c:pt>
              </c:numCache>
            </c:numRef>
          </c:yVal>
          <c:smooth val="0"/>
          <c:extLst>
            <c:ext xmlns:c15="http://schemas.microsoft.com/office/drawing/2012/chart" uri="{02D57815-91ED-43cb-92C2-25804820EDAC}">
              <c15:datalabelsRange>
                <c15:f>Sheet1!$D$10:$D$40</c15:f>
                <c15:dlblRangeCache>
                  <c:ptCount val="25"/>
                  <c:pt idx="0">
                    <c:v>HU</c:v>
                  </c:pt>
                  <c:pt idx="1">
                    <c:v>EE</c:v>
                  </c:pt>
                  <c:pt idx="2">
                    <c:v>LT</c:v>
                  </c:pt>
                  <c:pt idx="3">
                    <c:v>SI</c:v>
                  </c:pt>
                  <c:pt idx="4">
                    <c:v>PL</c:v>
                  </c:pt>
                  <c:pt idx="5">
                    <c:v>GR</c:v>
                  </c:pt>
                  <c:pt idx="6">
                    <c:v>IT</c:v>
                  </c:pt>
                  <c:pt idx="7">
                    <c:v>LV</c:v>
                  </c:pt>
                  <c:pt idx="8">
                    <c:v>BE</c:v>
                  </c:pt>
                  <c:pt idx="9">
                    <c:v>ES</c:v>
                  </c:pt>
                  <c:pt idx="10">
                    <c:v>PT</c:v>
                  </c:pt>
                  <c:pt idx="11">
                    <c:v>FR</c:v>
                  </c:pt>
                  <c:pt idx="12">
                    <c:v>CZ</c:v>
                  </c:pt>
                  <c:pt idx="13">
                    <c:v>SK</c:v>
                  </c:pt>
                  <c:pt idx="14">
                    <c:v>GB</c:v>
                  </c:pt>
                  <c:pt idx="15">
                    <c:v>SE</c:v>
                  </c:pt>
                  <c:pt idx="16">
                    <c:v>FI</c:v>
                  </c:pt>
                  <c:pt idx="17">
                    <c:v>NO</c:v>
                  </c:pt>
                  <c:pt idx="18">
                    <c:v>IE</c:v>
                  </c:pt>
                  <c:pt idx="19">
                    <c:v>DK</c:v>
                  </c:pt>
                  <c:pt idx="20">
                    <c:v>DE</c:v>
                  </c:pt>
                  <c:pt idx="21">
                    <c:v>LU</c:v>
                  </c:pt>
                  <c:pt idx="22">
                    <c:v>NL</c:v>
                  </c:pt>
                  <c:pt idx="23">
                    <c:v>AT</c:v>
                  </c:pt>
                  <c:pt idx="24">
                    <c:v>CH</c:v>
                  </c:pt>
                </c15:dlblRangeCache>
              </c15:datalabelsRange>
            </c:ext>
            <c:ext xmlns:c16="http://schemas.microsoft.com/office/drawing/2014/chart" uri="{C3380CC4-5D6E-409C-BE32-E72D297353CC}">
              <c16:uniqueId val="{0000001A-5803-43C7-8D06-88927B8981FD}"/>
            </c:ext>
          </c:extLst>
        </c:ser>
        <c:dLbls>
          <c:showLegendKey val="0"/>
          <c:showVal val="0"/>
          <c:showCatName val="0"/>
          <c:showSerName val="0"/>
          <c:showPercent val="0"/>
          <c:showBubbleSize val="0"/>
        </c:dLbls>
        <c:axId val="825861656"/>
        <c:axId val="825851856"/>
      </c:scatterChart>
      <c:valAx>
        <c:axId val="8258616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GB" sz="900" b="0" i="0" u="none" strike="noStrike">
                    <a:solidFill>
                      <a:sysClr val="windowText" lastClr="000000">
                        <a:lumMod val="65000"/>
                        <a:lumOff val="35000"/>
                      </a:sysClr>
                    </a:solidFill>
                    <a:latin typeface="Times New Roman" panose="02020603050405020304" pitchFamily="18" charset="0"/>
                    <a:cs typeface="Times New Roman" panose="02020603050405020304" pitchFamily="18" charset="0"/>
                  </a:rPr>
                  <a:t>Share of the shadow economy, % of GDP, F. Schneider data</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51856"/>
        <c:crosses val="autoZero"/>
        <c:crossBetween val="midCat"/>
      </c:valAx>
      <c:valAx>
        <c:axId val="825851856"/>
        <c:scaling>
          <c:orientation val="minMax"/>
          <c:min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900" b="0" i="0" u="none" strike="noStrike">
                    <a:solidFill>
                      <a:sysClr val="windowText" lastClr="000000">
                        <a:lumMod val="65000"/>
                        <a:lumOff val="35000"/>
                      </a:sysClr>
                    </a:solidFill>
                    <a:latin typeface="Times New Roman" panose="02020603050405020304" pitchFamily="18" charset="0"/>
                    <a:cs typeface="Times New Roman" panose="02020603050405020304" pitchFamily="18" charset="0"/>
                  </a:rPr>
                  <a:t>Corruption Perceptions Index (CPI), points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8258616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5924E-6BE3-44C6-8626-BFF36432A49B}">
  <ds:schemaRefs>
    <ds:schemaRef ds:uri="http://schemas.openxmlformats.org/officeDocument/2006/bibliography"/>
  </ds:schemaRefs>
</ds:datastoreItem>
</file>

<file path=docMetadata/LabelInfo.xml><?xml version="1.0" encoding="utf-8"?>
<clbl:labelList xmlns:clbl="http://schemas.microsoft.com/office/2020/mipLabelMetadata">
  <clbl:label id="{6f3e7d20-2181-4348-af28-4cbf4a40754e}" enabled="1" method="Privilege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90160</Words>
  <Characters>51392</Characters>
  <Application>Microsoft Office Word</Application>
  <DocSecurity>0</DocSecurity>
  <Lines>428</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141270</CharactersWithSpaces>
  <SharedDoc>false</SharedDoc>
  <HLinks>
    <vt:vector size="150" baseType="variant">
      <vt:variant>
        <vt:i4>8126588</vt:i4>
      </vt:variant>
      <vt:variant>
        <vt:i4>45</vt:i4>
      </vt:variant>
      <vt:variant>
        <vt:i4>0</vt:i4>
      </vt:variant>
      <vt:variant>
        <vt:i4>5</vt:i4>
      </vt:variant>
      <vt:variant>
        <vt:lpwstr>https://data.europa.eu/data/datasets/s2250_92_1_498_eng?locale=lv</vt:lpwstr>
      </vt:variant>
      <vt:variant>
        <vt:lpwstr/>
      </vt:variant>
      <vt:variant>
        <vt:i4>1507376</vt:i4>
      </vt:variant>
      <vt:variant>
        <vt:i4>38</vt:i4>
      </vt:variant>
      <vt:variant>
        <vt:i4>0</vt:i4>
      </vt:variant>
      <vt:variant>
        <vt:i4>5</vt:i4>
      </vt:variant>
      <vt:variant>
        <vt:lpwstr/>
      </vt:variant>
      <vt:variant>
        <vt:lpwstr>_Toc141213155</vt:lpwstr>
      </vt:variant>
      <vt:variant>
        <vt:i4>1507376</vt:i4>
      </vt:variant>
      <vt:variant>
        <vt:i4>32</vt:i4>
      </vt:variant>
      <vt:variant>
        <vt:i4>0</vt:i4>
      </vt:variant>
      <vt:variant>
        <vt:i4>5</vt:i4>
      </vt:variant>
      <vt:variant>
        <vt:lpwstr/>
      </vt:variant>
      <vt:variant>
        <vt:lpwstr>_Toc141213154</vt:lpwstr>
      </vt:variant>
      <vt:variant>
        <vt:i4>1507376</vt:i4>
      </vt:variant>
      <vt:variant>
        <vt:i4>26</vt:i4>
      </vt:variant>
      <vt:variant>
        <vt:i4>0</vt:i4>
      </vt:variant>
      <vt:variant>
        <vt:i4>5</vt:i4>
      </vt:variant>
      <vt:variant>
        <vt:lpwstr/>
      </vt:variant>
      <vt:variant>
        <vt:lpwstr>_Toc141213153</vt:lpwstr>
      </vt:variant>
      <vt:variant>
        <vt:i4>1507376</vt:i4>
      </vt:variant>
      <vt:variant>
        <vt:i4>20</vt:i4>
      </vt:variant>
      <vt:variant>
        <vt:i4>0</vt:i4>
      </vt:variant>
      <vt:variant>
        <vt:i4>5</vt:i4>
      </vt:variant>
      <vt:variant>
        <vt:lpwstr/>
      </vt:variant>
      <vt:variant>
        <vt:lpwstr>_Toc141213152</vt:lpwstr>
      </vt:variant>
      <vt:variant>
        <vt:i4>1507376</vt:i4>
      </vt:variant>
      <vt:variant>
        <vt:i4>14</vt:i4>
      </vt:variant>
      <vt:variant>
        <vt:i4>0</vt:i4>
      </vt:variant>
      <vt:variant>
        <vt:i4>5</vt:i4>
      </vt:variant>
      <vt:variant>
        <vt:lpwstr/>
      </vt:variant>
      <vt:variant>
        <vt:lpwstr>_Toc141213151</vt:lpwstr>
      </vt:variant>
      <vt:variant>
        <vt:i4>1507376</vt:i4>
      </vt:variant>
      <vt:variant>
        <vt:i4>8</vt:i4>
      </vt:variant>
      <vt:variant>
        <vt:i4>0</vt:i4>
      </vt:variant>
      <vt:variant>
        <vt:i4>5</vt:i4>
      </vt:variant>
      <vt:variant>
        <vt:lpwstr/>
      </vt:variant>
      <vt:variant>
        <vt:lpwstr>_Toc141213150</vt:lpwstr>
      </vt:variant>
      <vt:variant>
        <vt:i4>1441840</vt:i4>
      </vt:variant>
      <vt:variant>
        <vt:i4>2</vt:i4>
      </vt:variant>
      <vt:variant>
        <vt:i4>0</vt:i4>
      </vt:variant>
      <vt:variant>
        <vt:i4>5</vt:i4>
      </vt:variant>
      <vt:variant>
        <vt:lpwstr/>
      </vt:variant>
      <vt:variant>
        <vt:lpwstr>_Toc141213149</vt:lpwstr>
      </vt:variant>
      <vt:variant>
        <vt:i4>917529</vt:i4>
      </vt:variant>
      <vt:variant>
        <vt:i4>48</vt:i4>
      </vt:variant>
      <vt:variant>
        <vt:i4>0</vt:i4>
      </vt:variant>
      <vt:variant>
        <vt:i4>5</vt:i4>
      </vt:variant>
      <vt:variant>
        <vt:lpwstr>https://data.worldbank.org/indicator/NY.GDP.PCAP.CD?locations=OE</vt:lpwstr>
      </vt:variant>
      <vt:variant>
        <vt:lpwstr/>
      </vt:variant>
      <vt:variant>
        <vt:i4>6225931</vt:i4>
      </vt:variant>
      <vt:variant>
        <vt:i4>45</vt:i4>
      </vt:variant>
      <vt:variant>
        <vt:i4>0</vt:i4>
      </vt:variant>
      <vt:variant>
        <vt:i4>5</vt:i4>
      </vt:variant>
      <vt:variant>
        <vt:lpwstr>https://ec.europa.eu/eurostat/databrowser/view/sdg_08_10/default/table?lang=en</vt:lpwstr>
      </vt:variant>
      <vt:variant>
        <vt:lpwstr/>
      </vt:variant>
      <vt:variant>
        <vt:i4>3407980</vt:i4>
      </vt:variant>
      <vt:variant>
        <vt:i4>42</vt:i4>
      </vt:variant>
      <vt:variant>
        <vt:i4>0</vt:i4>
      </vt:variant>
      <vt:variant>
        <vt:i4>5</vt:i4>
      </vt:variant>
      <vt:variant>
        <vt:lpwstr>https://www.europarl.europa.eu/RegData/etudes/STUD/2022/734007/IPOL_STU(2022)734007_EN.pdf</vt:lpwstr>
      </vt:variant>
      <vt:variant>
        <vt:lpwstr/>
      </vt:variant>
      <vt:variant>
        <vt:i4>3407980</vt:i4>
      </vt:variant>
      <vt:variant>
        <vt:i4>39</vt:i4>
      </vt:variant>
      <vt:variant>
        <vt:i4>0</vt:i4>
      </vt:variant>
      <vt:variant>
        <vt:i4>5</vt:i4>
      </vt:variant>
      <vt:variant>
        <vt:lpwstr>https://www.europarl.europa.eu/RegData/etudes/STUD/2022/734007/IPOL_STU(2022)734007_EN.pdf</vt:lpwstr>
      </vt:variant>
      <vt:variant>
        <vt:lpwstr/>
      </vt:variant>
      <vt:variant>
        <vt:i4>4587520</vt:i4>
      </vt:variant>
      <vt:variant>
        <vt:i4>36</vt:i4>
      </vt:variant>
      <vt:variant>
        <vt:i4>0</vt:i4>
      </vt:variant>
      <vt:variant>
        <vt:i4>5</vt:i4>
      </vt:variant>
      <vt:variant>
        <vt:lpwstr>https://www.cesifo.org/en/publications/2020/working-paper/payment-innovations-shadow-economy-and-cash-demand-households-euro</vt:lpwstr>
      </vt:variant>
      <vt:variant>
        <vt:lpwstr/>
      </vt:variant>
      <vt:variant>
        <vt:i4>4587520</vt:i4>
      </vt:variant>
      <vt:variant>
        <vt:i4>33</vt:i4>
      </vt:variant>
      <vt:variant>
        <vt:i4>0</vt:i4>
      </vt:variant>
      <vt:variant>
        <vt:i4>5</vt:i4>
      </vt:variant>
      <vt:variant>
        <vt:lpwstr>https://www.cesifo.org/en/publications/2020/working-paper/payment-innovations-shadow-economy-and-cash-demand-households-euro</vt:lpwstr>
      </vt:variant>
      <vt:variant>
        <vt:lpwstr/>
      </vt:variant>
      <vt:variant>
        <vt:i4>7733301</vt:i4>
      </vt:variant>
      <vt:variant>
        <vt:i4>30</vt:i4>
      </vt:variant>
      <vt:variant>
        <vt:i4>0</vt:i4>
      </vt:variant>
      <vt:variant>
        <vt:i4>5</vt:i4>
      </vt:variant>
      <vt:variant>
        <vt:lpwstr>https://www.oecdregionalwellbeing.org/US26.html</vt:lpwstr>
      </vt:variant>
      <vt:variant>
        <vt:lpwstr/>
      </vt:variant>
      <vt:variant>
        <vt:i4>1376269</vt:i4>
      </vt:variant>
      <vt:variant>
        <vt:i4>27</vt:i4>
      </vt:variant>
      <vt:variant>
        <vt:i4>0</vt:i4>
      </vt:variant>
      <vt:variant>
        <vt:i4>5</vt:i4>
      </vt:variant>
      <vt:variant>
        <vt:lpwstr>https://www.fm.gov.lv/lv/media/11131/download?attachment</vt:lpwstr>
      </vt:variant>
      <vt:variant>
        <vt:lpwstr/>
      </vt:variant>
      <vt:variant>
        <vt:i4>6225931</vt:i4>
      </vt:variant>
      <vt:variant>
        <vt:i4>24</vt:i4>
      </vt:variant>
      <vt:variant>
        <vt:i4>0</vt:i4>
      </vt:variant>
      <vt:variant>
        <vt:i4>5</vt:i4>
      </vt:variant>
      <vt:variant>
        <vt:lpwstr>https://ec.europa.eu/eurostat/databrowser/view/sdg_08_10/default/table?lang=en</vt:lpwstr>
      </vt:variant>
      <vt:variant>
        <vt:lpwstr/>
      </vt:variant>
      <vt:variant>
        <vt:i4>6225986</vt:i4>
      </vt:variant>
      <vt:variant>
        <vt:i4>21</vt:i4>
      </vt:variant>
      <vt:variant>
        <vt:i4>0</vt:i4>
      </vt:variant>
      <vt:variant>
        <vt:i4>5</vt:i4>
      </vt:variant>
      <vt:variant>
        <vt:lpwstr>https://op.europa.eu/en/publication-detail/-/publication/030df522-7452-11ed-9887-01aa75ed71a1</vt:lpwstr>
      </vt:variant>
      <vt:variant>
        <vt:lpwstr/>
      </vt:variant>
      <vt:variant>
        <vt:i4>6225931</vt:i4>
      </vt:variant>
      <vt:variant>
        <vt:i4>18</vt:i4>
      </vt:variant>
      <vt:variant>
        <vt:i4>0</vt:i4>
      </vt:variant>
      <vt:variant>
        <vt:i4>5</vt:i4>
      </vt:variant>
      <vt:variant>
        <vt:lpwstr>https://ec.europa.eu/eurostat/databrowser/view/sdg_08_10/default/table?lang=en</vt:lpwstr>
      </vt:variant>
      <vt:variant>
        <vt:lpwstr/>
      </vt:variant>
      <vt:variant>
        <vt:i4>1310731</vt:i4>
      </vt:variant>
      <vt:variant>
        <vt:i4>15</vt:i4>
      </vt:variant>
      <vt:variant>
        <vt:i4>0</vt:i4>
      </vt:variant>
      <vt:variant>
        <vt:i4>5</vt:i4>
      </vt:variant>
      <vt:variant>
        <vt:lpwstr>https://www.fm.gov.lv/lv/media/13776/download?attachment</vt:lpwstr>
      </vt:variant>
      <vt:variant>
        <vt:lpwstr/>
      </vt:variant>
      <vt:variant>
        <vt:i4>3407980</vt:i4>
      </vt:variant>
      <vt:variant>
        <vt:i4>12</vt:i4>
      </vt:variant>
      <vt:variant>
        <vt:i4>0</vt:i4>
      </vt:variant>
      <vt:variant>
        <vt:i4>5</vt:i4>
      </vt:variant>
      <vt:variant>
        <vt:lpwstr>https://www.europarl.europa.eu/RegData/etudes/STUD/2022/734007/IPOL_STU(2022)734007_EN.pdf</vt:lpwstr>
      </vt:variant>
      <vt:variant>
        <vt:lpwstr/>
      </vt:variant>
      <vt:variant>
        <vt:i4>6815801</vt:i4>
      </vt:variant>
      <vt:variant>
        <vt:i4>9</vt:i4>
      </vt:variant>
      <vt:variant>
        <vt:i4>0</vt:i4>
      </vt:variant>
      <vt:variant>
        <vt:i4>5</vt:i4>
      </vt:variant>
      <vt:variant>
        <vt:lpwstr>https://www.researchgate.net/publication/356303562_Outside_the_State_-_The_Shadow_Economy_and_Shadow_Economy_Labor_Force</vt:lpwstr>
      </vt:variant>
      <vt:variant>
        <vt:lpwstr/>
      </vt:variant>
      <vt:variant>
        <vt:i4>3997761</vt:i4>
      </vt:variant>
      <vt:variant>
        <vt:i4>6</vt:i4>
      </vt:variant>
      <vt:variant>
        <vt:i4>0</vt:i4>
      </vt:variant>
      <vt:variant>
        <vt:i4>5</vt:i4>
      </vt:variant>
      <vt:variant>
        <vt:lpwstr>https://www.sseriga.edu/sites/default/files/2023-05/Enu_ekonomikas_indekss_2009_2022_0.pdf</vt:lpwstr>
      </vt:variant>
      <vt:variant>
        <vt:lpwstr/>
      </vt:variant>
      <vt:variant>
        <vt:i4>2490467</vt:i4>
      </vt:variant>
      <vt:variant>
        <vt:i4>3</vt:i4>
      </vt:variant>
      <vt:variant>
        <vt:i4>0</vt:i4>
      </vt:variant>
      <vt:variant>
        <vt:i4>5</vt:i4>
      </vt:variant>
      <vt:variant>
        <vt:lpwstr>https://docs.iza.org/dp1043.pdf</vt:lpwstr>
      </vt:variant>
      <vt:variant>
        <vt:lpwstr/>
      </vt:variant>
      <vt:variant>
        <vt:i4>4521987</vt:i4>
      </vt:variant>
      <vt:variant>
        <vt:i4>0</vt:i4>
      </vt:variant>
      <vt:variant>
        <vt:i4>0</vt:i4>
      </vt:variant>
      <vt:variant>
        <vt:i4>5</vt:i4>
      </vt:variant>
      <vt:variant>
        <vt:lpwstr>https://www.oecd.org/tax/crime/shining-light-on-the-shadow-economy-opportunities-and-threats.pdf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Zvirgzde</dc:creator>
  <cp:keywords/>
  <dc:description/>
  <cp:lastModifiedBy>User</cp:lastModifiedBy>
  <cp:revision>2</cp:revision>
  <cp:lastPrinted>2023-10-05T06:16:00Z</cp:lastPrinted>
  <dcterms:created xsi:type="dcterms:W3CDTF">2024-05-14T12:59:00Z</dcterms:created>
  <dcterms:modified xsi:type="dcterms:W3CDTF">2024-05-14T12:59:00Z</dcterms:modified>
</cp:coreProperties>
</file>