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0731" w14:textId="77777777" w:rsidR="00460475" w:rsidRPr="00460475" w:rsidRDefault="00460475" w:rsidP="00460475">
      <w:pPr>
        <w:spacing w:after="0" w:line="240" w:lineRule="auto"/>
        <w:jc w:val="right"/>
        <w:rPr>
          <w:rFonts w:eastAsia="Calibri"/>
          <w:i/>
          <w:sz w:val="21"/>
          <w:szCs w:val="21"/>
        </w:rPr>
      </w:pPr>
      <w:r w:rsidRPr="00460475">
        <w:rPr>
          <w:rFonts w:eastAsia="Calibri"/>
          <w:i/>
          <w:sz w:val="21"/>
          <w:szCs w:val="21"/>
        </w:rPr>
        <w:t>2. pielikums informatīvajam ziņojumam</w:t>
      </w:r>
    </w:p>
    <w:p w14:paraId="3A9BC4A8" w14:textId="7F20C534" w:rsidR="00460475" w:rsidRPr="00460475" w:rsidRDefault="00460475" w:rsidP="00460475">
      <w:pPr>
        <w:spacing w:after="0" w:line="240" w:lineRule="auto"/>
        <w:jc w:val="right"/>
        <w:rPr>
          <w:rFonts w:eastAsia="Calibri"/>
          <w:i/>
          <w:sz w:val="21"/>
          <w:szCs w:val="21"/>
        </w:rPr>
      </w:pPr>
      <w:r>
        <w:rPr>
          <w:rFonts w:eastAsia="Calibri"/>
          <w:i/>
          <w:sz w:val="21"/>
          <w:szCs w:val="21"/>
        </w:rPr>
        <w:t>“</w:t>
      </w:r>
      <w:r w:rsidRPr="00460475">
        <w:rPr>
          <w:rFonts w:eastAsia="Calibri"/>
          <w:i/>
          <w:sz w:val="21"/>
          <w:szCs w:val="21"/>
        </w:rPr>
        <w:t xml:space="preserve">Par valsts budžeta izdevumu pārskatīšanas rezultātiem un </w:t>
      </w:r>
    </w:p>
    <w:p w14:paraId="04D4436B" w14:textId="77777777" w:rsidR="00460475" w:rsidRPr="00460475" w:rsidRDefault="00460475" w:rsidP="00460475">
      <w:pPr>
        <w:spacing w:after="0" w:line="240" w:lineRule="auto"/>
        <w:jc w:val="right"/>
        <w:rPr>
          <w:rFonts w:eastAsia="Calibri"/>
          <w:i/>
          <w:sz w:val="21"/>
          <w:szCs w:val="21"/>
        </w:rPr>
      </w:pPr>
      <w:r w:rsidRPr="00460475">
        <w:rPr>
          <w:rFonts w:eastAsia="Calibri"/>
          <w:i/>
          <w:sz w:val="21"/>
          <w:szCs w:val="21"/>
        </w:rPr>
        <w:t>priekšlikumi par šo rezultātu izmantošanu likumprojekta</w:t>
      </w:r>
    </w:p>
    <w:p w14:paraId="50FED3EF" w14:textId="7A783D9C" w:rsidR="00460475" w:rsidRDefault="00460475" w:rsidP="006819C0">
      <w:pPr>
        <w:spacing w:after="0" w:line="240" w:lineRule="auto"/>
        <w:ind w:right="-31"/>
        <w:jc w:val="right"/>
        <w:rPr>
          <w:rFonts w:eastAsia="Calibri"/>
          <w:i/>
          <w:sz w:val="21"/>
          <w:szCs w:val="21"/>
        </w:rPr>
      </w:pPr>
      <w:r w:rsidRPr="00460475">
        <w:rPr>
          <w:rFonts w:eastAsia="Calibri"/>
          <w:i/>
          <w:sz w:val="21"/>
          <w:szCs w:val="21"/>
        </w:rPr>
        <w:t xml:space="preserve"> “Par vidēja termiņa budžeta ietvaru 202</w:t>
      </w:r>
      <w:r>
        <w:rPr>
          <w:rFonts w:eastAsia="Calibri"/>
          <w:i/>
          <w:sz w:val="21"/>
          <w:szCs w:val="21"/>
        </w:rPr>
        <w:t>3</w:t>
      </w:r>
      <w:r w:rsidRPr="00460475">
        <w:rPr>
          <w:rFonts w:eastAsia="Calibri"/>
          <w:i/>
          <w:sz w:val="21"/>
          <w:szCs w:val="21"/>
        </w:rPr>
        <w:t>., 20</w:t>
      </w:r>
      <w:r>
        <w:rPr>
          <w:rFonts w:eastAsia="Calibri"/>
          <w:i/>
          <w:sz w:val="21"/>
          <w:szCs w:val="21"/>
        </w:rPr>
        <w:t>24</w:t>
      </w:r>
      <w:r w:rsidRPr="00460475">
        <w:rPr>
          <w:rFonts w:eastAsia="Calibri"/>
          <w:i/>
          <w:sz w:val="21"/>
          <w:szCs w:val="21"/>
        </w:rPr>
        <w:t>. un 202</w:t>
      </w:r>
      <w:r>
        <w:rPr>
          <w:rFonts w:eastAsia="Calibri"/>
          <w:i/>
          <w:sz w:val="21"/>
          <w:szCs w:val="21"/>
        </w:rPr>
        <w:t>5</w:t>
      </w:r>
      <w:r w:rsidRPr="00460475">
        <w:rPr>
          <w:rFonts w:eastAsia="Calibri"/>
          <w:i/>
          <w:sz w:val="21"/>
          <w:szCs w:val="21"/>
        </w:rPr>
        <w:t>. gadam”</w:t>
      </w:r>
    </w:p>
    <w:p w14:paraId="1C47FFD3" w14:textId="4D21D330" w:rsidR="00460475" w:rsidRDefault="00460475" w:rsidP="006819C0">
      <w:pPr>
        <w:spacing w:after="0" w:line="240" w:lineRule="auto"/>
        <w:ind w:right="-31"/>
        <w:jc w:val="right"/>
        <w:rPr>
          <w:rFonts w:eastAsia="Calibri"/>
          <w:i/>
          <w:sz w:val="21"/>
          <w:szCs w:val="21"/>
        </w:rPr>
      </w:pPr>
      <w:r>
        <w:rPr>
          <w:rFonts w:eastAsia="Calibri"/>
          <w:i/>
          <w:sz w:val="21"/>
          <w:szCs w:val="21"/>
        </w:rPr>
        <w:t xml:space="preserve">   </w:t>
      </w:r>
      <w:r w:rsidRPr="00460475">
        <w:rPr>
          <w:rFonts w:eastAsia="Calibri"/>
          <w:i/>
          <w:sz w:val="21"/>
          <w:szCs w:val="21"/>
        </w:rPr>
        <w:t>un likumprojekta “Par valsts budžetu 202</w:t>
      </w:r>
      <w:r>
        <w:rPr>
          <w:rFonts w:eastAsia="Calibri"/>
          <w:i/>
          <w:sz w:val="21"/>
          <w:szCs w:val="21"/>
        </w:rPr>
        <w:t>3</w:t>
      </w:r>
      <w:r w:rsidRPr="00460475">
        <w:rPr>
          <w:rFonts w:eastAsia="Calibri"/>
          <w:i/>
          <w:sz w:val="21"/>
          <w:szCs w:val="21"/>
        </w:rPr>
        <w:t>. gadam” izstrādes procesā”</w:t>
      </w:r>
    </w:p>
    <w:p w14:paraId="7D9168FB" w14:textId="77777777" w:rsidR="00460475" w:rsidRDefault="00460475" w:rsidP="00460475">
      <w:pPr>
        <w:spacing w:after="0" w:line="240" w:lineRule="auto"/>
        <w:ind w:right="140"/>
        <w:jc w:val="right"/>
        <w:rPr>
          <w:rFonts w:eastAsia="Calibri"/>
          <w:i/>
          <w:sz w:val="21"/>
          <w:szCs w:val="21"/>
        </w:rPr>
      </w:pPr>
    </w:p>
    <w:p w14:paraId="1E1661ED" w14:textId="77777777" w:rsidR="00460475" w:rsidRDefault="00460475" w:rsidP="00460475">
      <w:pPr>
        <w:spacing w:after="0" w:line="240" w:lineRule="auto"/>
        <w:ind w:right="140"/>
        <w:jc w:val="right"/>
        <w:rPr>
          <w:rFonts w:eastAsia="Calibri"/>
          <w:i/>
          <w:sz w:val="21"/>
          <w:szCs w:val="21"/>
        </w:rPr>
      </w:pPr>
    </w:p>
    <w:p w14:paraId="7C1D7EC0" w14:textId="2E195113" w:rsidR="000F7824" w:rsidRPr="00460475" w:rsidRDefault="000F7824" w:rsidP="00460475">
      <w:pPr>
        <w:jc w:val="center"/>
        <w:rPr>
          <w:b/>
          <w:bCs/>
          <w:sz w:val="28"/>
          <w:szCs w:val="28"/>
        </w:rPr>
      </w:pPr>
      <w:r w:rsidRPr="00460475">
        <w:rPr>
          <w:b/>
          <w:bCs/>
          <w:sz w:val="28"/>
          <w:szCs w:val="28"/>
        </w:rPr>
        <w:t xml:space="preserve">ZM un tās padotības iestāžu administrēto valsts nodevu ieņēmumu prognožu izmaiņas, </w:t>
      </w:r>
      <w:proofErr w:type="spellStart"/>
      <w:r w:rsidRPr="00460475">
        <w:rPr>
          <w:b/>
          <w:bCs/>
          <w:i/>
          <w:iCs/>
          <w:sz w:val="28"/>
          <w:szCs w:val="28"/>
        </w:rPr>
        <w:t>euro</w:t>
      </w:r>
      <w:proofErr w:type="spellEnd"/>
    </w:p>
    <w:tbl>
      <w:tblPr>
        <w:tblW w:w="14732" w:type="dxa"/>
        <w:tblLook w:val="04A0" w:firstRow="1" w:lastRow="0" w:firstColumn="1" w:lastColumn="0" w:noHBand="0" w:noVBand="1"/>
      </w:tblPr>
      <w:tblGrid>
        <w:gridCol w:w="3043"/>
        <w:gridCol w:w="970"/>
        <w:gridCol w:w="990"/>
        <w:gridCol w:w="982"/>
        <w:gridCol w:w="987"/>
        <w:gridCol w:w="912"/>
        <w:gridCol w:w="964"/>
        <w:gridCol w:w="981"/>
        <w:gridCol w:w="987"/>
        <w:gridCol w:w="978"/>
        <w:gridCol w:w="991"/>
        <w:gridCol w:w="981"/>
        <w:gridCol w:w="966"/>
      </w:tblGrid>
      <w:tr w:rsidR="00DD549F" w:rsidRPr="00DD549F" w14:paraId="44420F98" w14:textId="77777777" w:rsidTr="00667249">
        <w:trPr>
          <w:trHeight w:val="1636"/>
          <w:tblHeader/>
        </w:trPr>
        <w:tc>
          <w:tcPr>
            <w:tcW w:w="3064" w:type="dxa"/>
            <w:tcBorders>
              <w:top w:val="single" w:sz="8" w:space="0" w:color="auto"/>
              <w:left w:val="single" w:sz="8" w:space="0" w:color="auto"/>
              <w:bottom w:val="single" w:sz="4" w:space="0" w:color="auto"/>
              <w:right w:val="single" w:sz="8" w:space="0" w:color="auto"/>
            </w:tcBorders>
            <w:shd w:val="clear" w:color="auto" w:fill="8EAADB" w:themeFill="accent1" w:themeFillTint="99"/>
            <w:tcMar>
              <w:left w:w="28" w:type="dxa"/>
              <w:right w:w="28" w:type="dxa"/>
            </w:tcMar>
            <w:vAlign w:val="center"/>
            <w:hideMark/>
          </w:tcPr>
          <w:p w14:paraId="7182D2A4" w14:textId="77777777" w:rsidR="000F7824" w:rsidRPr="00DD549F" w:rsidRDefault="000F7824" w:rsidP="000F7824">
            <w:pPr>
              <w:spacing w:after="0" w:line="240" w:lineRule="auto"/>
              <w:jc w:val="center"/>
              <w:rPr>
                <w:rFonts w:eastAsia="Times New Roman"/>
                <w:b/>
                <w:bCs/>
                <w:sz w:val="19"/>
                <w:szCs w:val="19"/>
                <w:lang w:eastAsia="lv-LV"/>
              </w:rPr>
            </w:pPr>
            <w:r w:rsidRPr="00DD549F">
              <w:rPr>
                <w:rFonts w:eastAsia="Times New Roman"/>
                <w:b/>
                <w:bCs/>
                <w:sz w:val="19"/>
                <w:szCs w:val="19"/>
                <w:lang w:eastAsia="lv-LV"/>
              </w:rPr>
              <w:t>Ieņēmumu veids</w:t>
            </w:r>
          </w:p>
        </w:tc>
        <w:tc>
          <w:tcPr>
            <w:tcW w:w="974"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42D7E0A1"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2023 (VTBI)</w:t>
            </w:r>
          </w:p>
        </w:tc>
        <w:tc>
          <w:tcPr>
            <w:tcW w:w="990"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6ED14E7C" w14:textId="2D49D379"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ieņēmumu pārpildi/ neizpildi iepriekšējos gados</w:t>
            </w:r>
          </w:p>
        </w:tc>
        <w:tc>
          <w:tcPr>
            <w:tcW w:w="985"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6EBCEE9E" w14:textId="77777777"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groz. MKN Nr. 82  (22-TA-262)</w:t>
            </w:r>
          </w:p>
        </w:tc>
        <w:tc>
          <w:tcPr>
            <w:tcW w:w="988" w:type="dxa"/>
            <w:tcBorders>
              <w:top w:val="single" w:sz="8" w:space="0" w:color="auto"/>
              <w:left w:val="nil"/>
              <w:bottom w:val="single" w:sz="4" w:space="0" w:color="auto"/>
              <w:right w:val="single" w:sz="8" w:space="0" w:color="auto"/>
            </w:tcBorders>
            <w:shd w:val="clear" w:color="auto" w:fill="8EAADB" w:themeFill="accent1" w:themeFillTint="99"/>
            <w:tcMar>
              <w:left w:w="28" w:type="dxa"/>
              <w:right w:w="28" w:type="dxa"/>
            </w:tcMar>
            <w:vAlign w:val="center"/>
            <w:hideMark/>
          </w:tcPr>
          <w:p w14:paraId="611B221A"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2023 (aktuālā prognoze)</w:t>
            </w:r>
          </w:p>
        </w:tc>
        <w:tc>
          <w:tcPr>
            <w:tcW w:w="915"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68F81F47"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2024 (VTBI)</w:t>
            </w:r>
          </w:p>
        </w:tc>
        <w:tc>
          <w:tcPr>
            <w:tcW w:w="920"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11D4CCD9" w14:textId="27DD8FAD"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ieņēmumu pārpildi/ neizpildi iepriekšējos gados</w:t>
            </w:r>
          </w:p>
        </w:tc>
        <w:tc>
          <w:tcPr>
            <w:tcW w:w="984"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2BC36372" w14:textId="77777777"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groz. MKN Nr. 82  (22-TA-262)</w:t>
            </w:r>
          </w:p>
        </w:tc>
        <w:tc>
          <w:tcPr>
            <w:tcW w:w="988" w:type="dxa"/>
            <w:tcBorders>
              <w:top w:val="single" w:sz="8" w:space="0" w:color="auto"/>
              <w:left w:val="nil"/>
              <w:bottom w:val="single" w:sz="4" w:space="0" w:color="auto"/>
              <w:right w:val="single" w:sz="8" w:space="0" w:color="auto"/>
            </w:tcBorders>
            <w:shd w:val="clear" w:color="auto" w:fill="8EAADB" w:themeFill="accent1" w:themeFillTint="99"/>
            <w:tcMar>
              <w:left w:w="28" w:type="dxa"/>
              <w:right w:w="28" w:type="dxa"/>
            </w:tcMar>
            <w:vAlign w:val="center"/>
            <w:hideMark/>
          </w:tcPr>
          <w:p w14:paraId="01CAD240"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2024 (aktuālā prognoze)</w:t>
            </w:r>
          </w:p>
        </w:tc>
        <w:tc>
          <w:tcPr>
            <w:tcW w:w="982"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5CF09FD0"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2024 (VTBI)</w:t>
            </w:r>
          </w:p>
        </w:tc>
        <w:tc>
          <w:tcPr>
            <w:tcW w:w="991"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162FE21B" w14:textId="52D50480"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ieņēmumu pārpildi/ neizpildi iepriekšējos gados</w:t>
            </w:r>
          </w:p>
        </w:tc>
        <w:tc>
          <w:tcPr>
            <w:tcW w:w="984" w:type="dxa"/>
            <w:tcBorders>
              <w:top w:val="single" w:sz="8" w:space="0" w:color="auto"/>
              <w:left w:val="nil"/>
              <w:bottom w:val="single" w:sz="4" w:space="0" w:color="auto"/>
              <w:right w:val="single" w:sz="4" w:space="0" w:color="auto"/>
            </w:tcBorders>
            <w:shd w:val="clear" w:color="auto" w:fill="8EAADB" w:themeFill="accent1" w:themeFillTint="99"/>
            <w:tcMar>
              <w:left w:w="28" w:type="dxa"/>
              <w:right w:w="28" w:type="dxa"/>
            </w:tcMar>
            <w:vAlign w:val="center"/>
            <w:hideMark/>
          </w:tcPr>
          <w:p w14:paraId="4601F3BC" w14:textId="77777777" w:rsidR="000F7824" w:rsidRPr="00DD549F" w:rsidRDefault="000F7824" w:rsidP="000F7824">
            <w:pPr>
              <w:spacing w:after="0" w:line="240" w:lineRule="auto"/>
              <w:jc w:val="center"/>
              <w:rPr>
                <w:rFonts w:eastAsia="Times New Roman"/>
                <w:i/>
                <w:iCs/>
                <w:color w:val="000000"/>
                <w:sz w:val="19"/>
                <w:szCs w:val="19"/>
                <w:lang w:eastAsia="lv-LV"/>
              </w:rPr>
            </w:pPr>
            <w:r w:rsidRPr="00DD549F">
              <w:rPr>
                <w:rFonts w:eastAsia="Times New Roman"/>
                <w:i/>
                <w:iCs/>
                <w:color w:val="000000"/>
                <w:sz w:val="19"/>
                <w:szCs w:val="19"/>
                <w:lang w:eastAsia="lv-LV"/>
              </w:rPr>
              <w:t>izmaiņas saistībā ar groz. MKN Nr. 82  (22-TA-262)</w:t>
            </w:r>
          </w:p>
        </w:tc>
        <w:tc>
          <w:tcPr>
            <w:tcW w:w="967" w:type="dxa"/>
            <w:tcBorders>
              <w:top w:val="single" w:sz="8" w:space="0" w:color="auto"/>
              <w:left w:val="nil"/>
              <w:bottom w:val="single" w:sz="4" w:space="0" w:color="auto"/>
              <w:right w:val="single" w:sz="8" w:space="0" w:color="auto"/>
            </w:tcBorders>
            <w:shd w:val="clear" w:color="auto" w:fill="8EAADB" w:themeFill="accent1" w:themeFillTint="99"/>
            <w:tcMar>
              <w:left w:w="28" w:type="dxa"/>
              <w:right w:w="28" w:type="dxa"/>
            </w:tcMar>
            <w:vAlign w:val="center"/>
            <w:hideMark/>
          </w:tcPr>
          <w:p w14:paraId="53F0498A" w14:textId="77777777" w:rsidR="000F7824" w:rsidRPr="00DD549F" w:rsidRDefault="000F7824" w:rsidP="000F7824">
            <w:pPr>
              <w:spacing w:after="0" w:line="240" w:lineRule="auto"/>
              <w:jc w:val="center"/>
              <w:rPr>
                <w:rFonts w:eastAsia="Times New Roman"/>
                <w:b/>
                <w:bCs/>
                <w:color w:val="000000"/>
                <w:sz w:val="19"/>
                <w:szCs w:val="19"/>
                <w:lang w:eastAsia="lv-LV"/>
              </w:rPr>
            </w:pPr>
            <w:r w:rsidRPr="00DD549F">
              <w:rPr>
                <w:rFonts w:eastAsia="Times New Roman"/>
                <w:b/>
                <w:bCs/>
                <w:color w:val="000000"/>
                <w:sz w:val="19"/>
                <w:szCs w:val="19"/>
                <w:lang w:eastAsia="lv-LV"/>
              </w:rPr>
              <w:t>2025 (aktuālā prognoze)</w:t>
            </w:r>
          </w:p>
        </w:tc>
      </w:tr>
      <w:tr w:rsidR="00DD549F" w:rsidRPr="00DD549F" w14:paraId="16B6A2BA" w14:textId="77777777" w:rsidTr="00667249">
        <w:trPr>
          <w:trHeight w:val="255"/>
        </w:trPr>
        <w:tc>
          <w:tcPr>
            <w:tcW w:w="3064" w:type="dxa"/>
            <w:tcBorders>
              <w:top w:val="nil"/>
              <w:left w:val="single" w:sz="8" w:space="0" w:color="auto"/>
              <w:bottom w:val="single" w:sz="4" w:space="0" w:color="auto"/>
              <w:right w:val="single" w:sz="8" w:space="0" w:color="auto"/>
            </w:tcBorders>
            <w:shd w:val="clear" w:color="auto" w:fill="B4C6E7" w:themeFill="accent1" w:themeFillTint="66"/>
            <w:tcMar>
              <w:left w:w="28" w:type="dxa"/>
              <w:right w:w="28" w:type="dxa"/>
            </w:tcMar>
            <w:vAlign w:val="bottom"/>
            <w:hideMark/>
          </w:tcPr>
          <w:p w14:paraId="355D199A" w14:textId="77777777" w:rsidR="000F7824" w:rsidRPr="00DD549F" w:rsidRDefault="000F7824" w:rsidP="000F7824">
            <w:pPr>
              <w:spacing w:after="0" w:line="240" w:lineRule="auto"/>
              <w:rPr>
                <w:rFonts w:eastAsia="Times New Roman"/>
                <w:b/>
                <w:bCs/>
                <w:sz w:val="19"/>
                <w:szCs w:val="19"/>
                <w:lang w:eastAsia="lv-LV"/>
              </w:rPr>
            </w:pPr>
            <w:r w:rsidRPr="00DD549F">
              <w:rPr>
                <w:rFonts w:eastAsia="Times New Roman"/>
                <w:b/>
                <w:bCs/>
                <w:sz w:val="19"/>
                <w:szCs w:val="19"/>
                <w:lang w:eastAsia="lv-LV"/>
              </w:rPr>
              <w:t>Zemkopības ministrija</w:t>
            </w:r>
          </w:p>
        </w:tc>
        <w:tc>
          <w:tcPr>
            <w:tcW w:w="974"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4FAC0B8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2 899 897</w:t>
            </w:r>
          </w:p>
        </w:tc>
        <w:tc>
          <w:tcPr>
            <w:tcW w:w="990"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1643FB90"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595 750</w:t>
            </w:r>
          </w:p>
        </w:tc>
        <w:tc>
          <w:tcPr>
            <w:tcW w:w="985"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491686E6"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4 711 791</w:t>
            </w:r>
          </w:p>
        </w:tc>
        <w:tc>
          <w:tcPr>
            <w:tcW w:w="988" w:type="dxa"/>
            <w:tcBorders>
              <w:top w:val="nil"/>
              <w:left w:val="nil"/>
              <w:bottom w:val="single" w:sz="4" w:space="0" w:color="auto"/>
              <w:right w:val="single" w:sz="8" w:space="0" w:color="auto"/>
            </w:tcBorders>
            <w:shd w:val="clear" w:color="auto" w:fill="B4C6E7" w:themeFill="accent1" w:themeFillTint="66"/>
            <w:tcMar>
              <w:left w:w="28" w:type="dxa"/>
              <w:right w:w="28" w:type="dxa"/>
            </w:tcMar>
            <w:vAlign w:val="bottom"/>
            <w:hideMark/>
          </w:tcPr>
          <w:p w14:paraId="0041F941"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8 207 438</w:t>
            </w:r>
          </w:p>
        </w:tc>
        <w:tc>
          <w:tcPr>
            <w:tcW w:w="915"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7E03E1F7"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2 899 897</w:t>
            </w:r>
          </w:p>
        </w:tc>
        <w:tc>
          <w:tcPr>
            <w:tcW w:w="920"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7600B924"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595 750</w:t>
            </w:r>
          </w:p>
        </w:tc>
        <w:tc>
          <w:tcPr>
            <w:tcW w:w="984"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14CB7E69"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4 711 791</w:t>
            </w:r>
          </w:p>
        </w:tc>
        <w:tc>
          <w:tcPr>
            <w:tcW w:w="988" w:type="dxa"/>
            <w:tcBorders>
              <w:top w:val="nil"/>
              <w:left w:val="nil"/>
              <w:bottom w:val="single" w:sz="4" w:space="0" w:color="auto"/>
              <w:right w:val="single" w:sz="8" w:space="0" w:color="auto"/>
            </w:tcBorders>
            <w:shd w:val="clear" w:color="auto" w:fill="B4C6E7" w:themeFill="accent1" w:themeFillTint="66"/>
            <w:tcMar>
              <w:left w:w="28" w:type="dxa"/>
              <w:right w:w="28" w:type="dxa"/>
            </w:tcMar>
            <w:vAlign w:val="bottom"/>
            <w:hideMark/>
          </w:tcPr>
          <w:p w14:paraId="5DBD3E0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8 207 438</w:t>
            </w:r>
          </w:p>
        </w:tc>
        <w:tc>
          <w:tcPr>
            <w:tcW w:w="982"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4000D7F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2 899 897</w:t>
            </w:r>
          </w:p>
        </w:tc>
        <w:tc>
          <w:tcPr>
            <w:tcW w:w="991"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7B695D77"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595 750</w:t>
            </w:r>
          </w:p>
        </w:tc>
        <w:tc>
          <w:tcPr>
            <w:tcW w:w="984" w:type="dxa"/>
            <w:tcBorders>
              <w:top w:val="nil"/>
              <w:left w:val="nil"/>
              <w:bottom w:val="single" w:sz="4" w:space="0" w:color="auto"/>
              <w:right w:val="single" w:sz="4" w:space="0" w:color="auto"/>
            </w:tcBorders>
            <w:shd w:val="clear" w:color="auto" w:fill="B4C6E7" w:themeFill="accent1" w:themeFillTint="66"/>
            <w:tcMar>
              <w:left w:w="28" w:type="dxa"/>
              <w:right w:w="28" w:type="dxa"/>
            </w:tcMar>
            <w:vAlign w:val="bottom"/>
            <w:hideMark/>
          </w:tcPr>
          <w:p w14:paraId="1433966B" w14:textId="77777777" w:rsidR="000F7824" w:rsidRPr="00DD549F" w:rsidRDefault="000F7824" w:rsidP="00667249">
            <w:pPr>
              <w:spacing w:after="0" w:line="240" w:lineRule="auto"/>
              <w:ind w:right="57"/>
              <w:jc w:val="right"/>
              <w:rPr>
                <w:rFonts w:eastAsia="Times New Roman"/>
                <w:b/>
                <w:bCs/>
                <w:i/>
                <w:iCs/>
                <w:color w:val="000000"/>
                <w:sz w:val="19"/>
                <w:szCs w:val="19"/>
                <w:lang w:eastAsia="lv-LV"/>
              </w:rPr>
            </w:pPr>
            <w:r w:rsidRPr="00DD549F">
              <w:rPr>
                <w:rFonts w:eastAsia="Times New Roman"/>
                <w:b/>
                <w:bCs/>
                <w:i/>
                <w:iCs/>
                <w:color w:val="000000"/>
                <w:sz w:val="19"/>
                <w:szCs w:val="19"/>
                <w:lang w:eastAsia="lv-LV"/>
              </w:rPr>
              <w:t>4 711 791</w:t>
            </w:r>
          </w:p>
        </w:tc>
        <w:tc>
          <w:tcPr>
            <w:tcW w:w="967" w:type="dxa"/>
            <w:tcBorders>
              <w:top w:val="nil"/>
              <w:left w:val="nil"/>
              <w:bottom w:val="single" w:sz="4" w:space="0" w:color="auto"/>
              <w:right w:val="single" w:sz="8" w:space="0" w:color="auto"/>
            </w:tcBorders>
            <w:shd w:val="clear" w:color="auto" w:fill="B4C6E7" w:themeFill="accent1" w:themeFillTint="66"/>
            <w:tcMar>
              <w:left w:w="28" w:type="dxa"/>
              <w:right w:w="28" w:type="dxa"/>
            </w:tcMar>
            <w:vAlign w:val="bottom"/>
            <w:hideMark/>
          </w:tcPr>
          <w:p w14:paraId="1A1E47D6"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8 207 438</w:t>
            </w:r>
          </w:p>
        </w:tc>
      </w:tr>
      <w:tr w:rsidR="00DD549F" w:rsidRPr="00DD549F" w14:paraId="61B7ED8B" w14:textId="77777777" w:rsidTr="00667249">
        <w:trPr>
          <w:trHeight w:val="255"/>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778D8612"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Citas nodevas par juridiskajiem un citiem pakalpojumiem</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B5D4BD7"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378 942</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5332EC8"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125 301</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796608E"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4 029 143</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0F0326BE"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4 533 386</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6F203DE"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378 942</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D8B2202"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125 301</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DA46FB5"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4 029 143</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185E497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4 533 386</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4347A52"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378 942</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C4588D0"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125 301</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29E522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4 029 143</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EC18929"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4 533 386</w:t>
            </w:r>
          </w:p>
        </w:tc>
      </w:tr>
      <w:tr w:rsidR="00DD549F" w:rsidRPr="00DD549F" w14:paraId="4C755B9D" w14:textId="77777777" w:rsidTr="00667249">
        <w:trPr>
          <w:trHeight w:val="510"/>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6820CCE1"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 xml:space="preserve">Pārējās nodevas par speciālu atļauju (licenču) izsniegšanu atsevišķiem komercdarbības veidiem </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D60B65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2 313</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240294F"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-865</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27D7F4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6388E736"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1 448</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61AFEB4"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2 313</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4A9EB13"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-865</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5AC0DC6"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54991E8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1 448</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135D4D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2 313</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9336990"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-865</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465A643"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6AA80FD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1 448</w:t>
            </w:r>
          </w:p>
        </w:tc>
      </w:tr>
      <w:tr w:rsidR="00DD549F" w:rsidRPr="00DD549F" w14:paraId="52E92B34" w14:textId="77777777" w:rsidTr="00667249">
        <w:trPr>
          <w:trHeight w:val="1020"/>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4D487711"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Nodeva par dokumentu izsniegšanu, kas attiecas uz medību saimniecības izmantošanu, mednieku un medību vadītāju eksāmeniem, medījamo dzīvnieku nodarīto zaudējumu aprēķinu un medību trofeju izvešanu no Latvijas</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00CA9A1"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458 872</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0D4794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50 659</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23C7E84"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682 648</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45CE67DE"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1 192 179</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A73884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458 872</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D405426"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50 659</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7E92AC6"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682 648</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171A8FC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1 192 179</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10B62D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458 872</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CDBDB39"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50 659</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976032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682 648</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3F62F8A2"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1 192 179</w:t>
            </w:r>
          </w:p>
        </w:tc>
      </w:tr>
      <w:tr w:rsidR="00DD549F" w:rsidRPr="00DD549F" w14:paraId="27D95A1B" w14:textId="77777777" w:rsidTr="00667249">
        <w:trPr>
          <w:trHeight w:val="765"/>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562B4740"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 xml:space="preserve">Valsts nodevas par speciālu atļauju (licenču) izsniegšanu vai profesionālās kvalifikācijas atbilstības dokumentu reģistrāciju, kas nav minētas citos koda 9.2.9.0. </w:t>
            </w:r>
            <w:proofErr w:type="spellStart"/>
            <w:r w:rsidRPr="00DD549F">
              <w:rPr>
                <w:rFonts w:eastAsia="Times New Roman"/>
                <w:sz w:val="19"/>
                <w:szCs w:val="19"/>
                <w:lang w:eastAsia="lv-LV"/>
              </w:rPr>
              <w:t>apakškodos</w:t>
            </w:r>
            <w:proofErr w:type="spellEnd"/>
            <w:r w:rsidRPr="00DD549F">
              <w:rPr>
                <w:rFonts w:eastAsia="Times New Roman"/>
                <w:sz w:val="19"/>
                <w:szCs w:val="19"/>
                <w:lang w:eastAsia="lv-LV"/>
              </w:rPr>
              <w:t xml:space="preserve"> </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5594887"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1 716</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D403A8F"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134</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4135FC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64E61B5"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1 850</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80745B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1 716</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A0ADCD8"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134</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DC71000"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38BDBF6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1 850</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265498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1 716</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2C2C23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134</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4A0BF32"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05D3C280"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1 850</w:t>
            </w:r>
          </w:p>
        </w:tc>
      </w:tr>
      <w:tr w:rsidR="00DD549F" w:rsidRPr="00DD549F" w14:paraId="79BEF32F" w14:textId="77777777" w:rsidTr="00667249">
        <w:trPr>
          <w:trHeight w:val="255"/>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58627AB9"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Naudas sodi par zivju resursiem nodarītajiem zaudējumiem</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50AFEE5"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60 000</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1E1826A"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10 000</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354F393"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4D112AC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6A35FC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60 000</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49EFBD6"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10 000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2301BB5"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4AA3B5D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584A13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60 000</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C29DB8D"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10 000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CD893E0"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1BADE88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r>
      <w:tr w:rsidR="00DD549F" w:rsidRPr="00DD549F" w14:paraId="5DC17037" w14:textId="77777777" w:rsidTr="00667249">
        <w:trPr>
          <w:trHeight w:val="255"/>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2D845859"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Naudas sodi par meža resursiem nodarītajiem kaitējumiem</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93E14F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DB812C3"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9B4AF6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33BA30A1"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8E8500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352F794"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0F0DD35"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2362F812"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6D39EC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F7E589D"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D1A343C"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0152BA4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45 532</w:t>
            </w:r>
          </w:p>
        </w:tc>
      </w:tr>
      <w:tr w:rsidR="00DD549F" w:rsidRPr="00DD549F" w14:paraId="25E2329D" w14:textId="77777777" w:rsidTr="00667249">
        <w:trPr>
          <w:trHeight w:val="255"/>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60FAC4D2"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Naudas sodi, ko uzliek Pārtikas un veterinārais dienests</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F5DA59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6A6BB59"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56DF3DE"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3631376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9276D9F"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8A52243"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2203258"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83810D0"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9E9FA45"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032E289"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B2987D2"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034C6C45"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27 576</w:t>
            </w:r>
          </w:p>
        </w:tc>
      </w:tr>
      <w:tr w:rsidR="00DD549F" w:rsidRPr="00DD549F" w14:paraId="3D521340" w14:textId="77777777" w:rsidTr="00667249">
        <w:trPr>
          <w:trHeight w:val="267"/>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71BC7691"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lastRenderedPageBreak/>
              <w:t>Ieņēmumi no konfiscēto zvejas rīku, zvejas līdzekļu un zivju realizācijas</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61D9F1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100</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96D56D4"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400</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2A8C734"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6FEED49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500</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85F196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100</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35F1947"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25998D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2249B7C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500</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11C9D00"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100</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1BFA998"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400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0DA0695"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73B69A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500</w:t>
            </w:r>
          </w:p>
        </w:tc>
      </w:tr>
      <w:tr w:rsidR="00DD549F" w:rsidRPr="00DD549F" w14:paraId="2556EF23" w14:textId="77777777" w:rsidTr="00667249">
        <w:trPr>
          <w:trHeight w:val="510"/>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10B94C67"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Ieņēmumi no ūdenstilpju un zvejas tiesību nomas un zvejas tiesību rūpnieciskas izmantošanas (licences)</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FB4D034"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254 500</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6A42AFD"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-10 500</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3120C6B"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06733CE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244 000</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DF4A0E5"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254 500</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CCD3A65"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-10 500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846204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65518A6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244 000</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43865BF"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254 500</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2A4045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-10 500</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946462E"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47FF39B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244 000</w:t>
            </w:r>
          </w:p>
        </w:tc>
      </w:tr>
      <w:tr w:rsidR="00DD549F" w:rsidRPr="00DD549F" w14:paraId="0681ED06" w14:textId="77777777" w:rsidTr="00667249">
        <w:trPr>
          <w:trHeight w:val="510"/>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1320E5A3"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Ieņēmumi no ūdenstilpju un zvejas tiesību nomas un zvejas tiesību nerūpnieciskas izmantošanas (makšķerēšanas kartes)</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0166279"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746 623</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5CCA801"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116 313</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7560581"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A1E0937"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862 936</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D547DA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746 623</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D64BD64"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116 313</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CC283CF"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4D479E46"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862 936</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F8FC9D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746 623</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A3FBC03"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116 313</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A1C96AE"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15CD7804"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862 936</w:t>
            </w:r>
          </w:p>
        </w:tc>
      </w:tr>
      <w:tr w:rsidR="00DD549F" w:rsidRPr="00DD549F" w14:paraId="1E7DC1A2" w14:textId="77777777" w:rsidTr="00667249">
        <w:trPr>
          <w:trHeight w:val="70"/>
        </w:trPr>
        <w:tc>
          <w:tcPr>
            <w:tcW w:w="3064" w:type="dxa"/>
            <w:tcBorders>
              <w:top w:val="nil"/>
              <w:left w:val="single" w:sz="8" w:space="0" w:color="auto"/>
              <w:bottom w:val="single" w:sz="4" w:space="0" w:color="auto"/>
              <w:right w:val="single" w:sz="8" w:space="0" w:color="auto"/>
            </w:tcBorders>
            <w:shd w:val="clear" w:color="auto" w:fill="auto"/>
            <w:tcMar>
              <w:left w:w="28" w:type="dxa"/>
              <w:right w:w="28" w:type="dxa"/>
            </w:tcMar>
            <w:vAlign w:val="bottom"/>
            <w:hideMark/>
          </w:tcPr>
          <w:p w14:paraId="416EC22A"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Ieņēmumi no zaudējumu atlīdzības par meža resursiem nodarītiem kaitējumiem</w:t>
            </w:r>
          </w:p>
        </w:tc>
        <w:tc>
          <w:tcPr>
            <w:tcW w:w="97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11BADEF"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853 723</w:t>
            </w:r>
          </w:p>
        </w:tc>
        <w:tc>
          <w:tcPr>
            <w:tcW w:w="99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DEC7A26"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304 308</w:t>
            </w:r>
          </w:p>
        </w:tc>
        <w:tc>
          <w:tcPr>
            <w:tcW w:w="98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416D2DA"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5AA3E73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1 158 031</w:t>
            </w:r>
          </w:p>
        </w:tc>
        <w:tc>
          <w:tcPr>
            <w:tcW w:w="915"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5CEAD42B"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853 723</w:t>
            </w:r>
          </w:p>
        </w:tc>
        <w:tc>
          <w:tcPr>
            <w:tcW w:w="92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37DA5AA0"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304 308</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ED38045"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22ECB03C"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1 158 031</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D31A71D"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853 723</w:t>
            </w:r>
          </w:p>
        </w:tc>
        <w:tc>
          <w:tcPr>
            <w:tcW w:w="99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4E50204"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304 308</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08B1E50"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4" w:space="0" w:color="auto"/>
              <w:right w:val="single" w:sz="8" w:space="0" w:color="auto"/>
            </w:tcBorders>
            <w:shd w:val="clear" w:color="auto" w:fill="auto"/>
            <w:tcMar>
              <w:left w:w="28" w:type="dxa"/>
              <w:right w:w="28" w:type="dxa"/>
            </w:tcMar>
            <w:vAlign w:val="bottom"/>
            <w:hideMark/>
          </w:tcPr>
          <w:p w14:paraId="741681C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1 158 031</w:t>
            </w:r>
          </w:p>
        </w:tc>
      </w:tr>
      <w:tr w:rsidR="00DD549F" w:rsidRPr="00DD549F" w14:paraId="35BAD5E7" w14:textId="77777777" w:rsidTr="00667249">
        <w:trPr>
          <w:trHeight w:val="82"/>
        </w:trPr>
        <w:tc>
          <w:tcPr>
            <w:tcW w:w="3064" w:type="dxa"/>
            <w:tcBorders>
              <w:top w:val="nil"/>
              <w:left w:val="single" w:sz="8" w:space="0" w:color="auto"/>
              <w:bottom w:val="single" w:sz="8" w:space="0" w:color="auto"/>
              <w:right w:val="single" w:sz="8" w:space="0" w:color="auto"/>
            </w:tcBorders>
            <w:shd w:val="clear" w:color="auto" w:fill="auto"/>
            <w:tcMar>
              <w:left w:w="28" w:type="dxa"/>
              <w:right w:w="28" w:type="dxa"/>
            </w:tcMar>
            <w:vAlign w:val="bottom"/>
            <w:hideMark/>
          </w:tcPr>
          <w:p w14:paraId="597A1920" w14:textId="77777777" w:rsidR="000F7824" w:rsidRPr="00DD549F" w:rsidRDefault="000F7824" w:rsidP="00DD549F">
            <w:pPr>
              <w:spacing w:after="0" w:line="240" w:lineRule="auto"/>
              <w:ind w:left="57" w:right="57"/>
              <w:jc w:val="both"/>
              <w:rPr>
                <w:rFonts w:eastAsia="Times New Roman"/>
                <w:sz w:val="19"/>
                <w:szCs w:val="19"/>
                <w:lang w:eastAsia="lv-LV"/>
              </w:rPr>
            </w:pPr>
            <w:r w:rsidRPr="00DD549F">
              <w:rPr>
                <w:rFonts w:eastAsia="Times New Roman"/>
                <w:sz w:val="19"/>
                <w:szCs w:val="19"/>
                <w:lang w:eastAsia="lv-LV"/>
              </w:rPr>
              <w:t>Ieņēmumi no zaudējumu atlīdzības par zivju resursiem nodarītiem zaudējumiem</w:t>
            </w:r>
          </w:p>
        </w:tc>
        <w:tc>
          <w:tcPr>
            <w:tcW w:w="974"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3C22C016"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90"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1C2FCF35"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5"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712CD51B"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8" w:space="0" w:color="auto"/>
              <w:right w:val="single" w:sz="8" w:space="0" w:color="auto"/>
            </w:tcBorders>
            <w:shd w:val="clear" w:color="auto" w:fill="auto"/>
            <w:tcMar>
              <w:left w:w="28" w:type="dxa"/>
              <w:right w:w="28" w:type="dxa"/>
            </w:tcMar>
            <w:vAlign w:val="bottom"/>
            <w:hideMark/>
          </w:tcPr>
          <w:p w14:paraId="5FF85721"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15"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55338399"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20"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344C7307"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73E5A357"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88" w:type="dxa"/>
            <w:tcBorders>
              <w:top w:val="nil"/>
              <w:left w:val="nil"/>
              <w:bottom w:val="single" w:sz="8" w:space="0" w:color="auto"/>
              <w:right w:val="single" w:sz="8" w:space="0" w:color="auto"/>
            </w:tcBorders>
            <w:shd w:val="clear" w:color="auto" w:fill="auto"/>
            <w:tcMar>
              <w:left w:w="28" w:type="dxa"/>
              <w:right w:w="28" w:type="dxa"/>
            </w:tcMar>
            <w:vAlign w:val="bottom"/>
            <w:hideMark/>
          </w:tcPr>
          <w:p w14:paraId="4BB82B9A"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82"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736D9B78"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c>
          <w:tcPr>
            <w:tcW w:w="991"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4EF23358" w14:textId="77777777" w:rsidR="000F7824" w:rsidRPr="00DD549F" w:rsidRDefault="000F7824" w:rsidP="00667249">
            <w:pPr>
              <w:spacing w:after="0" w:line="240" w:lineRule="auto"/>
              <w:ind w:right="57"/>
              <w:jc w:val="right"/>
              <w:rPr>
                <w:rFonts w:eastAsia="Times New Roman"/>
                <w:i/>
                <w:iCs/>
                <w:color w:val="000000"/>
                <w:sz w:val="19"/>
                <w:szCs w:val="19"/>
                <w:lang w:eastAsia="lv-LV"/>
              </w:rPr>
            </w:pPr>
            <w:r w:rsidRPr="00DD549F">
              <w:rPr>
                <w:rFonts w:eastAsia="Times New Roman"/>
                <w:i/>
                <w:iCs/>
                <w:color w:val="000000"/>
                <w:sz w:val="19"/>
                <w:szCs w:val="19"/>
                <w:lang w:eastAsia="lv-LV"/>
              </w:rPr>
              <w:t>0</w:t>
            </w:r>
          </w:p>
        </w:tc>
        <w:tc>
          <w:tcPr>
            <w:tcW w:w="984" w:type="dxa"/>
            <w:tcBorders>
              <w:top w:val="nil"/>
              <w:left w:val="nil"/>
              <w:bottom w:val="single" w:sz="8" w:space="0" w:color="auto"/>
              <w:right w:val="single" w:sz="4" w:space="0" w:color="auto"/>
            </w:tcBorders>
            <w:shd w:val="clear" w:color="auto" w:fill="auto"/>
            <w:tcMar>
              <w:left w:w="28" w:type="dxa"/>
              <w:right w:w="28" w:type="dxa"/>
            </w:tcMar>
            <w:vAlign w:val="bottom"/>
            <w:hideMark/>
          </w:tcPr>
          <w:p w14:paraId="3CA88E69" w14:textId="77777777" w:rsidR="000F7824" w:rsidRPr="00DD549F" w:rsidRDefault="000F7824" w:rsidP="00667249">
            <w:pPr>
              <w:spacing w:after="0" w:line="240" w:lineRule="auto"/>
              <w:ind w:right="57"/>
              <w:rPr>
                <w:rFonts w:eastAsia="Times New Roman"/>
                <w:i/>
                <w:iCs/>
                <w:color w:val="000000"/>
                <w:sz w:val="19"/>
                <w:szCs w:val="19"/>
                <w:lang w:eastAsia="lv-LV"/>
              </w:rPr>
            </w:pPr>
            <w:r w:rsidRPr="00DD549F">
              <w:rPr>
                <w:rFonts w:eastAsia="Times New Roman"/>
                <w:i/>
                <w:iCs/>
                <w:color w:val="000000"/>
                <w:sz w:val="19"/>
                <w:szCs w:val="19"/>
                <w:lang w:eastAsia="lv-LV"/>
              </w:rPr>
              <w:t> </w:t>
            </w:r>
          </w:p>
        </w:tc>
        <w:tc>
          <w:tcPr>
            <w:tcW w:w="967" w:type="dxa"/>
            <w:tcBorders>
              <w:top w:val="nil"/>
              <w:left w:val="nil"/>
              <w:bottom w:val="single" w:sz="8" w:space="0" w:color="auto"/>
              <w:right w:val="single" w:sz="8" w:space="0" w:color="auto"/>
            </w:tcBorders>
            <w:shd w:val="clear" w:color="auto" w:fill="auto"/>
            <w:tcMar>
              <w:left w:w="28" w:type="dxa"/>
              <w:right w:w="28" w:type="dxa"/>
            </w:tcMar>
            <w:vAlign w:val="bottom"/>
            <w:hideMark/>
          </w:tcPr>
          <w:p w14:paraId="296C2B03" w14:textId="77777777" w:rsidR="000F7824" w:rsidRPr="00DD549F" w:rsidRDefault="000F7824" w:rsidP="00667249">
            <w:pPr>
              <w:spacing w:after="0" w:line="240" w:lineRule="auto"/>
              <w:ind w:right="57"/>
              <w:jc w:val="right"/>
              <w:rPr>
                <w:rFonts w:eastAsia="Times New Roman"/>
                <w:b/>
                <w:bCs/>
                <w:color w:val="000000"/>
                <w:sz w:val="19"/>
                <w:szCs w:val="19"/>
                <w:lang w:eastAsia="lv-LV"/>
              </w:rPr>
            </w:pPr>
            <w:r w:rsidRPr="00DD549F">
              <w:rPr>
                <w:rFonts w:eastAsia="Times New Roman"/>
                <w:b/>
                <w:bCs/>
                <w:color w:val="000000"/>
                <w:sz w:val="19"/>
                <w:szCs w:val="19"/>
                <w:lang w:eastAsia="lv-LV"/>
              </w:rPr>
              <w:t>70 000</w:t>
            </w:r>
          </w:p>
        </w:tc>
      </w:tr>
    </w:tbl>
    <w:p w14:paraId="1228B71E" w14:textId="1B9C0085" w:rsidR="000F7824" w:rsidRDefault="000F7824" w:rsidP="000F7824">
      <w:pPr>
        <w:jc w:val="center"/>
      </w:pPr>
    </w:p>
    <w:p w14:paraId="4ACCB81F" w14:textId="2AC053E1" w:rsidR="002C2EE0" w:rsidRPr="002C2EE0" w:rsidRDefault="002C2EE0" w:rsidP="002C2EE0"/>
    <w:p w14:paraId="2F5EB7AE" w14:textId="5FB958FD" w:rsidR="002C2EE0" w:rsidRDefault="002C2EE0" w:rsidP="002C2EE0"/>
    <w:p w14:paraId="6CCA7FB1" w14:textId="77777777" w:rsidR="002C2EE0" w:rsidRDefault="002C2EE0" w:rsidP="002C2EE0">
      <w:pPr>
        <w:ind w:firstLine="720"/>
      </w:pPr>
      <w:r>
        <w:t>Ministrs</w:t>
      </w:r>
      <w:r>
        <w:tab/>
      </w:r>
      <w:r>
        <w:tab/>
      </w:r>
      <w:r>
        <w:tab/>
      </w:r>
      <w:r>
        <w:tab/>
      </w:r>
      <w:r>
        <w:tab/>
      </w:r>
      <w:r>
        <w:tab/>
      </w:r>
      <w:r>
        <w:tab/>
      </w:r>
      <w:r>
        <w:tab/>
      </w:r>
      <w:r>
        <w:tab/>
      </w:r>
      <w:r>
        <w:tab/>
      </w:r>
      <w:r>
        <w:tab/>
      </w:r>
      <w:r>
        <w:tab/>
      </w:r>
      <w:r>
        <w:tab/>
      </w:r>
      <w:r>
        <w:tab/>
        <w:t>J. Reirs</w:t>
      </w:r>
    </w:p>
    <w:p w14:paraId="2F91A994" w14:textId="77777777" w:rsidR="002C2EE0" w:rsidRDefault="002C2EE0" w:rsidP="002C2EE0">
      <w:pPr>
        <w:rPr>
          <w:b/>
          <w:bCs/>
        </w:rPr>
      </w:pPr>
    </w:p>
    <w:p w14:paraId="02236B69" w14:textId="77777777" w:rsidR="002C2EE0" w:rsidRDefault="002C2EE0" w:rsidP="002C2EE0">
      <w:pPr>
        <w:spacing w:after="0" w:line="240" w:lineRule="auto"/>
        <w:rPr>
          <w:sz w:val="20"/>
          <w:szCs w:val="20"/>
        </w:rPr>
      </w:pPr>
    </w:p>
    <w:p w14:paraId="23DC4A0D" w14:textId="77777777" w:rsidR="002C2EE0" w:rsidRDefault="002C2EE0" w:rsidP="002C2EE0">
      <w:pPr>
        <w:spacing w:after="0" w:line="240" w:lineRule="auto"/>
        <w:rPr>
          <w:sz w:val="20"/>
          <w:szCs w:val="20"/>
        </w:rPr>
      </w:pPr>
    </w:p>
    <w:p w14:paraId="5511A353" w14:textId="77777777" w:rsidR="002C2EE0" w:rsidRDefault="002C2EE0" w:rsidP="002C2EE0">
      <w:pPr>
        <w:spacing w:after="0" w:line="240" w:lineRule="auto"/>
        <w:rPr>
          <w:sz w:val="20"/>
          <w:szCs w:val="20"/>
        </w:rPr>
      </w:pPr>
      <w:r>
        <w:rPr>
          <w:sz w:val="20"/>
          <w:szCs w:val="20"/>
        </w:rPr>
        <w:t>Riekstiņš, 20276454</w:t>
      </w:r>
    </w:p>
    <w:p w14:paraId="20B38663" w14:textId="77777777" w:rsidR="002C2EE0" w:rsidRDefault="002C2EE0" w:rsidP="002C2EE0">
      <w:pPr>
        <w:spacing w:after="0" w:line="240" w:lineRule="auto"/>
        <w:rPr>
          <w:sz w:val="20"/>
          <w:szCs w:val="20"/>
        </w:rPr>
      </w:pPr>
      <w:r>
        <w:rPr>
          <w:sz w:val="20"/>
          <w:szCs w:val="20"/>
        </w:rPr>
        <w:t>Kristaps.Riekstins@fm.gov.lv</w:t>
      </w:r>
    </w:p>
    <w:p w14:paraId="6497C663" w14:textId="77777777" w:rsidR="002C2EE0" w:rsidRPr="002C2EE0" w:rsidRDefault="002C2EE0" w:rsidP="002C2EE0"/>
    <w:sectPr w:rsidR="002C2EE0" w:rsidRPr="002C2EE0" w:rsidSect="000F7824">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3C83" w14:textId="77777777" w:rsidR="008466C2" w:rsidRDefault="008466C2" w:rsidP="003129A5">
      <w:pPr>
        <w:spacing w:after="0" w:line="240" w:lineRule="auto"/>
      </w:pPr>
      <w:r>
        <w:separator/>
      </w:r>
    </w:p>
  </w:endnote>
  <w:endnote w:type="continuationSeparator" w:id="0">
    <w:p w14:paraId="46C23EEA" w14:textId="77777777" w:rsidR="008466C2" w:rsidRDefault="008466C2" w:rsidP="0031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8F05" w14:textId="77777777" w:rsidR="002478EC" w:rsidRDefault="0024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05B6" w14:textId="09C83621" w:rsidR="003129A5" w:rsidRDefault="002C2EE0">
    <w:pPr>
      <w:pStyle w:val="Footer"/>
    </w:pPr>
    <w:r>
      <w:fldChar w:fldCharType="begin"/>
    </w:r>
    <w:r>
      <w:instrText xml:space="preserve"> FILENAME \* MERGEFORMAT </w:instrText>
    </w:r>
    <w:r>
      <w:fldChar w:fldCharType="separate"/>
    </w:r>
    <w:r w:rsidR="003129A5">
      <w:rPr>
        <w:noProof/>
      </w:rPr>
      <w:t>FMZinp2_041022_Izdparsk.docx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0BF4" w14:textId="77777777" w:rsidR="002478EC" w:rsidRDefault="0024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1964" w14:textId="77777777" w:rsidR="008466C2" w:rsidRDefault="008466C2" w:rsidP="003129A5">
      <w:pPr>
        <w:spacing w:after="0" w:line="240" w:lineRule="auto"/>
      </w:pPr>
      <w:r>
        <w:separator/>
      </w:r>
    </w:p>
  </w:footnote>
  <w:footnote w:type="continuationSeparator" w:id="0">
    <w:p w14:paraId="449042FF" w14:textId="77777777" w:rsidR="008466C2" w:rsidRDefault="008466C2" w:rsidP="0031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7FDA" w14:textId="77777777" w:rsidR="002478EC" w:rsidRDefault="00247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F8B0" w14:textId="48EFEA08" w:rsidR="00B30E71" w:rsidRPr="002478EC" w:rsidRDefault="00B30E71" w:rsidP="00247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7B68" w14:textId="77777777" w:rsidR="002478EC" w:rsidRDefault="00247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17"/>
    <w:rsid w:val="000F7824"/>
    <w:rsid w:val="00103B2F"/>
    <w:rsid w:val="00141AAF"/>
    <w:rsid w:val="002478EC"/>
    <w:rsid w:val="002C2EE0"/>
    <w:rsid w:val="003129A5"/>
    <w:rsid w:val="00342A2B"/>
    <w:rsid w:val="00415937"/>
    <w:rsid w:val="00460475"/>
    <w:rsid w:val="0060748D"/>
    <w:rsid w:val="00667249"/>
    <w:rsid w:val="006819C0"/>
    <w:rsid w:val="00762B30"/>
    <w:rsid w:val="007F1205"/>
    <w:rsid w:val="0083440C"/>
    <w:rsid w:val="008466C2"/>
    <w:rsid w:val="00947417"/>
    <w:rsid w:val="00B30E71"/>
    <w:rsid w:val="00DD549F"/>
    <w:rsid w:val="00E90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11C4"/>
  <w15:chartTrackingRefBased/>
  <w15:docId w15:val="{C3EF6B08-EB2D-4AF2-B8D8-43D02F65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29A5"/>
  </w:style>
  <w:style w:type="paragraph" w:styleId="Footer">
    <w:name w:val="footer"/>
    <w:basedOn w:val="Normal"/>
    <w:link w:val="FooterChar"/>
    <w:uiPriority w:val="99"/>
    <w:unhideWhenUsed/>
    <w:rsid w:val="003129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6492">
      <w:bodyDiv w:val="1"/>
      <w:marLeft w:val="0"/>
      <w:marRight w:val="0"/>
      <w:marTop w:val="0"/>
      <w:marBottom w:val="0"/>
      <w:divBdr>
        <w:top w:val="none" w:sz="0" w:space="0" w:color="auto"/>
        <w:left w:val="none" w:sz="0" w:space="0" w:color="auto"/>
        <w:bottom w:val="none" w:sz="0" w:space="0" w:color="auto"/>
        <w:right w:val="none" w:sz="0" w:space="0" w:color="auto"/>
      </w:divBdr>
    </w:div>
    <w:div w:id="18946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1963</Words>
  <Characters>1119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2. pielikums Informatīvajam ziņojumam “Par valsts budžeta izdevumu pārskatīšanas rezultātiem un priekšlikumi par šo rezultātu izmantošanu likumprojekta “Par vidēja termiņa budžeta ietvaru 2023., 2024. un 2025. gadam” un likumprojekta “Par valsts budžetu 2</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Informatīvajam ziņojumam “Par valsts budžeta izdevumu pārskatīšanas rezultātiem un priekšlikumi par šo rezultātu izmantošanu likumprojekta “Par vidēja termiņa budžeta ietvaru 2023., 2024. un 2025. gadam” un likumprojekta “Par valsts budžetu 2023. gadam” izstrādes procesā</dc:title>
  <dc:subject>2. pielikums</dc:subject>
  <dc:creator>BD</dc:creator>
  <cp:keywords/>
  <dc:description>Kristaps.Riekstins@fm.gov.lv, 20276454</dc:description>
  <cp:lastModifiedBy>Māra Aļļēna</cp:lastModifiedBy>
  <cp:revision>9</cp:revision>
  <dcterms:created xsi:type="dcterms:W3CDTF">2022-08-30T08:04:00Z</dcterms:created>
  <dcterms:modified xsi:type="dcterms:W3CDTF">2022-10-14T06:42:00Z</dcterms:modified>
</cp:coreProperties>
</file>