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CD330" w14:textId="5FE5F022" w:rsidR="003A1AEE" w:rsidRPr="004968DE" w:rsidRDefault="003A1AEE" w:rsidP="005559C3">
      <w:pPr>
        <w:ind w:right="-30"/>
        <w:jc w:val="center"/>
        <w:rPr>
          <w:rFonts w:ascii="Times New Roman" w:hAnsi="Times New Roman" w:cs="Times New Roman"/>
          <w:b/>
          <w:sz w:val="28"/>
          <w:szCs w:val="28"/>
        </w:rPr>
      </w:pPr>
      <w:r w:rsidRPr="004968DE">
        <w:rPr>
          <w:rFonts w:ascii="Times New Roman" w:hAnsi="Times New Roman" w:cs="Times New Roman"/>
          <w:b/>
          <w:sz w:val="28"/>
          <w:szCs w:val="28"/>
        </w:rPr>
        <w:t>Twinning Manual 2017</w:t>
      </w:r>
      <w:r w:rsidR="00E37609" w:rsidRPr="004968DE">
        <w:rPr>
          <w:rFonts w:ascii="Times New Roman" w:hAnsi="Times New Roman" w:cs="Times New Roman"/>
          <w:b/>
          <w:sz w:val="28"/>
          <w:szCs w:val="28"/>
        </w:rPr>
        <w:t xml:space="preserve"> -</w:t>
      </w:r>
      <w:r w:rsidR="00D22A9E" w:rsidRPr="004968DE">
        <w:rPr>
          <w:rFonts w:ascii="Times New Roman" w:hAnsi="Times New Roman" w:cs="Times New Roman"/>
          <w:b/>
          <w:sz w:val="28"/>
          <w:szCs w:val="28"/>
        </w:rPr>
        <w:t xml:space="preserve"> Update </w:t>
      </w:r>
      <w:r w:rsidR="001E1382">
        <w:rPr>
          <w:rFonts w:ascii="Times New Roman" w:hAnsi="Times New Roman" w:cs="Times New Roman"/>
          <w:b/>
          <w:sz w:val="28"/>
          <w:szCs w:val="28"/>
        </w:rPr>
        <w:t>2022</w:t>
      </w:r>
    </w:p>
    <w:p w14:paraId="175E91E9" w14:textId="2077C1DA" w:rsidR="00D22A9E" w:rsidRPr="004968DE" w:rsidRDefault="00D22A9E" w:rsidP="00355045">
      <w:pPr>
        <w:spacing w:after="240"/>
        <w:ind w:right="-28"/>
        <w:jc w:val="center"/>
        <w:rPr>
          <w:rFonts w:ascii="Times New Roman" w:hAnsi="Times New Roman" w:cs="Times New Roman"/>
          <w:b/>
          <w:smallCaps/>
          <w:sz w:val="28"/>
          <w:szCs w:val="28"/>
        </w:rPr>
      </w:pPr>
      <w:r w:rsidRPr="004968DE">
        <w:rPr>
          <w:rFonts w:ascii="Times New Roman" w:hAnsi="Times New Roman" w:cs="Times New Roman"/>
          <w:b/>
          <w:smallCaps/>
          <w:sz w:val="28"/>
          <w:szCs w:val="28"/>
        </w:rPr>
        <w:t xml:space="preserve">Synopsis of </w:t>
      </w:r>
      <w:r w:rsidR="001E1382">
        <w:rPr>
          <w:rFonts w:ascii="Times New Roman" w:hAnsi="Times New Roman" w:cs="Times New Roman"/>
          <w:b/>
          <w:smallCaps/>
          <w:sz w:val="28"/>
          <w:szCs w:val="28"/>
        </w:rPr>
        <w:t xml:space="preserve">the most important </w:t>
      </w:r>
      <w:r w:rsidRPr="004968DE">
        <w:rPr>
          <w:rFonts w:ascii="Times New Roman" w:hAnsi="Times New Roman" w:cs="Times New Roman"/>
          <w:b/>
          <w:smallCaps/>
          <w:sz w:val="28"/>
          <w:szCs w:val="28"/>
        </w:rPr>
        <w:t>updates</w:t>
      </w:r>
    </w:p>
    <w:tbl>
      <w:tblPr>
        <w:tblStyle w:val="TableGrid"/>
        <w:tblW w:w="14283" w:type="dxa"/>
        <w:tblLayout w:type="fixed"/>
        <w:tblLook w:val="04A0" w:firstRow="1" w:lastRow="0" w:firstColumn="1" w:lastColumn="0" w:noHBand="0" w:noVBand="1"/>
      </w:tblPr>
      <w:tblGrid>
        <w:gridCol w:w="3085"/>
        <w:gridCol w:w="8789"/>
        <w:gridCol w:w="1418"/>
        <w:gridCol w:w="991"/>
      </w:tblGrid>
      <w:tr w:rsidR="004A7E40" w:rsidRPr="004968DE" w14:paraId="64CDBE53" w14:textId="228628A5" w:rsidTr="00D27D62">
        <w:trPr>
          <w:tblHeader/>
        </w:trPr>
        <w:tc>
          <w:tcPr>
            <w:tcW w:w="3085" w:type="dxa"/>
            <w:shd w:val="clear" w:color="auto" w:fill="FDE9D9" w:themeFill="accent6" w:themeFillTint="33"/>
          </w:tcPr>
          <w:p w14:paraId="67F340DA" w14:textId="50B88E0D" w:rsidR="004A7E40" w:rsidRPr="00D27D62" w:rsidRDefault="004A7E40" w:rsidP="001E1382">
            <w:pPr>
              <w:jc w:val="center"/>
              <w:rPr>
                <w:rFonts w:ascii="Times New Roman" w:hAnsi="Times New Roman" w:cs="Times New Roman"/>
                <w:b/>
                <w:bCs/>
              </w:rPr>
            </w:pPr>
            <w:r w:rsidRPr="00D27D62">
              <w:rPr>
                <w:rFonts w:ascii="Times New Roman" w:hAnsi="Times New Roman" w:cs="Times New Roman"/>
                <w:b/>
                <w:bCs/>
              </w:rPr>
              <w:t>Section</w:t>
            </w:r>
          </w:p>
        </w:tc>
        <w:tc>
          <w:tcPr>
            <w:tcW w:w="8789" w:type="dxa"/>
            <w:shd w:val="clear" w:color="auto" w:fill="FDE9D9" w:themeFill="accent6" w:themeFillTint="33"/>
          </w:tcPr>
          <w:p w14:paraId="7A0BD763" w14:textId="43065B83" w:rsidR="004A7E40" w:rsidRPr="00D27D62" w:rsidRDefault="004A7E40" w:rsidP="001E1382">
            <w:pPr>
              <w:jc w:val="center"/>
              <w:rPr>
                <w:rFonts w:ascii="Times New Roman" w:hAnsi="Times New Roman" w:cs="Times New Roman"/>
                <w:b/>
                <w:bCs/>
              </w:rPr>
            </w:pPr>
            <w:r w:rsidRPr="00D27D62">
              <w:rPr>
                <w:rFonts w:ascii="Times New Roman" w:hAnsi="Times New Roman" w:cs="Times New Roman"/>
                <w:b/>
                <w:bCs/>
              </w:rPr>
              <w:t>Issue - Modification</w:t>
            </w:r>
          </w:p>
        </w:tc>
        <w:tc>
          <w:tcPr>
            <w:tcW w:w="1418" w:type="dxa"/>
            <w:shd w:val="clear" w:color="auto" w:fill="FDE9D9" w:themeFill="accent6" w:themeFillTint="33"/>
          </w:tcPr>
          <w:p w14:paraId="44786CCC" w14:textId="5D241FED" w:rsidR="004A7E40" w:rsidRPr="00D27D62" w:rsidRDefault="004A7E40" w:rsidP="001E1382">
            <w:pPr>
              <w:jc w:val="center"/>
              <w:rPr>
                <w:rFonts w:ascii="Times New Roman" w:hAnsi="Times New Roman" w:cs="Times New Roman"/>
                <w:b/>
                <w:bCs/>
              </w:rPr>
            </w:pPr>
            <w:r w:rsidRPr="00D27D62">
              <w:rPr>
                <w:rFonts w:ascii="Times New Roman" w:hAnsi="Times New Roman" w:cs="Times New Roman"/>
                <w:b/>
                <w:bCs/>
              </w:rPr>
              <w:t>Clarification</w:t>
            </w:r>
          </w:p>
        </w:tc>
        <w:tc>
          <w:tcPr>
            <w:tcW w:w="991" w:type="dxa"/>
            <w:shd w:val="clear" w:color="auto" w:fill="FABF8F" w:themeFill="accent6" w:themeFillTint="99"/>
          </w:tcPr>
          <w:p w14:paraId="0FD20887" w14:textId="290092F5" w:rsidR="004A7E40" w:rsidRPr="00D27D62" w:rsidRDefault="004A7E40" w:rsidP="001E1382">
            <w:pPr>
              <w:jc w:val="center"/>
              <w:rPr>
                <w:rFonts w:ascii="Times New Roman" w:hAnsi="Times New Roman" w:cs="Times New Roman"/>
                <w:b/>
                <w:bCs/>
              </w:rPr>
            </w:pPr>
            <w:r w:rsidRPr="00D27D62">
              <w:rPr>
                <w:rFonts w:ascii="Times New Roman" w:hAnsi="Times New Roman" w:cs="Times New Roman"/>
                <w:b/>
                <w:bCs/>
              </w:rPr>
              <w:t>NEW</w:t>
            </w:r>
          </w:p>
        </w:tc>
      </w:tr>
      <w:tr w:rsidR="004A7E40" w:rsidRPr="004A7E40" w14:paraId="2021649E" w14:textId="079DDA92" w:rsidTr="004A7E40">
        <w:tc>
          <w:tcPr>
            <w:tcW w:w="3085" w:type="dxa"/>
          </w:tcPr>
          <w:p w14:paraId="440B5157" w14:textId="1DE6EC2F" w:rsidR="004A7E40" w:rsidRPr="004968DE" w:rsidRDefault="004A7E40" w:rsidP="004968DE">
            <w:pPr>
              <w:rPr>
                <w:rFonts w:ascii="Times New Roman" w:hAnsi="Times New Roman" w:cs="Times New Roman"/>
              </w:rPr>
            </w:pPr>
            <w:r w:rsidRPr="001E1382">
              <w:rPr>
                <w:rFonts w:ascii="Times New Roman" w:hAnsi="Times New Roman" w:cs="Times New Roman"/>
              </w:rPr>
              <w:t>1.2 Twinning management modes and contracting authorities</w:t>
            </w:r>
          </w:p>
        </w:tc>
        <w:tc>
          <w:tcPr>
            <w:tcW w:w="8789" w:type="dxa"/>
          </w:tcPr>
          <w:p w14:paraId="013C529F" w14:textId="7E2603B3" w:rsidR="004A7E40" w:rsidRPr="004968DE" w:rsidRDefault="004A7E40" w:rsidP="002941A0">
            <w:pPr>
              <w:rPr>
                <w:rFonts w:ascii="Times New Roman" w:eastAsia="Times New Roman" w:hAnsi="Times New Roman" w:cs="Times New Roman"/>
                <w:lang w:eastAsia="en-GB"/>
              </w:rPr>
            </w:pPr>
            <w:r w:rsidRPr="00DB778C">
              <w:rPr>
                <w:rFonts w:ascii="Times New Roman" w:eastAsia="Times New Roman" w:hAnsi="Times New Roman" w:cs="Times New Roman"/>
                <w:b/>
                <w:lang w:eastAsia="en-GB"/>
              </w:rPr>
              <w:t>Financing agreement</w:t>
            </w:r>
            <w:r>
              <w:rPr>
                <w:rFonts w:ascii="Times New Roman" w:eastAsia="Times New Roman" w:hAnsi="Times New Roman" w:cs="Times New Roman"/>
                <w:b/>
                <w:lang w:eastAsia="en-GB"/>
              </w:rPr>
              <w:t xml:space="preserve"> -</w:t>
            </w:r>
            <w:r>
              <w:rPr>
                <w:rFonts w:ascii="Times New Roman" w:eastAsia="Times New Roman" w:hAnsi="Times New Roman" w:cs="Times New Roman"/>
                <w:lang w:eastAsia="en-GB"/>
              </w:rPr>
              <w:t xml:space="preserve"> </w:t>
            </w:r>
            <w:r w:rsidRPr="001E1382">
              <w:rPr>
                <w:rFonts w:ascii="Times New Roman" w:eastAsia="Times New Roman" w:hAnsi="Times New Roman" w:cs="Times New Roman"/>
                <w:lang w:eastAsia="en-GB"/>
              </w:rPr>
              <w:t>Twinning Grant Contracts are concluded by a Contracting Authority designated in a financing agreement or in a financing decision as long as the commitment of the Partner country is ensured in writing.</w:t>
            </w:r>
          </w:p>
          <w:p w14:paraId="023A5357" w14:textId="77777777" w:rsidR="004A7E40" w:rsidRPr="004968DE" w:rsidRDefault="004A7E40" w:rsidP="002941A0">
            <w:pPr>
              <w:rPr>
                <w:rFonts w:ascii="Times New Roman" w:eastAsia="Times New Roman" w:hAnsi="Times New Roman" w:cs="Times New Roman"/>
                <w:lang w:eastAsia="en-GB"/>
              </w:rPr>
            </w:pPr>
          </w:p>
        </w:tc>
        <w:tc>
          <w:tcPr>
            <w:tcW w:w="1418" w:type="dxa"/>
          </w:tcPr>
          <w:p w14:paraId="29756EB6" w14:textId="77777777" w:rsidR="004A7E40" w:rsidRPr="004A7E40" w:rsidRDefault="004A7E40" w:rsidP="004A7E40">
            <w:pPr>
              <w:jc w:val="center"/>
              <w:rPr>
                <w:rFonts w:ascii="Times New Roman" w:eastAsia="Times New Roman" w:hAnsi="Times New Roman" w:cs="Times New Roman"/>
                <w:lang w:eastAsia="en-GB"/>
              </w:rPr>
            </w:pPr>
          </w:p>
        </w:tc>
        <w:tc>
          <w:tcPr>
            <w:tcW w:w="991" w:type="dxa"/>
          </w:tcPr>
          <w:p w14:paraId="4DD6B701" w14:textId="1D17C86F" w:rsidR="004A7E40" w:rsidRPr="004A7E40" w:rsidRDefault="004A7E40" w:rsidP="004A7E40">
            <w:pPr>
              <w:jc w:val="center"/>
              <w:rPr>
                <w:rFonts w:ascii="Times New Roman" w:eastAsia="Times New Roman" w:hAnsi="Times New Roman" w:cs="Times New Roman"/>
                <w:lang w:eastAsia="en-GB"/>
              </w:rPr>
            </w:pPr>
            <w:r w:rsidRPr="004A7E40">
              <w:rPr>
                <w:rFonts w:ascii="Times New Roman" w:eastAsia="Times New Roman" w:hAnsi="Times New Roman" w:cs="Times New Roman"/>
                <w:lang w:eastAsia="en-GB"/>
              </w:rPr>
              <w:t>X</w:t>
            </w:r>
          </w:p>
        </w:tc>
      </w:tr>
      <w:tr w:rsidR="004A7E40" w:rsidRPr="004A7E40" w14:paraId="4AF44046" w14:textId="41378265" w:rsidTr="004A7E40">
        <w:tc>
          <w:tcPr>
            <w:tcW w:w="3085" w:type="dxa"/>
          </w:tcPr>
          <w:p w14:paraId="29BAE632" w14:textId="5814773F" w:rsidR="004A7E40" w:rsidRPr="004968DE" w:rsidRDefault="004A7E40" w:rsidP="003871B4">
            <w:pPr>
              <w:rPr>
                <w:rFonts w:ascii="Times New Roman" w:hAnsi="Times New Roman" w:cs="Times New Roman"/>
              </w:rPr>
            </w:pPr>
            <w:r w:rsidRPr="001E1382">
              <w:rPr>
                <w:rFonts w:ascii="Times New Roman" w:hAnsi="Times New Roman" w:cs="Times New Roman"/>
              </w:rPr>
              <w:t>2.1</w:t>
            </w:r>
            <w:r>
              <w:rPr>
                <w:rFonts w:ascii="Times New Roman" w:hAnsi="Times New Roman" w:cs="Times New Roman"/>
              </w:rPr>
              <w:t>.1</w:t>
            </w:r>
            <w:r w:rsidRPr="001E1382">
              <w:rPr>
                <w:rFonts w:ascii="Times New Roman" w:hAnsi="Times New Roman" w:cs="Times New Roman"/>
              </w:rPr>
              <w:t xml:space="preserve"> </w:t>
            </w:r>
            <w:r>
              <w:rPr>
                <w:rFonts w:ascii="Times New Roman" w:hAnsi="Times New Roman" w:cs="Times New Roman"/>
              </w:rPr>
              <w:t xml:space="preserve">Key Elements of the </w:t>
            </w:r>
            <w:r w:rsidRPr="001E1382">
              <w:rPr>
                <w:rFonts w:ascii="Times New Roman" w:hAnsi="Times New Roman" w:cs="Times New Roman"/>
              </w:rPr>
              <w:t>Twinning Fiche</w:t>
            </w:r>
          </w:p>
        </w:tc>
        <w:tc>
          <w:tcPr>
            <w:tcW w:w="8789" w:type="dxa"/>
          </w:tcPr>
          <w:p w14:paraId="0FC6B54A" w14:textId="516876EC" w:rsidR="004A7E40" w:rsidRDefault="004A7E40" w:rsidP="00D75FE6">
            <w:pPr>
              <w:rPr>
                <w:rFonts w:ascii="Times New Roman" w:eastAsia="Times New Roman" w:hAnsi="Times New Roman" w:cs="Times New Roman"/>
                <w:lang w:eastAsia="en-GB"/>
              </w:rPr>
            </w:pPr>
            <w:r w:rsidRPr="00DB778C">
              <w:rPr>
                <w:rFonts w:ascii="Times New Roman" w:eastAsia="Times New Roman" w:hAnsi="Times New Roman" w:cs="Times New Roman"/>
                <w:b/>
                <w:lang w:eastAsia="en-GB"/>
              </w:rPr>
              <w:t>Inter-service consultation</w:t>
            </w:r>
            <w:r>
              <w:rPr>
                <w:rFonts w:ascii="Times New Roman" w:eastAsia="Times New Roman" w:hAnsi="Times New Roman" w:cs="Times New Roman"/>
                <w:lang w:eastAsia="en-GB"/>
              </w:rPr>
              <w:t xml:space="preserve"> – For direct and indirect management: modified EU Delegation-led consultation procedure replacing the former Inter-service consultation managed by the HQ.</w:t>
            </w:r>
          </w:p>
          <w:p w14:paraId="021DD719" w14:textId="292BC8E5" w:rsidR="004A7E40" w:rsidRPr="004968DE" w:rsidRDefault="004A7E40" w:rsidP="00D75FE6">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w:t>
            </w:r>
          </w:p>
        </w:tc>
        <w:tc>
          <w:tcPr>
            <w:tcW w:w="1418" w:type="dxa"/>
          </w:tcPr>
          <w:p w14:paraId="3B868F2E" w14:textId="77777777" w:rsidR="004A7E40" w:rsidRPr="004A7E40" w:rsidRDefault="004A7E40" w:rsidP="004A7E40">
            <w:pPr>
              <w:jc w:val="center"/>
              <w:rPr>
                <w:rFonts w:ascii="Times New Roman" w:eastAsia="Times New Roman" w:hAnsi="Times New Roman" w:cs="Times New Roman"/>
                <w:lang w:eastAsia="en-GB"/>
              </w:rPr>
            </w:pPr>
          </w:p>
        </w:tc>
        <w:tc>
          <w:tcPr>
            <w:tcW w:w="991" w:type="dxa"/>
          </w:tcPr>
          <w:p w14:paraId="09923F27" w14:textId="56EDC511" w:rsidR="004A7E40" w:rsidRPr="004A7E40" w:rsidRDefault="004A7E40" w:rsidP="004A7E40">
            <w:pPr>
              <w:jc w:val="center"/>
              <w:rPr>
                <w:rFonts w:ascii="Times New Roman" w:eastAsia="Times New Roman" w:hAnsi="Times New Roman" w:cs="Times New Roman"/>
                <w:lang w:eastAsia="en-GB"/>
              </w:rPr>
            </w:pPr>
            <w:r w:rsidRPr="004A7E40">
              <w:rPr>
                <w:rFonts w:ascii="Times New Roman" w:eastAsia="Times New Roman" w:hAnsi="Times New Roman" w:cs="Times New Roman"/>
                <w:lang w:eastAsia="en-GB"/>
              </w:rPr>
              <w:t>X</w:t>
            </w:r>
          </w:p>
        </w:tc>
      </w:tr>
      <w:tr w:rsidR="004A7E40" w:rsidRPr="004A7E40" w14:paraId="16C062D4" w14:textId="4A8D6235" w:rsidTr="004A7E40">
        <w:tc>
          <w:tcPr>
            <w:tcW w:w="3085" w:type="dxa"/>
          </w:tcPr>
          <w:p w14:paraId="78F866B9" w14:textId="4ACD2674" w:rsidR="004A7E40" w:rsidRDefault="004A7E40" w:rsidP="004968DE">
            <w:pPr>
              <w:rPr>
                <w:rFonts w:ascii="Times New Roman" w:hAnsi="Times New Roman" w:cs="Times New Roman"/>
              </w:rPr>
            </w:pPr>
            <w:r w:rsidRPr="003871B4">
              <w:rPr>
                <w:rFonts w:ascii="Times New Roman" w:hAnsi="Times New Roman" w:cs="Times New Roman"/>
              </w:rPr>
              <w:t>2.1.2 Twinning Consultation on draft Twinning Fiche</w:t>
            </w:r>
          </w:p>
          <w:p w14:paraId="5F5DAFB2" w14:textId="43C50909" w:rsidR="004A7E40" w:rsidRPr="004968DE" w:rsidRDefault="004A7E40" w:rsidP="004968DE">
            <w:pPr>
              <w:rPr>
                <w:rFonts w:ascii="Times New Roman" w:hAnsi="Times New Roman" w:cs="Times New Roman"/>
              </w:rPr>
            </w:pPr>
          </w:p>
        </w:tc>
        <w:tc>
          <w:tcPr>
            <w:tcW w:w="8789" w:type="dxa"/>
          </w:tcPr>
          <w:p w14:paraId="282A2532" w14:textId="25C6CBD0" w:rsidR="004A7E40" w:rsidRPr="004968DE" w:rsidRDefault="004A7E40" w:rsidP="00D75FE6">
            <w:pPr>
              <w:rPr>
                <w:rFonts w:ascii="Times New Roman" w:eastAsia="Calibri" w:hAnsi="Times New Roman" w:cs="Times New Roman"/>
              </w:rPr>
            </w:pPr>
            <w:r>
              <w:rPr>
                <w:rFonts w:ascii="Times New Roman" w:eastAsia="Times New Roman" w:hAnsi="Times New Roman" w:cs="Times New Roman"/>
                <w:b/>
                <w:lang w:eastAsia="en-GB"/>
              </w:rPr>
              <w:t>Modified i</w:t>
            </w:r>
            <w:r w:rsidRPr="00DB778C">
              <w:rPr>
                <w:rFonts w:ascii="Times New Roman" w:eastAsia="Times New Roman" w:hAnsi="Times New Roman" w:cs="Times New Roman"/>
                <w:b/>
                <w:lang w:eastAsia="en-GB"/>
              </w:rPr>
              <w:t>nter-service consultation</w:t>
            </w:r>
            <w:r>
              <w:rPr>
                <w:rFonts w:ascii="Times New Roman" w:eastAsia="Calibri" w:hAnsi="Times New Roman" w:cs="Times New Roman"/>
              </w:rPr>
              <w:t xml:space="preserve"> – Explanation of the modified consultation procedure.</w:t>
            </w:r>
          </w:p>
        </w:tc>
        <w:tc>
          <w:tcPr>
            <w:tcW w:w="1418" w:type="dxa"/>
          </w:tcPr>
          <w:p w14:paraId="258A3696" w14:textId="77777777" w:rsidR="004A7E40" w:rsidRPr="004A7E40" w:rsidRDefault="004A7E40" w:rsidP="004A7E40">
            <w:pPr>
              <w:jc w:val="center"/>
              <w:rPr>
                <w:rFonts w:ascii="Times New Roman" w:eastAsia="Times New Roman" w:hAnsi="Times New Roman" w:cs="Times New Roman"/>
                <w:lang w:eastAsia="en-GB"/>
              </w:rPr>
            </w:pPr>
          </w:p>
        </w:tc>
        <w:tc>
          <w:tcPr>
            <w:tcW w:w="991" w:type="dxa"/>
          </w:tcPr>
          <w:p w14:paraId="2CFD5715" w14:textId="24DA30BC" w:rsidR="004A7E40" w:rsidRPr="004A7E40" w:rsidRDefault="004A7E40" w:rsidP="004A7E40">
            <w:pPr>
              <w:jc w:val="center"/>
              <w:rPr>
                <w:rFonts w:ascii="Times New Roman" w:eastAsia="Times New Roman" w:hAnsi="Times New Roman" w:cs="Times New Roman"/>
                <w:lang w:eastAsia="en-GB"/>
              </w:rPr>
            </w:pPr>
            <w:r w:rsidRPr="004A7E40">
              <w:rPr>
                <w:rFonts w:ascii="Times New Roman" w:eastAsia="Times New Roman" w:hAnsi="Times New Roman" w:cs="Times New Roman"/>
                <w:lang w:eastAsia="en-GB"/>
              </w:rPr>
              <w:t>X</w:t>
            </w:r>
          </w:p>
        </w:tc>
      </w:tr>
      <w:tr w:rsidR="004A7E40" w:rsidRPr="004A7E40" w14:paraId="4097C60D" w14:textId="0E029394" w:rsidTr="004A7E40">
        <w:tc>
          <w:tcPr>
            <w:tcW w:w="3085" w:type="dxa"/>
          </w:tcPr>
          <w:p w14:paraId="290A3158" w14:textId="6071901B" w:rsidR="004A7E40" w:rsidRPr="004968DE" w:rsidRDefault="004A7E40" w:rsidP="004968DE">
            <w:pPr>
              <w:rPr>
                <w:rFonts w:ascii="Times New Roman" w:hAnsi="Times New Roman" w:cs="Times New Roman"/>
              </w:rPr>
            </w:pPr>
            <w:r w:rsidRPr="003871B4">
              <w:rPr>
                <w:rFonts w:ascii="Times New Roman" w:hAnsi="Times New Roman" w:cs="Times New Roman"/>
              </w:rPr>
              <w:t>2.2 Submission of proposals</w:t>
            </w:r>
          </w:p>
        </w:tc>
        <w:tc>
          <w:tcPr>
            <w:tcW w:w="8789" w:type="dxa"/>
          </w:tcPr>
          <w:p w14:paraId="261CFEEF" w14:textId="2FF790A0" w:rsidR="004A7E40" w:rsidRDefault="004A7E40" w:rsidP="003871B4">
            <w:pPr>
              <w:rPr>
                <w:rFonts w:ascii="Times New Roman" w:eastAsia="Times New Roman" w:hAnsi="Times New Roman" w:cs="Times New Roman"/>
                <w:lang w:eastAsia="en-GB"/>
              </w:rPr>
            </w:pPr>
            <w:r w:rsidRPr="00DB778C">
              <w:rPr>
                <w:rFonts w:ascii="Times New Roman" w:eastAsia="Times New Roman" w:hAnsi="Times New Roman" w:cs="Times New Roman"/>
                <w:b/>
                <w:lang w:eastAsia="en-GB"/>
              </w:rPr>
              <w:t>Deadline for proposals</w:t>
            </w:r>
            <w:r>
              <w:rPr>
                <w:rFonts w:ascii="Times New Roman" w:eastAsia="Times New Roman" w:hAnsi="Times New Roman" w:cs="Times New Roman"/>
                <w:lang w:eastAsia="en-GB"/>
              </w:rPr>
              <w:t xml:space="preserve"> – </w:t>
            </w:r>
            <w:r w:rsidRPr="003871B4">
              <w:rPr>
                <w:rFonts w:ascii="Times New Roman" w:eastAsia="Times New Roman" w:hAnsi="Times New Roman" w:cs="Times New Roman"/>
                <w:lang w:eastAsia="en-GB"/>
              </w:rPr>
              <w:t>In principle Member States have 8 w</w:t>
            </w:r>
            <w:r>
              <w:rPr>
                <w:rFonts w:ascii="Times New Roman" w:eastAsia="Times New Roman" w:hAnsi="Times New Roman" w:cs="Times New Roman"/>
                <w:lang w:eastAsia="en-GB"/>
              </w:rPr>
              <w:t>eeks to prepare their proposals;</w:t>
            </w:r>
            <w:r w:rsidRPr="003871B4">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t</w:t>
            </w:r>
            <w:r w:rsidRPr="003871B4">
              <w:rPr>
                <w:rFonts w:ascii="Times New Roman" w:eastAsia="Times New Roman" w:hAnsi="Times New Roman" w:cs="Times New Roman"/>
                <w:lang w:eastAsia="en-GB"/>
              </w:rPr>
              <w:t xml:space="preserve">he Contracting Authority may consider setting a longer deadline in </w:t>
            </w:r>
            <w:r w:rsidRPr="00DB778C">
              <w:rPr>
                <w:rFonts w:ascii="Times New Roman" w:eastAsia="Times New Roman" w:hAnsi="Times New Roman" w:cs="Times New Roman"/>
                <w:u w:val="single"/>
                <w:lang w:eastAsia="en-GB"/>
              </w:rPr>
              <w:t>operationally justified</w:t>
            </w:r>
            <w:r>
              <w:rPr>
                <w:rFonts w:ascii="Times New Roman" w:eastAsia="Times New Roman" w:hAnsi="Times New Roman" w:cs="Times New Roman"/>
                <w:lang w:eastAsia="en-GB"/>
              </w:rPr>
              <w:t xml:space="preserve"> </w:t>
            </w:r>
            <w:r w:rsidRPr="003871B4">
              <w:rPr>
                <w:rFonts w:ascii="Times New Roman" w:eastAsia="Times New Roman" w:hAnsi="Times New Roman" w:cs="Times New Roman"/>
                <w:lang w:eastAsia="en-GB"/>
              </w:rPr>
              <w:t>cases</w:t>
            </w:r>
            <w:r>
              <w:rPr>
                <w:rFonts w:ascii="Times New Roman" w:eastAsia="Times New Roman" w:hAnsi="Times New Roman" w:cs="Times New Roman"/>
                <w:lang w:eastAsia="en-GB"/>
              </w:rPr>
              <w:t>.</w:t>
            </w:r>
          </w:p>
          <w:p w14:paraId="0713D6F6" w14:textId="5C00CF49" w:rsidR="004A7E40" w:rsidRPr="004968DE" w:rsidRDefault="004A7E40" w:rsidP="003871B4">
            <w:pPr>
              <w:rPr>
                <w:rFonts w:ascii="Times New Roman" w:eastAsia="Times New Roman" w:hAnsi="Times New Roman" w:cs="Times New Roman"/>
                <w:lang w:eastAsia="en-GB"/>
              </w:rPr>
            </w:pPr>
          </w:p>
        </w:tc>
        <w:tc>
          <w:tcPr>
            <w:tcW w:w="1418" w:type="dxa"/>
          </w:tcPr>
          <w:p w14:paraId="7E7F69F3" w14:textId="4BDBD2D6" w:rsidR="004A7E40" w:rsidRPr="004A7E40" w:rsidRDefault="004A7E40" w:rsidP="004A7E40">
            <w:pPr>
              <w:jc w:val="center"/>
              <w:rPr>
                <w:rFonts w:ascii="Times New Roman" w:eastAsia="Times New Roman" w:hAnsi="Times New Roman" w:cs="Times New Roman"/>
                <w:lang w:eastAsia="en-GB"/>
              </w:rPr>
            </w:pPr>
            <w:r w:rsidRPr="004A7E40">
              <w:rPr>
                <w:rFonts w:ascii="Times New Roman" w:eastAsia="Times New Roman" w:hAnsi="Times New Roman" w:cs="Times New Roman"/>
                <w:lang w:eastAsia="en-GB"/>
              </w:rPr>
              <w:t>X</w:t>
            </w:r>
          </w:p>
        </w:tc>
        <w:tc>
          <w:tcPr>
            <w:tcW w:w="991" w:type="dxa"/>
          </w:tcPr>
          <w:p w14:paraId="13E44B2B" w14:textId="17DDC54D" w:rsidR="004A7E40" w:rsidRPr="004A7E40" w:rsidRDefault="004A7E40" w:rsidP="004A7E40">
            <w:pPr>
              <w:jc w:val="center"/>
              <w:rPr>
                <w:rFonts w:ascii="Times New Roman" w:eastAsia="Times New Roman" w:hAnsi="Times New Roman" w:cs="Times New Roman"/>
                <w:lang w:eastAsia="en-GB"/>
              </w:rPr>
            </w:pPr>
          </w:p>
        </w:tc>
      </w:tr>
      <w:tr w:rsidR="004A7E40" w:rsidRPr="004A7E40" w14:paraId="49AA86D3" w14:textId="38245F27" w:rsidTr="004A7E40">
        <w:tc>
          <w:tcPr>
            <w:tcW w:w="3085" w:type="dxa"/>
          </w:tcPr>
          <w:p w14:paraId="1653FF02" w14:textId="18D4EDC0" w:rsidR="004A7E40" w:rsidRPr="004968DE" w:rsidRDefault="004A7E40" w:rsidP="004A7E40">
            <w:pPr>
              <w:rPr>
                <w:rFonts w:ascii="Times New Roman" w:hAnsi="Times New Roman" w:cs="Times New Roman"/>
              </w:rPr>
            </w:pPr>
            <w:r w:rsidRPr="004A7E40">
              <w:rPr>
                <w:rFonts w:ascii="Times New Roman" w:hAnsi="Times New Roman" w:cs="Times New Roman"/>
              </w:rPr>
              <w:t xml:space="preserve">2.4 Selection of the Member State(s) </w:t>
            </w:r>
            <w:r>
              <w:rPr>
                <w:rFonts w:ascii="Times New Roman" w:hAnsi="Times New Roman" w:cs="Times New Roman"/>
              </w:rPr>
              <w:t xml:space="preserve">– </w:t>
            </w:r>
            <w:r w:rsidRPr="004A7E40">
              <w:rPr>
                <w:rFonts w:ascii="Times New Roman" w:hAnsi="Times New Roman" w:cs="Times New Roman"/>
              </w:rPr>
              <w:t>2.4.1 General remarks</w:t>
            </w:r>
          </w:p>
        </w:tc>
        <w:tc>
          <w:tcPr>
            <w:tcW w:w="8789" w:type="dxa"/>
          </w:tcPr>
          <w:p w14:paraId="5EB15BA6" w14:textId="77777777" w:rsidR="004A7E40" w:rsidRDefault="004A7E40" w:rsidP="00393DD7">
            <w:pPr>
              <w:rPr>
                <w:rFonts w:ascii="Times New Roman" w:eastAsia="Calibri" w:hAnsi="Times New Roman" w:cs="Times New Roman"/>
              </w:rPr>
            </w:pPr>
            <w:r w:rsidRPr="004A7E40">
              <w:rPr>
                <w:rFonts w:ascii="Times New Roman" w:hAnsi="Times New Roman" w:cs="Times New Roman"/>
                <w:b/>
              </w:rPr>
              <w:t>The selection committee</w:t>
            </w:r>
            <w:r w:rsidRPr="004A7E40">
              <w:rPr>
                <w:rFonts w:ascii="Times New Roman" w:eastAsia="Calibri" w:hAnsi="Times New Roman" w:cs="Times New Roman"/>
              </w:rPr>
              <w:t xml:space="preserve"> </w:t>
            </w:r>
            <w:r>
              <w:rPr>
                <w:rFonts w:ascii="Times New Roman" w:eastAsia="Calibri" w:hAnsi="Times New Roman" w:cs="Times New Roman"/>
              </w:rPr>
              <w:t xml:space="preserve">– </w:t>
            </w:r>
            <w:r w:rsidRPr="004A7E40">
              <w:rPr>
                <w:rFonts w:ascii="Times New Roman" w:eastAsia="Calibri" w:hAnsi="Times New Roman" w:cs="Times New Roman"/>
              </w:rPr>
              <w:t>Under direct management two voting members could come from the EUD and one from the Beneficiary administration. Under direct management the selection meeting is chaired by an experienced EUD staff member and the secretarial function assumed by the EUD.</w:t>
            </w:r>
          </w:p>
          <w:p w14:paraId="2F6AB915" w14:textId="605CAEF8" w:rsidR="004A7E40" w:rsidRPr="004968DE" w:rsidRDefault="004A7E40" w:rsidP="00393DD7">
            <w:pPr>
              <w:rPr>
                <w:rFonts w:ascii="Times New Roman" w:eastAsia="Calibri" w:hAnsi="Times New Roman" w:cs="Times New Roman"/>
              </w:rPr>
            </w:pPr>
          </w:p>
        </w:tc>
        <w:tc>
          <w:tcPr>
            <w:tcW w:w="1418" w:type="dxa"/>
          </w:tcPr>
          <w:p w14:paraId="0B7FB1E2" w14:textId="0D20914E" w:rsidR="004A7E40" w:rsidRPr="004A7E40" w:rsidRDefault="004A7E40" w:rsidP="004A7E40">
            <w:pPr>
              <w:jc w:val="center"/>
              <w:rPr>
                <w:rFonts w:ascii="Times New Roman" w:eastAsia="Calibri" w:hAnsi="Times New Roman" w:cs="Times New Roman"/>
              </w:rPr>
            </w:pPr>
            <w:r w:rsidRPr="004A7E40">
              <w:rPr>
                <w:rFonts w:ascii="Times New Roman" w:eastAsia="Calibri" w:hAnsi="Times New Roman" w:cs="Times New Roman"/>
              </w:rPr>
              <w:t>X</w:t>
            </w:r>
          </w:p>
        </w:tc>
        <w:tc>
          <w:tcPr>
            <w:tcW w:w="991" w:type="dxa"/>
          </w:tcPr>
          <w:p w14:paraId="66632D4A" w14:textId="77777777" w:rsidR="004A7E40" w:rsidRPr="004A7E40" w:rsidRDefault="004A7E40" w:rsidP="004A7E40">
            <w:pPr>
              <w:jc w:val="center"/>
              <w:rPr>
                <w:rFonts w:ascii="Times New Roman" w:eastAsia="Calibri" w:hAnsi="Times New Roman" w:cs="Times New Roman"/>
              </w:rPr>
            </w:pPr>
          </w:p>
        </w:tc>
      </w:tr>
      <w:tr w:rsidR="004A7E40" w:rsidRPr="004A7E40" w14:paraId="639AA8D4" w14:textId="05CD4CB9" w:rsidTr="004A7E40">
        <w:tc>
          <w:tcPr>
            <w:tcW w:w="3085" w:type="dxa"/>
          </w:tcPr>
          <w:p w14:paraId="1E6759E8" w14:textId="77777777" w:rsidR="004A7E40" w:rsidRDefault="004A7E40" w:rsidP="004968DE">
            <w:pPr>
              <w:rPr>
                <w:rFonts w:ascii="Times New Roman" w:hAnsi="Times New Roman" w:cs="Times New Roman"/>
              </w:rPr>
            </w:pPr>
            <w:r w:rsidRPr="004A7E40">
              <w:rPr>
                <w:rFonts w:ascii="Times New Roman" w:hAnsi="Times New Roman" w:cs="Times New Roman"/>
              </w:rPr>
              <w:t>2.4.2.2 Meeting of the selection committee (selection meeting)</w:t>
            </w:r>
          </w:p>
          <w:p w14:paraId="63723794" w14:textId="3A1A4F77" w:rsidR="004A7E40" w:rsidRPr="004968DE" w:rsidRDefault="004A7E40" w:rsidP="004968DE">
            <w:pPr>
              <w:rPr>
                <w:rFonts w:ascii="Times New Roman" w:hAnsi="Times New Roman" w:cs="Times New Roman"/>
              </w:rPr>
            </w:pPr>
          </w:p>
        </w:tc>
        <w:tc>
          <w:tcPr>
            <w:tcW w:w="8789" w:type="dxa"/>
          </w:tcPr>
          <w:p w14:paraId="36C86F4D" w14:textId="66E1FE58" w:rsidR="004A7E40" w:rsidRDefault="004A7E40" w:rsidP="004A7E40">
            <w:pPr>
              <w:jc w:val="both"/>
              <w:rPr>
                <w:rFonts w:ascii="Times New Roman" w:eastAsia="Times New Roman" w:hAnsi="Times New Roman" w:cs="Times New Roman"/>
                <w:szCs w:val="20"/>
                <w:lang w:eastAsia="zh-CN"/>
              </w:rPr>
            </w:pPr>
            <w:r w:rsidRPr="004A7E40">
              <w:rPr>
                <w:rFonts w:ascii="Times New Roman" w:eastAsia="Times New Roman" w:hAnsi="Times New Roman" w:cs="Times New Roman"/>
                <w:b/>
                <w:szCs w:val="20"/>
                <w:lang w:eastAsia="zh-CN"/>
              </w:rPr>
              <w:t>U</w:t>
            </w:r>
            <w:r>
              <w:rPr>
                <w:rFonts w:ascii="Times New Roman" w:eastAsia="Times New Roman" w:hAnsi="Times New Roman" w:cs="Times New Roman"/>
                <w:b/>
                <w:szCs w:val="20"/>
                <w:lang w:eastAsia="zh-CN"/>
              </w:rPr>
              <w:t xml:space="preserve">sing </w:t>
            </w:r>
            <w:r w:rsidR="000F3A67">
              <w:rPr>
                <w:rFonts w:ascii="Times New Roman" w:eastAsia="Times New Roman" w:hAnsi="Times New Roman" w:cs="Times New Roman"/>
                <w:b/>
                <w:szCs w:val="20"/>
                <w:lang w:eastAsia="zh-CN"/>
              </w:rPr>
              <w:t>v</w:t>
            </w:r>
            <w:r>
              <w:rPr>
                <w:rFonts w:ascii="Times New Roman" w:eastAsia="Times New Roman" w:hAnsi="Times New Roman" w:cs="Times New Roman"/>
                <w:b/>
                <w:szCs w:val="20"/>
                <w:lang w:eastAsia="zh-CN"/>
              </w:rPr>
              <w:t>ideo-c</w:t>
            </w:r>
            <w:r w:rsidRPr="004A7E40">
              <w:rPr>
                <w:rFonts w:ascii="Times New Roman" w:eastAsia="Times New Roman" w:hAnsi="Times New Roman" w:cs="Times New Roman"/>
                <w:b/>
                <w:szCs w:val="20"/>
                <w:lang w:eastAsia="zh-CN"/>
              </w:rPr>
              <w:t>onferencing tools</w:t>
            </w:r>
            <w:r>
              <w:rPr>
                <w:rFonts w:ascii="Times New Roman" w:eastAsia="Times New Roman" w:hAnsi="Times New Roman" w:cs="Times New Roman"/>
                <w:b/>
                <w:szCs w:val="20"/>
                <w:lang w:eastAsia="zh-CN"/>
              </w:rPr>
              <w:t xml:space="preserve"> – </w:t>
            </w:r>
            <w:r w:rsidRPr="004A7E40">
              <w:rPr>
                <w:rFonts w:ascii="Times New Roman" w:eastAsia="Times New Roman" w:hAnsi="Times New Roman" w:cs="Times New Roman"/>
                <w:szCs w:val="20"/>
                <w:lang w:eastAsia="zh-CN"/>
              </w:rPr>
              <w:t xml:space="preserve">In circumstances accepted by the </w:t>
            </w:r>
            <w:r>
              <w:rPr>
                <w:rFonts w:ascii="Times New Roman" w:eastAsia="Times New Roman" w:hAnsi="Times New Roman" w:cs="Times New Roman"/>
                <w:szCs w:val="20"/>
                <w:lang w:eastAsia="zh-CN"/>
              </w:rPr>
              <w:t>EU</w:t>
            </w:r>
            <w:r w:rsidRPr="004A7E40">
              <w:rPr>
                <w:rFonts w:ascii="Times New Roman" w:eastAsia="Times New Roman" w:hAnsi="Times New Roman" w:cs="Times New Roman"/>
                <w:szCs w:val="20"/>
                <w:lang w:eastAsia="zh-CN"/>
              </w:rPr>
              <w:t xml:space="preserve"> Delegation and </w:t>
            </w:r>
            <w:r>
              <w:rPr>
                <w:rFonts w:ascii="Times New Roman" w:eastAsia="Times New Roman" w:hAnsi="Times New Roman" w:cs="Times New Roman"/>
                <w:szCs w:val="20"/>
                <w:lang w:eastAsia="zh-CN"/>
              </w:rPr>
              <w:t>the Contracting Authority, the selection m</w:t>
            </w:r>
            <w:r w:rsidRPr="004A7E40">
              <w:rPr>
                <w:rFonts w:ascii="Times New Roman" w:eastAsia="Times New Roman" w:hAnsi="Times New Roman" w:cs="Times New Roman"/>
                <w:szCs w:val="20"/>
                <w:lang w:eastAsia="zh-CN"/>
              </w:rPr>
              <w:t>eetings can take place by rem</w:t>
            </w:r>
            <w:r>
              <w:rPr>
                <w:rFonts w:ascii="Times New Roman" w:eastAsia="Times New Roman" w:hAnsi="Times New Roman" w:cs="Times New Roman"/>
                <w:szCs w:val="20"/>
                <w:lang w:eastAsia="zh-CN"/>
              </w:rPr>
              <w:t>ote by using Video-c</w:t>
            </w:r>
            <w:r w:rsidRPr="004A7E40">
              <w:rPr>
                <w:rFonts w:ascii="Times New Roman" w:eastAsia="Times New Roman" w:hAnsi="Times New Roman" w:cs="Times New Roman"/>
                <w:szCs w:val="20"/>
                <w:lang w:eastAsia="zh-CN"/>
              </w:rPr>
              <w:t>onferencing tools.</w:t>
            </w:r>
          </w:p>
          <w:p w14:paraId="2FCB2333" w14:textId="40AC8DCB" w:rsidR="004A7E40" w:rsidRPr="004A7E40" w:rsidRDefault="004A7E40" w:rsidP="004A7E40">
            <w:pPr>
              <w:jc w:val="both"/>
              <w:rPr>
                <w:rFonts w:ascii="Times New Roman" w:eastAsia="Calibri" w:hAnsi="Times New Roman" w:cs="Times New Roman"/>
                <w:b/>
              </w:rPr>
            </w:pPr>
          </w:p>
        </w:tc>
        <w:tc>
          <w:tcPr>
            <w:tcW w:w="1418" w:type="dxa"/>
          </w:tcPr>
          <w:p w14:paraId="3FD62D33" w14:textId="77777777" w:rsidR="004A7E40" w:rsidRPr="004A7E40" w:rsidRDefault="004A7E40" w:rsidP="004A7E40">
            <w:pPr>
              <w:jc w:val="center"/>
              <w:rPr>
                <w:rFonts w:ascii="Times New Roman" w:eastAsia="Calibri" w:hAnsi="Times New Roman" w:cs="Times New Roman"/>
              </w:rPr>
            </w:pPr>
          </w:p>
        </w:tc>
        <w:tc>
          <w:tcPr>
            <w:tcW w:w="991" w:type="dxa"/>
          </w:tcPr>
          <w:p w14:paraId="30050AB5" w14:textId="5D7430FE" w:rsidR="004A7E40" w:rsidRPr="004A7E40" w:rsidRDefault="004A7E40" w:rsidP="004A7E40">
            <w:pPr>
              <w:jc w:val="center"/>
              <w:rPr>
                <w:rFonts w:ascii="Times New Roman" w:eastAsia="Calibri" w:hAnsi="Times New Roman" w:cs="Times New Roman"/>
              </w:rPr>
            </w:pPr>
            <w:r>
              <w:rPr>
                <w:rFonts w:ascii="Times New Roman" w:eastAsia="Calibri" w:hAnsi="Times New Roman" w:cs="Times New Roman"/>
              </w:rPr>
              <w:t>X</w:t>
            </w:r>
          </w:p>
        </w:tc>
      </w:tr>
      <w:tr w:rsidR="004A7E40" w:rsidRPr="004A7E40" w14:paraId="7734F342" w14:textId="4C788FC1" w:rsidTr="004A7E40">
        <w:tc>
          <w:tcPr>
            <w:tcW w:w="3085" w:type="dxa"/>
          </w:tcPr>
          <w:p w14:paraId="28FD9216" w14:textId="77777777" w:rsidR="004A7E40" w:rsidRDefault="004A7E40" w:rsidP="004968DE">
            <w:pPr>
              <w:rPr>
                <w:rFonts w:ascii="Times New Roman" w:hAnsi="Times New Roman" w:cs="Times New Roman"/>
              </w:rPr>
            </w:pPr>
            <w:r w:rsidRPr="004A7E40">
              <w:rPr>
                <w:rFonts w:ascii="Times New Roman" w:hAnsi="Times New Roman" w:cs="Times New Roman"/>
              </w:rPr>
              <w:t>2.4.3 Notification of results</w:t>
            </w:r>
          </w:p>
          <w:p w14:paraId="72B27830" w14:textId="15278A9E" w:rsidR="004A7E40" w:rsidRPr="004968DE" w:rsidRDefault="004A7E40" w:rsidP="004968DE">
            <w:pPr>
              <w:rPr>
                <w:rFonts w:ascii="Times New Roman" w:hAnsi="Times New Roman" w:cs="Times New Roman"/>
              </w:rPr>
            </w:pPr>
          </w:p>
        </w:tc>
        <w:tc>
          <w:tcPr>
            <w:tcW w:w="8789" w:type="dxa"/>
          </w:tcPr>
          <w:p w14:paraId="42867288" w14:textId="67467A88" w:rsidR="004A7E40" w:rsidRPr="000025D6" w:rsidRDefault="000F3A67" w:rsidP="00393DD7">
            <w:pPr>
              <w:jc w:val="both"/>
              <w:rPr>
                <w:rFonts w:ascii="Times New Roman" w:hAnsi="Times New Roman" w:cs="Times New Roman"/>
              </w:rPr>
            </w:pPr>
            <w:r>
              <w:rPr>
                <w:rFonts w:ascii="Times New Roman" w:eastAsia="Times New Roman" w:hAnsi="Times New Roman" w:cs="Times New Roman"/>
                <w:b/>
                <w:lang w:eastAsia="zh-CN"/>
              </w:rPr>
              <w:t>Start</w:t>
            </w:r>
            <w:r w:rsidR="004A7E40" w:rsidRPr="000025D6">
              <w:rPr>
                <w:rFonts w:ascii="Times New Roman" w:eastAsia="Times New Roman" w:hAnsi="Times New Roman" w:cs="Times New Roman"/>
                <w:b/>
                <w:lang w:eastAsia="zh-CN"/>
              </w:rPr>
              <w:t xml:space="preserve"> of implementation</w:t>
            </w:r>
            <w:r w:rsidR="004A7E40" w:rsidRPr="000025D6">
              <w:rPr>
                <w:rFonts w:ascii="Times New Roman" w:eastAsia="Times New Roman" w:hAnsi="Times New Roman" w:cs="Times New Roman"/>
                <w:lang w:eastAsia="zh-CN"/>
              </w:rPr>
              <w:t xml:space="preserve"> – It should not be later than three months after the notification of the selection. </w:t>
            </w:r>
            <w:r w:rsidR="004A7E40" w:rsidRPr="000025D6">
              <w:rPr>
                <w:rFonts w:ascii="Times New Roman" w:hAnsi="Times New Roman" w:cs="Times New Roman"/>
              </w:rPr>
              <w:t>The RTA should arrive in-country within one to maximum two months counting from the project start date.</w:t>
            </w:r>
          </w:p>
          <w:p w14:paraId="43B9C8BE" w14:textId="52989484" w:rsidR="004A7E40" w:rsidRPr="000025D6" w:rsidRDefault="004A7E40" w:rsidP="00393DD7">
            <w:pPr>
              <w:jc w:val="both"/>
              <w:rPr>
                <w:rFonts w:ascii="Times New Roman" w:hAnsi="Times New Roman" w:cs="Times New Roman"/>
              </w:rPr>
            </w:pPr>
          </w:p>
        </w:tc>
        <w:tc>
          <w:tcPr>
            <w:tcW w:w="1418" w:type="dxa"/>
          </w:tcPr>
          <w:p w14:paraId="4A616853" w14:textId="77777777" w:rsidR="004A7E40" w:rsidRPr="004A7E40" w:rsidRDefault="004A7E40" w:rsidP="004A7E40">
            <w:pPr>
              <w:jc w:val="center"/>
              <w:rPr>
                <w:rFonts w:ascii="Times New Roman" w:hAnsi="Times New Roman" w:cs="Times New Roman"/>
              </w:rPr>
            </w:pPr>
          </w:p>
        </w:tc>
        <w:tc>
          <w:tcPr>
            <w:tcW w:w="991" w:type="dxa"/>
          </w:tcPr>
          <w:p w14:paraId="482FBC53" w14:textId="027697A0" w:rsidR="004A7E40" w:rsidRPr="004A7E40" w:rsidRDefault="004A7E40" w:rsidP="004A7E40">
            <w:pPr>
              <w:jc w:val="center"/>
              <w:rPr>
                <w:rFonts w:ascii="Times New Roman" w:hAnsi="Times New Roman" w:cs="Times New Roman"/>
              </w:rPr>
            </w:pPr>
            <w:r>
              <w:rPr>
                <w:rFonts w:ascii="Times New Roman" w:hAnsi="Times New Roman" w:cs="Times New Roman"/>
              </w:rPr>
              <w:t>X</w:t>
            </w:r>
          </w:p>
        </w:tc>
      </w:tr>
      <w:tr w:rsidR="004A7E40" w:rsidRPr="004A7E40" w14:paraId="16A2B9E9" w14:textId="6A58947E" w:rsidTr="004A7E40">
        <w:tc>
          <w:tcPr>
            <w:tcW w:w="3085" w:type="dxa"/>
          </w:tcPr>
          <w:p w14:paraId="431C9893" w14:textId="1719F10D" w:rsidR="004A7E40" w:rsidRDefault="000025D6" w:rsidP="000025D6">
            <w:pPr>
              <w:rPr>
                <w:rFonts w:ascii="Times New Roman" w:hAnsi="Times New Roman" w:cs="Times New Roman"/>
              </w:rPr>
            </w:pPr>
            <w:r w:rsidRPr="000025D6">
              <w:rPr>
                <w:rFonts w:ascii="Times New Roman" w:hAnsi="Times New Roman" w:cs="Times New Roman"/>
              </w:rPr>
              <w:t>3.1 Drafting of the Twinning Grant Contract</w:t>
            </w:r>
            <w:r>
              <w:rPr>
                <w:rFonts w:ascii="Times New Roman" w:hAnsi="Times New Roman" w:cs="Times New Roman"/>
              </w:rPr>
              <w:t xml:space="preserve"> – </w:t>
            </w:r>
            <w:r w:rsidRPr="000025D6">
              <w:rPr>
                <w:rFonts w:ascii="Times New Roman" w:hAnsi="Times New Roman" w:cs="Times New Roman"/>
              </w:rPr>
              <w:t>3.1.1 General remarks and structure of the contract</w:t>
            </w:r>
          </w:p>
          <w:p w14:paraId="4427425A" w14:textId="7C041167" w:rsidR="000025D6" w:rsidRPr="004968DE" w:rsidRDefault="000025D6" w:rsidP="000025D6">
            <w:pPr>
              <w:rPr>
                <w:rFonts w:ascii="Times New Roman" w:hAnsi="Times New Roman" w:cs="Times New Roman"/>
              </w:rPr>
            </w:pPr>
          </w:p>
        </w:tc>
        <w:tc>
          <w:tcPr>
            <w:tcW w:w="8789" w:type="dxa"/>
          </w:tcPr>
          <w:p w14:paraId="1433C106" w14:textId="5BBA60DA" w:rsidR="000025D6" w:rsidRPr="000025D6" w:rsidRDefault="000025D6" w:rsidP="000025D6">
            <w:pPr>
              <w:spacing w:after="240"/>
              <w:jc w:val="both"/>
              <w:rPr>
                <w:rFonts w:ascii="Times New Roman" w:hAnsi="Times New Roman"/>
                <w:color w:val="000000"/>
                <w:lang w:eastAsia="zh-CN"/>
              </w:rPr>
            </w:pPr>
            <w:r w:rsidRPr="000025D6">
              <w:rPr>
                <w:rFonts w:ascii="Times New Roman" w:hAnsi="Times New Roman"/>
                <w:b/>
                <w:color w:val="000000"/>
                <w:lang w:eastAsia="zh-CN"/>
              </w:rPr>
              <w:t>Annex A3 (budget)</w:t>
            </w:r>
            <w:r w:rsidRPr="000025D6">
              <w:rPr>
                <w:rFonts w:ascii="Times New Roman" w:hAnsi="Times New Roman"/>
                <w:color w:val="000000"/>
                <w:lang w:eastAsia="zh-CN"/>
              </w:rPr>
              <w:t xml:space="preserve"> – </w:t>
            </w:r>
            <w:r w:rsidRPr="000025D6">
              <w:rPr>
                <w:rFonts w:ascii="Times New Roman" w:hAnsi="Times New Roman"/>
                <w:color w:val="000000"/>
              </w:rPr>
              <w:t xml:space="preserve">In case of no reaction from the Contracting Authority the budget is deemed approved after </w:t>
            </w:r>
            <w:r w:rsidRPr="000025D6">
              <w:rPr>
                <w:rFonts w:ascii="Times New Roman" w:hAnsi="Times New Roman" w:cs="Times New Roman"/>
                <w:color w:val="000000"/>
                <w:u w:val="single"/>
                <w:lang w:eastAsia="zh-CN"/>
              </w:rPr>
              <w:t>15</w:t>
            </w:r>
            <w:r w:rsidRPr="000025D6">
              <w:rPr>
                <w:rFonts w:ascii="Times New Roman" w:hAnsi="Times New Roman"/>
                <w:color w:val="000000"/>
                <w:u w:val="single"/>
              </w:rPr>
              <w:t xml:space="preserve"> days</w:t>
            </w:r>
            <w:r w:rsidRPr="000025D6">
              <w:rPr>
                <w:rFonts w:ascii="Times New Roman" w:hAnsi="Times New Roman"/>
                <w:color w:val="000000"/>
              </w:rPr>
              <w:t>.</w:t>
            </w:r>
          </w:p>
          <w:p w14:paraId="31294BF7" w14:textId="5BCD0D17" w:rsidR="004A7E40" w:rsidRPr="000025D6" w:rsidRDefault="004A7E40" w:rsidP="00393DD7">
            <w:pPr>
              <w:jc w:val="both"/>
              <w:rPr>
                <w:rFonts w:ascii="Times New Roman" w:hAnsi="Times New Roman" w:cs="Times New Roman"/>
              </w:rPr>
            </w:pPr>
          </w:p>
        </w:tc>
        <w:tc>
          <w:tcPr>
            <w:tcW w:w="1418" w:type="dxa"/>
          </w:tcPr>
          <w:p w14:paraId="1D4A05A3" w14:textId="77777777" w:rsidR="004A7E40" w:rsidRPr="004A7E40" w:rsidRDefault="004A7E40" w:rsidP="004A7E40">
            <w:pPr>
              <w:jc w:val="center"/>
              <w:rPr>
                <w:rFonts w:ascii="Times New Roman" w:hAnsi="Times New Roman" w:cs="Times New Roman"/>
              </w:rPr>
            </w:pPr>
          </w:p>
        </w:tc>
        <w:tc>
          <w:tcPr>
            <w:tcW w:w="991" w:type="dxa"/>
          </w:tcPr>
          <w:p w14:paraId="63458588" w14:textId="5C9B7E12" w:rsidR="004A7E40" w:rsidRPr="004A7E40" w:rsidRDefault="000025D6" w:rsidP="004A7E40">
            <w:pPr>
              <w:jc w:val="center"/>
              <w:rPr>
                <w:rFonts w:ascii="Times New Roman" w:hAnsi="Times New Roman" w:cs="Times New Roman"/>
              </w:rPr>
            </w:pPr>
            <w:r>
              <w:rPr>
                <w:rFonts w:ascii="Times New Roman" w:hAnsi="Times New Roman" w:cs="Times New Roman"/>
              </w:rPr>
              <w:t>X</w:t>
            </w:r>
          </w:p>
        </w:tc>
      </w:tr>
      <w:tr w:rsidR="004A7E40" w:rsidRPr="004A7E40" w14:paraId="010FD3B8" w14:textId="7D20917D" w:rsidTr="004A7E40">
        <w:tc>
          <w:tcPr>
            <w:tcW w:w="3085" w:type="dxa"/>
          </w:tcPr>
          <w:p w14:paraId="0D38C6CC" w14:textId="77777777" w:rsidR="004A7E40" w:rsidRDefault="000025D6" w:rsidP="004968DE">
            <w:pPr>
              <w:rPr>
                <w:rFonts w:ascii="Times New Roman" w:hAnsi="Times New Roman" w:cs="Times New Roman"/>
                <w:color w:val="000000"/>
              </w:rPr>
            </w:pPr>
            <w:r w:rsidRPr="000025D6">
              <w:rPr>
                <w:rFonts w:ascii="Times New Roman" w:hAnsi="Times New Roman" w:cs="Times New Roman"/>
                <w:color w:val="000000"/>
              </w:rPr>
              <w:lastRenderedPageBreak/>
              <w:t>3.3 Notification and start of implementation of the Twinning Grant Contract</w:t>
            </w:r>
          </w:p>
          <w:p w14:paraId="468591F9" w14:textId="0C9A0EDC" w:rsidR="000025D6" w:rsidRPr="004968DE" w:rsidRDefault="000025D6" w:rsidP="004968DE">
            <w:pPr>
              <w:rPr>
                <w:rFonts w:ascii="Times New Roman" w:hAnsi="Times New Roman" w:cs="Times New Roman"/>
                <w:color w:val="000000"/>
              </w:rPr>
            </w:pPr>
          </w:p>
        </w:tc>
        <w:tc>
          <w:tcPr>
            <w:tcW w:w="8789" w:type="dxa"/>
          </w:tcPr>
          <w:p w14:paraId="0D3DE10B" w14:textId="2201D5B1" w:rsidR="004A7E40" w:rsidRPr="000025D6" w:rsidRDefault="000F3A67" w:rsidP="000F3A67">
            <w:pPr>
              <w:spacing w:after="240"/>
              <w:jc w:val="both"/>
              <w:rPr>
                <w:rFonts w:ascii="Times New Roman" w:eastAsia="Times New Roman" w:hAnsi="Times New Roman" w:cs="Times New Roman"/>
                <w:color w:val="000000" w:themeColor="text1"/>
                <w:lang w:eastAsia="zh-CN"/>
              </w:rPr>
            </w:pPr>
            <w:r>
              <w:rPr>
                <w:rFonts w:ascii="Times New Roman" w:eastAsia="Times New Roman" w:hAnsi="Times New Roman" w:cs="Times New Roman"/>
                <w:b/>
                <w:lang w:eastAsia="zh-CN"/>
              </w:rPr>
              <w:t>S</w:t>
            </w:r>
            <w:r w:rsidR="000025D6" w:rsidRPr="000025D6">
              <w:rPr>
                <w:rFonts w:ascii="Times New Roman" w:eastAsia="Times New Roman" w:hAnsi="Times New Roman" w:cs="Times New Roman"/>
                <w:b/>
                <w:lang w:eastAsia="zh-CN"/>
              </w:rPr>
              <w:t xml:space="preserve">tart of implementation – </w:t>
            </w:r>
            <w:r w:rsidR="000025D6" w:rsidRPr="000025D6">
              <w:rPr>
                <w:rFonts w:ascii="Times New Roman" w:eastAsia="Times New Roman" w:hAnsi="Times New Roman" w:cs="Times New Roman"/>
                <w:iCs/>
                <w:color w:val="000000"/>
                <w:lang w:eastAsia="zh-CN"/>
              </w:rPr>
              <w:t>the start date of the project can be disconnected from the date of the RTA arrival (see section 2.4.3 above for details).</w:t>
            </w:r>
          </w:p>
        </w:tc>
        <w:tc>
          <w:tcPr>
            <w:tcW w:w="1418" w:type="dxa"/>
          </w:tcPr>
          <w:p w14:paraId="5BA89429" w14:textId="77777777" w:rsidR="004A7E40" w:rsidRPr="004A7E40" w:rsidRDefault="004A7E40" w:rsidP="004A7E40">
            <w:pPr>
              <w:spacing w:after="240"/>
              <w:jc w:val="center"/>
              <w:rPr>
                <w:rFonts w:ascii="Times New Roman" w:eastAsia="Times New Roman" w:hAnsi="Times New Roman" w:cs="Times New Roman"/>
                <w:color w:val="000000" w:themeColor="text1"/>
                <w:lang w:eastAsia="en-GB"/>
              </w:rPr>
            </w:pPr>
          </w:p>
        </w:tc>
        <w:tc>
          <w:tcPr>
            <w:tcW w:w="991" w:type="dxa"/>
          </w:tcPr>
          <w:p w14:paraId="657A5581" w14:textId="339EAFF8" w:rsidR="004A7E40" w:rsidRPr="004A7E40" w:rsidRDefault="000025D6" w:rsidP="004A7E40">
            <w:pPr>
              <w:spacing w:after="240"/>
              <w:jc w:val="cente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X</w:t>
            </w:r>
          </w:p>
        </w:tc>
      </w:tr>
      <w:tr w:rsidR="004A7E40" w:rsidRPr="004A7E40" w14:paraId="5A3F60BF" w14:textId="212F21B0" w:rsidTr="004A7E40">
        <w:tc>
          <w:tcPr>
            <w:tcW w:w="3085" w:type="dxa"/>
          </w:tcPr>
          <w:p w14:paraId="6DA3D3E9" w14:textId="77777777" w:rsidR="004A7E40" w:rsidRDefault="00D26051" w:rsidP="004968DE">
            <w:pPr>
              <w:rPr>
                <w:rFonts w:ascii="Times New Roman" w:hAnsi="Times New Roman" w:cs="Times New Roman"/>
                <w:color w:val="000000"/>
              </w:rPr>
            </w:pPr>
            <w:r w:rsidRPr="00D26051">
              <w:rPr>
                <w:rFonts w:ascii="Times New Roman" w:hAnsi="Times New Roman" w:cs="Times New Roman"/>
                <w:color w:val="000000"/>
              </w:rPr>
              <w:t>4.1.4.3 Registration of mandated bodies</w:t>
            </w:r>
          </w:p>
          <w:p w14:paraId="0FA0D119" w14:textId="218B074D" w:rsidR="00D26051" w:rsidRPr="004968DE" w:rsidRDefault="00D26051" w:rsidP="004968DE">
            <w:pPr>
              <w:rPr>
                <w:rFonts w:ascii="Times New Roman" w:hAnsi="Times New Roman" w:cs="Times New Roman"/>
                <w:color w:val="000000"/>
              </w:rPr>
            </w:pPr>
          </w:p>
        </w:tc>
        <w:tc>
          <w:tcPr>
            <w:tcW w:w="8789" w:type="dxa"/>
          </w:tcPr>
          <w:p w14:paraId="2782537F" w14:textId="33568171" w:rsidR="004A7E40" w:rsidRPr="00D26051" w:rsidRDefault="00D26051" w:rsidP="004B0C94">
            <w:pPr>
              <w:spacing w:after="240"/>
              <w:jc w:val="both"/>
              <w:rPr>
                <w:rFonts w:ascii="Times New Roman" w:eastAsia="Times New Roman" w:hAnsi="Times New Roman" w:cs="Times New Roman"/>
                <w:b/>
                <w:color w:val="000000"/>
                <w:lang w:eastAsia="zh-CN"/>
              </w:rPr>
            </w:pPr>
            <w:r w:rsidRPr="00D26051">
              <w:rPr>
                <w:rFonts w:ascii="Times New Roman" w:eastAsia="Times New Roman" w:hAnsi="Times New Roman" w:cs="Times New Roman"/>
                <w:b/>
                <w:color w:val="000000"/>
                <w:lang w:eastAsia="zh-CN"/>
              </w:rPr>
              <w:t>Registration of mandated bodies</w:t>
            </w:r>
            <w:r>
              <w:rPr>
                <w:rFonts w:ascii="Times New Roman" w:eastAsia="Times New Roman" w:hAnsi="Times New Roman" w:cs="Times New Roman"/>
                <w:b/>
                <w:color w:val="000000"/>
                <w:lang w:eastAsia="zh-CN"/>
              </w:rPr>
              <w:t xml:space="preserve"> – </w:t>
            </w:r>
            <w:r w:rsidRPr="00D26051">
              <w:rPr>
                <w:rFonts w:ascii="Times New Roman" w:eastAsia="Times New Roman" w:hAnsi="Times New Roman" w:cs="Times New Roman"/>
                <w:color w:val="000000"/>
                <w:lang w:eastAsia="zh-CN"/>
              </w:rPr>
              <w:t>The mandated body status can be registered at any point during the implementation of the project but before the staff of the mandated body are mobilised in the framework of the project.</w:t>
            </w:r>
          </w:p>
        </w:tc>
        <w:tc>
          <w:tcPr>
            <w:tcW w:w="1418" w:type="dxa"/>
          </w:tcPr>
          <w:p w14:paraId="1B85F66B" w14:textId="77777777" w:rsidR="004A7E40" w:rsidRPr="004A7E40" w:rsidRDefault="004A7E40" w:rsidP="00D26051">
            <w:pPr>
              <w:spacing w:after="240"/>
              <w:jc w:val="center"/>
              <w:rPr>
                <w:rFonts w:ascii="Times New Roman" w:eastAsia="Times New Roman" w:hAnsi="Times New Roman" w:cs="Times New Roman"/>
                <w:color w:val="000000"/>
                <w:lang w:eastAsia="zh-CN"/>
              </w:rPr>
            </w:pPr>
          </w:p>
        </w:tc>
        <w:tc>
          <w:tcPr>
            <w:tcW w:w="991" w:type="dxa"/>
          </w:tcPr>
          <w:p w14:paraId="282C1F07" w14:textId="6604C57D" w:rsidR="004A7E40" w:rsidRPr="004A7E40" w:rsidRDefault="00D26051" w:rsidP="00D26051">
            <w:pPr>
              <w:spacing w:after="240"/>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X</w:t>
            </w:r>
          </w:p>
        </w:tc>
      </w:tr>
      <w:tr w:rsidR="004A7E40" w:rsidRPr="004968DE" w14:paraId="4CE9DEDD" w14:textId="3FAF0AF6" w:rsidTr="004A7E40">
        <w:tc>
          <w:tcPr>
            <w:tcW w:w="3085" w:type="dxa"/>
          </w:tcPr>
          <w:p w14:paraId="6DEDF95E" w14:textId="77777777" w:rsidR="004A7E40" w:rsidRDefault="00862D0D" w:rsidP="004968DE">
            <w:pPr>
              <w:rPr>
                <w:rFonts w:ascii="Times New Roman" w:hAnsi="Times New Roman" w:cs="Times New Roman"/>
                <w:color w:val="000000"/>
              </w:rPr>
            </w:pPr>
            <w:r w:rsidRPr="00862D0D">
              <w:rPr>
                <w:rFonts w:ascii="Times New Roman" w:hAnsi="Times New Roman" w:cs="Times New Roman"/>
                <w:color w:val="000000"/>
              </w:rPr>
              <w:t>4.1.6.6 Commission headquarters training</w:t>
            </w:r>
          </w:p>
          <w:p w14:paraId="29D02462" w14:textId="5C456985" w:rsidR="00862D0D" w:rsidRPr="004968DE" w:rsidRDefault="00862D0D" w:rsidP="004968DE">
            <w:pPr>
              <w:rPr>
                <w:rFonts w:ascii="Times New Roman" w:hAnsi="Times New Roman" w:cs="Times New Roman"/>
                <w:color w:val="000000"/>
              </w:rPr>
            </w:pPr>
          </w:p>
        </w:tc>
        <w:tc>
          <w:tcPr>
            <w:tcW w:w="8789" w:type="dxa"/>
          </w:tcPr>
          <w:p w14:paraId="31108EAE" w14:textId="51F1EEB1" w:rsidR="004A7E40" w:rsidRPr="004968DE" w:rsidRDefault="00862D0D" w:rsidP="00862D0D">
            <w:pPr>
              <w:spacing w:after="240"/>
              <w:jc w:val="both"/>
              <w:rPr>
                <w:rFonts w:ascii="Times New Roman" w:eastAsia="Times New Roman" w:hAnsi="Times New Roman" w:cs="Times New Roman"/>
                <w:color w:val="000000"/>
                <w:lang w:eastAsia="en-GB"/>
              </w:rPr>
            </w:pPr>
            <w:r w:rsidRPr="00862D0D">
              <w:rPr>
                <w:rFonts w:ascii="Times New Roman" w:eastAsia="Times New Roman" w:hAnsi="Times New Roman" w:cs="Times New Roman"/>
                <w:b/>
                <w:color w:val="000000"/>
                <w:lang w:eastAsia="en-GB"/>
              </w:rPr>
              <w:t>The Commission Headquarters training</w:t>
            </w:r>
            <w:r w:rsidRPr="00862D0D">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 xml:space="preserve">– It </w:t>
            </w:r>
            <w:r w:rsidRPr="00862D0D">
              <w:rPr>
                <w:rFonts w:ascii="Times New Roman" w:eastAsia="Times New Roman" w:hAnsi="Times New Roman" w:cs="Times New Roman"/>
                <w:color w:val="000000"/>
                <w:lang w:eastAsia="en-GB"/>
              </w:rPr>
              <w:t xml:space="preserve">may take place as a hybrid event </w:t>
            </w:r>
            <w:r>
              <w:rPr>
                <w:rFonts w:ascii="Times New Roman" w:eastAsia="Times New Roman" w:hAnsi="Times New Roman" w:cs="Times New Roman"/>
                <w:color w:val="000000"/>
                <w:lang w:eastAsia="en-GB"/>
              </w:rPr>
              <w:t>or as a fully virtual training.</w:t>
            </w:r>
          </w:p>
        </w:tc>
        <w:tc>
          <w:tcPr>
            <w:tcW w:w="1418" w:type="dxa"/>
          </w:tcPr>
          <w:p w14:paraId="49496B72" w14:textId="77777777" w:rsidR="004A7E40" w:rsidRPr="004968DE" w:rsidRDefault="004A7E40" w:rsidP="00D26051">
            <w:pPr>
              <w:spacing w:after="240"/>
              <w:jc w:val="center"/>
              <w:rPr>
                <w:rFonts w:ascii="Times New Roman" w:eastAsia="Times New Roman" w:hAnsi="Times New Roman" w:cs="Times New Roman"/>
                <w:color w:val="000000"/>
                <w:lang w:eastAsia="en-GB"/>
              </w:rPr>
            </w:pPr>
          </w:p>
        </w:tc>
        <w:tc>
          <w:tcPr>
            <w:tcW w:w="991" w:type="dxa"/>
          </w:tcPr>
          <w:p w14:paraId="39445AC8" w14:textId="15BE0A55" w:rsidR="004A7E40" w:rsidRPr="004968DE" w:rsidRDefault="00862D0D" w:rsidP="00D26051">
            <w:pPr>
              <w:spacing w:after="24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X</w:t>
            </w:r>
          </w:p>
        </w:tc>
      </w:tr>
      <w:tr w:rsidR="004A7E40" w:rsidRPr="004968DE" w14:paraId="64BDDBEA" w14:textId="0E5B7537" w:rsidTr="004A7E40">
        <w:tc>
          <w:tcPr>
            <w:tcW w:w="3085" w:type="dxa"/>
          </w:tcPr>
          <w:p w14:paraId="04EDE646" w14:textId="77777777" w:rsidR="004A7E40" w:rsidRDefault="003E7014" w:rsidP="004968DE">
            <w:pPr>
              <w:rPr>
                <w:rFonts w:ascii="Times New Roman" w:hAnsi="Times New Roman" w:cs="Times New Roman"/>
                <w:color w:val="000000"/>
              </w:rPr>
            </w:pPr>
            <w:r w:rsidRPr="003E7014">
              <w:rPr>
                <w:rFonts w:ascii="Times New Roman" w:hAnsi="Times New Roman" w:cs="Times New Roman"/>
                <w:color w:val="000000"/>
              </w:rPr>
              <w:t xml:space="preserve">4.1.6.7 </w:t>
            </w:r>
            <w:r>
              <w:rPr>
                <w:rFonts w:ascii="Times New Roman" w:hAnsi="Times New Roman" w:cs="Times New Roman"/>
                <w:color w:val="000000"/>
              </w:rPr>
              <w:t xml:space="preserve">(RTA) </w:t>
            </w:r>
            <w:r w:rsidRPr="003E7014">
              <w:rPr>
                <w:rFonts w:ascii="Times New Roman" w:hAnsi="Times New Roman" w:cs="Times New Roman"/>
                <w:color w:val="000000"/>
              </w:rPr>
              <w:t>Duration and number of secondments</w:t>
            </w:r>
          </w:p>
          <w:p w14:paraId="4565215D" w14:textId="21B3AC83" w:rsidR="003E7014" w:rsidRPr="004968DE" w:rsidRDefault="003E7014" w:rsidP="004968DE">
            <w:pPr>
              <w:rPr>
                <w:rFonts w:ascii="Times New Roman" w:hAnsi="Times New Roman" w:cs="Times New Roman"/>
                <w:color w:val="000000"/>
              </w:rPr>
            </w:pPr>
          </w:p>
        </w:tc>
        <w:tc>
          <w:tcPr>
            <w:tcW w:w="8789" w:type="dxa"/>
          </w:tcPr>
          <w:p w14:paraId="53BDC653" w14:textId="6EB6D95C" w:rsidR="004A7E40" w:rsidRPr="00BD0A78" w:rsidRDefault="003E7014" w:rsidP="003E7014">
            <w:pPr>
              <w:rPr>
                <w:rFonts w:ascii="Times New Roman" w:hAnsi="Times New Roman" w:cs="Times New Roman"/>
                <w:lang w:eastAsia="en-GB"/>
              </w:rPr>
            </w:pPr>
            <w:r w:rsidRPr="003E7014">
              <w:rPr>
                <w:rFonts w:ascii="Times New Roman" w:hAnsi="Times New Roman" w:cs="Times New Roman"/>
                <w:b/>
                <w:lang w:eastAsia="en-GB"/>
              </w:rPr>
              <w:t>Limit to RTA number of assignments</w:t>
            </w:r>
            <w:r>
              <w:rPr>
                <w:rFonts w:ascii="Times New Roman" w:hAnsi="Times New Roman" w:cs="Times New Roman"/>
                <w:lang w:eastAsia="en-GB"/>
              </w:rPr>
              <w:t xml:space="preserve"> – This limit has been removed. </w:t>
            </w:r>
          </w:p>
        </w:tc>
        <w:tc>
          <w:tcPr>
            <w:tcW w:w="1418" w:type="dxa"/>
          </w:tcPr>
          <w:p w14:paraId="7BEBD013" w14:textId="77777777" w:rsidR="004A7E40" w:rsidRDefault="004A7E40" w:rsidP="00D26051">
            <w:pPr>
              <w:jc w:val="center"/>
              <w:rPr>
                <w:rFonts w:ascii="Times New Roman" w:eastAsia="Times New Roman" w:hAnsi="Times New Roman" w:cs="Times New Roman"/>
                <w:lang w:eastAsia="zh-CN"/>
              </w:rPr>
            </w:pPr>
          </w:p>
        </w:tc>
        <w:tc>
          <w:tcPr>
            <w:tcW w:w="991" w:type="dxa"/>
          </w:tcPr>
          <w:p w14:paraId="65AC6830" w14:textId="7C27AD22" w:rsidR="004A7E40" w:rsidRDefault="003E7014" w:rsidP="00D26051">
            <w:pPr>
              <w:jc w:val="center"/>
              <w:rPr>
                <w:rFonts w:ascii="Times New Roman" w:eastAsia="Times New Roman" w:hAnsi="Times New Roman" w:cs="Times New Roman"/>
                <w:lang w:eastAsia="zh-CN"/>
              </w:rPr>
            </w:pPr>
            <w:r>
              <w:rPr>
                <w:rFonts w:ascii="Times New Roman" w:eastAsia="Times New Roman" w:hAnsi="Times New Roman" w:cs="Times New Roman"/>
                <w:lang w:eastAsia="zh-CN"/>
              </w:rPr>
              <w:t>X</w:t>
            </w:r>
          </w:p>
        </w:tc>
      </w:tr>
      <w:tr w:rsidR="004A7E40" w:rsidRPr="004968DE" w14:paraId="6C3654BB" w14:textId="2225F5E5" w:rsidTr="004A7E40">
        <w:tc>
          <w:tcPr>
            <w:tcW w:w="3085" w:type="dxa"/>
          </w:tcPr>
          <w:p w14:paraId="4C7982F6" w14:textId="0C8E32EF" w:rsidR="004A7E40" w:rsidRPr="004968DE" w:rsidRDefault="003E7014" w:rsidP="004968DE">
            <w:pPr>
              <w:rPr>
                <w:rFonts w:ascii="Times New Roman" w:hAnsi="Times New Roman" w:cs="Times New Roman"/>
                <w:color w:val="000000"/>
              </w:rPr>
            </w:pPr>
            <w:r w:rsidRPr="003E7014">
              <w:rPr>
                <w:rFonts w:ascii="Times New Roman" w:hAnsi="Times New Roman" w:cs="Times New Roman"/>
                <w:color w:val="000000"/>
              </w:rPr>
              <w:t>4.1.6.8 Replacement of the RTA</w:t>
            </w:r>
          </w:p>
        </w:tc>
        <w:tc>
          <w:tcPr>
            <w:tcW w:w="8789" w:type="dxa"/>
          </w:tcPr>
          <w:p w14:paraId="6CA1E391" w14:textId="3D10A883" w:rsidR="004A7E40" w:rsidRPr="004968DE" w:rsidRDefault="003E7014" w:rsidP="003E7014">
            <w:pPr>
              <w:spacing w:after="240"/>
              <w:jc w:val="both"/>
              <w:rPr>
                <w:rFonts w:ascii="Times New Roman" w:eastAsia="Times New Roman" w:hAnsi="Times New Roman" w:cs="Times New Roman"/>
                <w:color w:val="000000"/>
                <w:lang w:eastAsia="zh-CN"/>
              </w:rPr>
            </w:pPr>
            <w:r w:rsidRPr="003E7014">
              <w:rPr>
                <w:rFonts w:ascii="Times New Roman" w:eastAsia="Times New Roman" w:hAnsi="Times New Roman" w:cs="Times New Roman"/>
                <w:b/>
                <w:color w:val="000000"/>
                <w:lang w:eastAsia="zh-CN"/>
              </w:rPr>
              <w:t>Medically certified reasons or exceptional circumstances</w:t>
            </w:r>
            <w:r w:rsidRPr="003E7014">
              <w:rPr>
                <w:rFonts w:ascii="Times New Roman" w:eastAsia="Times New Roman" w:hAnsi="Times New Roman" w:cs="Times New Roman"/>
                <w:color w:val="000000"/>
                <w:lang w:eastAsia="zh-CN"/>
              </w:rPr>
              <w:t xml:space="preserve"> </w:t>
            </w:r>
            <w:r>
              <w:rPr>
                <w:rFonts w:ascii="Times New Roman" w:eastAsia="Times New Roman" w:hAnsi="Times New Roman" w:cs="Times New Roman"/>
                <w:color w:val="000000"/>
                <w:lang w:eastAsia="zh-CN"/>
              </w:rPr>
              <w:t xml:space="preserve">– Two-month limit </w:t>
            </w:r>
            <w:r w:rsidRPr="003E7014">
              <w:rPr>
                <w:rFonts w:ascii="Times New Roman" w:eastAsia="Times New Roman" w:hAnsi="Times New Roman" w:cs="Times New Roman"/>
                <w:color w:val="000000"/>
                <w:lang w:eastAsia="zh-CN"/>
              </w:rPr>
              <w:t xml:space="preserve">between the departure of a RTA and the arrival of a successor </w:t>
            </w:r>
            <w:r>
              <w:rPr>
                <w:rFonts w:ascii="Times New Roman" w:eastAsia="Times New Roman" w:hAnsi="Times New Roman" w:cs="Times New Roman"/>
                <w:color w:val="000000"/>
                <w:lang w:eastAsia="zh-CN"/>
              </w:rPr>
              <w:t>has been removed.</w:t>
            </w:r>
          </w:p>
        </w:tc>
        <w:tc>
          <w:tcPr>
            <w:tcW w:w="1418" w:type="dxa"/>
          </w:tcPr>
          <w:p w14:paraId="5B216C32" w14:textId="77777777" w:rsidR="004A7E40" w:rsidRPr="004968DE" w:rsidRDefault="004A7E40" w:rsidP="00D26051">
            <w:pPr>
              <w:spacing w:after="240"/>
              <w:jc w:val="center"/>
              <w:rPr>
                <w:rFonts w:ascii="Times New Roman" w:eastAsia="Times New Roman" w:hAnsi="Times New Roman" w:cs="Times New Roman"/>
                <w:color w:val="000000"/>
                <w:lang w:eastAsia="zh-CN"/>
              </w:rPr>
            </w:pPr>
          </w:p>
        </w:tc>
        <w:tc>
          <w:tcPr>
            <w:tcW w:w="991" w:type="dxa"/>
          </w:tcPr>
          <w:p w14:paraId="255720B8" w14:textId="71CB0DA3" w:rsidR="004A7E40" w:rsidRPr="004968DE" w:rsidRDefault="003E7014" w:rsidP="00D26051">
            <w:pPr>
              <w:spacing w:after="240"/>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X</w:t>
            </w:r>
          </w:p>
        </w:tc>
      </w:tr>
      <w:tr w:rsidR="004A7E40" w:rsidRPr="004968DE" w14:paraId="50CF9975" w14:textId="1A8EF41C" w:rsidTr="004A7E40">
        <w:tc>
          <w:tcPr>
            <w:tcW w:w="3085" w:type="dxa"/>
          </w:tcPr>
          <w:p w14:paraId="29D9E4C3" w14:textId="0C0FEFE6" w:rsidR="004A7E40" w:rsidRPr="004968DE" w:rsidRDefault="00C4609A" w:rsidP="004968DE">
            <w:pPr>
              <w:rPr>
                <w:rFonts w:ascii="Times New Roman" w:hAnsi="Times New Roman" w:cs="Times New Roman"/>
                <w:color w:val="000000"/>
              </w:rPr>
            </w:pPr>
            <w:r w:rsidRPr="00C4609A">
              <w:rPr>
                <w:rFonts w:ascii="Times New Roman" w:hAnsi="Times New Roman" w:cs="Times New Roman"/>
                <w:color w:val="000000"/>
              </w:rPr>
              <w:t>4.1.6.10 Assistant(s) of the RTA</w:t>
            </w:r>
          </w:p>
        </w:tc>
        <w:tc>
          <w:tcPr>
            <w:tcW w:w="8789" w:type="dxa"/>
          </w:tcPr>
          <w:p w14:paraId="2729C7CF" w14:textId="1FB492D8" w:rsidR="004A7E40" w:rsidRPr="004968DE" w:rsidRDefault="00C4609A" w:rsidP="00C4609A">
            <w:pPr>
              <w:spacing w:after="240"/>
              <w:jc w:val="both"/>
              <w:rPr>
                <w:rFonts w:ascii="Times New Roman" w:eastAsia="Times New Roman" w:hAnsi="Times New Roman" w:cs="Times New Roman"/>
                <w:color w:val="000000"/>
                <w:lang w:eastAsia="zh-CN"/>
              </w:rPr>
            </w:pPr>
            <w:r w:rsidRPr="00C4609A">
              <w:rPr>
                <w:rFonts w:ascii="Times New Roman" w:eastAsia="Times New Roman" w:hAnsi="Times New Roman" w:cs="Times New Roman"/>
                <w:b/>
                <w:color w:val="000000"/>
                <w:lang w:eastAsia="zh-CN"/>
              </w:rPr>
              <w:t>RTA assistant selection</w:t>
            </w:r>
            <w:r>
              <w:rPr>
                <w:rFonts w:ascii="Times New Roman" w:eastAsia="Times New Roman" w:hAnsi="Times New Roman" w:cs="Times New Roman"/>
                <w:color w:val="000000"/>
                <w:lang w:eastAsia="zh-CN"/>
              </w:rPr>
              <w:t xml:space="preserve"> – Interviewing the short-listed candidates is henceforth a recommendation. A short-list (of three candidates), however, remains mandatory.</w:t>
            </w:r>
          </w:p>
        </w:tc>
        <w:tc>
          <w:tcPr>
            <w:tcW w:w="1418" w:type="dxa"/>
          </w:tcPr>
          <w:p w14:paraId="48D8E9BA" w14:textId="77777777" w:rsidR="004A7E40" w:rsidRPr="004968DE" w:rsidRDefault="004A7E40" w:rsidP="00D26051">
            <w:pPr>
              <w:spacing w:after="240"/>
              <w:jc w:val="center"/>
              <w:rPr>
                <w:rFonts w:ascii="Times New Roman" w:eastAsia="Times New Roman" w:hAnsi="Times New Roman" w:cs="Times New Roman"/>
                <w:color w:val="000000"/>
                <w:lang w:eastAsia="zh-CN"/>
              </w:rPr>
            </w:pPr>
          </w:p>
        </w:tc>
        <w:tc>
          <w:tcPr>
            <w:tcW w:w="991" w:type="dxa"/>
          </w:tcPr>
          <w:p w14:paraId="793791A9" w14:textId="005A176F" w:rsidR="004A7E40" w:rsidRPr="004968DE" w:rsidRDefault="00C4609A" w:rsidP="00D26051">
            <w:pPr>
              <w:spacing w:after="240"/>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X</w:t>
            </w:r>
          </w:p>
        </w:tc>
      </w:tr>
      <w:tr w:rsidR="004A7E40" w:rsidRPr="004968DE" w14:paraId="442817DC" w14:textId="63DC0923" w:rsidTr="004A7E40">
        <w:tc>
          <w:tcPr>
            <w:tcW w:w="3085" w:type="dxa"/>
          </w:tcPr>
          <w:p w14:paraId="164FEA05" w14:textId="77777777" w:rsidR="00744F49" w:rsidRPr="00744F49" w:rsidRDefault="00744F49" w:rsidP="00744F49">
            <w:pPr>
              <w:pStyle w:val="Heading3"/>
              <w:outlineLvl w:val="2"/>
              <w:rPr>
                <w:b w:val="0"/>
                <w:sz w:val="22"/>
              </w:rPr>
            </w:pPr>
            <w:bookmarkStart w:id="0" w:name="_Toc462416459"/>
            <w:bookmarkStart w:id="1" w:name="_Toc464459878"/>
            <w:bookmarkStart w:id="2" w:name="_Toc476063260"/>
            <w:bookmarkStart w:id="3" w:name="_Toc476067742"/>
            <w:bookmarkStart w:id="4" w:name="_Toc27064979"/>
            <w:bookmarkStart w:id="5" w:name="_Toc49253419"/>
            <w:bookmarkStart w:id="6" w:name="_Toc102576470"/>
            <w:bookmarkStart w:id="7" w:name="_Toc107392053"/>
            <w:r w:rsidRPr="00744F49">
              <w:rPr>
                <w:b w:val="0"/>
                <w:sz w:val="22"/>
              </w:rPr>
              <w:t>4.1.7 Short-term experts</w:t>
            </w:r>
            <w:bookmarkEnd w:id="0"/>
            <w:bookmarkEnd w:id="1"/>
            <w:bookmarkEnd w:id="2"/>
            <w:bookmarkEnd w:id="3"/>
            <w:bookmarkEnd w:id="4"/>
            <w:bookmarkEnd w:id="5"/>
            <w:bookmarkEnd w:id="6"/>
            <w:bookmarkEnd w:id="7"/>
          </w:p>
          <w:p w14:paraId="62AA79D8" w14:textId="0FE9EA61" w:rsidR="004A7E40" w:rsidRPr="004968DE" w:rsidRDefault="004A7E40" w:rsidP="004968DE">
            <w:pPr>
              <w:rPr>
                <w:rFonts w:ascii="Times New Roman" w:hAnsi="Times New Roman" w:cs="Times New Roman"/>
                <w:color w:val="000000"/>
              </w:rPr>
            </w:pPr>
          </w:p>
        </w:tc>
        <w:tc>
          <w:tcPr>
            <w:tcW w:w="8789" w:type="dxa"/>
          </w:tcPr>
          <w:p w14:paraId="7DB79B65" w14:textId="77777777" w:rsidR="004A7E40" w:rsidRDefault="00744F49" w:rsidP="00A02991">
            <w:pPr>
              <w:jc w:val="both"/>
              <w:rPr>
                <w:rFonts w:ascii="Times New Roman" w:eastAsia="Calibri" w:hAnsi="Times New Roman" w:cs="Times New Roman"/>
              </w:rPr>
            </w:pPr>
            <w:r w:rsidRPr="00744F49">
              <w:rPr>
                <w:rFonts w:ascii="Times New Roman" w:eastAsia="Calibri" w:hAnsi="Times New Roman" w:cs="Times New Roman"/>
                <w:b/>
              </w:rPr>
              <w:t>Remote work</w:t>
            </w:r>
            <w:r>
              <w:rPr>
                <w:rFonts w:ascii="Times New Roman" w:eastAsia="Calibri" w:hAnsi="Times New Roman" w:cs="Times New Roman"/>
              </w:rPr>
              <w:t xml:space="preserve"> – </w:t>
            </w:r>
            <w:r w:rsidRPr="00744F49">
              <w:rPr>
                <w:rFonts w:ascii="Times New Roman" w:eastAsia="Calibri" w:hAnsi="Times New Roman" w:cs="Times New Roman"/>
                <w:u w:val="single"/>
              </w:rPr>
              <w:t>In operationally justified cases, and in agreement with the Contracting Authority</w:t>
            </w:r>
            <w:r w:rsidRPr="00744F49">
              <w:rPr>
                <w:rFonts w:ascii="Times New Roman" w:eastAsia="Calibri" w:hAnsi="Times New Roman" w:cs="Times New Roman"/>
              </w:rPr>
              <w:t>, there may be activities implemented by short-term exp</w:t>
            </w:r>
            <w:r>
              <w:rPr>
                <w:rFonts w:ascii="Times New Roman" w:eastAsia="Calibri" w:hAnsi="Times New Roman" w:cs="Times New Roman"/>
              </w:rPr>
              <w:t xml:space="preserve">erts from the Member State via </w:t>
            </w:r>
            <w:r w:rsidRPr="00744F49">
              <w:rPr>
                <w:rFonts w:ascii="Times New Roman" w:eastAsia="Calibri" w:hAnsi="Times New Roman" w:cs="Times New Roman"/>
              </w:rPr>
              <w:t>videoconferencing tools.</w:t>
            </w:r>
          </w:p>
          <w:p w14:paraId="41114B81" w14:textId="46E5ECBB" w:rsidR="00744F49" w:rsidRPr="004968DE" w:rsidDel="00384794" w:rsidRDefault="00744F49" w:rsidP="00A02991">
            <w:pPr>
              <w:jc w:val="both"/>
              <w:rPr>
                <w:rFonts w:ascii="Times New Roman" w:eastAsia="Calibri" w:hAnsi="Times New Roman" w:cs="Times New Roman"/>
              </w:rPr>
            </w:pPr>
          </w:p>
        </w:tc>
        <w:tc>
          <w:tcPr>
            <w:tcW w:w="1418" w:type="dxa"/>
          </w:tcPr>
          <w:p w14:paraId="32D9C67F" w14:textId="77777777" w:rsidR="004A7E40" w:rsidRPr="004968DE" w:rsidRDefault="004A7E40" w:rsidP="00D26051">
            <w:pPr>
              <w:jc w:val="center"/>
              <w:rPr>
                <w:rFonts w:ascii="Times New Roman" w:eastAsia="Calibri" w:hAnsi="Times New Roman" w:cs="Times New Roman"/>
              </w:rPr>
            </w:pPr>
          </w:p>
        </w:tc>
        <w:tc>
          <w:tcPr>
            <w:tcW w:w="991" w:type="dxa"/>
          </w:tcPr>
          <w:p w14:paraId="0B577097" w14:textId="117E5704" w:rsidR="004A7E40" w:rsidRPr="004968DE" w:rsidRDefault="00744F49" w:rsidP="00D26051">
            <w:pPr>
              <w:jc w:val="center"/>
              <w:rPr>
                <w:rFonts w:ascii="Times New Roman" w:eastAsia="Calibri" w:hAnsi="Times New Roman" w:cs="Times New Roman"/>
              </w:rPr>
            </w:pPr>
            <w:r>
              <w:rPr>
                <w:rFonts w:ascii="Times New Roman" w:eastAsia="Calibri" w:hAnsi="Times New Roman" w:cs="Times New Roman"/>
              </w:rPr>
              <w:t>X</w:t>
            </w:r>
          </w:p>
        </w:tc>
      </w:tr>
      <w:tr w:rsidR="004A7E40" w:rsidRPr="004968DE" w14:paraId="1E103FFE" w14:textId="34870169" w:rsidTr="004A7E40">
        <w:tc>
          <w:tcPr>
            <w:tcW w:w="3085" w:type="dxa"/>
          </w:tcPr>
          <w:p w14:paraId="39FE39CA" w14:textId="77777777" w:rsidR="004A7E40" w:rsidRDefault="000A1E75" w:rsidP="000A1E75">
            <w:pPr>
              <w:rPr>
                <w:rFonts w:ascii="Times New Roman" w:hAnsi="Times New Roman" w:cs="Times New Roman"/>
                <w:color w:val="000000"/>
              </w:rPr>
            </w:pPr>
            <w:r w:rsidRPr="000A1E75">
              <w:rPr>
                <w:rFonts w:ascii="Times New Roman" w:hAnsi="Times New Roman" w:cs="Times New Roman"/>
                <w:color w:val="000000"/>
              </w:rPr>
              <w:t>4.2.5 The Contracting Authority in Partner Country</w:t>
            </w:r>
            <w:r>
              <w:rPr>
                <w:rFonts w:ascii="Times New Roman" w:hAnsi="Times New Roman" w:cs="Times New Roman"/>
                <w:color w:val="000000"/>
              </w:rPr>
              <w:t xml:space="preserve"> </w:t>
            </w:r>
          </w:p>
          <w:p w14:paraId="51281EE6" w14:textId="53E60297" w:rsidR="000A1E75" w:rsidRPr="004968DE" w:rsidRDefault="000A1E75" w:rsidP="000A1E75">
            <w:pPr>
              <w:rPr>
                <w:rFonts w:ascii="Times New Roman" w:hAnsi="Times New Roman" w:cs="Times New Roman"/>
                <w:color w:val="000000"/>
              </w:rPr>
            </w:pPr>
          </w:p>
        </w:tc>
        <w:tc>
          <w:tcPr>
            <w:tcW w:w="8789" w:type="dxa"/>
          </w:tcPr>
          <w:p w14:paraId="3B062335" w14:textId="7F7CACAC" w:rsidR="004A7E40" w:rsidRPr="004968DE" w:rsidDel="00384794" w:rsidRDefault="000A1E75" w:rsidP="00CB65D1">
            <w:pPr>
              <w:jc w:val="both"/>
              <w:rPr>
                <w:rFonts w:ascii="Times New Roman" w:eastAsia="Calibri" w:hAnsi="Times New Roman" w:cs="Times New Roman"/>
              </w:rPr>
            </w:pPr>
            <w:r w:rsidRPr="000A1E75">
              <w:rPr>
                <w:rFonts w:ascii="Times New Roman" w:hAnsi="Times New Roman" w:cs="Times New Roman"/>
                <w:b/>
                <w:color w:val="000000"/>
              </w:rPr>
              <w:t>CFCU/PAO</w:t>
            </w:r>
            <w:r>
              <w:rPr>
                <w:rFonts w:ascii="Times New Roman" w:hAnsi="Times New Roman" w:cs="Times New Roman"/>
                <w:color w:val="000000"/>
              </w:rPr>
              <w:t xml:space="preserve"> – Terminology update: the</w:t>
            </w:r>
            <w:r w:rsidR="00CB65D1">
              <w:rPr>
                <w:rFonts w:ascii="Times New Roman" w:hAnsi="Times New Roman" w:cs="Times New Roman"/>
                <w:color w:val="000000"/>
              </w:rPr>
              <w:t xml:space="preserve"> terms</w:t>
            </w:r>
            <w:r>
              <w:rPr>
                <w:rFonts w:ascii="Times New Roman" w:hAnsi="Times New Roman" w:cs="Times New Roman"/>
                <w:color w:val="000000"/>
              </w:rPr>
              <w:t xml:space="preserve"> ‘</w:t>
            </w:r>
            <w:r w:rsidRPr="000A1E75">
              <w:rPr>
                <w:rFonts w:ascii="Times New Roman" w:hAnsi="Times New Roman" w:cs="Times New Roman"/>
                <w:color w:val="000000"/>
              </w:rPr>
              <w:t>Central Finance and Contracts Unit / the Programme Administration Office</w:t>
            </w:r>
            <w:r>
              <w:rPr>
                <w:rFonts w:ascii="Times New Roman" w:hAnsi="Times New Roman" w:cs="Times New Roman"/>
                <w:color w:val="000000"/>
              </w:rPr>
              <w:t xml:space="preserve">’ </w:t>
            </w:r>
            <w:r w:rsidR="00CB65D1">
              <w:rPr>
                <w:rFonts w:ascii="Times New Roman" w:hAnsi="Times New Roman" w:cs="Times New Roman"/>
                <w:color w:val="000000"/>
              </w:rPr>
              <w:t>are being discontinued.</w:t>
            </w:r>
          </w:p>
        </w:tc>
        <w:tc>
          <w:tcPr>
            <w:tcW w:w="1418" w:type="dxa"/>
          </w:tcPr>
          <w:p w14:paraId="1EE7608A" w14:textId="7BD50B13" w:rsidR="004A7E40" w:rsidRPr="004968DE" w:rsidRDefault="000A1E75" w:rsidP="00D26051">
            <w:pPr>
              <w:jc w:val="center"/>
              <w:rPr>
                <w:rFonts w:ascii="Times New Roman" w:eastAsia="Calibri" w:hAnsi="Times New Roman" w:cs="Times New Roman"/>
              </w:rPr>
            </w:pPr>
            <w:r>
              <w:rPr>
                <w:rFonts w:ascii="Times New Roman" w:eastAsia="Calibri" w:hAnsi="Times New Roman" w:cs="Times New Roman"/>
              </w:rPr>
              <w:t>X</w:t>
            </w:r>
          </w:p>
        </w:tc>
        <w:tc>
          <w:tcPr>
            <w:tcW w:w="991" w:type="dxa"/>
          </w:tcPr>
          <w:p w14:paraId="3A4DE798" w14:textId="77777777" w:rsidR="004A7E40" w:rsidRPr="004968DE" w:rsidRDefault="004A7E40" w:rsidP="00D26051">
            <w:pPr>
              <w:jc w:val="center"/>
              <w:rPr>
                <w:rFonts w:ascii="Times New Roman" w:eastAsia="Calibri" w:hAnsi="Times New Roman" w:cs="Times New Roman"/>
              </w:rPr>
            </w:pPr>
          </w:p>
        </w:tc>
      </w:tr>
      <w:tr w:rsidR="004A7E40" w:rsidRPr="004968DE" w14:paraId="73D6D2BB" w14:textId="59BA92E0" w:rsidTr="004A7E40">
        <w:tc>
          <w:tcPr>
            <w:tcW w:w="3085" w:type="dxa"/>
          </w:tcPr>
          <w:p w14:paraId="57138A65" w14:textId="65959E55" w:rsidR="00120965" w:rsidRPr="00120965" w:rsidRDefault="00120965" w:rsidP="00120965">
            <w:pPr>
              <w:rPr>
                <w:rFonts w:ascii="Times New Roman" w:hAnsi="Times New Roman" w:cs="Times New Roman"/>
                <w:color w:val="000000"/>
              </w:rPr>
            </w:pPr>
            <w:r w:rsidRPr="00120965">
              <w:rPr>
                <w:rFonts w:ascii="Times New Roman" w:hAnsi="Times New Roman" w:cs="Times New Roman"/>
                <w:color w:val="000000"/>
              </w:rPr>
              <w:t>4.2.5.2.1</w:t>
            </w:r>
            <w:r w:rsidR="00355045">
              <w:rPr>
                <w:rFonts w:ascii="Times New Roman" w:hAnsi="Times New Roman" w:cs="Times New Roman"/>
                <w:color w:val="000000"/>
              </w:rPr>
              <w:t>/</w:t>
            </w:r>
            <w:r w:rsidR="00355045" w:rsidRPr="00120965">
              <w:rPr>
                <w:rFonts w:ascii="Times New Roman" w:hAnsi="Times New Roman" w:cs="Times New Roman"/>
                <w:color w:val="000000"/>
              </w:rPr>
              <w:t xml:space="preserve">4.2.5.2.2 </w:t>
            </w:r>
            <w:r w:rsidRPr="00120965">
              <w:rPr>
                <w:rFonts w:ascii="Times New Roman" w:hAnsi="Times New Roman" w:cs="Times New Roman"/>
                <w:color w:val="000000"/>
              </w:rPr>
              <w:t xml:space="preserve"> Specific role of the Contracting Authority in indirect management with ex-ante</w:t>
            </w:r>
            <w:r w:rsidR="00355045">
              <w:rPr>
                <w:rFonts w:ascii="Times New Roman" w:hAnsi="Times New Roman" w:cs="Times New Roman"/>
                <w:color w:val="000000"/>
              </w:rPr>
              <w:t>/ex-post</w:t>
            </w:r>
            <w:r w:rsidRPr="00120965">
              <w:rPr>
                <w:rFonts w:ascii="Times New Roman" w:hAnsi="Times New Roman" w:cs="Times New Roman"/>
                <w:color w:val="000000"/>
              </w:rPr>
              <w:t xml:space="preserve"> control </w:t>
            </w:r>
          </w:p>
          <w:p w14:paraId="58031F5D" w14:textId="6523FAA9" w:rsidR="004A7E40" w:rsidRDefault="00355045" w:rsidP="00120965">
            <w:pPr>
              <w:rPr>
                <w:rFonts w:ascii="Times New Roman" w:hAnsi="Times New Roman" w:cs="Times New Roman"/>
                <w:color w:val="000000"/>
              </w:rPr>
            </w:pPr>
            <w:r w:rsidRPr="00120965">
              <w:rPr>
                <w:rFonts w:ascii="Times New Roman" w:hAnsi="Times New Roman" w:cs="Times New Roman"/>
                <w:color w:val="000000"/>
              </w:rPr>
              <w:t>C</w:t>
            </w:r>
            <w:r w:rsidR="00120965" w:rsidRPr="00120965">
              <w:rPr>
                <w:rFonts w:ascii="Times New Roman" w:hAnsi="Times New Roman" w:cs="Times New Roman"/>
                <w:color w:val="000000"/>
              </w:rPr>
              <w:t>ontrol</w:t>
            </w:r>
          </w:p>
          <w:p w14:paraId="1199407A" w14:textId="0826EA9C" w:rsidR="00355045" w:rsidRPr="004968DE" w:rsidRDefault="00355045" w:rsidP="00120965">
            <w:pPr>
              <w:rPr>
                <w:rFonts w:ascii="Times New Roman" w:hAnsi="Times New Roman" w:cs="Times New Roman"/>
                <w:color w:val="000000"/>
              </w:rPr>
            </w:pPr>
          </w:p>
        </w:tc>
        <w:tc>
          <w:tcPr>
            <w:tcW w:w="8789" w:type="dxa"/>
          </w:tcPr>
          <w:p w14:paraId="3F4B3A5F" w14:textId="235C7757" w:rsidR="004A7E40" w:rsidRPr="004968DE" w:rsidRDefault="00120965" w:rsidP="00120965">
            <w:pPr>
              <w:jc w:val="both"/>
              <w:rPr>
                <w:rFonts w:ascii="Times New Roman" w:eastAsia="Calibri" w:hAnsi="Times New Roman" w:cs="Times New Roman"/>
              </w:rPr>
            </w:pPr>
            <w:r w:rsidRPr="00120965">
              <w:rPr>
                <w:rFonts w:ascii="Times New Roman" w:eastAsia="Calibri" w:hAnsi="Times New Roman" w:cs="Times New Roman"/>
                <w:b/>
              </w:rPr>
              <w:t>Role of the Contracting Authority</w:t>
            </w:r>
            <w:r>
              <w:rPr>
                <w:rFonts w:ascii="Times New Roman" w:eastAsia="Calibri" w:hAnsi="Times New Roman" w:cs="Times New Roman"/>
              </w:rPr>
              <w:t xml:space="preserve"> – changes to the role in line with the modified inter-service consultation (see section 2.1.2 above).</w:t>
            </w:r>
          </w:p>
        </w:tc>
        <w:tc>
          <w:tcPr>
            <w:tcW w:w="1418" w:type="dxa"/>
          </w:tcPr>
          <w:p w14:paraId="213A6394" w14:textId="77777777" w:rsidR="004A7E40" w:rsidRPr="004968DE" w:rsidRDefault="004A7E40" w:rsidP="00D26051">
            <w:pPr>
              <w:jc w:val="center"/>
              <w:rPr>
                <w:rFonts w:ascii="Times New Roman" w:eastAsia="Calibri" w:hAnsi="Times New Roman" w:cs="Times New Roman"/>
              </w:rPr>
            </w:pPr>
          </w:p>
        </w:tc>
        <w:tc>
          <w:tcPr>
            <w:tcW w:w="991" w:type="dxa"/>
          </w:tcPr>
          <w:p w14:paraId="65A1815A" w14:textId="29EFEC30" w:rsidR="004A7E40" w:rsidRPr="004968DE" w:rsidRDefault="00120965" w:rsidP="00D26051">
            <w:pPr>
              <w:jc w:val="center"/>
              <w:rPr>
                <w:rFonts w:ascii="Times New Roman" w:eastAsia="Calibri" w:hAnsi="Times New Roman" w:cs="Times New Roman"/>
              </w:rPr>
            </w:pPr>
            <w:r>
              <w:rPr>
                <w:rFonts w:ascii="Times New Roman" w:eastAsia="Calibri" w:hAnsi="Times New Roman" w:cs="Times New Roman"/>
              </w:rPr>
              <w:t>X</w:t>
            </w:r>
          </w:p>
        </w:tc>
      </w:tr>
      <w:tr w:rsidR="004A7E40" w:rsidRPr="004968DE" w14:paraId="305CEEBD" w14:textId="7FEC3BB3" w:rsidTr="004A7E40">
        <w:tc>
          <w:tcPr>
            <w:tcW w:w="3085" w:type="dxa"/>
          </w:tcPr>
          <w:p w14:paraId="180434BC" w14:textId="77777777" w:rsidR="004A7E40" w:rsidRDefault="00FC3294" w:rsidP="004968DE">
            <w:pPr>
              <w:rPr>
                <w:rFonts w:ascii="Times New Roman" w:hAnsi="Times New Roman" w:cs="Times New Roman"/>
                <w:color w:val="000000"/>
              </w:rPr>
            </w:pPr>
            <w:r w:rsidRPr="00FC3294">
              <w:rPr>
                <w:rFonts w:ascii="Times New Roman" w:hAnsi="Times New Roman" w:cs="Times New Roman"/>
                <w:color w:val="000000"/>
              </w:rPr>
              <w:lastRenderedPageBreak/>
              <w:t>4.3.2 The Twinning Coordination Team</w:t>
            </w:r>
          </w:p>
          <w:p w14:paraId="5B61DBA1" w14:textId="5F95FC7D" w:rsidR="00FC3294" w:rsidRPr="004968DE" w:rsidRDefault="00FC3294" w:rsidP="004968DE">
            <w:pPr>
              <w:rPr>
                <w:rFonts w:ascii="Times New Roman" w:hAnsi="Times New Roman" w:cs="Times New Roman"/>
                <w:color w:val="000000"/>
              </w:rPr>
            </w:pPr>
          </w:p>
        </w:tc>
        <w:tc>
          <w:tcPr>
            <w:tcW w:w="8789" w:type="dxa"/>
          </w:tcPr>
          <w:p w14:paraId="6F0BD02C" w14:textId="77777777" w:rsidR="004A7E40" w:rsidRDefault="00FC3294" w:rsidP="00FC3294">
            <w:pPr>
              <w:jc w:val="both"/>
              <w:rPr>
                <w:rFonts w:ascii="Times New Roman" w:eastAsia="Calibri" w:hAnsi="Times New Roman" w:cs="Times New Roman"/>
              </w:rPr>
            </w:pPr>
            <w:r w:rsidRPr="00FC3294">
              <w:rPr>
                <w:rFonts w:ascii="Times New Roman" w:eastAsia="Calibri" w:hAnsi="Times New Roman" w:cs="Times New Roman"/>
                <w:b/>
              </w:rPr>
              <w:t>Role of the Twinning Coordination Team</w:t>
            </w:r>
            <w:r>
              <w:rPr>
                <w:rFonts w:ascii="Times New Roman" w:eastAsia="Calibri" w:hAnsi="Times New Roman" w:cs="Times New Roman"/>
              </w:rPr>
              <w:t xml:space="preserve"> – The Twinning team receives and </w:t>
            </w:r>
            <w:r w:rsidRPr="00FC3294">
              <w:rPr>
                <w:rFonts w:ascii="Times New Roman" w:eastAsia="Calibri" w:hAnsi="Times New Roman" w:cs="Times New Roman"/>
              </w:rPr>
              <w:t xml:space="preserve">provides </w:t>
            </w:r>
            <w:r>
              <w:rPr>
                <w:rFonts w:ascii="Times New Roman" w:eastAsia="Calibri" w:hAnsi="Times New Roman" w:cs="Times New Roman"/>
              </w:rPr>
              <w:t>feedback on the Twinning fiche but does not consolidate the comments received from other EC services (see section 2.1.2 above concerning modified Inter-service consultation).</w:t>
            </w:r>
          </w:p>
          <w:p w14:paraId="543396D0" w14:textId="39D65872" w:rsidR="00FC3294" w:rsidRPr="004968DE" w:rsidRDefault="00FC3294" w:rsidP="00FC3294">
            <w:pPr>
              <w:jc w:val="both"/>
              <w:rPr>
                <w:rFonts w:ascii="Times New Roman" w:eastAsia="Calibri" w:hAnsi="Times New Roman" w:cs="Times New Roman"/>
              </w:rPr>
            </w:pPr>
          </w:p>
        </w:tc>
        <w:tc>
          <w:tcPr>
            <w:tcW w:w="1418" w:type="dxa"/>
          </w:tcPr>
          <w:p w14:paraId="344FE61A" w14:textId="77777777" w:rsidR="004A7E40" w:rsidRPr="004968DE" w:rsidRDefault="004A7E40" w:rsidP="00D26051">
            <w:pPr>
              <w:jc w:val="center"/>
              <w:rPr>
                <w:rFonts w:ascii="Times New Roman" w:eastAsia="Calibri" w:hAnsi="Times New Roman" w:cs="Times New Roman"/>
              </w:rPr>
            </w:pPr>
          </w:p>
        </w:tc>
        <w:tc>
          <w:tcPr>
            <w:tcW w:w="991" w:type="dxa"/>
          </w:tcPr>
          <w:p w14:paraId="24BB3259" w14:textId="0923588C" w:rsidR="004A7E40" w:rsidRPr="004968DE" w:rsidRDefault="00FC3294" w:rsidP="00D26051">
            <w:pPr>
              <w:jc w:val="center"/>
              <w:rPr>
                <w:rFonts w:ascii="Times New Roman" w:eastAsia="Calibri" w:hAnsi="Times New Roman" w:cs="Times New Roman"/>
              </w:rPr>
            </w:pPr>
            <w:r>
              <w:rPr>
                <w:rFonts w:ascii="Times New Roman" w:eastAsia="Calibri" w:hAnsi="Times New Roman" w:cs="Times New Roman"/>
              </w:rPr>
              <w:t>X</w:t>
            </w:r>
          </w:p>
        </w:tc>
      </w:tr>
      <w:tr w:rsidR="004A7E40" w:rsidRPr="004968DE" w14:paraId="27F139FB" w14:textId="3C873E99" w:rsidTr="004A7E40">
        <w:tc>
          <w:tcPr>
            <w:tcW w:w="3085" w:type="dxa"/>
          </w:tcPr>
          <w:p w14:paraId="6322F365" w14:textId="78C3FC24" w:rsidR="004A7E40" w:rsidRDefault="00EF22E1" w:rsidP="00EF22E1">
            <w:pPr>
              <w:rPr>
                <w:rFonts w:ascii="Times New Roman" w:hAnsi="Times New Roman" w:cs="Times New Roman"/>
                <w:color w:val="000000"/>
              </w:rPr>
            </w:pPr>
            <w:r w:rsidRPr="00EF22E1">
              <w:rPr>
                <w:rFonts w:ascii="Times New Roman" w:hAnsi="Times New Roman" w:cs="Times New Roman"/>
                <w:color w:val="000000"/>
              </w:rPr>
              <w:t>4.3.3.1</w:t>
            </w:r>
            <w:r w:rsidR="00355045">
              <w:rPr>
                <w:rFonts w:ascii="Times New Roman" w:hAnsi="Times New Roman" w:cs="Times New Roman"/>
                <w:color w:val="000000"/>
              </w:rPr>
              <w:t>/</w:t>
            </w:r>
            <w:r w:rsidR="00355045" w:rsidRPr="00EF22E1">
              <w:rPr>
                <w:rFonts w:ascii="Times New Roman" w:hAnsi="Times New Roman" w:cs="Times New Roman"/>
                <w:color w:val="000000"/>
              </w:rPr>
              <w:t xml:space="preserve">4.3.3.2 </w:t>
            </w:r>
            <w:r w:rsidRPr="00EF22E1">
              <w:rPr>
                <w:rFonts w:ascii="Times New Roman" w:hAnsi="Times New Roman" w:cs="Times New Roman"/>
                <w:color w:val="000000"/>
              </w:rPr>
              <w:t xml:space="preserve"> Role of the Commission (EUD) in direct management</w:t>
            </w:r>
            <w:r w:rsidR="00355045">
              <w:rPr>
                <w:rFonts w:ascii="Times New Roman" w:hAnsi="Times New Roman" w:cs="Times New Roman"/>
                <w:color w:val="000000"/>
              </w:rPr>
              <w:t>/</w:t>
            </w:r>
            <w:r w:rsidRPr="00EF22E1">
              <w:rPr>
                <w:rFonts w:ascii="Times New Roman" w:hAnsi="Times New Roman" w:cs="Times New Roman"/>
                <w:color w:val="000000"/>
              </w:rPr>
              <w:t>in indirect management with ex-ante control</w:t>
            </w:r>
          </w:p>
          <w:p w14:paraId="3D6AC3CD" w14:textId="6F066378" w:rsidR="00EF22E1" w:rsidRPr="004968DE" w:rsidRDefault="00EF22E1" w:rsidP="00EF22E1">
            <w:pPr>
              <w:rPr>
                <w:rFonts w:ascii="Times New Roman" w:hAnsi="Times New Roman" w:cs="Times New Roman"/>
                <w:color w:val="000000"/>
              </w:rPr>
            </w:pPr>
          </w:p>
        </w:tc>
        <w:tc>
          <w:tcPr>
            <w:tcW w:w="8789" w:type="dxa"/>
          </w:tcPr>
          <w:p w14:paraId="43E6577B" w14:textId="6A8F2A5A" w:rsidR="004A7E40" w:rsidRPr="004968DE" w:rsidRDefault="00EF22E1" w:rsidP="006B154D">
            <w:pPr>
              <w:jc w:val="both"/>
              <w:rPr>
                <w:rFonts w:ascii="Times New Roman" w:eastAsia="Calibri" w:hAnsi="Times New Roman" w:cs="Times New Roman"/>
              </w:rPr>
            </w:pPr>
            <w:r w:rsidRPr="00120965">
              <w:rPr>
                <w:rFonts w:ascii="Times New Roman" w:eastAsia="Calibri" w:hAnsi="Times New Roman" w:cs="Times New Roman"/>
                <w:b/>
              </w:rPr>
              <w:t>Role of the Contracting Authority</w:t>
            </w:r>
            <w:r>
              <w:rPr>
                <w:rFonts w:ascii="Times New Roman" w:eastAsia="Calibri" w:hAnsi="Times New Roman" w:cs="Times New Roman"/>
              </w:rPr>
              <w:t xml:space="preserve"> – changes to the role in line with the modified inter-service consultation (see section 2.1.2 above).</w:t>
            </w:r>
          </w:p>
        </w:tc>
        <w:tc>
          <w:tcPr>
            <w:tcW w:w="1418" w:type="dxa"/>
          </w:tcPr>
          <w:p w14:paraId="11EC0AEA" w14:textId="77777777" w:rsidR="004A7E40" w:rsidRPr="004968DE" w:rsidRDefault="004A7E40" w:rsidP="00D26051">
            <w:pPr>
              <w:jc w:val="center"/>
              <w:rPr>
                <w:rFonts w:ascii="Times New Roman" w:eastAsia="Calibri" w:hAnsi="Times New Roman" w:cs="Times New Roman"/>
              </w:rPr>
            </w:pPr>
          </w:p>
        </w:tc>
        <w:tc>
          <w:tcPr>
            <w:tcW w:w="991" w:type="dxa"/>
          </w:tcPr>
          <w:p w14:paraId="2B794B40" w14:textId="3417F3E3" w:rsidR="004A7E40" w:rsidRPr="004968DE" w:rsidRDefault="00EF22E1" w:rsidP="00D26051">
            <w:pPr>
              <w:jc w:val="center"/>
              <w:rPr>
                <w:rFonts w:ascii="Times New Roman" w:eastAsia="Calibri" w:hAnsi="Times New Roman" w:cs="Times New Roman"/>
              </w:rPr>
            </w:pPr>
            <w:r>
              <w:rPr>
                <w:rFonts w:ascii="Times New Roman" w:eastAsia="Calibri" w:hAnsi="Times New Roman" w:cs="Times New Roman"/>
              </w:rPr>
              <w:t>X</w:t>
            </w:r>
          </w:p>
        </w:tc>
      </w:tr>
      <w:tr w:rsidR="004A7E40" w:rsidRPr="004968DE" w14:paraId="239936CC" w14:textId="67489DA8" w:rsidTr="004A7E40">
        <w:tc>
          <w:tcPr>
            <w:tcW w:w="3085" w:type="dxa"/>
          </w:tcPr>
          <w:p w14:paraId="440CF354" w14:textId="77777777" w:rsidR="004A7E40" w:rsidRDefault="005602B6" w:rsidP="005602B6">
            <w:pPr>
              <w:rPr>
                <w:rFonts w:ascii="Times New Roman" w:hAnsi="Times New Roman" w:cs="Times New Roman"/>
                <w:color w:val="000000"/>
              </w:rPr>
            </w:pPr>
            <w:r w:rsidRPr="005602B6">
              <w:rPr>
                <w:rFonts w:ascii="Times New Roman" w:hAnsi="Times New Roman" w:cs="Times New Roman"/>
                <w:color w:val="000000"/>
              </w:rPr>
              <w:t>Section 5: Project design and management</w:t>
            </w:r>
            <w:r>
              <w:rPr>
                <w:rFonts w:ascii="Times New Roman" w:hAnsi="Times New Roman" w:cs="Times New Roman"/>
                <w:color w:val="000000"/>
              </w:rPr>
              <w:t xml:space="preserve"> – </w:t>
            </w:r>
            <w:r w:rsidRPr="005602B6">
              <w:rPr>
                <w:rFonts w:ascii="Times New Roman" w:hAnsi="Times New Roman" w:cs="Times New Roman"/>
                <w:color w:val="000000"/>
              </w:rPr>
              <w:t>5.3 Targets, time frames, duration, risks analysis</w:t>
            </w:r>
            <w:r>
              <w:rPr>
                <w:rFonts w:ascii="Times New Roman" w:hAnsi="Times New Roman" w:cs="Times New Roman"/>
                <w:color w:val="000000"/>
              </w:rPr>
              <w:t xml:space="preserve"> – </w:t>
            </w:r>
            <w:r w:rsidRPr="005602B6">
              <w:rPr>
                <w:rFonts w:ascii="Times New Roman" w:hAnsi="Times New Roman" w:cs="Times New Roman"/>
                <w:color w:val="000000"/>
              </w:rPr>
              <w:t>5.3.3 Duration</w:t>
            </w:r>
          </w:p>
          <w:p w14:paraId="1E15BD7D" w14:textId="5A5D3025" w:rsidR="003361F4" w:rsidRPr="004968DE" w:rsidRDefault="003361F4" w:rsidP="005602B6">
            <w:pPr>
              <w:rPr>
                <w:rFonts w:ascii="Times New Roman" w:hAnsi="Times New Roman" w:cs="Times New Roman"/>
                <w:color w:val="000000"/>
              </w:rPr>
            </w:pPr>
          </w:p>
        </w:tc>
        <w:tc>
          <w:tcPr>
            <w:tcW w:w="8789" w:type="dxa"/>
          </w:tcPr>
          <w:p w14:paraId="43131C3B" w14:textId="35895658" w:rsidR="004A7E40" w:rsidRPr="004968DE" w:rsidRDefault="000F3A67" w:rsidP="005602B6">
            <w:pPr>
              <w:jc w:val="both"/>
              <w:rPr>
                <w:rFonts w:ascii="Times New Roman" w:eastAsia="Calibri" w:hAnsi="Times New Roman" w:cs="Times New Roman"/>
                <w:lang w:val="en-US"/>
              </w:rPr>
            </w:pPr>
            <w:r>
              <w:rPr>
                <w:rFonts w:ascii="Times New Roman" w:eastAsia="Calibri" w:hAnsi="Times New Roman" w:cs="Times New Roman"/>
                <w:b/>
                <w:lang w:val="en-US"/>
              </w:rPr>
              <w:t>Project</w:t>
            </w:r>
            <w:r w:rsidR="005602B6" w:rsidRPr="005602B6">
              <w:rPr>
                <w:rFonts w:ascii="Times New Roman" w:eastAsia="Calibri" w:hAnsi="Times New Roman" w:cs="Times New Roman"/>
                <w:b/>
                <w:lang w:val="en-US"/>
              </w:rPr>
              <w:t xml:space="preserve"> implementation period</w:t>
            </w:r>
            <w:r w:rsidR="005602B6" w:rsidRPr="005602B6">
              <w:rPr>
                <w:rFonts w:ascii="Times New Roman" w:eastAsia="Calibri" w:hAnsi="Times New Roman" w:cs="Times New Roman"/>
                <w:lang w:val="en-US"/>
              </w:rPr>
              <w:t xml:space="preserve"> </w:t>
            </w:r>
            <w:r w:rsidR="005602B6">
              <w:rPr>
                <w:rFonts w:ascii="Times New Roman" w:eastAsia="Calibri" w:hAnsi="Times New Roman" w:cs="Times New Roman"/>
                <w:lang w:val="en-US"/>
              </w:rPr>
              <w:t xml:space="preserve">– </w:t>
            </w:r>
            <w:r w:rsidR="005602B6" w:rsidRPr="005602B6">
              <w:rPr>
                <w:rFonts w:ascii="Times New Roman" w:eastAsia="Calibri" w:hAnsi="Times New Roman" w:cs="Times New Roman"/>
                <w:lang w:val="en-US"/>
              </w:rPr>
              <w:t xml:space="preserve">It starts with </w:t>
            </w:r>
            <w:r w:rsidR="005602B6" w:rsidRPr="005602B6">
              <w:rPr>
                <w:rFonts w:ascii="Times New Roman" w:eastAsia="Calibri" w:hAnsi="Times New Roman" w:cs="Times New Roman"/>
                <w:u w:val="single"/>
                <w:lang w:val="en-US"/>
              </w:rPr>
              <w:t>the date of the taking up of duties by the RTA</w:t>
            </w:r>
            <w:r w:rsidR="005602B6" w:rsidRPr="005602B6">
              <w:rPr>
                <w:rFonts w:ascii="Times New Roman" w:eastAsia="Calibri" w:hAnsi="Times New Roman" w:cs="Times New Roman"/>
                <w:lang w:val="en-US"/>
              </w:rPr>
              <w:t xml:space="preserve"> and continues for the number of months indicated in Articl</w:t>
            </w:r>
            <w:r w:rsidR="00E02FDF">
              <w:rPr>
                <w:rFonts w:ascii="Times New Roman" w:eastAsia="Calibri" w:hAnsi="Times New Roman" w:cs="Times New Roman"/>
                <w:lang w:val="en-US"/>
              </w:rPr>
              <w:t>e 2.2 of the Special Conditions (see also section 3.3 above).</w:t>
            </w:r>
          </w:p>
        </w:tc>
        <w:tc>
          <w:tcPr>
            <w:tcW w:w="1418" w:type="dxa"/>
          </w:tcPr>
          <w:p w14:paraId="61E50B13" w14:textId="77777777" w:rsidR="004A7E40" w:rsidRPr="004968DE" w:rsidRDefault="004A7E40" w:rsidP="00D26051">
            <w:pPr>
              <w:jc w:val="center"/>
              <w:rPr>
                <w:rFonts w:ascii="Times New Roman" w:eastAsia="Calibri" w:hAnsi="Times New Roman" w:cs="Times New Roman"/>
              </w:rPr>
            </w:pPr>
          </w:p>
        </w:tc>
        <w:tc>
          <w:tcPr>
            <w:tcW w:w="991" w:type="dxa"/>
          </w:tcPr>
          <w:p w14:paraId="67D513D7" w14:textId="3B95378D" w:rsidR="004A7E40" w:rsidRPr="004968DE" w:rsidRDefault="005602B6" w:rsidP="00D26051">
            <w:pPr>
              <w:jc w:val="center"/>
              <w:rPr>
                <w:rFonts w:ascii="Times New Roman" w:eastAsia="Calibri" w:hAnsi="Times New Roman" w:cs="Times New Roman"/>
              </w:rPr>
            </w:pPr>
            <w:r>
              <w:rPr>
                <w:rFonts w:ascii="Times New Roman" w:eastAsia="Calibri" w:hAnsi="Times New Roman" w:cs="Times New Roman"/>
              </w:rPr>
              <w:t>X</w:t>
            </w:r>
          </w:p>
        </w:tc>
      </w:tr>
      <w:tr w:rsidR="004A7E40" w:rsidRPr="004968DE" w14:paraId="0DCA3097" w14:textId="746708D4" w:rsidTr="004A7E40">
        <w:tc>
          <w:tcPr>
            <w:tcW w:w="3085" w:type="dxa"/>
          </w:tcPr>
          <w:p w14:paraId="4E723788" w14:textId="77777777" w:rsidR="004A7E40" w:rsidRDefault="003361F4" w:rsidP="00451363">
            <w:pPr>
              <w:rPr>
                <w:rFonts w:ascii="Times New Roman" w:hAnsi="Times New Roman" w:cs="Times New Roman"/>
                <w:color w:val="000000"/>
              </w:rPr>
            </w:pPr>
            <w:r w:rsidRPr="003361F4">
              <w:rPr>
                <w:rFonts w:ascii="Times New Roman" w:hAnsi="Times New Roman" w:cs="Times New Roman"/>
                <w:color w:val="000000"/>
              </w:rPr>
              <w:t>5.4.3 Exceptional contributions by other Member States or another  Partner country</w:t>
            </w:r>
          </w:p>
          <w:p w14:paraId="37D7D91F" w14:textId="38090E31" w:rsidR="003361F4" w:rsidRPr="004968DE" w:rsidRDefault="003361F4" w:rsidP="00451363">
            <w:pPr>
              <w:rPr>
                <w:rFonts w:ascii="Times New Roman" w:hAnsi="Times New Roman" w:cs="Times New Roman"/>
                <w:color w:val="000000"/>
              </w:rPr>
            </w:pPr>
          </w:p>
        </w:tc>
        <w:tc>
          <w:tcPr>
            <w:tcW w:w="8789" w:type="dxa"/>
          </w:tcPr>
          <w:p w14:paraId="136F6B47" w14:textId="0526B59B" w:rsidR="004A7E40" w:rsidRDefault="003361F4" w:rsidP="003361F4">
            <w:pPr>
              <w:jc w:val="both"/>
              <w:rPr>
                <w:rFonts w:ascii="Times New Roman" w:eastAsia="Calibri" w:hAnsi="Times New Roman" w:cs="Times New Roman"/>
              </w:rPr>
            </w:pPr>
            <w:r w:rsidRPr="003361F4">
              <w:rPr>
                <w:rFonts w:ascii="Times New Roman" w:eastAsia="Calibri" w:hAnsi="Times New Roman" w:cs="Times New Roman"/>
                <w:b/>
              </w:rPr>
              <w:t>Participation of experts from another Partner country</w:t>
            </w:r>
            <w:r w:rsidRPr="003361F4">
              <w:rPr>
                <w:rFonts w:ascii="Times New Roman" w:eastAsia="Calibri" w:hAnsi="Times New Roman" w:cs="Times New Roman"/>
              </w:rPr>
              <w:t xml:space="preserve"> </w:t>
            </w:r>
            <w:r>
              <w:rPr>
                <w:rFonts w:ascii="Times New Roman" w:eastAsia="Calibri" w:hAnsi="Times New Roman" w:cs="Times New Roman"/>
              </w:rPr>
              <w:t xml:space="preserve">– </w:t>
            </w:r>
            <w:r w:rsidRPr="003361F4">
              <w:rPr>
                <w:rFonts w:ascii="Times New Roman" w:eastAsia="Calibri" w:hAnsi="Times New Roman" w:cs="Times New Roman"/>
              </w:rPr>
              <w:t>is possible</w:t>
            </w:r>
            <w:r>
              <w:rPr>
                <w:rFonts w:ascii="Times New Roman" w:eastAsia="Calibri" w:hAnsi="Times New Roman" w:cs="Times New Roman"/>
              </w:rPr>
              <w:t>,</w:t>
            </w:r>
            <w:r w:rsidRPr="003361F4">
              <w:rPr>
                <w:rFonts w:ascii="Times New Roman" w:eastAsia="Calibri" w:hAnsi="Times New Roman" w:cs="Times New Roman"/>
              </w:rPr>
              <w:t xml:space="preserve"> </w:t>
            </w:r>
            <w:r>
              <w:rPr>
                <w:rFonts w:ascii="Times New Roman" w:eastAsia="Calibri" w:hAnsi="Times New Roman" w:cs="Times New Roman"/>
              </w:rPr>
              <w:t>under certain conditions, as mentioned in the Manual text.</w:t>
            </w:r>
          </w:p>
          <w:p w14:paraId="6EB13CB8" w14:textId="26D6A472" w:rsidR="003361F4" w:rsidRPr="004968DE" w:rsidRDefault="003361F4" w:rsidP="003361F4">
            <w:pPr>
              <w:jc w:val="both"/>
              <w:rPr>
                <w:rFonts w:ascii="Times New Roman" w:eastAsia="Calibri" w:hAnsi="Times New Roman" w:cs="Times New Roman"/>
              </w:rPr>
            </w:pPr>
          </w:p>
        </w:tc>
        <w:tc>
          <w:tcPr>
            <w:tcW w:w="1418" w:type="dxa"/>
          </w:tcPr>
          <w:p w14:paraId="7187FD4F" w14:textId="77777777" w:rsidR="004A7E40" w:rsidRPr="004968DE" w:rsidRDefault="004A7E40" w:rsidP="00D26051">
            <w:pPr>
              <w:jc w:val="center"/>
              <w:rPr>
                <w:rFonts w:ascii="Times New Roman" w:eastAsia="Calibri" w:hAnsi="Times New Roman" w:cs="Times New Roman"/>
              </w:rPr>
            </w:pPr>
          </w:p>
        </w:tc>
        <w:tc>
          <w:tcPr>
            <w:tcW w:w="991" w:type="dxa"/>
          </w:tcPr>
          <w:p w14:paraId="2FCA922C" w14:textId="4DCE46AB" w:rsidR="004A7E40" w:rsidRPr="004968DE" w:rsidRDefault="003361F4" w:rsidP="00D26051">
            <w:pPr>
              <w:jc w:val="center"/>
              <w:rPr>
                <w:rFonts w:ascii="Times New Roman" w:eastAsia="Calibri" w:hAnsi="Times New Roman" w:cs="Times New Roman"/>
              </w:rPr>
            </w:pPr>
            <w:r>
              <w:rPr>
                <w:rFonts w:ascii="Times New Roman" w:eastAsia="Calibri" w:hAnsi="Times New Roman" w:cs="Times New Roman"/>
              </w:rPr>
              <w:t>X</w:t>
            </w:r>
          </w:p>
        </w:tc>
      </w:tr>
      <w:tr w:rsidR="004A7E40" w:rsidRPr="004968DE" w14:paraId="0FFB8E30" w14:textId="09565DDB" w:rsidTr="004A7E40">
        <w:tc>
          <w:tcPr>
            <w:tcW w:w="3085" w:type="dxa"/>
          </w:tcPr>
          <w:p w14:paraId="511E0E1B" w14:textId="77777777" w:rsidR="004A7E40" w:rsidRDefault="003361F4" w:rsidP="004968DE">
            <w:pPr>
              <w:rPr>
                <w:rFonts w:ascii="Times New Roman" w:hAnsi="Times New Roman" w:cs="Times New Roman"/>
                <w:color w:val="000000"/>
              </w:rPr>
            </w:pPr>
            <w:r w:rsidRPr="003361F4">
              <w:rPr>
                <w:rFonts w:ascii="Times New Roman" w:hAnsi="Times New Roman" w:cs="Times New Roman"/>
                <w:color w:val="000000"/>
              </w:rPr>
              <w:t>5.5 Project reporting requirements</w:t>
            </w:r>
            <w:r>
              <w:rPr>
                <w:rFonts w:ascii="Times New Roman" w:hAnsi="Times New Roman" w:cs="Times New Roman"/>
                <w:color w:val="000000"/>
              </w:rPr>
              <w:t xml:space="preserve"> </w:t>
            </w:r>
          </w:p>
          <w:p w14:paraId="1CE686A5" w14:textId="6852F215" w:rsidR="003361F4" w:rsidRPr="004968DE" w:rsidRDefault="003361F4" w:rsidP="004968DE">
            <w:pPr>
              <w:rPr>
                <w:rFonts w:ascii="Times New Roman" w:hAnsi="Times New Roman" w:cs="Times New Roman"/>
                <w:color w:val="000000"/>
              </w:rPr>
            </w:pPr>
          </w:p>
        </w:tc>
        <w:tc>
          <w:tcPr>
            <w:tcW w:w="8789" w:type="dxa"/>
          </w:tcPr>
          <w:p w14:paraId="52C8339E" w14:textId="5248DB94" w:rsidR="004A7E40" w:rsidRPr="004968DE" w:rsidRDefault="003361F4" w:rsidP="003361F4">
            <w:pPr>
              <w:jc w:val="both"/>
              <w:rPr>
                <w:rFonts w:ascii="Times New Roman" w:eastAsia="Calibri" w:hAnsi="Times New Roman" w:cs="Times New Roman"/>
              </w:rPr>
            </w:pPr>
            <w:r>
              <w:rPr>
                <w:rFonts w:ascii="Times New Roman" w:eastAsia="Calibri" w:hAnsi="Times New Roman" w:cs="Times New Roman"/>
              </w:rPr>
              <w:t>Entire section 5.5 deleted (duplication of information) – relevant information contained in section 5 of Annex 7.</w:t>
            </w:r>
          </w:p>
        </w:tc>
        <w:tc>
          <w:tcPr>
            <w:tcW w:w="1418" w:type="dxa"/>
          </w:tcPr>
          <w:p w14:paraId="6FF50DBF" w14:textId="4A15205D" w:rsidR="004A7E40" w:rsidRPr="004968DE" w:rsidRDefault="003361F4" w:rsidP="00D26051">
            <w:pPr>
              <w:jc w:val="center"/>
              <w:rPr>
                <w:rFonts w:ascii="Times New Roman" w:eastAsia="Calibri" w:hAnsi="Times New Roman" w:cs="Times New Roman"/>
              </w:rPr>
            </w:pPr>
            <w:r>
              <w:rPr>
                <w:rFonts w:ascii="Times New Roman" w:eastAsia="Calibri" w:hAnsi="Times New Roman" w:cs="Times New Roman"/>
              </w:rPr>
              <w:t>X</w:t>
            </w:r>
          </w:p>
        </w:tc>
        <w:tc>
          <w:tcPr>
            <w:tcW w:w="991" w:type="dxa"/>
          </w:tcPr>
          <w:p w14:paraId="515B530E" w14:textId="77777777" w:rsidR="004A7E40" w:rsidRPr="004968DE" w:rsidRDefault="004A7E40" w:rsidP="00D26051">
            <w:pPr>
              <w:jc w:val="center"/>
              <w:rPr>
                <w:rFonts w:ascii="Times New Roman" w:eastAsia="Calibri" w:hAnsi="Times New Roman" w:cs="Times New Roman"/>
              </w:rPr>
            </w:pPr>
          </w:p>
        </w:tc>
      </w:tr>
      <w:tr w:rsidR="004A7E40" w:rsidRPr="004968DE" w14:paraId="6C5A5D62" w14:textId="378E1847" w:rsidTr="004A7E40">
        <w:tc>
          <w:tcPr>
            <w:tcW w:w="3085" w:type="dxa"/>
            <w:shd w:val="clear" w:color="auto" w:fill="FFFFFF" w:themeFill="background1"/>
          </w:tcPr>
          <w:p w14:paraId="04A86EC0" w14:textId="3DA943C8" w:rsidR="004A7E40" w:rsidRDefault="003361F4" w:rsidP="004968DE">
            <w:pPr>
              <w:rPr>
                <w:rFonts w:ascii="Times New Roman" w:hAnsi="Times New Roman" w:cs="Times New Roman"/>
                <w:color w:val="000000"/>
              </w:rPr>
            </w:pPr>
            <w:r w:rsidRPr="003361F4">
              <w:rPr>
                <w:rFonts w:ascii="Times New Roman" w:hAnsi="Times New Roman" w:cs="Times New Roman"/>
                <w:color w:val="000000"/>
              </w:rPr>
              <w:t>5.7 Visibility and communication of the Twinning project</w:t>
            </w:r>
          </w:p>
          <w:p w14:paraId="219A223B" w14:textId="77777777" w:rsidR="00D27D62" w:rsidRDefault="00D27D62" w:rsidP="004968DE">
            <w:pPr>
              <w:rPr>
                <w:rFonts w:ascii="Times New Roman" w:hAnsi="Times New Roman" w:cs="Times New Roman"/>
                <w:color w:val="000000"/>
              </w:rPr>
            </w:pPr>
          </w:p>
          <w:p w14:paraId="7073BA74" w14:textId="6B3FABA3" w:rsidR="003361F4" w:rsidRPr="004968DE" w:rsidRDefault="003361F4" w:rsidP="004968DE">
            <w:pPr>
              <w:rPr>
                <w:rFonts w:ascii="Times New Roman" w:hAnsi="Times New Roman" w:cs="Times New Roman"/>
                <w:color w:val="000000"/>
              </w:rPr>
            </w:pPr>
          </w:p>
        </w:tc>
        <w:tc>
          <w:tcPr>
            <w:tcW w:w="8789" w:type="dxa"/>
            <w:shd w:val="clear" w:color="auto" w:fill="FFFFFF" w:themeFill="background1"/>
          </w:tcPr>
          <w:p w14:paraId="22C4E369" w14:textId="60F5AC71" w:rsidR="004A7E40" w:rsidRPr="004968DE" w:rsidDel="00384794" w:rsidRDefault="003361F4" w:rsidP="003361F4">
            <w:pPr>
              <w:jc w:val="both"/>
              <w:rPr>
                <w:rFonts w:ascii="Times New Roman" w:hAnsi="Times New Roman" w:cs="Times New Roman"/>
                <w:color w:val="000000"/>
              </w:rPr>
            </w:pPr>
            <w:r>
              <w:rPr>
                <w:rFonts w:ascii="Times New Roman" w:hAnsi="Times New Roman" w:cs="Times New Roman"/>
                <w:color w:val="000000"/>
              </w:rPr>
              <w:t xml:space="preserve">Update regarding the applicable </w:t>
            </w:r>
            <w:r w:rsidRPr="003361F4">
              <w:rPr>
                <w:rFonts w:ascii="Times New Roman" w:hAnsi="Times New Roman" w:cs="Times New Roman"/>
                <w:b/>
                <w:color w:val="000000"/>
              </w:rPr>
              <w:t>Communication and Visibility Manual for EU External Actions</w:t>
            </w:r>
            <w:r>
              <w:rPr>
                <w:rFonts w:ascii="Times New Roman" w:hAnsi="Times New Roman" w:cs="Times New Roman"/>
                <w:b/>
                <w:color w:val="000000"/>
              </w:rPr>
              <w:t>.</w:t>
            </w:r>
          </w:p>
        </w:tc>
        <w:tc>
          <w:tcPr>
            <w:tcW w:w="1418" w:type="dxa"/>
            <w:shd w:val="clear" w:color="auto" w:fill="FFFFFF" w:themeFill="background1"/>
          </w:tcPr>
          <w:p w14:paraId="2C5DC4B6" w14:textId="31A42339" w:rsidR="004A7E40" w:rsidRPr="004968DE" w:rsidRDefault="003361F4" w:rsidP="00D26051">
            <w:pPr>
              <w:jc w:val="center"/>
              <w:rPr>
                <w:rFonts w:ascii="Times New Roman" w:hAnsi="Times New Roman" w:cs="Times New Roman"/>
                <w:color w:val="000000"/>
              </w:rPr>
            </w:pPr>
            <w:r>
              <w:rPr>
                <w:rFonts w:ascii="Times New Roman" w:hAnsi="Times New Roman" w:cs="Times New Roman"/>
                <w:color w:val="000000"/>
              </w:rPr>
              <w:t>X</w:t>
            </w:r>
          </w:p>
        </w:tc>
        <w:tc>
          <w:tcPr>
            <w:tcW w:w="991" w:type="dxa"/>
            <w:shd w:val="clear" w:color="auto" w:fill="FFFFFF" w:themeFill="background1"/>
          </w:tcPr>
          <w:p w14:paraId="61462D9D" w14:textId="77777777" w:rsidR="004A7E40" w:rsidRPr="004968DE" w:rsidRDefault="004A7E40" w:rsidP="00D26051">
            <w:pPr>
              <w:jc w:val="center"/>
              <w:rPr>
                <w:rFonts w:ascii="Times New Roman" w:hAnsi="Times New Roman" w:cs="Times New Roman"/>
                <w:color w:val="000000"/>
              </w:rPr>
            </w:pPr>
          </w:p>
        </w:tc>
      </w:tr>
      <w:tr w:rsidR="004A7E40" w:rsidRPr="004968DE" w14:paraId="2938B753" w14:textId="5C50C75C" w:rsidTr="004A7E40">
        <w:tc>
          <w:tcPr>
            <w:tcW w:w="3085" w:type="dxa"/>
            <w:shd w:val="clear" w:color="auto" w:fill="FFFFFF" w:themeFill="background1"/>
          </w:tcPr>
          <w:p w14:paraId="0D8F937E" w14:textId="77777777" w:rsidR="004A7E40" w:rsidRDefault="00D27D62" w:rsidP="004968DE">
            <w:pPr>
              <w:rPr>
                <w:rFonts w:ascii="Times New Roman" w:hAnsi="Times New Roman" w:cs="Times New Roman"/>
                <w:color w:val="000000"/>
              </w:rPr>
            </w:pPr>
            <w:r w:rsidRPr="00D27D62">
              <w:rPr>
                <w:rFonts w:ascii="Times New Roman" w:hAnsi="Times New Roman" w:cs="Times New Roman"/>
                <w:color w:val="000000"/>
              </w:rPr>
              <w:t>5.9 Changes to the Twinning Grant Contract and work plan</w:t>
            </w:r>
          </w:p>
          <w:p w14:paraId="7C04B34F" w14:textId="3E2E340C" w:rsidR="00D27D62" w:rsidRPr="004968DE" w:rsidRDefault="00D27D62" w:rsidP="004968DE">
            <w:pPr>
              <w:rPr>
                <w:rFonts w:ascii="Times New Roman" w:hAnsi="Times New Roman" w:cs="Times New Roman"/>
                <w:color w:val="000000"/>
              </w:rPr>
            </w:pPr>
          </w:p>
        </w:tc>
        <w:tc>
          <w:tcPr>
            <w:tcW w:w="8789" w:type="dxa"/>
            <w:shd w:val="clear" w:color="auto" w:fill="FFFFFF" w:themeFill="background1"/>
          </w:tcPr>
          <w:p w14:paraId="5B5FE911" w14:textId="1AF91755" w:rsidR="004A7E40" w:rsidRPr="004968DE" w:rsidRDefault="00D27D62" w:rsidP="002B2EB2">
            <w:pPr>
              <w:jc w:val="both"/>
              <w:rPr>
                <w:rFonts w:ascii="Times New Roman" w:hAnsi="Times New Roman" w:cs="Times New Roman"/>
                <w:color w:val="000000"/>
              </w:rPr>
            </w:pPr>
            <w:r>
              <w:rPr>
                <w:rFonts w:ascii="Times New Roman" w:eastAsia="Calibri" w:hAnsi="Times New Roman" w:cs="Times New Roman"/>
              </w:rPr>
              <w:t>Entire section 5.9 deleted (duplication of information) – relevant information contained in section 2 of Annex 7.</w:t>
            </w:r>
          </w:p>
        </w:tc>
        <w:tc>
          <w:tcPr>
            <w:tcW w:w="1418" w:type="dxa"/>
            <w:shd w:val="clear" w:color="auto" w:fill="FFFFFF" w:themeFill="background1"/>
          </w:tcPr>
          <w:p w14:paraId="33D507AD" w14:textId="3F397A5B" w:rsidR="004A7E40" w:rsidRPr="004968DE" w:rsidRDefault="002B2EB2" w:rsidP="00D26051">
            <w:pPr>
              <w:jc w:val="center"/>
              <w:rPr>
                <w:rFonts w:ascii="Times New Roman" w:hAnsi="Times New Roman" w:cs="Times New Roman"/>
                <w:color w:val="000000"/>
              </w:rPr>
            </w:pPr>
            <w:r>
              <w:rPr>
                <w:rFonts w:ascii="Times New Roman" w:hAnsi="Times New Roman" w:cs="Times New Roman"/>
                <w:color w:val="000000"/>
              </w:rPr>
              <w:t>X</w:t>
            </w:r>
          </w:p>
        </w:tc>
        <w:tc>
          <w:tcPr>
            <w:tcW w:w="991" w:type="dxa"/>
            <w:shd w:val="clear" w:color="auto" w:fill="FFFFFF" w:themeFill="background1"/>
          </w:tcPr>
          <w:p w14:paraId="21FD00C5" w14:textId="77777777" w:rsidR="004A7E40" w:rsidRPr="004968DE" w:rsidRDefault="004A7E40" w:rsidP="00D26051">
            <w:pPr>
              <w:jc w:val="center"/>
              <w:rPr>
                <w:rFonts w:ascii="Times New Roman" w:hAnsi="Times New Roman" w:cs="Times New Roman"/>
                <w:color w:val="000000"/>
              </w:rPr>
            </w:pPr>
          </w:p>
        </w:tc>
      </w:tr>
      <w:tr w:rsidR="004A7E40" w:rsidRPr="004968DE" w14:paraId="404FBB79" w14:textId="02135213" w:rsidTr="004A7E40">
        <w:tc>
          <w:tcPr>
            <w:tcW w:w="3085" w:type="dxa"/>
            <w:shd w:val="clear" w:color="auto" w:fill="FFFFFF" w:themeFill="background1"/>
          </w:tcPr>
          <w:p w14:paraId="77573C5B" w14:textId="34710D31" w:rsidR="004A7E40" w:rsidRDefault="00D27D62" w:rsidP="00451363">
            <w:pPr>
              <w:rPr>
                <w:rFonts w:ascii="Times New Roman" w:hAnsi="Times New Roman" w:cs="Times New Roman"/>
                <w:color w:val="000000"/>
              </w:rPr>
            </w:pPr>
            <w:r w:rsidRPr="00D27D62">
              <w:rPr>
                <w:rFonts w:ascii="Times New Roman" w:hAnsi="Times New Roman" w:cs="Times New Roman"/>
                <w:color w:val="000000"/>
              </w:rPr>
              <w:t>5.11.2 Twinning review missions</w:t>
            </w:r>
            <w:r w:rsidR="002B2EB2">
              <w:rPr>
                <w:rFonts w:ascii="Times New Roman" w:hAnsi="Times New Roman" w:cs="Times New Roman"/>
                <w:color w:val="000000"/>
              </w:rPr>
              <w:t xml:space="preserve"> </w:t>
            </w:r>
          </w:p>
          <w:p w14:paraId="752B11B4" w14:textId="5405A351" w:rsidR="00D27D62" w:rsidRPr="004968DE" w:rsidRDefault="00D27D62" w:rsidP="00451363">
            <w:pPr>
              <w:rPr>
                <w:rFonts w:ascii="Times New Roman" w:hAnsi="Times New Roman" w:cs="Times New Roman"/>
                <w:color w:val="000000"/>
              </w:rPr>
            </w:pPr>
          </w:p>
        </w:tc>
        <w:tc>
          <w:tcPr>
            <w:tcW w:w="8789" w:type="dxa"/>
            <w:shd w:val="clear" w:color="auto" w:fill="FFFFFF" w:themeFill="background1"/>
          </w:tcPr>
          <w:p w14:paraId="37A32C97" w14:textId="52B83B69" w:rsidR="004A7E40" w:rsidRDefault="002B2EB2" w:rsidP="00D27D62">
            <w:pPr>
              <w:jc w:val="both"/>
              <w:rPr>
                <w:rFonts w:ascii="Times New Roman" w:hAnsi="Times New Roman" w:cs="Times New Roman"/>
                <w:color w:val="000000"/>
              </w:rPr>
            </w:pPr>
            <w:r w:rsidRPr="002B2EB2">
              <w:rPr>
                <w:rFonts w:ascii="Times New Roman" w:hAnsi="Times New Roman" w:cs="Times New Roman"/>
                <w:b/>
                <w:color w:val="000000"/>
              </w:rPr>
              <w:t>Requesting a Twinning review mission</w:t>
            </w:r>
            <w:r>
              <w:rPr>
                <w:rFonts w:ascii="Times New Roman" w:hAnsi="Times New Roman" w:cs="Times New Roman"/>
                <w:color w:val="000000"/>
              </w:rPr>
              <w:t xml:space="preserve"> – to be requested by the EUD </w:t>
            </w:r>
            <w:r w:rsidR="00D27D62" w:rsidRPr="00D27D62">
              <w:rPr>
                <w:rFonts w:ascii="Times New Roman" w:hAnsi="Times New Roman" w:cs="Times New Roman"/>
                <w:color w:val="000000"/>
              </w:rPr>
              <w:t xml:space="preserve">at the following link: </w:t>
            </w:r>
            <w:hyperlink r:id="rId8" w:anchor="/applicationform/home" w:history="1">
              <w:r w:rsidR="00D27D62" w:rsidRPr="002B2EB2">
                <w:rPr>
                  <w:rStyle w:val="Hyperlink"/>
                  <w:rFonts w:ascii="Times New Roman" w:hAnsi="Times New Roman"/>
                </w:rPr>
                <w:t>Application form (europa.eu)</w:t>
              </w:r>
            </w:hyperlink>
            <w:r w:rsidR="00D27D62" w:rsidRPr="00D27D62">
              <w:rPr>
                <w:rFonts w:ascii="Times New Roman" w:hAnsi="Times New Roman" w:cs="Times New Roman"/>
                <w:color w:val="000000"/>
              </w:rPr>
              <w:t>. It will be organised by DG NEAR HQ via the TAIEX instrument.</w:t>
            </w:r>
          </w:p>
          <w:p w14:paraId="105316B6" w14:textId="13762CD9" w:rsidR="00D27D62" w:rsidRPr="004968DE" w:rsidRDefault="00D27D62" w:rsidP="00D27D62">
            <w:pPr>
              <w:jc w:val="both"/>
              <w:rPr>
                <w:rFonts w:ascii="Times New Roman" w:hAnsi="Times New Roman" w:cs="Times New Roman"/>
                <w:color w:val="000000"/>
              </w:rPr>
            </w:pPr>
          </w:p>
        </w:tc>
        <w:tc>
          <w:tcPr>
            <w:tcW w:w="1418" w:type="dxa"/>
            <w:shd w:val="clear" w:color="auto" w:fill="FFFFFF" w:themeFill="background1"/>
          </w:tcPr>
          <w:p w14:paraId="68319F96" w14:textId="15EA6842" w:rsidR="004A7E40" w:rsidRPr="004968DE" w:rsidRDefault="002B2EB2" w:rsidP="00D26051">
            <w:pPr>
              <w:jc w:val="center"/>
              <w:rPr>
                <w:rFonts w:ascii="Times New Roman" w:hAnsi="Times New Roman" w:cs="Times New Roman"/>
                <w:color w:val="000000"/>
              </w:rPr>
            </w:pPr>
            <w:r>
              <w:rPr>
                <w:rFonts w:ascii="Times New Roman" w:hAnsi="Times New Roman" w:cs="Times New Roman"/>
                <w:color w:val="000000"/>
              </w:rPr>
              <w:t>X</w:t>
            </w:r>
          </w:p>
        </w:tc>
        <w:tc>
          <w:tcPr>
            <w:tcW w:w="991" w:type="dxa"/>
            <w:shd w:val="clear" w:color="auto" w:fill="FFFFFF" w:themeFill="background1"/>
          </w:tcPr>
          <w:p w14:paraId="3A404179" w14:textId="77777777" w:rsidR="004A7E40" w:rsidRPr="004968DE" w:rsidRDefault="004A7E40" w:rsidP="00D26051">
            <w:pPr>
              <w:jc w:val="center"/>
              <w:rPr>
                <w:rFonts w:ascii="Times New Roman" w:hAnsi="Times New Roman" w:cs="Times New Roman"/>
                <w:color w:val="000000"/>
              </w:rPr>
            </w:pPr>
          </w:p>
        </w:tc>
      </w:tr>
      <w:tr w:rsidR="004A7E40" w:rsidRPr="004968DE" w14:paraId="54EA091E" w14:textId="4E1C9CFE" w:rsidTr="004A7E40">
        <w:tc>
          <w:tcPr>
            <w:tcW w:w="3085" w:type="dxa"/>
            <w:shd w:val="clear" w:color="auto" w:fill="FFFFFF" w:themeFill="background1"/>
          </w:tcPr>
          <w:p w14:paraId="4FFDCD19" w14:textId="77777777" w:rsidR="004A7E40" w:rsidRDefault="002B2EB2" w:rsidP="004968DE">
            <w:pPr>
              <w:rPr>
                <w:rFonts w:ascii="Times New Roman" w:hAnsi="Times New Roman" w:cs="Times New Roman"/>
                <w:color w:val="000000"/>
              </w:rPr>
            </w:pPr>
            <w:r w:rsidRPr="002B2EB2">
              <w:rPr>
                <w:rFonts w:ascii="Times New Roman" w:hAnsi="Times New Roman" w:cs="Times New Roman"/>
                <w:color w:val="000000"/>
              </w:rPr>
              <w:lastRenderedPageBreak/>
              <w:t>Section 6: The Twinning project budget</w:t>
            </w:r>
          </w:p>
          <w:p w14:paraId="15B50DE1" w14:textId="2C86F1FA" w:rsidR="002B2EB2" w:rsidRPr="004968DE" w:rsidRDefault="002B2EB2" w:rsidP="004968DE">
            <w:pPr>
              <w:rPr>
                <w:rFonts w:ascii="Times New Roman" w:hAnsi="Times New Roman" w:cs="Times New Roman"/>
                <w:color w:val="000000"/>
              </w:rPr>
            </w:pPr>
          </w:p>
        </w:tc>
        <w:tc>
          <w:tcPr>
            <w:tcW w:w="8789" w:type="dxa"/>
            <w:shd w:val="clear" w:color="auto" w:fill="FFFFFF" w:themeFill="background1"/>
          </w:tcPr>
          <w:p w14:paraId="5DE23033" w14:textId="07A987A7" w:rsidR="004A7E40" w:rsidRPr="004968DE" w:rsidRDefault="002B2EB2" w:rsidP="002B2EB2">
            <w:pPr>
              <w:jc w:val="both"/>
              <w:rPr>
                <w:rFonts w:ascii="Times New Roman" w:hAnsi="Times New Roman" w:cs="Times New Roman"/>
                <w:color w:val="000000"/>
              </w:rPr>
            </w:pPr>
            <w:r>
              <w:rPr>
                <w:rFonts w:ascii="Times New Roman" w:eastAsia="Calibri" w:hAnsi="Times New Roman" w:cs="Times New Roman"/>
              </w:rPr>
              <w:t>Entire section 6 deleted (duplication of information) – the same information is contained in the relevant sections of Annex 7.</w:t>
            </w:r>
          </w:p>
        </w:tc>
        <w:tc>
          <w:tcPr>
            <w:tcW w:w="1418" w:type="dxa"/>
            <w:shd w:val="clear" w:color="auto" w:fill="FFFFFF" w:themeFill="background1"/>
          </w:tcPr>
          <w:p w14:paraId="49F07055" w14:textId="423A7A44" w:rsidR="004A7E40" w:rsidRPr="004968DE" w:rsidRDefault="002B2EB2" w:rsidP="00D26051">
            <w:pPr>
              <w:jc w:val="center"/>
              <w:rPr>
                <w:rFonts w:ascii="Times New Roman" w:hAnsi="Times New Roman" w:cs="Times New Roman"/>
                <w:color w:val="000000"/>
              </w:rPr>
            </w:pPr>
            <w:r>
              <w:rPr>
                <w:rFonts w:ascii="Times New Roman" w:hAnsi="Times New Roman" w:cs="Times New Roman"/>
                <w:color w:val="000000"/>
              </w:rPr>
              <w:t>X</w:t>
            </w:r>
          </w:p>
        </w:tc>
        <w:tc>
          <w:tcPr>
            <w:tcW w:w="991" w:type="dxa"/>
            <w:shd w:val="clear" w:color="auto" w:fill="FFFFFF" w:themeFill="background1"/>
          </w:tcPr>
          <w:p w14:paraId="3ABFAB8B" w14:textId="77777777" w:rsidR="004A7E40" w:rsidRPr="004968DE" w:rsidRDefault="004A7E40" w:rsidP="00D26051">
            <w:pPr>
              <w:jc w:val="center"/>
              <w:rPr>
                <w:rFonts w:ascii="Times New Roman" w:hAnsi="Times New Roman" w:cs="Times New Roman"/>
                <w:color w:val="000000"/>
              </w:rPr>
            </w:pPr>
          </w:p>
        </w:tc>
      </w:tr>
      <w:tr w:rsidR="004A7E40" w:rsidRPr="004968DE" w14:paraId="4731E3A6" w14:textId="6624C338" w:rsidTr="004A7E40">
        <w:tc>
          <w:tcPr>
            <w:tcW w:w="3085" w:type="dxa"/>
            <w:shd w:val="clear" w:color="auto" w:fill="FFFFFF" w:themeFill="background1"/>
          </w:tcPr>
          <w:p w14:paraId="422F329D" w14:textId="77777777" w:rsidR="004A7E40" w:rsidRPr="00E55990" w:rsidRDefault="00E55990" w:rsidP="00E55990">
            <w:pPr>
              <w:rPr>
                <w:rFonts w:ascii="Times New Roman" w:hAnsi="Times New Roman" w:cs="Times New Roman"/>
                <w:color w:val="000000"/>
              </w:rPr>
            </w:pPr>
            <w:r w:rsidRPr="00E55990">
              <w:rPr>
                <w:rFonts w:ascii="Times New Roman" w:hAnsi="Times New Roman" w:cs="Times New Roman"/>
                <w:color w:val="000000"/>
              </w:rPr>
              <w:t>8.6 Changes to the Twinning Light work plan</w:t>
            </w:r>
          </w:p>
          <w:p w14:paraId="632E04A3" w14:textId="50E6D2BB" w:rsidR="00E55990" w:rsidRPr="00E55990" w:rsidRDefault="00E55990" w:rsidP="00E55990">
            <w:pPr>
              <w:rPr>
                <w:rFonts w:ascii="Times New Roman" w:hAnsi="Times New Roman" w:cs="Times New Roman"/>
                <w:color w:val="000000"/>
              </w:rPr>
            </w:pPr>
          </w:p>
        </w:tc>
        <w:tc>
          <w:tcPr>
            <w:tcW w:w="8789" w:type="dxa"/>
            <w:shd w:val="clear" w:color="auto" w:fill="FFFFFF" w:themeFill="background1"/>
          </w:tcPr>
          <w:p w14:paraId="7A217B93" w14:textId="0411437F" w:rsidR="00E55990" w:rsidRPr="00E55990" w:rsidRDefault="000F3A67" w:rsidP="00E55990">
            <w:pPr>
              <w:numPr>
                <w:ilvl w:val="12"/>
                <w:numId w:val="0"/>
              </w:numPr>
              <w:jc w:val="both"/>
              <w:rPr>
                <w:rFonts w:ascii="Times New Roman" w:eastAsia="Times New Roman" w:hAnsi="Times New Roman" w:cs="Times New Roman"/>
                <w:i/>
                <w:color w:val="000000"/>
                <w:lang w:eastAsia="en-GB"/>
              </w:rPr>
            </w:pPr>
            <w:r>
              <w:rPr>
                <w:rFonts w:ascii="Times New Roman" w:hAnsi="Times New Roman" w:cs="Times New Roman"/>
                <w:b/>
                <w:color w:val="000000"/>
              </w:rPr>
              <w:t>Side letters</w:t>
            </w:r>
            <w:r w:rsidR="00E55990" w:rsidRPr="00E55990">
              <w:rPr>
                <w:rFonts w:ascii="Times New Roman" w:hAnsi="Times New Roman" w:cs="Times New Roman"/>
                <w:color w:val="000000"/>
              </w:rPr>
              <w:t xml:space="preserve"> – </w:t>
            </w:r>
            <w:r w:rsidR="00E55990" w:rsidRPr="00E55990">
              <w:rPr>
                <w:rFonts w:ascii="Times New Roman" w:eastAsia="Times New Roman" w:hAnsi="Times New Roman" w:cs="Times New Roman"/>
                <w:color w:val="000000"/>
                <w:lang w:eastAsia="en-GB"/>
              </w:rPr>
              <w:t xml:space="preserve">The changes are effective two days after reception of the side letter. </w:t>
            </w:r>
          </w:p>
          <w:p w14:paraId="7774C158" w14:textId="35EC1D6D" w:rsidR="004A7E40" w:rsidRPr="00E55990" w:rsidRDefault="00E55990" w:rsidP="00A02991">
            <w:pPr>
              <w:jc w:val="both"/>
              <w:rPr>
                <w:rFonts w:ascii="Times New Roman" w:hAnsi="Times New Roman" w:cs="Times New Roman"/>
                <w:color w:val="000000"/>
              </w:rPr>
            </w:pPr>
            <w:r w:rsidRPr="00E55990">
              <w:rPr>
                <w:rFonts w:ascii="Times New Roman" w:hAnsi="Times New Roman" w:cs="Times New Roman"/>
                <w:color w:val="000000"/>
              </w:rPr>
              <w:t xml:space="preserve">  </w:t>
            </w:r>
          </w:p>
        </w:tc>
        <w:tc>
          <w:tcPr>
            <w:tcW w:w="1418" w:type="dxa"/>
            <w:shd w:val="clear" w:color="auto" w:fill="FFFFFF" w:themeFill="background1"/>
          </w:tcPr>
          <w:p w14:paraId="606C2FCC" w14:textId="02279FA4" w:rsidR="004A7E40" w:rsidRPr="004968DE" w:rsidRDefault="00E55990" w:rsidP="00D26051">
            <w:pPr>
              <w:jc w:val="center"/>
              <w:rPr>
                <w:rFonts w:ascii="Times New Roman" w:hAnsi="Times New Roman" w:cs="Times New Roman"/>
                <w:bCs/>
                <w:iCs/>
                <w:color w:val="000000"/>
              </w:rPr>
            </w:pPr>
            <w:r>
              <w:rPr>
                <w:rFonts w:ascii="Times New Roman" w:hAnsi="Times New Roman" w:cs="Times New Roman"/>
                <w:bCs/>
                <w:iCs/>
                <w:color w:val="000000"/>
              </w:rPr>
              <w:t>X</w:t>
            </w:r>
          </w:p>
        </w:tc>
        <w:tc>
          <w:tcPr>
            <w:tcW w:w="991" w:type="dxa"/>
            <w:shd w:val="clear" w:color="auto" w:fill="FFFFFF" w:themeFill="background1"/>
          </w:tcPr>
          <w:p w14:paraId="2B621F60" w14:textId="77777777" w:rsidR="004A7E40" w:rsidRPr="004968DE" w:rsidRDefault="004A7E40" w:rsidP="00D26051">
            <w:pPr>
              <w:jc w:val="center"/>
              <w:rPr>
                <w:rFonts w:ascii="Times New Roman" w:hAnsi="Times New Roman" w:cs="Times New Roman"/>
                <w:bCs/>
                <w:iCs/>
                <w:color w:val="000000"/>
              </w:rPr>
            </w:pPr>
          </w:p>
        </w:tc>
      </w:tr>
      <w:tr w:rsidR="004A7E40" w:rsidRPr="004968DE" w14:paraId="64501EC9" w14:textId="6E5A6C28" w:rsidTr="005B5B10">
        <w:tc>
          <w:tcPr>
            <w:tcW w:w="3085" w:type="dxa"/>
          </w:tcPr>
          <w:p w14:paraId="66445A5D" w14:textId="77777777" w:rsidR="00F873C2" w:rsidRPr="00F873C2" w:rsidRDefault="00F873C2" w:rsidP="00F873C2">
            <w:pPr>
              <w:rPr>
                <w:rFonts w:ascii="Times New Roman" w:hAnsi="Times New Roman" w:cs="Times New Roman"/>
                <w:color w:val="000000"/>
              </w:rPr>
            </w:pPr>
            <w:r w:rsidRPr="00F873C2">
              <w:rPr>
                <w:rFonts w:ascii="Times New Roman" w:hAnsi="Times New Roman" w:cs="Times New Roman"/>
                <w:color w:val="000000"/>
              </w:rPr>
              <w:t>ANNEX A: Twinning grant Contract - Special Conditions</w:t>
            </w:r>
          </w:p>
          <w:p w14:paraId="61BD6159" w14:textId="2D3BEEC2" w:rsidR="00F873C2" w:rsidRPr="004968DE" w:rsidRDefault="00F873C2" w:rsidP="00F873C2">
            <w:pPr>
              <w:rPr>
                <w:rFonts w:ascii="Times New Roman" w:hAnsi="Times New Roman" w:cs="Times New Roman"/>
                <w:color w:val="000000"/>
              </w:rPr>
            </w:pPr>
          </w:p>
        </w:tc>
        <w:tc>
          <w:tcPr>
            <w:tcW w:w="8789" w:type="dxa"/>
          </w:tcPr>
          <w:p w14:paraId="41DE394E" w14:textId="10F95711" w:rsidR="00F873C2" w:rsidRPr="00F873C2" w:rsidRDefault="00F873C2" w:rsidP="00F873C2">
            <w:pPr>
              <w:rPr>
                <w:rFonts w:ascii="Times New Roman" w:hAnsi="Times New Roman" w:cs="Times New Roman"/>
                <w:b/>
                <w:color w:val="000000"/>
              </w:rPr>
            </w:pPr>
            <w:r w:rsidRPr="00F873C2">
              <w:rPr>
                <w:rFonts w:ascii="Times New Roman" w:hAnsi="Times New Roman" w:cs="Times New Roman"/>
                <w:b/>
                <w:color w:val="000000"/>
              </w:rPr>
              <w:t>Article 2.2</w:t>
            </w:r>
            <w:r>
              <w:rPr>
                <w:rFonts w:ascii="Times New Roman" w:hAnsi="Times New Roman" w:cs="Times New Roman"/>
                <w:b/>
                <w:color w:val="000000"/>
              </w:rPr>
              <w:t xml:space="preserve"> – </w:t>
            </w:r>
            <w:r w:rsidRPr="00F873C2">
              <w:rPr>
                <w:rFonts w:ascii="Times New Roman" w:hAnsi="Times New Roman" w:cs="Times New Roman"/>
                <w:color w:val="000000"/>
              </w:rPr>
              <w:t xml:space="preserve">The implementation period of the Action is .........months and shall begin on ……, being the </w:t>
            </w:r>
            <w:r>
              <w:rPr>
                <w:rFonts w:ascii="Times New Roman" w:hAnsi="Times New Roman" w:cs="Times New Roman"/>
                <w:color w:val="000000"/>
                <w:u w:val="single"/>
              </w:rPr>
              <w:t xml:space="preserve">date of the taking up </w:t>
            </w:r>
            <w:r w:rsidRPr="00F873C2">
              <w:rPr>
                <w:rFonts w:ascii="Times New Roman" w:hAnsi="Times New Roman" w:cs="Times New Roman"/>
                <w:color w:val="000000"/>
                <w:u w:val="single"/>
              </w:rPr>
              <w:t>of duties</w:t>
            </w:r>
            <w:r w:rsidRPr="00F873C2">
              <w:rPr>
                <w:rFonts w:ascii="Times New Roman" w:hAnsi="Times New Roman" w:cs="Times New Roman"/>
                <w:color w:val="000000"/>
              </w:rPr>
              <w:t xml:space="preserve"> by the Resident Twinning Adviser (RTA).</w:t>
            </w:r>
          </w:p>
          <w:p w14:paraId="6A8275C3" w14:textId="77777777" w:rsidR="004A7E40" w:rsidRDefault="004A7E40" w:rsidP="004968DE">
            <w:pPr>
              <w:tabs>
                <w:tab w:val="num" w:pos="709"/>
              </w:tabs>
              <w:jc w:val="both"/>
              <w:rPr>
                <w:rFonts w:ascii="Times New Roman" w:eastAsia="Calibri" w:hAnsi="Times New Roman" w:cs="Times New Roman"/>
              </w:rPr>
            </w:pPr>
          </w:p>
          <w:p w14:paraId="312174B7" w14:textId="77777777" w:rsidR="001E6195" w:rsidRDefault="001E6195" w:rsidP="004968DE">
            <w:pPr>
              <w:tabs>
                <w:tab w:val="num" w:pos="709"/>
              </w:tabs>
              <w:jc w:val="both"/>
              <w:rPr>
                <w:rFonts w:ascii="Times New Roman" w:eastAsia="Calibri" w:hAnsi="Times New Roman" w:cs="Times New Roman"/>
              </w:rPr>
            </w:pPr>
            <w:r>
              <w:rPr>
                <w:rFonts w:ascii="Times New Roman" w:eastAsia="Calibri" w:hAnsi="Times New Roman" w:cs="Times New Roman"/>
                <w:b/>
              </w:rPr>
              <w:t xml:space="preserve">Number of originals and its recipients </w:t>
            </w:r>
            <w:r w:rsidRPr="005B5B10">
              <w:rPr>
                <w:rFonts w:ascii="Times New Roman" w:eastAsia="Calibri" w:hAnsi="Times New Roman" w:cs="Times New Roman"/>
              </w:rPr>
              <w:t xml:space="preserve">– addition of </w:t>
            </w:r>
            <w:r w:rsidR="005B5B10" w:rsidRPr="005B5B10">
              <w:rPr>
                <w:rFonts w:ascii="Times New Roman" w:eastAsia="Calibri" w:hAnsi="Times New Roman" w:cs="Times New Roman"/>
              </w:rPr>
              <w:t>Partner Country NCP</w:t>
            </w:r>
            <w:r w:rsidR="005B5B10">
              <w:rPr>
                <w:rFonts w:ascii="Times New Roman" w:eastAsia="Calibri" w:hAnsi="Times New Roman" w:cs="Times New Roman"/>
              </w:rPr>
              <w:t>.</w:t>
            </w:r>
          </w:p>
          <w:p w14:paraId="394C9123" w14:textId="7EB998A2" w:rsidR="005B5B10" w:rsidRPr="001E6195" w:rsidDel="00384794" w:rsidRDefault="005B5B10" w:rsidP="004968DE">
            <w:pPr>
              <w:tabs>
                <w:tab w:val="num" w:pos="709"/>
              </w:tabs>
              <w:jc w:val="both"/>
              <w:rPr>
                <w:rFonts w:ascii="Times New Roman" w:eastAsia="Calibri" w:hAnsi="Times New Roman" w:cs="Times New Roman"/>
                <w:b/>
              </w:rPr>
            </w:pPr>
          </w:p>
        </w:tc>
        <w:tc>
          <w:tcPr>
            <w:tcW w:w="1418" w:type="dxa"/>
          </w:tcPr>
          <w:p w14:paraId="14B2F174" w14:textId="77777777" w:rsidR="004A7E40" w:rsidRPr="004968DE" w:rsidRDefault="004A7E40" w:rsidP="00D26051">
            <w:pPr>
              <w:jc w:val="center"/>
              <w:rPr>
                <w:rFonts w:ascii="Times New Roman" w:eastAsia="Calibri" w:hAnsi="Times New Roman" w:cs="Times New Roman"/>
              </w:rPr>
            </w:pPr>
          </w:p>
        </w:tc>
        <w:tc>
          <w:tcPr>
            <w:tcW w:w="991" w:type="dxa"/>
            <w:vAlign w:val="center"/>
          </w:tcPr>
          <w:p w14:paraId="1DF422E9" w14:textId="72FAED59" w:rsidR="005B5B10" w:rsidRPr="004968DE" w:rsidRDefault="00F873C2" w:rsidP="005B5B10">
            <w:pPr>
              <w:jc w:val="center"/>
              <w:rPr>
                <w:rFonts w:ascii="Times New Roman" w:eastAsia="Calibri" w:hAnsi="Times New Roman" w:cs="Times New Roman"/>
              </w:rPr>
            </w:pPr>
            <w:r>
              <w:rPr>
                <w:rFonts w:ascii="Times New Roman" w:eastAsia="Calibri" w:hAnsi="Times New Roman" w:cs="Times New Roman"/>
              </w:rPr>
              <w:t>X</w:t>
            </w:r>
          </w:p>
        </w:tc>
      </w:tr>
      <w:tr w:rsidR="004A7E40" w:rsidRPr="004968DE" w14:paraId="074849AA" w14:textId="39EBF92C" w:rsidTr="004A7E40">
        <w:tc>
          <w:tcPr>
            <w:tcW w:w="3085" w:type="dxa"/>
          </w:tcPr>
          <w:p w14:paraId="4868B546" w14:textId="77777777" w:rsidR="00F4191F" w:rsidRPr="00F4191F" w:rsidRDefault="00F4191F" w:rsidP="00F4191F">
            <w:pPr>
              <w:rPr>
                <w:rFonts w:ascii="Times New Roman" w:hAnsi="Times New Roman" w:cs="Times New Roman"/>
                <w:color w:val="000000"/>
              </w:rPr>
            </w:pPr>
            <w:r w:rsidRPr="00F4191F">
              <w:rPr>
                <w:rFonts w:ascii="Times New Roman" w:hAnsi="Times New Roman" w:cs="Times New Roman"/>
                <w:color w:val="000000"/>
              </w:rPr>
              <w:t>ANNEX A7: Financial Annex</w:t>
            </w:r>
          </w:p>
          <w:p w14:paraId="3F2F60AD" w14:textId="77777777" w:rsidR="00F4191F" w:rsidRDefault="00F4191F" w:rsidP="00F4191F">
            <w:pPr>
              <w:rPr>
                <w:rFonts w:ascii="Times New Roman" w:hAnsi="Times New Roman"/>
                <w:color w:val="000000"/>
              </w:rPr>
            </w:pPr>
            <w:r w:rsidRPr="00F4191F">
              <w:rPr>
                <w:rFonts w:ascii="Times New Roman" w:hAnsi="Times New Roman"/>
                <w:color w:val="000000"/>
              </w:rPr>
              <w:t>1.2 Structure of the budget</w:t>
            </w:r>
          </w:p>
          <w:p w14:paraId="2F0C9DDD" w14:textId="46BFF691" w:rsidR="00F4191F" w:rsidRDefault="00F4191F" w:rsidP="00F4191F">
            <w:pPr>
              <w:rPr>
                <w:rFonts w:ascii="Times New Roman" w:hAnsi="Times New Roman"/>
                <w:color w:val="000000"/>
              </w:rPr>
            </w:pPr>
            <w:r>
              <w:rPr>
                <w:rFonts w:ascii="Times New Roman" w:hAnsi="Times New Roman"/>
                <w:color w:val="000000"/>
              </w:rPr>
              <w:t>and</w:t>
            </w:r>
          </w:p>
          <w:p w14:paraId="39722E99" w14:textId="05A8923A" w:rsidR="00F4191F" w:rsidRPr="00F4191F" w:rsidRDefault="00F4191F" w:rsidP="00F4191F">
            <w:pPr>
              <w:rPr>
                <w:rFonts w:ascii="Times New Roman" w:hAnsi="Times New Roman"/>
                <w:color w:val="000000"/>
              </w:rPr>
            </w:pPr>
            <w:r>
              <w:rPr>
                <w:rFonts w:ascii="Times New Roman" w:hAnsi="Times New Roman"/>
                <w:color w:val="000000"/>
              </w:rPr>
              <w:t xml:space="preserve">2 </w:t>
            </w:r>
            <w:r w:rsidRPr="00F4191F">
              <w:rPr>
                <w:rFonts w:ascii="Times New Roman" w:hAnsi="Times New Roman"/>
                <w:color w:val="000000"/>
              </w:rPr>
              <w:t>Changes to a Twinning Grant Contract</w:t>
            </w:r>
          </w:p>
        </w:tc>
        <w:tc>
          <w:tcPr>
            <w:tcW w:w="8789" w:type="dxa"/>
          </w:tcPr>
          <w:p w14:paraId="07ADFB32" w14:textId="77777777" w:rsidR="004A7E40" w:rsidRDefault="00F4191F" w:rsidP="00F4191F">
            <w:pPr>
              <w:jc w:val="both"/>
              <w:rPr>
                <w:rFonts w:ascii="Times New Roman" w:eastAsia="Calibri" w:hAnsi="Times New Roman" w:cs="Times New Roman"/>
              </w:rPr>
            </w:pPr>
            <w:r w:rsidRPr="00F4191F">
              <w:rPr>
                <w:rFonts w:ascii="Times New Roman" w:eastAsia="Calibri" w:hAnsi="Times New Roman" w:cs="Times New Roman"/>
                <w:b/>
              </w:rPr>
              <w:t>Changes to the unit costs and flat rates</w:t>
            </w:r>
            <w:r>
              <w:rPr>
                <w:rFonts w:ascii="Times New Roman" w:eastAsia="Calibri" w:hAnsi="Times New Roman" w:cs="Times New Roman"/>
              </w:rPr>
              <w:t xml:space="preserve"> – </w:t>
            </w:r>
            <w:r w:rsidRPr="00F4191F">
              <w:rPr>
                <w:rFonts w:ascii="Times New Roman" w:eastAsia="Calibri" w:hAnsi="Times New Roman" w:cs="Times New Roman"/>
              </w:rPr>
              <w:t>As a general rule, unit costs and flat rates</w:t>
            </w:r>
            <w:r>
              <w:rPr>
                <w:rFonts w:ascii="Times New Roman" w:eastAsia="Calibri" w:hAnsi="Times New Roman" w:cs="Times New Roman"/>
              </w:rPr>
              <w:t xml:space="preserve"> are</w:t>
            </w:r>
            <w:r w:rsidRPr="00F4191F">
              <w:rPr>
                <w:rFonts w:ascii="Times New Roman" w:eastAsia="Calibri" w:hAnsi="Times New Roman" w:cs="Times New Roman"/>
              </w:rPr>
              <w:t xml:space="preserve"> set at the time of signature of the Twinning Grant Contract </w:t>
            </w:r>
            <w:r>
              <w:rPr>
                <w:rFonts w:ascii="Times New Roman" w:eastAsia="Calibri" w:hAnsi="Times New Roman" w:cs="Times New Roman"/>
              </w:rPr>
              <w:t xml:space="preserve">and </w:t>
            </w:r>
            <w:r w:rsidRPr="00F4191F">
              <w:rPr>
                <w:rFonts w:ascii="Times New Roman" w:eastAsia="Calibri" w:hAnsi="Times New Roman" w:cs="Times New Roman"/>
              </w:rPr>
              <w:t xml:space="preserve">cannot be </w:t>
            </w:r>
            <w:r>
              <w:rPr>
                <w:rFonts w:ascii="Times New Roman" w:eastAsia="Calibri" w:hAnsi="Times New Roman" w:cs="Times New Roman"/>
              </w:rPr>
              <w:t xml:space="preserve">subsequently </w:t>
            </w:r>
            <w:r w:rsidRPr="00F4191F">
              <w:rPr>
                <w:rFonts w:ascii="Times New Roman" w:eastAsia="Calibri" w:hAnsi="Times New Roman" w:cs="Times New Roman"/>
              </w:rPr>
              <w:t xml:space="preserve">increased. </w:t>
            </w:r>
            <w:r w:rsidRPr="00F4191F">
              <w:rPr>
                <w:rFonts w:ascii="Times New Roman" w:eastAsia="Calibri" w:hAnsi="Times New Roman" w:cs="Times New Roman"/>
                <w:u w:val="single"/>
              </w:rPr>
              <w:t>Exceptions may be enabled for unit costs</w:t>
            </w:r>
            <w:r w:rsidRPr="00F4191F">
              <w:rPr>
                <w:rFonts w:ascii="Times New Roman" w:eastAsia="Calibri" w:hAnsi="Times New Roman" w:cs="Times New Roman"/>
              </w:rPr>
              <w:t xml:space="preserve"> where average real costs have changed in relation to the situation at the time of the signature of the Twinning Contract. Those exceptions should be duly justified and agreed with the Contracting Authority.</w:t>
            </w:r>
            <w:r>
              <w:rPr>
                <w:rFonts w:ascii="Times New Roman" w:eastAsia="Calibri" w:hAnsi="Times New Roman" w:cs="Times New Roman"/>
              </w:rPr>
              <w:t xml:space="preserve"> </w:t>
            </w:r>
          </w:p>
          <w:p w14:paraId="6C727B9F" w14:textId="1EA3A998" w:rsidR="00F4191F" w:rsidRPr="004968DE" w:rsidDel="00384794" w:rsidRDefault="00F4191F" w:rsidP="00F4191F">
            <w:pPr>
              <w:jc w:val="both"/>
              <w:rPr>
                <w:rFonts w:ascii="Times New Roman" w:eastAsia="Calibri" w:hAnsi="Times New Roman" w:cs="Times New Roman"/>
              </w:rPr>
            </w:pPr>
          </w:p>
        </w:tc>
        <w:tc>
          <w:tcPr>
            <w:tcW w:w="1418" w:type="dxa"/>
          </w:tcPr>
          <w:p w14:paraId="1BAA0A63" w14:textId="77777777" w:rsidR="004A7E40" w:rsidRPr="004968DE" w:rsidRDefault="004A7E40" w:rsidP="00D26051">
            <w:pPr>
              <w:jc w:val="center"/>
              <w:rPr>
                <w:rFonts w:ascii="Times New Roman" w:eastAsia="Calibri" w:hAnsi="Times New Roman" w:cs="Times New Roman"/>
              </w:rPr>
            </w:pPr>
          </w:p>
        </w:tc>
        <w:tc>
          <w:tcPr>
            <w:tcW w:w="991" w:type="dxa"/>
          </w:tcPr>
          <w:p w14:paraId="2CC2CD20" w14:textId="43AE08FD" w:rsidR="004A7E40" w:rsidRPr="004968DE" w:rsidRDefault="00F4191F" w:rsidP="00D26051">
            <w:pPr>
              <w:jc w:val="center"/>
              <w:rPr>
                <w:rFonts w:ascii="Times New Roman" w:eastAsia="Calibri" w:hAnsi="Times New Roman" w:cs="Times New Roman"/>
              </w:rPr>
            </w:pPr>
            <w:r>
              <w:rPr>
                <w:rFonts w:ascii="Times New Roman" w:eastAsia="Calibri" w:hAnsi="Times New Roman" w:cs="Times New Roman"/>
              </w:rPr>
              <w:t>X</w:t>
            </w:r>
          </w:p>
        </w:tc>
      </w:tr>
      <w:tr w:rsidR="004A7E40" w:rsidRPr="004968DE" w14:paraId="46403FFC" w14:textId="48440AAF" w:rsidTr="004A7E40">
        <w:tc>
          <w:tcPr>
            <w:tcW w:w="3085" w:type="dxa"/>
          </w:tcPr>
          <w:p w14:paraId="45290CD6" w14:textId="77777777" w:rsidR="00AD5391" w:rsidRPr="00F4191F" w:rsidRDefault="00AD5391" w:rsidP="00AD5391">
            <w:pPr>
              <w:rPr>
                <w:rFonts w:ascii="Times New Roman" w:hAnsi="Times New Roman" w:cs="Times New Roman"/>
                <w:color w:val="000000"/>
              </w:rPr>
            </w:pPr>
            <w:r w:rsidRPr="00F4191F">
              <w:rPr>
                <w:rFonts w:ascii="Times New Roman" w:hAnsi="Times New Roman" w:cs="Times New Roman"/>
                <w:color w:val="000000"/>
              </w:rPr>
              <w:t>ANNEX A7: Financial Annex</w:t>
            </w:r>
          </w:p>
          <w:p w14:paraId="04FA70C8" w14:textId="77777777" w:rsidR="004A7E40" w:rsidRDefault="00AD5391" w:rsidP="00AD5391">
            <w:pPr>
              <w:rPr>
                <w:rFonts w:ascii="Times New Roman" w:hAnsi="Times New Roman" w:cs="Times New Roman"/>
                <w:color w:val="000000"/>
              </w:rPr>
            </w:pPr>
            <w:r>
              <w:rPr>
                <w:rFonts w:ascii="Times New Roman" w:hAnsi="Times New Roman" w:cs="Times New Roman"/>
                <w:color w:val="000000"/>
              </w:rPr>
              <w:t xml:space="preserve">3 </w:t>
            </w:r>
            <w:r w:rsidRPr="00AD5391">
              <w:rPr>
                <w:rFonts w:ascii="Times New Roman" w:hAnsi="Times New Roman" w:cs="Times New Roman"/>
                <w:color w:val="000000"/>
              </w:rPr>
              <w:t>Eligible costs</w:t>
            </w:r>
          </w:p>
          <w:p w14:paraId="70B9F4BC" w14:textId="72E637E0" w:rsidR="00AD5391" w:rsidRPr="004968DE" w:rsidRDefault="00AD5391" w:rsidP="00AD5391">
            <w:pPr>
              <w:rPr>
                <w:rFonts w:ascii="Times New Roman" w:hAnsi="Times New Roman" w:cs="Times New Roman"/>
                <w:color w:val="000000"/>
              </w:rPr>
            </w:pPr>
          </w:p>
        </w:tc>
        <w:tc>
          <w:tcPr>
            <w:tcW w:w="8789" w:type="dxa"/>
          </w:tcPr>
          <w:p w14:paraId="5F59AC66" w14:textId="77777777" w:rsidR="002D48A6" w:rsidRDefault="002D48A6" w:rsidP="002D48A6">
            <w:pPr>
              <w:jc w:val="both"/>
              <w:rPr>
                <w:rFonts w:ascii="Times New Roman" w:eastAsia="Calibri" w:hAnsi="Times New Roman" w:cs="Times New Roman"/>
              </w:rPr>
            </w:pPr>
            <w:r w:rsidRPr="00744F49">
              <w:rPr>
                <w:rFonts w:ascii="Times New Roman" w:eastAsia="Calibri" w:hAnsi="Times New Roman" w:cs="Times New Roman"/>
                <w:b/>
              </w:rPr>
              <w:t>Remote work</w:t>
            </w:r>
            <w:r>
              <w:rPr>
                <w:rFonts w:ascii="Times New Roman" w:eastAsia="Calibri" w:hAnsi="Times New Roman" w:cs="Times New Roman"/>
              </w:rPr>
              <w:t xml:space="preserve"> – </w:t>
            </w:r>
            <w:r w:rsidRPr="00744F49">
              <w:rPr>
                <w:rFonts w:ascii="Times New Roman" w:eastAsia="Calibri" w:hAnsi="Times New Roman" w:cs="Times New Roman"/>
                <w:u w:val="single"/>
              </w:rPr>
              <w:t>In operationally justified cases, and in agreement with the Contracting Authority</w:t>
            </w:r>
            <w:r w:rsidRPr="00744F49">
              <w:rPr>
                <w:rFonts w:ascii="Times New Roman" w:eastAsia="Calibri" w:hAnsi="Times New Roman" w:cs="Times New Roman"/>
              </w:rPr>
              <w:t>, there may be activities implemented by short-term exp</w:t>
            </w:r>
            <w:r>
              <w:rPr>
                <w:rFonts w:ascii="Times New Roman" w:eastAsia="Calibri" w:hAnsi="Times New Roman" w:cs="Times New Roman"/>
              </w:rPr>
              <w:t xml:space="preserve">erts from the Member State via </w:t>
            </w:r>
            <w:r w:rsidRPr="00744F49">
              <w:rPr>
                <w:rFonts w:ascii="Times New Roman" w:eastAsia="Calibri" w:hAnsi="Times New Roman" w:cs="Times New Roman"/>
              </w:rPr>
              <w:t>videoconferencing tools.</w:t>
            </w:r>
          </w:p>
          <w:p w14:paraId="28EEC9D5" w14:textId="0F7C36C5" w:rsidR="004A7E40" w:rsidRPr="004968DE" w:rsidDel="00384794" w:rsidRDefault="004A7E40" w:rsidP="00A02991">
            <w:pPr>
              <w:jc w:val="both"/>
              <w:rPr>
                <w:rFonts w:ascii="Times New Roman" w:eastAsia="Calibri" w:hAnsi="Times New Roman" w:cs="Times New Roman"/>
                <w:u w:val="single"/>
              </w:rPr>
            </w:pPr>
          </w:p>
        </w:tc>
        <w:tc>
          <w:tcPr>
            <w:tcW w:w="1418" w:type="dxa"/>
          </w:tcPr>
          <w:p w14:paraId="438BF1E3" w14:textId="77777777" w:rsidR="004A7E40" w:rsidRPr="004968DE" w:rsidRDefault="004A7E40" w:rsidP="00A02991">
            <w:pPr>
              <w:jc w:val="both"/>
              <w:rPr>
                <w:rFonts w:ascii="Times New Roman" w:eastAsia="Calibri" w:hAnsi="Times New Roman" w:cs="Times New Roman"/>
              </w:rPr>
            </w:pPr>
          </w:p>
        </w:tc>
        <w:tc>
          <w:tcPr>
            <w:tcW w:w="991" w:type="dxa"/>
          </w:tcPr>
          <w:p w14:paraId="755AAF0B" w14:textId="7A4EC3D8" w:rsidR="004A7E40" w:rsidRPr="004968DE" w:rsidRDefault="002D48A6" w:rsidP="002D48A6">
            <w:pPr>
              <w:jc w:val="center"/>
              <w:rPr>
                <w:rFonts w:ascii="Times New Roman" w:eastAsia="Calibri" w:hAnsi="Times New Roman" w:cs="Times New Roman"/>
              </w:rPr>
            </w:pPr>
            <w:r>
              <w:rPr>
                <w:rFonts w:ascii="Times New Roman" w:eastAsia="Calibri" w:hAnsi="Times New Roman" w:cs="Times New Roman"/>
              </w:rPr>
              <w:t>X</w:t>
            </w:r>
          </w:p>
        </w:tc>
      </w:tr>
      <w:tr w:rsidR="002D48A6" w:rsidRPr="004968DE" w14:paraId="4BCC0ED3" w14:textId="32FA202C" w:rsidTr="004A7E40">
        <w:tc>
          <w:tcPr>
            <w:tcW w:w="3085" w:type="dxa"/>
          </w:tcPr>
          <w:p w14:paraId="78E0FF77" w14:textId="77777777" w:rsidR="002D48A6" w:rsidRPr="00F4191F" w:rsidRDefault="002D48A6" w:rsidP="002D48A6">
            <w:pPr>
              <w:rPr>
                <w:rFonts w:ascii="Times New Roman" w:hAnsi="Times New Roman" w:cs="Times New Roman"/>
                <w:color w:val="000000"/>
              </w:rPr>
            </w:pPr>
            <w:r w:rsidRPr="00F4191F">
              <w:rPr>
                <w:rFonts w:ascii="Times New Roman" w:hAnsi="Times New Roman" w:cs="Times New Roman"/>
                <w:color w:val="000000"/>
              </w:rPr>
              <w:t>ANNEX A7: Financial Annex</w:t>
            </w:r>
          </w:p>
          <w:p w14:paraId="266C6D41" w14:textId="77777777" w:rsidR="002D48A6" w:rsidRDefault="002D48A6" w:rsidP="002D48A6">
            <w:pPr>
              <w:rPr>
                <w:rFonts w:ascii="Times New Roman" w:hAnsi="Times New Roman" w:cs="Times New Roman"/>
                <w:color w:val="000000"/>
              </w:rPr>
            </w:pPr>
            <w:r>
              <w:rPr>
                <w:rFonts w:ascii="Times New Roman" w:hAnsi="Times New Roman" w:cs="Times New Roman"/>
                <w:color w:val="000000"/>
              </w:rPr>
              <w:t>3.2</w:t>
            </w:r>
            <w:r w:rsidRPr="002D48A6">
              <w:rPr>
                <w:rFonts w:ascii="Times New Roman" w:hAnsi="Times New Roman" w:cs="Times New Roman"/>
                <w:color w:val="000000"/>
              </w:rPr>
              <w:t xml:space="preserve"> The Resident Twinning Adviser (RTA) related costs</w:t>
            </w:r>
          </w:p>
          <w:p w14:paraId="29E38782" w14:textId="194FD35E" w:rsidR="00F01B31" w:rsidRPr="004968DE" w:rsidRDefault="00F01B31" w:rsidP="002D48A6">
            <w:pPr>
              <w:rPr>
                <w:rFonts w:ascii="Times New Roman" w:hAnsi="Times New Roman" w:cs="Times New Roman"/>
                <w:color w:val="000000"/>
              </w:rPr>
            </w:pPr>
          </w:p>
        </w:tc>
        <w:tc>
          <w:tcPr>
            <w:tcW w:w="8789" w:type="dxa"/>
          </w:tcPr>
          <w:p w14:paraId="24260B49" w14:textId="77777777" w:rsidR="002D48A6" w:rsidRDefault="002D48A6" w:rsidP="002D48A6">
            <w:pPr>
              <w:jc w:val="both"/>
              <w:rPr>
                <w:rFonts w:ascii="Times New Roman" w:eastAsia="Calibri" w:hAnsi="Times New Roman" w:cs="Times New Roman"/>
              </w:rPr>
            </w:pPr>
            <w:r w:rsidRPr="002D48A6">
              <w:rPr>
                <w:rFonts w:ascii="Times New Roman" w:eastAsia="Calibri" w:hAnsi="Times New Roman" w:cs="Times New Roman"/>
                <w:b/>
              </w:rPr>
              <w:t>Housing allowance</w:t>
            </w:r>
            <w:r>
              <w:rPr>
                <w:rFonts w:ascii="Times New Roman" w:eastAsia="Calibri" w:hAnsi="Times New Roman" w:cs="Times New Roman"/>
              </w:rPr>
              <w:t xml:space="preserve"> – in case of</w:t>
            </w:r>
            <w:r w:rsidRPr="002D48A6">
              <w:rPr>
                <w:rFonts w:ascii="Times New Roman" w:eastAsia="Calibri" w:hAnsi="Times New Roman" w:cs="Times New Roman"/>
              </w:rPr>
              <w:t xml:space="preserve"> the RTA </w:t>
            </w:r>
            <w:r>
              <w:rPr>
                <w:rFonts w:ascii="Times New Roman" w:eastAsia="Calibri" w:hAnsi="Times New Roman" w:cs="Times New Roman"/>
              </w:rPr>
              <w:t>moving with the family; the</w:t>
            </w:r>
            <w:r w:rsidRPr="002D48A6">
              <w:rPr>
                <w:rFonts w:ascii="Times New Roman" w:eastAsia="Calibri" w:hAnsi="Times New Roman" w:cs="Times New Roman"/>
              </w:rPr>
              <w:t xml:space="preserve"> additional allowance for housing is capped at maximum EUR 1,000 per month.</w:t>
            </w:r>
          </w:p>
          <w:p w14:paraId="6F6182FE" w14:textId="77777777" w:rsidR="00CA6C3E" w:rsidRDefault="00CA6C3E" w:rsidP="002D48A6">
            <w:pPr>
              <w:jc w:val="both"/>
              <w:rPr>
                <w:rFonts w:ascii="Times New Roman" w:eastAsia="Calibri" w:hAnsi="Times New Roman" w:cs="Times New Roman"/>
              </w:rPr>
            </w:pPr>
          </w:p>
          <w:p w14:paraId="67DB8B52" w14:textId="77777777" w:rsidR="00CA6C3E" w:rsidRPr="00924043" w:rsidRDefault="00CA6C3E" w:rsidP="00CA6C3E">
            <w:pPr>
              <w:jc w:val="both"/>
              <w:rPr>
                <w:rFonts w:ascii="Times New Roman" w:eastAsia="Calibri" w:hAnsi="Times New Roman" w:cs="Times New Roman"/>
                <w:b/>
              </w:rPr>
            </w:pPr>
            <w:r w:rsidRPr="00CA6C3E">
              <w:rPr>
                <w:rFonts w:ascii="Times New Roman" w:eastAsia="Calibri" w:hAnsi="Times New Roman" w:cs="Times New Roman"/>
                <w:b/>
              </w:rPr>
              <w:t>Travel allowance</w:t>
            </w:r>
            <w:r>
              <w:rPr>
                <w:rFonts w:ascii="Times New Roman" w:eastAsia="Calibri" w:hAnsi="Times New Roman" w:cs="Times New Roman"/>
              </w:rPr>
              <w:t xml:space="preserve"> – in case of</w:t>
            </w:r>
            <w:r w:rsidRPr="00CA6C3E">
              <w:rPr>
                <w:rFonts w:ascii="Times New Roman" w:eastAsia="Calibri" w:hAnsi="Times New Roman" w:cs="Times New Roman"/>
              </w:rPr>
              <w:t xml:space="preserve"> the RTA </w:t>
            </w:r>
            <w:r>
              <w:rPr>
                <w:rFonts w:ascii="Times New Roman" w:eastAsia="Calibri" w:hAnsi="Times New Roman" w:cs="Times New Roman"/>
              </w:rPr>
              <w:t xml:space="preserve">moving </w:t>
            </w:r>
            <w:r w:rsidRPr="00CA6C3E">
              <w:rPr>
                <w:rFonts w:ascii="Times New Roman" w:eastAsia="Calibri" w:hAnsi="Times New Roman" w:cs="Times New Roman"/>
              </w:rPr>
              <w:t>without household effects or family, travel costs can be compensated as a monthly (NEAR regions) or quarterly (INTPA regions) travel allowance to cover return fares with one registered luggage.</w:t>
            </w:r>
          </w:p>
          <w:p w14:paraId="297461A5" w14:textId="77777777" w:rsidR="000F3A67" w:rsidRDefault="000F3A67" w:rsidP="00924043">
            <w:pPr>
              <w:jc w:val="both"/>
              <w:rPr>
                <w:rFonts w:ascii="Times New Roman" w:eastAsia="Calibri" w:hAnsi="Times New Roman" w:cs="Times New Roman"/>
                <w:b/>
              </w:rPr>
            </w:pPr>
          </w:p>
          <w:p w14:paraId="2747927B" w14:textId="07823693" w:rsidR="00924043" w:rsidRDefault="00924043" w:rsidP="00924043">
            <w:pPr>
              <w:jc w:val="both"/>
              <w:rPr>
                <w:rFonts w:ascii="Times New Roman" w:eastAsia="Calibri" w:hAnsi="Times New Roman" w:cs="Times New Roman"/>
              </w:rPr>
            </w:pPr>
            <w:r w:rsidRPr="00924043">
              <w:rPr>
                <w:rFonts w:ascii="Times New Roman" w:eastAsia="Calibri" w:hAnsi="Times New Roman" w:cs="Times New Roman"/>
                <w:b/>
              </w:rPr>
              <w:t>Compulsory vaccination</w:t>
            </w:r>
            <w:r>
              <w:rPr>
                <w:rFonts w:ascii="Times New Roman" w:eastAsia="Calibri" w:hAnsi="Times New Roman" w:cs="Times New Roman"/>
              </w:rPr>
              <w:t xml:space="preserve"> – i</w:t>
            </w:r>
            <w:r w:rsidRPr="00924043">
              <w:rPr>
                <w:rFonts w:ascii="Times New Roman" w:eastAsia="Calibri" w:hAnsi="Times New Roman" w:cs="Times New Roman"/>
              </w:rPr>
              <w:t>s eligible</w:t>
            </w:r>
            <w:r>
              <w:rPr>
                <w:rFonts w:ascii="Times New Roman" w:eastAsia="Calibri" w:hAnsi="Times New Roman" w:cs="Times New Roman"/>
              </w:rPr>
              <w:t xml:space="preserve"> as evidenced by a paid invoice, and in line with the</w:t>
            </w:r>
            <w:r w:rsidRPr="00924043">
              <w:rPr>
                <w:rFonts w:ascii="Times New Roman" w:eastAsia="Calibri" w:hAnsi="Times New Roman" w:cs="Times New Roman"/>
              </w:rPr>
              <w:t xml:space="preserve"> national leg</w:t>
            </w:r>
            <w:r>
              <w:rPr>
                <w:rFonts w:ascii="Times New Roman" w:eastAsia="Calibri" w:hAnsi="Times New Roman" w:cs="Times New Roman"/>
              </w:rPr>
              <w:t>islation of the Partner country.</w:t>
            </w:r>
          </w:p>
          <w:p w14:paraId="6DA50DF1" w14:textId="77777777" w:rsidR="00924043" w:rsidRDefault="00924043" w:rsidP="00924043">
            <w:pPr>
              <w:jc w:val="both"/>
              <w:rPr>
                <w:rFonts w:ascii="Times New Roman" w:eastAsia="Calibri" w:hAnsi="Times New Roman" w:cs="Times New Roman"/>
              </w:rPr>
            </w:pPr>
          </w:p>
          <w:p w14:paraId="529BC1C1" w14:textId="77777777" w:rsidR="00355045" w:rsidRDefault="00924043" w:rsidP="000F3A67">
            <w:pPr>
              <w:jc w:val="both"/>
              <w:rPr>
                <w:rFonts w:ascii="Times New Roman" w:eastAsia="Calibri" w:hAnsi="Times New Roman" w:cs="Times New Roman"/>
              </w:rPr>
            </w:pPr>
            <w:r w:rsidRPr="00924043">
              <w:rPr>
                <w:rFonts w:ascii="Times New Roman" w:eastAsia="Calibri" w:hAnsi="Times New Roman" w:cs="Times New Roman"/>
                <w:b/>
              </w:rPr>
              <w:t>Study visit</w:t>
            </w:r>
            <w:r>
              <w:rPr>
                <w:rFonts w:ascii="Times New Roman" w:eastAsia="Calibri" w:hAnsi="Times New Roman" w:cs="Times New Roman"/>
              </w:rPr>
              <w:t xml:space="preserve"> – </w:t>
            </w:r>
            <w:r w:rsidRPr="00924043">
              <w:rPr>
                <w:rFonts w:ascii="Times New Roman" w:eastAsia="Calibri" w:hAnsi="Times New Roman" w:cs="Times New Roman"/>
              </w:rPr>
              <w:t>the RTA may accompany the Beneficiary staff to a study visit in the Member State.</w:t>
            </w:r>
          </w:p>
          <w:p w14:paraId="18D2525B" w14:textId="1A76976C" w:rsidR="000F3A67" w:rsidRPr="004968DE" w:rsidDel="00384794" w:rsidRDefault="000F3A67" w:rsidP="000F3A67">
            <w:pPr>
              <w:jc w:val="both"/>
              <w:rPr>
                <w:rFonts w:ascii="Times New Roman" w:eastAsia="Calibri" w:hAnsi="Times New Roman" w:cs="Times New Roman"/>
              </w:rPr>
            </w:pPr>
          </w:p>
        </w:tc>
        <w:tc>
          <w:tcPr>
            <w:tcW w:w="1418" w:type="dxa"/>
          </w:tcPr>
          <w:p w14:paraId="15F7E282" w14:textId="77777777" w:rsidR="002D48A6" w:rsidRPr="004968DE" w:rsidRDefault="002D48A6" w:rsidP="002D48A6">
            <w:pPr>
              <w:jc w:val="both"/>
              <w:rPr>
                <w:rFonts w:ascii="Times New Roman" w:eastAsia="Calibri" w:hAnsi="Times New Roman" w:cs="Times New Roman"/>
              </w:rPr>
            </w:pPr>
          </w:p>
        </w:tc>
        <w:tc>
          <w:tcPr>
            <w:tcW w:w="991" w:type="dxa"/>
          </w:tcPr>
          <w:p w14:paraId="0C87ACF1" w14:textId="77777777" w:rsidR="002D48A6" w:rsidRDefault="002D48A6" w:rsidP="002D48A6">
            <w:pPr>
              <w:jc w:val="center"/>
              <w:rPr>
                <w:rFonts w:ascii="Times New Roman" w:eastAsia="Calibri" w:hAnsi="Times New Roman" w:cs="Times New Roman"/>
              </w:rPr>
            </w:pPr>
            <w:r>
              <w:rPr>
                <w:rFonts w:ascii="Times New Roman" w:eastAsia="Calibri" w:hAnsi="Times New Roman" w:cs="Times New Roman"/>
              </w:rPr>
              <w:t>X</w:t>
            </w:r>
          </w:p>
          <w:p w14:paraId="635CC602" w14:textId="77777777" w:rsidR="00CA6C3E" w:rsidRDefault="00CA6C3E" w:rsidP="002D48A6">
            <w:pPr>
              <w:jc w:val="center"/>
              <w:rPr>
                <w:rFonts w:ascii="Times New Roman" w:eastAsia="Calibri" w:hAnsi="Times New Roman" w:cs="Times New Roman"/>
              </w:rPr>
            </w:pPr>
          </w:p>
          <w:p w14:paraId="5BA47170" w14:textId="77777777" w:rsidR="00CA6C3E" w:rsidRDefault="00CA6C3E" w:rsidP="002D48A6">
            <w:pPr>
              <w:jc w:val="center"/>
              <w:rPr>
                <w:rFonts w:ascii="Times New Roman" w:eastAsia="Calibri" w:hAnsi="Times New Roman" w:cs="Times New Roman"/>
              </w:rPr>
            </w:pPr>
          </w:p>
          <w:p w14:paraId="221A9A8C" w14:textId="77777777" w:rsidR="00CA6C3E" w:rsidRDefault="00CA6C3E" w:rsidP="002D48A6">
            <w:pPr>
              <w:jc w:val="center"/>
              <w:rPr>
                <w:rFonts w:ascii="Times New Roman" w:eastAsia="Calibri" w:hAnsi="Times New Roman" w:cs="Times New Roman"/>
              </w:rPr>
            </w:pPr>
            <w:r>
              <w:rPr>
                <w:rFonts w:ascii="Times New Roman" w:eastAsia="Calibri" w:hAnsi="Times New Roman" w:cs="Times New Roman"/>
              </w:rPr>
              <w:t>X</w:t>
            </w:r>
          </w:p>
          <w:p w14:paraId="27FA5EE7" w14:textId="77777777" w:rsidR="00924043" w:rsidRDefault="00924043" w:rsidP="002D48A6">
            <w:pPr>
              <w:jc w:val="center"/>
              <w:rPr>
                <w:rFonts w:ascii="Times New Roman" w:eastAsia="Calibri" w:hAnsi="Times New Roman" w:cs="Times New Roman"/>
              </w:rPr>
            </w:pPr>
          </w:p>
          <w:p w14:paraId="536B8CC2" w14:textId="77777777" w:rsidR="00924043" w:rsidRDefault="00924043" w:rsidP="002D48A6">
            <w:pPr>
              <w:jc w:val="center"/>
              <w:rPr>
                <w:rFonts w:ascii="Times New Roman" w:eastAsia="Calibri" w:hAnsi="Times New Roman" w:cs="Times New Roman"/>
              </w:rPr>
            </w:pPr>
          </w:p>
          <w:p w14:paraId="35347A89" w14:textId="77777777" w:rsidR="00924043" w:rsidRDefault="00924043" w:rsidP="002D48A6">
            <w:pPr>
              <w:jc w:val="center"/>
              <w:rPr>
                <w:rFonts w:ascii="Times New Roman" w:eastAsia="Calibri" w:hAnsi="Times New Roman" w:cs="Times New Roman"/>
              </w:rPr>
            </w:pPr>
            <w:r>
              <w:rPr>
                <w:rFonts w:ascii="Times New Roman" w:eastAsia="Calibri" w:hAnsi="Times New Roman" w:cs="Times New Roman"/>
              </w:rPr>
              <w:t>X</w:t>
            </w:r>
          </w:p>
          <w:p w14:paraId="41F61040" w14:textId="77777777" w:rsidR="00924043" w:rsidRDefault="00924043" w:rsidP="002D48A6">
            <w:pPr>
              <w:jc w:val="center"/>
              <w:rPr>
                <w:rFonts w:ascii="Times New Roman" w:eastAsia="Calibri" w:hAnsi="Times New Roman" w:cs="Times New Roman"/>
              </w:rPr>
            </w:pPr>
          </w:p>
          <w:p w14:paraId="018B4C73" w14:textId="77777777" w:rsidR="00924043" w:rsidRDefault="00924043" w:rsidP="002D48A6">
            <w:pPr>
              <w:jc w:val="center"/>
              <w:rPr>
                <w:rFonts w:ascii="Times New Roman" w:eastAsia="Calibri" w:hAnsi="Times New Roman" w:cs="Times New Roman"/>
              </w:rPr>
            </w:pPr>
          </w:p>
          <w:p w14:paraId="40B11678" w14:textId="706C3071" w:rsidR="00924043" w:rsidRPr="004968DE" w:rsidRDefault="00924043" w:rsidP="002D48A6">
            <w:pPr>
              <w:jc w:val="center"/>
              <w:rPr>
                <w:rFonts w:ascii="Times New Roman" w:eastAsia="Calibri" w:hAnsi="Times New Roman" w:cs="Times New Roman"/>
              </w:rPr>
            </w:pPr>
            <w:r>
              <w:rPr>
                <w:rFonts w:ascii="Times New Roman" w:eastAsia="Calibri" w:hAnsi="Times New Roman" w:cs="Times New Roman"/>
              </w:rPr>
              <w:t>X</w:t>
            </w:r>
          </w:p>
        </w:tc>
      </w:tr>
      <w:tr w:rsidR="004A7E40" w:rsidRPr="004968DE" w14:paraId="3CC6D2EB" w14:textId="64B7D54E" w:rsidTr="004A7E40">
        <w:tc>
          <w:tcPr>
            <w:tcW w:w="3085" w:type="dxa"/>
          </w:tcPr>
          <w:p w14:paraId="7D24DC6B" w14:textId="77777777" w:rsidR="00AC6DC2" w:rsidRDefault="00AC6DC2" w:rsidP="00AC6DC2">
            <w:pPr>
              <w:rPr>
                <w:rFonts w:ascii="Times New Roman" w:hAnsi="Times New Roman" w:cs="Times New Roman"/>
                <w:color w:val="000000"/>
              </w:rPr>
            </w:pPr>
            <w:r w:rsidRPr="00F4191F">
              <w:rPr>
                <w:rFonts w:ascii="Times New Roman" w:hAnsi="Times New Roman" w:cs="Times New Roman"/>
                <w:color w:val="000000"/>
              </w:rPr>
              <w:lastRenderedPageBreak/>
              <w:t>ANNEX A7: Financial Annex</w:t>
            </w:r>
          </w:p>
          <w:p w14:paraId="77D4C884" w14:textId="3EFC58FA" w:rsidR="004A7E40" w:rsidRDefault="00106403" w:rsidP="004968DE">
            <w:pPr>
              <w:rPr>
                <w:rFonts w:ascii="Times New Roman" w:hAnsi="Times New Roman" w:cs="Times New Roman"/>
                <w:color w:val="000000"/>
              </w:rPr>
            </w:pPr>
            <w:r w:rsidRPr="00106403">
              <w:rPr>
                <w:rFonts w:ascii="Times New Roman" w:hAnsi="Times New Roman" w:cs="Times New Roman"/>
                <w:color w:val="000000"/>
              </w:rPr>
              <w:t>3.3 Costs for short-term experts working in the Partner country</w:t>
            </w:r>
          </w:p>
          <w:p w14:paraId="60B0863C" w14:textId="7ABE767E" w:rsidR="00106403" w:rsidRPr="004968DE" w:rsidRDefault="00106403" w:rsidP="004968DE">
            <w:pPr>
              <w:rPr>
                <w:rFonts w:ascii="Times New Roman" w:hAnsi="Times New Roman" w:cs="Times New Roman"/>
                <w:color w:val="000000"/>
              </w:rPr>
            </w:pPr>
          </w:p>
        </w:tc>
        <w:tc>
          <w:tcPr>
            <w:tcW w:w="8789" w:type="dxa"/>
          </w:tcPr>
          <w:p w14:paraId="6237053F" w14:textId="77777777" w:rsidR="004A7E40" w:rsidRDefault="00106403" w:rsidP="00995F97">
            <w:pPr>
              <w:numPr>
                <w:ilvl w:val="12"/>
                <w:numId w:val="0"/>
              </w:numPr>
              <w:spacing w:after="240"/>
              <w:jc w:val="both"/>
              <w:rPr>
                <w:rFonts w:ascii="Times New Roman" w:eastAsia="Times New Roman" w:hAnsi="Times New Roman" w:cs="Times New Roman"/>
                <w:color w:val="000000"/>
                <w:lang w:eastAsia="en-GB"/>
              </w:rPr>
            </w:pPr>
            <w:r w:rsidRPr="00106403">
              <w:rPr>
                <w:rFonts w:ascii="Times New Roman" w:eastAsia="Calibri" w:hAnsi="Times New Roman" w:cs="Times New Roman"/>
                <w:b/>
              </w:rPr>
              <w:t>Short-term expert input definition</w:t>
            </w:r>
            <w:r>
              <w:rPr>
                <w:rFonts w:ascii="Times New Roman" w:eastAsia="Calibri" w:hAnsi="Times New Roman" w:cs="Times New Roman"/>
              </w:rPr>
              <w:t xml:space="preserve"> –</w:t>
            </w:r>
            <w:r w:rsidRPr="00106403">
              <w:rPr>
                <w:rFonts w:ascii="Times New Roman" w:eastAsia="Calibri" w:hAnsi="Times New Roman" w:cs="Times New Roman"/>
              </w:rPr>
              <w:t xml:space="preserve"> </w:t>
            </w:r>
            <w:r>
              <w:rPr>
                <w:rFonts w:ascii="Times New Roman" w:eastAsia="Times New Roman" w:hAnsi="Times New Roman" w:cs="Times New Roman"/>
                <w:color w:val="000000"/>
                <w:lang w:eastAsia="en-GB"/>
              </w:rPr>
              <w:t>It is henceforth</w:t>
            </w:r>
            <w:r w:rsidRPr="00106403">
              <w:rPr>
                <w:rFonts w:ascii="Times New Roman" w:eastAsia="Times New Roman" w:hAnsi="Times New Roman" w:cs="Times New Roman"/>
                <w:color w:val="000000"/>
                <w:lang w:eastAsia="en-GB"/>
              </w:rPr>
              <w:t xml:space="preserve"> defined as </w:t>
            </w:r>
            <w:r>
              <w:rPr>
                <w:rFonts w:ascii="Times New Roman" w:eastAsia="Times New Roman" w:hAnsi="Times New Roman" w:cs="Times New Roman"/>
                <w:color w:val="000000"/>
                <w:lang w:eastAsia="en-GB"/>
              </w:rPr>
              <w:t>“</w:t>
            </w:r>
            <w:r w:rsidRPr="00106403">
              <w:rPr>
                <w:rFonts w:ascii="Times New Roman" w:eastAsia="Times New Roman" w:hAnsi="Times New Roman" w:cs="Times New Roman"/>
                <w:color w:val="000000"/>
                <w:lang w:eastAsia="en-GB"/>
              </w:rPr>
              <w:t>assignments for the benefit of the Partner country</w:t>
            </w:r>
            <w:r>
              <w:rPr>
                <w:rFonts w:ascii="Times New Roman" w:eastAsia="Times New Roman" w:hAnsi="Times New Roman" w:cs="Times New Roman"/>
                <w:color w:val="000000"/>
                <w:lang w:eastAsia="en-GB"/>
              </w:rPr>
              <w:t>”</w:t>
            </w:r>
            <w:r w:rsidRPr="00106403">
              <w:rPr>
                <w:rFonts w:ascii="Times New Roman" w:eastAsia="Times New Roman" w:hAnsi="Times New Roman" w:cs="Times New Roman"/>
                <w:color w:val="000000"/>
                <w:lang w:eastAsia="en-GB"/>
              </w:rPr>
              <w:t>.</w:t>
            </w:r>
          </w:p>
          <w:p w14:paraId="07EB4628" w14:textId="76717B99" w:rsidR="00AC6DC2" w:rsidRDefault="00AC6DC2" w:rsidP="00AC6DC2">
            <w:pPr>
              <w:jc w:val="both"/>
              <w:rPr>
                <w:rFonts w:ascii="Times New Roman" w:hAnsi="Times New Roman" w:cs="Times New Roman"/>
                <w:color w:val="000000" w:themeColor="text1"/>
                <w:szCs w:val="24"/>
              </w:rPr>
            </w:pPr>
            <w:r w:rsidRPr="00AC6DC2">
              <w:rPr>
                <w:rFonts w:ascii="Times New Roman" w:eastAsia="Times New Roman" w:hAnsi="Times New Roman" w:cs="Times New Roman"/>
                <w:b/>
                <w:color w:val="000000"/>
                <w:lang w:eastAsia="en-GB"/>
              </w:rPr>
              <w:t>Definition of per diem</w:t>
            </w:r>
            <w:r>
              <w:rPr>
                <w:rFonts w:ascii="Times New Roman" w:eastAsia="Times New Roman" w:hAnsi="Times New Roman" w:cs="Times New Roman"/>
                <w:color w:val="000000"/>
                <w:lang w:eastAsia="en-GB"/>
              </w:rPr>
              <w:t xml:space="preserve"> – “</w:t>
            </w:r>
            <w:r w:rsidRPr="00995F97">
              <w:rPr>
                <w:rFonts w:ascii="Times New Roman" w:hAnsi="Times New Roman" w:cs="Times New Roman"/>
                <w:szCs w:val="24"/>
              </w:rPr>
              <w:t>Per diems are payable on the basis of the number of hours spent on the mission, i.e. outside the expert’s normal place of posting. Per diem may only be paid in full or in half (no other fractions are possible). A full per diem shall be paid for each 24-hour period spent on mission. Half of a per diem shall be paid in case of a period of at least 12 hours but less than 24 hours spent on mission. No per diem shall be paid for missions of less than 12 hours. Travelling time is to be regarded as part of the mission</w:t>
            </w:r>
            <w:r w:rsidRPr="00995F97">
              <w:rPr>
                <w:rFonts w:ascii="Times New Roman" w:hAnsi="Times New Roman" w:cs="Times New Roman"/>
                <w:color w:val="000000" w:themeColor="text1"/>
                <w:szCs w:val="24"/>
              </w:rPr>
              <w:t>.</w:t>
            </w:r>
            <w:r>
              <w:rPr>
                <w:rFonts w:ascii="Times New Roman" w:hAnsi="Times New Roman" w:cs="Times New Roman"/>
                <w:color w:val="000000" w:themeColor="text1"/>
                <w:szCs w:val="24"/>
              </w:rPr>
              <w:t>”</w:t>
            </w:r>
          </w:p>
          <w:p w14:paraId="7A9F9ECE" w14:textId="1AEA7C6F" w:rsidR="00AC6DC2" w:rsidRDefault="00AC6DC2" w:rsidP="00AC6DC2">
            <w:pPr>
              <w:jc w:val="both"/>
              <w:rPr>
                <w:rFonts w:ascii="Times New Roman" w:hAnsi="Times New Roman" w:cs="Times New Roman"/>
                <w:color w:val="000000" w:themeColor="text1"/>
                <w:szCs w:val="24"/>
              </w:rPr>
            </w:pPr>
          </w:p>
          <w:p w14:paraId="30B47CED" w14:textId="61355276" w:rsidR="00AC6DC2" w:rsidRPr="00AC6DC2" w:rsidRDefault="00AC6DC2" w:rsidP="00AC6DC2">
            <w:pPr>
              <w:jc w:val="both"/>
              <w:rPr>
                <w:rFonts w:ascii="Times New Roman" w:eastAsia="Calibri" w:hAnsi="Times New Roman" w:cs="Times New Roman"/>
              </w:rPr>
            </w:pPr>
            <w:r w:rsidRPr="00AC6DC2">
              <w:rPr>
                <w:rFonts w:ascii="Times New Roman" w:eastAsia="Calibri" w:hAnsi="Times New Roman" w:cs="Times New Roman"/>
                <w:b/>
              </w:rPr>
              <w:t>Travel in business class</w:t>
            </w:r>
            <w:r>
              <w:rPr>
                <w:rFonts w:ascii="Times New Roman" w:eastAsia="Calibri" w:hAnsi="Times New Roman" w:cs="Times New Roman"/>
              </w:rPr>
              <w:t xml:space="preserve"> – Standard rule: </w:t>
            </w:r>
            <w:r w:rsidRPr="00AC6DC2">
              <w:rPr>
                <w:rFonts w:ascii="Times New Roman" w:eastAsia="Calibri" w:hAnsi="Times New Roman" w:cs="Times New Roman"/>
              </w:rPr>
              <w:t xml:space="preserve">economy class or equivalent. </w:t>
            </w:r>
            <w:r>
              <w:rPr>
                <w:rFonts w:ascii="Times New Roman" w:eastAsia="Calibri" w:hAnsi="Times New Roman" w:cs="Times New Roman"/>
              </w:rPr>
              <w:t xml:space="preserve">Exception in business class allowed </w:t>
            </w:r>
            <w:r w:rsidRPr="00AC6DC2">
              <w:rPr>
                <w:rFonts w:ascii="Times New Roman" w:eastAsia="Calibri" w:hAnsi="Times New Roman" w:cs="Times New Roman"/>
              </w:rPr>
              <w:t>if the outward or return journey includes at least one segment involving at least four hours’ continuous flying time</w:t>
            </w:r>
            <w:r>
              <w:rPr>
                <w:rFonts w:ascii="Times New Roman" w:eastAsia="Calibri" w:hAnsi="Times New Roman" w:cs="Times New Roman"/>
              </w:rPr>
              <w:t xml:space="preserve"> (</w:t>
            </w:r>
            <w:r w:rsidRPr="00AC6DC2">
              <w:rPr>
                <w:rFonts w:ascii="Times New Roman" w:eastAsia="Calibri" w:hAnsi="Times New Roman" w:cs="Times New Roman"/>
              </w:rPr>
              <w:t xml:space="preserve">taking into account the times of meetings and/or </w:t>
            </w:r>
            <w:r>
              <w:rPr>
                <w:rFonts w:ascii="Times New Roman" w:eastAsia="Calibri" w:hAnsi="Times New Roman" w:cs="Times New Roman"/>
              </w:rPr>
              <w:t>special features of the mission).</w:t>
            </w:r>
          </w:p>
          <w:p w14:paraId="6F1A8CC0" w14:textId="5B05C88A" w:rsidR="00AC6DC2" w:rsidRPr="00AC6DC2" w:rsidRDefault="00AC6DC2" w:rsidP="00AC6DC2">
            <w:pPr>
              <w:jc w:val="both"/>
              <w:rPr>
                <w:rFonts w:ascii="Times New Roman" w:hAnsi="Times New Roman" w:cs="Times New Roman"/>
                <w:szCs w:val="24"/>
              </w:rPr>
            </w:pPr>
          </w:p>
        </w:tc>
        <w:tc>
          <w:tcPr>
            <w:tcW w:w="1418" w:type="dxa"/>
          </w:tcPr>
          <w:p w14:paraId="1B12FF7B" w14:textId="77777777" w:rsidR="004A7E40" w:rsidRPr="004968DE" w:rsidRDefault="004A7E40" w:rsidP="00A02991">
            <w:pPr>
              <w:jc w:val="both"/>
              <w:rPr>
                <w:rFonts w:ascii="Times New Roman" w:eastAsia="Calibri" w:hAnsi="Times New Roman" w:cs="Times New Roman"/>
              </w:rPr>
            </w:pPr>
          </w:p>
        </w:tc>
        <w:tc>
          <w:tcPr>
            <w:tcW w:w="991" w:type="dxa"/>
          </w:tcPr>
          <w:p w14:paraId="39A38A8C" w14:textId="77777777" w:rsidR="004A7E40" w:rsidRDefault="00106403" w:rsidP="00106403">
            <w:pPr>
              <w:jc w:val="center"/>
              <w:rPr>
                <w:rFonts w:ascii="Times New Roman" w:eastAsia="Calibri" w:hAnsi="Times New Roman" w:cs="Times New Roman"/>
              </w:rPr>
            </w:pPr>
            <w:r>
              <w:rPr>
                <w:rFonts w:ascii="Times New Roman" w:eastAsia="Calibri" w:hAnsi="Times New Roman" w:cs="Times New Roman"/>
              </w:rPr>
              <w:t>X</w:t>
            </w:r>
          </w:p>
          <w:p w14:paraId="1A2FC229" w14:textId="77777777" w:rsidR="00AC6DC2" w:rsidRDefault="00AC6DC2" w:rsidP="00106403">
            <w:pPr>
              <w:jc w:val="center"/>
              <w:rPr>
                <w:rFonts w:ascii="Times New Roman" w:eastAsia="Calibri" w:hAnsi="Times New Roman" w:cs="Times New Roman"/>
              </w:rPr>
            </w:pPr>
          </w:p>
          <w:p w14:paraId="23B60BC6" w14:textId="77777777" w:rsidR="00AC6DC2" w:rsidRDefault="00AC6DC2" w:rsidP="00106403">
            <w:pPr>
              <w:jc w:val="center"/>
              <w:rPr>
                <w:rFonts w:ascii="Times New Roman" w:eastAsia="Calibri" w:hAnsi="Times New Roman" w:cs="Times New Roman"/>
              </w:rPr>
            </w:pPr>
          </w:p>
          <w:p w14:paraId="5F154472" w14:textId="77777777" w:rsidR="00AC6DC2" w:rsidRDefault="00AC6DC2" w:rsidP="00106403">
            <w:pPr>
              <w:jc w:val="center"/>
              <w:rPr>
                <w:rFonts w:ascii="Times New Roman" w:eastAsia="Calibri" w:hAnsi="Times New Roman" w:cs="Times New Roman"/>
              </w:rPr>
            </w:pPr>
            <w:r>
              <w:rPr>
                <w:rFonts w:ascii="Times New Roman" w:eastAsia="Calibri" w:hAnsi="Times New Roman" w:cs="Times New Roman"/>
              </w:rPr>
              <w:t>X</w:t>
            </w:r>
          </w:p>
          <w:p w14:paraId="7FA8F455" w14:textId="77777777" w:rsidR="00AC6DC2" w:rsidRDefault="00AC6DC2" w:rsidP="00106403">
            <w:pPr>
              <w:jc w:val="center"/>
              <w:rPr>
                <w:rFonts w:ascii="Times New Roman" w:eastAsia="Calibri" w:hAnsi="Times New Roman" w:cs="Times New Roman"/>
              </w:rPr>
            </w:pPr>
          </w:p>
          <w:p w14:paraId="596A1396" w14:textId="77777777" w:rsidR="00AC6DC2" w:rsidRDefault="00AC6DC2" w:rsidP="00106403">
            <w:pPr>
              <w:jc w:val="center"/>
              <w:rPr>
                <w:rFonts w:ascii="Times New Roman" w:eastAsia="Calibri" w:hAnsi="Times New Roman" w:cs="Times New Roman"/>
              </w:rPr>
            </w:pPr>
          </w:p>
          <w:p w14:paraId="582E9072" w14:textId="77777777" w:rsidR="00AC6DC2" w:rsidRDefault="00AC6DC2" w:rsidP="00106403">
            <w:pPr>
              <w:jc w:val="center"/>
              <w:rPr>
                <w:rFonts w:ascii="Times New Roman" w:eastAsia="Calibri" w:hAnsi="Times New Roman" w:cs="Times New Roman"/>
              </w:rPr>
            </w:pPr>
          </w:p>
          <w:p w14:paraId="4BF4F5DF" w14:textId="77777777" w:rsidR="00AC6DC2" w:rsidRDefault="00AC6DC2" w:rsidP="00106403">
            <w:pPr>
              <w:jc w:val="center"/>
              <w:rPr>
                <w:rFonts w:ascii="Times New Roman" w:eastAsia="Calibri" w:hAnsi="Times New Roman" w:cs="Times New Roman"/>
              </w:rPr>
            </w:pPr>
          </w:p>
          <w:p w14:paraId="138528F1" w14:textId="14347EAA" w:rsidR="00AC6DC2" w:rsidRDefault="00AC6DC2" w:rsidP="00106403">
            <w:pPr>
              <w:jc w:val="center"/>
              <w:rPr>
                <w:rFonts w:ascii="Times New Roman" w:eastAsia="Calibri" w:hAnsi="Times New Roman" w:cs="Times New Roman"/>
              </w:rPr>
            </w:pPr>
          </w:p>
          <w:p w14:paraId="3CEC0152" w14:textId="77777777" w:rsidR="00AC6DC2" w:rsidRDefault="00AC6DC2" w:rsidP="00106403">
            <w:pPr>
              <w:jc w:val="center"/>
              <w:rPr>
                <w:rFonts w:ascii="Times New Roman" w:eastAsia="Calibri" w:hAnsi="Times New Roman" w:cs="Times New Roman"/>
              </w:rPr>
            </w:pPr>
          </w:p>
          <w:p w14:paraId="7B7EF7C2" w14:textId="4CAD5E36" w:rsidR="00AC6DC2" w:rsidRPr="004968DE" w:rsidRDefault="00AC6DC2" w:rsidP="00106403">
            <w:pPr>
              <w:jc w:val="center"/>
              <w:rPr>
                <w:rFonts w:ascii="Times New Roman" w:eastAsia="Calibri" w:hAnsi="Times New Roman" w:cs="Times New Roman"/>
              </w:rPr>
            </w:pPr>
            <w:r>
              <w:rPr>
                <w:rFonts w:ascii="Times New Roman" w:eastAsia="Calibri" w:hAnsi="Times New Roman" w:cs="Times New Roman"/>
              </w:rPr>
              <w:t>X</w:t>
            </w:r>
          </w:p>
        </w:tc>
      </w:tr>
      <w:tr w:rsidR="004A7E40" w:rsidRPr="004968DE" w14:paraId="042EAC28" w14:textId="50F3D94B" w:rsidTr="004A7E40">
        <w:tc>
          <w:tcPr>
            <w:tcW w:w="3085" w:type="dxa"/>
          </w:tcPr>
          <w:p w14:paraId="31E0A469" w14:textId="77777777" w:rsidR="00AC6DC2" w:rsidRDefault="00AC6DC2" w:rsidP="00AC6DC2">
            <w:pPr>
              <w:rPr>
                <w:rFonts w:ascii="Times New Roman" w:hAnsi="Times New Roman" w:cs="Times New Roman"/>
                <w:color w:val="000000"/>
              </w:rPr>
            </w:pPr>
            <w:r w:rsidRPr="00F4191F">
              <w:rPr>
                <w:rFonts w:ascii="Times New Roman" w:hAnsi="Times New Roman" w:cs="Times New Roman"/>
                <w:color w:val="000000"/>
              </w:rPr>
              <w:t>ANNEX A7: Financial Annex</w:t>
            </w:r>
          </w:p>
          <w:p w14:paraId="6E619F0C" w14:textId="5ACDC6E7" w:rsidR="004A7E40" w:rsidRPr="00995F97" w:rsidRDefault="00AC6DC2" w:rsidP="00451363">
            <w:pPr>
              <w:rPr>
                <w:rFonts w:ascii="Times New Roman" w:hAnsi="Times New Roman" w:cs="Times New Roman"/>
                <w:color w:val="000000"/>
              </w:rPr>
            </w:pPr>
            <w:r w:rsidRPr="00AC6DC2">
              <w:rPr>
                <w:rFonts w:ascii="Times New Roman" w:hAnsi="Times New Roman" w:cs="Times New Roman"/>
                <w:color w:val="000000"/>
              </w:rPr>
              <w:t>3.4 Costs for Assistants to the RTA</w:t>
            </w:r>
          </w:p>
        </w:tc>
        <w:tc>
          <w:tcPr>
            <w:tcW w:w="8789" w:type="dxa"/>
          </w:tcPr>
          <w:p w14:paraId="74EB198D" w14:textId="77777777" w:rsidR="00AC6DC2" w:rsidRDefault="00AC6DC2" w:rsidP="00AC6DC2">
            <w:pPr>
              <w:jc w:val="both"/>
              <w:rPr>
                <w:rFonts w:ascii="Times New Roman" w:eastAsia="Calibri" w:hAnsi="Times New Roman" w:cs="Times New Roman"/>
              </w:rPr>
            </w:pPr>
            <w:r w:rsidRPr="00AC6DC2">
              <w:rPr>
                <w:rFonts w:ascii="Times New Roman" w:eastAsia="Calibri" w:hAnsi="Times New Roman" w:cs="Times New Roman"/>
                <w:b/>
              </w:rPr>
              <w:t>Additional costs for the RTA language assistant</w:t>
            </w:r>
            <w:r>
              <w:rPr>
                <w:rFonts w:ascii="Times New Roman" w:eastAsia="Calibri" w:hAnsi="Times New Roman" w:cs="Times New Roman"/>
                <w:b/>
              </w:rPr>
              <w:t xml:space="preserve"> - </w:t>
            </w:r>
            <w:r w:rsidRPr="00AC6DC2">
              <w:rPr>
                <w:rFonts w:ascii="Times New Roman" w:eastAsia="Calibri" w:hAnsi="Times New Roman" w:cs="Times New Roman"/>
              </w:rPr>
              <w:t xml:space="preserve">the RTA language assistant may join </w:t>
            </w:r>
            <w:r>
              <w:rPr>
                <w:rFonts w:ascii="Times New Roman" w:eastAsia="Calibri" w:hAnsi="Times New Roman" w:cs="Times New Roman"/>
              </w:rPr>
              <w:t>a</w:t>
            </w:r>
            <w:r w:rsidRPr="00AC6DC2">
              <w:rPr>
                <w:rFonts w:ascii="Times New Roman" w:eastAsia="Calibri" w:hAnsi="Times New Roman" w:cs="Times New Roman"/>
              </w:rPr>
              <w:t xml:space="preserve"> study visit to the Member State if his/her participation is cost-effective for the project</w:t>
            </w:r>
            <w:r>
              <w:rPr>
                <w:rFonts w:ascii="Times New Roman" w:eastAsia="Calibri" w:hAnsi="Times New Roman" w:cs="Times New Roman"/>
              </w:rPr>
              <w:t xml:space="preserve">, </w:t>
            </w:r>
            <w:r w:rsidRPr="00AC6DC2">
              <w:rPr>
                <w:rFonts w:ascii="Times New Roman" w:eastAsia="Calibri" w:hAnsi="Times New Roman" w:cs="Times New Roman"/>
              </w:rPr>
              <w:t>and leads to lower interpretation/translation costs for the activity.</w:t>
            </w:r>
          </w:p>
          <w:p w14:paraId="321F8CDE" w14:textId="65FB4DF8" w:rsidR="00AC6DC2" w:rsidRPr="00AC6DC2" w:rsidDel="00384794" w:rsidRDefault="00AC6DC2" w:rsidP="00AC6DC2">
            <w:pPr>
              <w:jc w:val="both"/>
              <w:rPr>
                <w:rFonts w:ascii="Times New Roman" w:eastAsia="Calibri" w:hAnsi="Times New Roman" w:cs="Times New Roman"/>
                <w:b/>
              </w:rPr>
            </w:pPr>
          </w:p>
        </w:tc>
        <w:tc>
          <w:tcPr>
            <w:tcW w:w="1418" w:type="dxa"/>
          </w:tcPr>
          <w:p w14:paraId="1F5633A7" w14:textId="77777777" w:rsidR="004A7E40" w:rsidRPr="004968DE" w:rsidRDefault="004A7E40" w:rsidP="0013054F">
            <w:pPr>
              <w:jc w:val="both"/>
              <w:rPr>
                <w:rFonts w:ascii="Times New Roman" w:eastAsia="Calibri" w:hAnsi="Times New Roman" w:cs="Times New Roman"/>
              </w:rPr>
            </w:pPr>
          </w:p>
        </w:tc>
        <w:tc>
          <w:tcPr>
            <w:tcW w:w="991" w:type="dxa"/>
          </w:tcPr>
          <w:p w14:paraId="35E3E9FD" w14:textId="549834F3" w:rsidR="004A7E40" w:rsidRPr="004968DE" w:rsidRDefault="00AC6DC2" w:rsidP="00AC6DC2">
            <w:pPr>
              <w:jc w:val="center"/>
              <w:rPr>
                <w:rFonts w:ascii="Times New Roman" w:eastAsia="Calibri" w:hAnsi="Times New Roman" w:cs="Times New Roman"/>
              </w:rPr>
            </w:pPr>
            <w:r>
              <w:rPr>
                <w:rFonts w:ascii="Times New Roman" w:eastAsia="Calibri" w:hAnsi="Times New Roman" w:cs="Times New Roman"/>
              </w:rPr>
              <w:t>X</w:t>
            </w:r>
          </w:p>
        </w:tc>
      </w:tr>
      <w:tr w:rsidR="004A7E40" w:rsidRPr="004968DE" w14:paraId="30BF4F17" w14:textId="03945D4A" w:rsidTr="004A7E40">
        <w:tc>
          <w:tcPr>
            <w:tcW w:w="3085" w:type="dxa"/>
          </w:tcPr>
          <w:p w14:paraId="458E4E6E" w14:textId="77777777" w:rsidR="00AC6DC2" w:rsidRDefault="00AC6DC2" w:rsidP="00AC6DC2">
            <w:pPr>
              <w:rPr>
                <w:rFonts w:ascii="Times New Roman" w:hAnsi="Times New Roman" w:cs="Times New Roman"/>
                <w:color w:val="000000"/>
              </w:rPr>
            </w:pPr>
            <w:r w:rsidRPr="00F4191F">
              <w:rPr>
                <w:rFonts w:ascii="Times New Roman" w:hAnsi="Times New Roman" w:cs="Times New Roman"/>
                <w:color w:val="000000"/>
              </w:rPr>
              <w:t>ANNEX A7: Financial Annex</w:t>
            </w:r>
          </w:p>
          <w:p w14:paraId="58691336" w14:textId="77777777" w:rsidR="004A7E40" w:rsidRDefault="00AC6DC2" w:rsidP="00451363">
            <w:pPr>
              <w:rPr>
                <w:rFonts w:ascii="Times New Roman" w:hAnsi="Times New Roman" w:cs="Times New Roman"/>
                <w:color w:val="000000"/>
              </w:rPr>
            </w:pPr>
            <w:r w:rsidRPr="00AC6DC2">
              <w:rPr>
                <w:rFonts w:ascii="Times New Roman" w:hAnsi="Times New Roman" w:cs="Times New Roman"/>
                <w:color w:val="000000"/>
              </w:rPr>
              <w:t>3.6 Costs for exceptional contribution from another  Partner country staff in the Partner country</w:t>
            </w:r>
          </w:p>
          <w:p w14:paraId="1AB9AFA4" w14:textId="25416269" w:rsidR="00AC6DC2" w:rsidRPr="004968DE" w:rsidRDefault="00AC6DC2" w:rsidP="00451363">
            <w:pPr>
              <w:rPr>
                <w:rFonts w:ascii="Times New Roman" w:hAnsi="Times New Roman" w:cs="Times New Roman"/>
                <w:color w:val="000000"/>
              </w:rPr>
            </w:pPr>
          </w:p>
        </w:tc>
        <w:tc>
          <w:tcPr>
            <w:tcW w:w="8789" w:type="dxa"/>
          </w:tcPr>
          <w:p w14:paraId="7191BD50" w14:textId="454BD6D8" w:rsidR="00AC6DC2" w:rsidRPr="00AC6DC2" w:rsidRDefault="00AC6DC2" w:rsidP="00AC6DC2">
            <w:pPr>
              <w:jc w:val="both"/>
              <w:rPr>
                <w:rFonts w:ascii="Times New Roman" w:eastAsia="Times New Roman" w:hAnsi="Times New Roman" w:cs="Times New Roman"/>
                <w:color w:val="000000"/>
                <w:szCs w:val="24"/>
                <w:lang w:eastAsia="en-GB"/>
              </w:rPr>
            </w:pPr>
            <w:r w:rsidRPr="00AC6DC2">
              <w:rPr>
                <w:rFonts w:ascii="Times New Roman" w:eastAsia="Times New Roman" w:hAnsi="Times New Roman" w:cs="Times New Roman"/>
                <w:b/>
                <w:color w:val="000000"/>
                <w:szCs w:val="24"/>
                <w:lang w:eastAsia="en-GB"/>
              </w:rPr>
              <w:t>Eligible costs</w:t>
            </w:r>
            <w:r>
              <w:rPr>
                <w:rFonts w:ascii="Times New Roman" w:eastAsia="Times New Roman" w:hAnsi="Times New Roman" w:cs="Times New Roman"/>
                <w:color w:val="000000"/>
                <w:szCs w:val="24"/>
                <w:lang w:eastAsia="en-GB"/>
              </w:rPr>
              <w:t xml:space="preserve"> </w:t>
            </w:r>
            <w:r w:rsidRPr="00AC6DC2">
              <w:rPr>
                <w:rFonts w:ascii="Times New Roman" w:eastAsia="Times New Roman" w:hAnsi="Times New Roman" w:cs="Times New Roman"/>
                <w:color w:val="000000"/>
                <w:szCs w:val="24"/>
                <w:lang w:eastAsia="en-GB"/>
              </w:rPr>
              <w:t>include travel, accommodation, per diem and a flat rate allowance, as defined in the Annex B.</w:t>
            </w:r>
          </w:p>
          <w:p w14:paraId="6093DA80" w14:textId="43F92B31" w:rsidR="004A7E40" w:rsidRPr="004968DE" w:rsidRDefault="004A7E40" w:rsidP="0013054F">
            <w:pPr>
              <w:jc w:val="both"/>
              <w:rPr>
                <w:rFonts w:ascii="Times New Roman" w:eastAsia="Calibri" w:hAnsi="Times New Roman" w:cs="Times New Roman"/>
              </w:rPr>
            </w:pPr>
          </w:p>
        </w:tc>
        <w:tc>
          <w:tcPr>
            <w:tcW w:w="1418" w:type="dxa"/>
          </w:tcPr>
          <w:p w14:paraId="5F475CA0" w14:textId="77777777" w:rsidR="004A7E40" w:rsidRPr="004968DE" w:rsidRDefault="004A7E40" w:rsidP="0013054F">
            <w:pPr>
              <w:jc w:val="both"/>
              <w:rPr>
                <w:rFonts w:ascii="Times New Roman" w:eastAsia="Calibri" w:hAnsi="Times New Roman" w:cs="Times New Roman"/>
              </w:rPr>
            </w:pPr>
          </w:p>
        </w:tc>
        <w:tc>
          <w:tcPr>
            <w:tcW w:w="991" w:type="dxa"/>
          </w:tcPr>
          <w:p w14:paraId="6DCB9335" w14:textId="08479E0C" w:rsidR="004A7E40" w:rsidRPr="004968DE" w:rsidRDefault="00AC6DC2" w:rsidP="00AC6DC2">
            <w:pPr>
              <w:jc w:val="center"/>
              <w:rPr>
                <w:rFonts w:ascii="Times New Roman" w:eastAsia="Calibri" w:hAnsi="Times New Roman" w:cs="Times New Roman"/>
              </w:rPr>
            </w:pPr>
            <w:r>
              <w:rPr>
                <w:rFonts w:ascii="Times New Roman" w:eastAsia="Calibri" w:hAnsi="Times New Roman" w:cs="Times New Roman"/>
              </w:rPr>
              <w:t>X</w:t>
            </w:r>
          </w:p>
        </w:tc>
      </w:tr>
      <w:tr w:rsidR="004A7E40" w:rsidRPr="004968DE" w14:paraId="5CE17000" w14:textId="35DB425A" w:rsidTr="004A7E40">
        <w:tc>
          <w:tcPr>
            <w:tcW w:w="3085" w:type="dxa"/>
          </w:tcPr>
          <w:p w14:paraId="19D8DB98" w14:textId="77777777" w:rsidR="00AC6DC2" w:rsidRDefault="00AC6DC2" w:rsidP="00AC6DC2">
            <w:pPr>
              <w:rPr>
                <w:rFonts w:ascii="Times New Roman" w:hAnsi="Times New Roman" w:cs="Times New Roman"/>
                <w:color w:val="000000"/>
              </w:rPr>
            </w:pPr>
            <w:r w:rsidRPr="00F4191F">
              <w:rPr>
                <w:rFonts w:ascii="Times New Roman" w:hAnsi="Times New Roman" w:cs="Times New Roman"/>
                <w:color w:val="000000"/>
              </w:rPr>
              <w:t>ANNEX A7: Financial Annex</w:t>
            </w:r>
          </w:p>
          <w:p w14:paraId="0D8F39ED" w14:textId="25011E48" w:rsidR="0034449C" w:rsidRPr="004968DE" w:rsidRDefault="0034449C" w:rsidP="009001D5">
            <w:pPr>
              <w:rPr>
                <w:rFonts w:ascii="Times New Roman" w:hAnsi="Times New Roman" w:cs="Times New Roman"/>
                <w:color w:val="000000"/>
              </w:rPr>
            </w:pPr>
            <w:r w:rsidRPr="0034449C">
              <w:rPr>
                <w:rFonts w:ascii="Times New Roman" w:hAnsi="Times New Roman" w:cs="Times New Roman"/>
                <w:color w:val="000000"/>
              </w:rPr>
              <w:t>3.8 Other costs linked to activities in the Partner country</w:t>
            </w:r>
          </w:p>
        </w:tc>
        <w:tc>
          <w:tcPr>
            <w:tcW w:w="8789" w:type="dxa"/>
          </w:tcPr>
          <w:p w14:paraId="5BF56B7A" w14:textId="1B3471E5" w:rsidR="004A7E40" w:rsidRDefault="0034449C" w:rsidP="009001D5">
            <w:pPr>
              <w:jc w:val="both"/>
              <w:rPr>
                <w:rFonts w:ascii="Times New Roman" w:eastAsia="Times New Roman" w:hAnsi="Times New Roman" w:cs="Times New Roman"/>
                <w:color w:val="000000"/>
                <w:szCs w:val="24"/>
                <w:lang w:eastAsia="zh-CN"/>
              </w:rPr>
            </w:pPr>
            <w:r w:rsidRPr="0034449C">
              <w:rPr>
                <w:rFonts w:ascii="Times New Roman" w:eastAsia="Times New Roman" w:hAnsi="Times New Roman" w:cs="Times New Roman"/>
                <w:b/>
                <w:color w:val="000000"/>
                <w:szCs w:val="24"/>
                <w:lang w:eastAsia="zh-CN"/>
              </w:rPr>
              <w:t xml:space="preserve">Costs for Beneficiary staff </w:t>
            </w:r>
            <w:r w:rsidR="009001D5">
              <w:rPr>
                <w:rFonts w:ascii="Times New Roman" w:eastAsia="Times New Roman" w:hAnsi="Times New Roman" w:cs="Times New Roman"/>
                <w:color w:val="000000"/>
                <w:szCs w:val="24"/>
                <w:lang w:eastAsia="zh-CN"/>
              </w:rPr>
              <w:t>–</w:t>
            </w:r>
            <w:r w:rsidR="009001D5" w:rsidRPr="009001D5">
              <w:rPr>
                <w:rFonts w:ascii="Times New Roman" w:eastAsia="Times New Roman" w:hAnsi="Times New Roman" w:cs="Times New Roman"/>
                <w:color w:val="000000"/>
                <w:szCs w:val="24"/>
                <w:lang w:eastAsia="zh-CN"/>
              </w:rPr>
              <w:t xml:space="preserve"> </w:t>
            </w:r>
            <w:r w:rsidR="009001D5">
              <w:rPr>
                <w:rFonts w:ascii="Times New Roman" w:eastAsia="Times New Roman" w:hAnsi="Times New Roman" w:cs="Times New Roman"/>
                <w:color w:val="000000"/>
                <w:szCs w:val="24"/>
                <w:lang w:eastAsia="zh-CN"/>
              </w:rPr>
              <w:t xml:space="preserve">subject to a derogation approved by the Contracting Authority, certain </w:t>
            </w:r>
            <w:r w:rsidR="009001D5" w:rsidRPr="009001D5">
              <w:rPr>
                <w:rFonts w:ascii="Times New Roman" w:eastAsia="Times New Roman" w:hAnsi="Times New Roman" w:cs="Times New Roman"/>
                <w:color w:val="000000"/>
                <w:szCs w:val="24"/>
                <w:lang w:eastAsia="zh-CN"/>
              </w:rPr>
              <w:t>categories</w:t>
            </w:r>
            <w:r w:rsidR="009001D5">
              <w:rPr>
                <w:rFonts w:ascii="Times New Roman" w:eastAsia="Times New Roman" w:hAnsi="Times New Roman" w:cs="Times New Roman"/>
                <w:color w:val="000000"/>
                <w:szCs w:val="24"/>
                <w:lang w:eastAsia="zh-CN"/>
              </w:rPr>
              <w:t xml:space="preserve"> </w:t>
            </w:r>
            <w:r w:rsidR="009001D5" w:rsidRPr="009001D5">
              <w:rPr>
                <w:rFonts w:ascii="Times New Roman" w:eastAsia="Times New Roman" w:hAnsi="Times New Roman" w:cs="Times New Roman"/>
                <w:color w:val="000000"/>
                <w:szCs w:val="24"/>
                <w:lang w:eastAsia="zh-CN"/>
              </w:rPr>
              <w:t>of costs</w:t>
            </w:r>
            <w:r w:rsidR="009001D5">
              <w:rPr>
                <w:rFonts w:ascii="Times New Roman" w:eastAsia="Times New Roman" w:hAnsi="Times New Roman" w:cs="Times New Roman"/>
                <w:color w:val="000000"/>
                <w:szCs w:val="24"/>
                <w:lang w:eastAsia="zh-CN"/>
              </w:rPr>
              <w:t xml:space="preserve"> (catering, office supplies, local transport)</w:t>
            </w:r>
            <w:r w:rsidR="009001D5" w:rsidRPr="009001D5">
              <w:rPr>
                <w:rFonts w:ascii="Times New Roman" w:eastAsia="Times New Roman" w:hAnsi="Times New Roman" w:cs="Times New Roman"/>
                <w:color w:val="000000"/>
                <w:szCs w:val="24"/>
                <w:lang w:eastAsia="zh-CN"/>
              </w:rPr>
              <w:t xml:space="preserve">  </w:t>
            </w:r>
            <w:r w:rsidR="009001D5">
              <w:rPr>
                <w:rFonts w:ascii="Times New Roman" w:eastAsia="Times New Roman" w:hAnsi="Times New Roman" w:cs="Times New Roman"/>
                <w:color w:val="000000"/>
                <w:szCs w:val="24"/>
                <w:lang w:eastAsia="zh-CN"/>
              </w:rPr>
              <w:t>become eligible up to EUR 20 000 maximum.</w:t>
            </w:r>
          </w:p>
          <w:p w14:paraId="460227FF" w14:textId="77777777" w:rsidR="00662FE7" w:rsidRDefault="00662FE7" w:rsidP="009001D5">
            <w:pPr>
              <w:jc w:val="both"/>
              <w:rPr>
                <w:rFonts w:ascii="Times New Roman" w:eastAsia="Times New Roman" w:hAnsi="Times New Roman" w:cs="Times New Roman"/>
                <w:color w:val="000000"/>
                <w:szCs w:val="24"/>
                <w:lang w:eastAsia="zh-CN"/>
              </w:rPr>
            </w:pPr>
          </w:p>
          <w:p w14:paraId="151AE398" w14:textId="28463C99" w:rsidR="00017EE3" w:rsidRDefault="00017EE3" w:rsidP="009001D5">
            <w:pPr>
              <w:jc w:val="both"/>
              <w:rPr>
                <w:rFonts w:ascii="Times New Roman" w:eastAsia="Calibri" w:hAnsi="Times New Roman" w:cs="Times New Roman"/>
              </w:rPr>
            </w:pPr>
            <w:r w:rsidRPr="00017EE3">
              <w:rPr>
                <w:rFonts w:ascii="Times New Roman" w:eastAsia="Calibri" w:hAnsi="Times New Roman" w:cs="Times New Roman"/>
                <w:b/>
              </w:rPr>
              <w:t>Increase in the ceiling for equipment and office supplies</w:t>
            </w:r>
            <w:r>
              <w:rPr>
                <w:rFonts w:ascii="Times New Roman" w:eastAsia="Calibri" w:hAnsi="Times New Roman" w:cs="Times New Roman"/>
              </w:rPr>
              <w:t xml:space="preserve"> – new ceiling: EUR 20 000 (this concerns </w:t>
            </w:r>
            <w:r w:rsidRPr="00017EE3">
              <w:rPr>
                <w:rFonts w:ascii="Times New Roman" w:eastAsia="Calibri" w:hAnsi="Times New Roman" w:cs="Times New Roman"/>
              </w:rPr>
              <w:t>small items of essential supplies (e.g. small laboratory testing c</w:t>
            </w:r>
            <w:r>
              <w:rPr>
                <w:rFonts w:ascii="Times New Roman" w:eastAsia="Calibri" w:hAnsi="Times New Roman" w:cs="Times New Roman"/>
              </w:rPr>
              <w:t>onsumables or facilities, etc.)</w:t>
            </w:r>
            <w:bookmarkStart w:id="8" w:name="_GoBack"/>
            <w:bookmarkEnd w:id="8"/>
          </w:p>
          <w:p w14:paraId="4AADDFD6" w14:textId="0F99A9FC" w:rsidR="00355045" w:rsidRPr="004968DE" w:rsidDel="00384794" w:rsidRDefault="00355045" w:rsidP="009001D5">
            <w:pPr>
              <w:jc w:val="both"/>
              <w:rPr>
                <w:rFonts w:ascii="Times New Roman" w:eastAsia="Calibri" w:hAnsi="Times New Roman" w:cs="Times New Roman"/>
              </w:rPr>
            </w:pPr>
          </w:p>
        </w:tc>
        <w:tc>
          <w:tcPr>
            <w:tcW w:w="1418" w:type="dxa"/>
          </w:tcPr>
          <w:p w14:paraId="13B1D78E" w14:textId="77777777" w:rsidR="004A7E40" w:rsidRPr="004968DE" w:rsidRDefault="004A7E40" w:rsidP="0034041A">
            <w:pPr>
              <w:jc w:val="both"/>
              <w:rPr>
                <w:rFonts w:ascii="Times New Roman" w:eastAsia="Calibri" w:hAnsi="Times New Roman" w:cs="Times New Roman"/>
              </w:rPr>
            </w:pPr>
          </w:p>
        </w:tc>
        <w:tc>
          <w:tcPr>
            <w:tcW w:w="991" w:type="dxa"/>
          </w:tcPr>
          <w:p w14:paraId="0CE0BF3F" w14:textId="77777777" w:rsidR="004A7E40" w:rsidRDefault="009001D5" w:rsidP="009001D5">
            <w:pPr>
              <w:jc w:val="center"/>
              <w:rPr>
                <w:rFonts w:ascii="Times New Roman" w:eastAsia="Calibri" w:hAnsi="Times New Roman" w:cs="Times New Roman"/>
              </w:rPr>
            </w:pPr>
            <w:r>
              <w:rPr>
                <w:rFonts w:ascii="Times New Roman" w:eastAsia="Calibri" w:hAnsi="Times New Roman" w:cs="Times New Roman"/>
              </w:rPr>
              <w:t>X</w:t>
            </w:r>
          </w:p>
          <w:p w14:paraId="159E4401" w14:textId="77777777" w:rsidR="00017EE3" w:rsidRDefault="00017EE3" w:rsidP="009001D5">
            <w:pPr>
              <w:jc w:val="center"/>
              <w:rPr>
                <w:rFonts w:ascii="Times New Roman" w:eastAsia="Calibri" w:hAnsi="Times New Roman" w:cs="Times New Roman"/>
              </w:rPr>
            </w:pPr>
          </w:p>
          <w:p w14:paraId="38ED6894" w14:textId="77777777" w:rsidR="00017EE3" w:rsidRDefault="00017EE3" w:rsidP="009001D5">
            <w:pPr>
              <w:jc w:val="center"/>
              <w:rPr>
                <w:rFonts w:ascii="Times New Roman" w:eastAsia="Calibri" w:hAnsi="Times New Roman" w:cs="Times New Roman"/>
              </w:rPr>
            </w:pPr>
          </w:p>
          <w:p w14:paraId="2080C9DD" w14:textId="77777777" w:rsidR="00662FE7" w:rsidRDefault="00662FE7" w:rsidP="009001D5">
            <w:pPr>
              <w:jc w:val="center"/>
              <w:rPr>
                <w:rFonts w:ascii="Times New Roman" w:eastAsia="Calibri" w:hAnsi="Times New Roman" w:cs="Times New Roman"/>
              </w:rPr>
            </w:pPr>
          </w:p>
          <w:p w14:paraId="378D5854" w14:textId="152AA821" w:rsidR="00017EE3" w:rsidRPr="004968DE" w:rsidRDefault="00017EE3" w:rsidP="009001D5">
            <w:pPr>
              <w:jc w:val="center"/>
              <w:rPr>
                <w:rFonts w:ascii="Times New Roman" w:eastAsia="Calibri" w:hAnsi="Times New Roman" w:cs="Times New Roman"/>
              </w:rPr>
            </w:pPr>
            <w:r>
              <w:rPr>
                <w:rFonts w:ascii="Times New Roman" w:eastAsia="Calibri" w:hAnsi="Times New Roman" w:cs="Times New Roman"/>
              </w:rPr>
              <w:t>X</w:t>
            </w:r>
          </w:p>
        </w:tc>
      </w:tr>
      <w:tr w:rsidR="00EE1B19" w:rsidRPr="004968DE" w14:paraId="3CBACC2F" w14:textId="77777777" w:rsidTr="004A7E40">
        <w:tc>
          <w:tcPr>
            <w:tcW w:w="3085" w:type="dxa"/>
          </w:tcPr>
          <w:p w14:paraId="6AB55E6D" w14:textId="77777777" w:rsidR="00EE1B19" w:rsidRDefault="00EE1B19" w:rsidP="00EE1B19">
            <w:pPr>
              <w:rPr>
                <w:rFonts w:ascii="Times New Roman" w:hAnsi="Times New Roman" w:cs="Times New Roman"/>
                <w:color w:val="000000"/>
              </w:rPr>
            </w:pPr>
            <w:r w:rsidRPr="00EE1B19">
              <w:rPr>
                <w:rFonts w:ascii="Times New Roman" w:hAnsi="Times New Roman" w:cs="Times New Roman"/>
                <w:color w:val="000000"/>
              </w:rPr>
              <w:lastRenderedPageBreak/>
              <w:t xml:space="preserve">ANNEX C9: Standard Twinning </w:t>
            </w:r>
            <w:r>
              <w:rPr>
                <w:rFonts w:ascii="Times New Roman" w:hAnsi="Times New Roman" w:cs="Times New Roman"/>
                <w:color w:val="000000"/>
              </w:rPr>
              <w:t>–</w:t>
            </w:r>
            <w:r w:rsidRPr="00EE1B19">
              <w:rPr>
                <w:rFonts w:ascii="Times New Roman" w:hAnsi="Times New Roman" w:cs="Times New Roman"/>
                <w:color w:val="000000"/>
              </w:rPr>
              <w:t xml:space="preserve"> Publication of the Call for Proposals </w:t>
            </w:r>
          </w:p>
          <w:p w14:paraId="6103D189" w14:textId="28ABF4D9" w:rsidR="00EE1B19" w:rsidRDefault="00EE1B19" w:rsidP="00EE1B19">
            <w:pPr>
              <w:rPr>
                <w:rFonts w:ascii="Times New Roman" w:hAnsi="Times New Roman" w:cs="Times New Roman"/>
                <w:color w:val="000000"/>
              </w:rPr>
            </w:pPr>
            <w:r>
              <w:rPr>
                <w:rFonts w:ascii="Times New Roman" w:hAnsi="Times New Roman" w:cs="Times New Roman"/>
                <w:color w:val="000000"/>
              </w:rPr>
              <w:t>and</w:t>
            </w:r>
          </w:p>
          <w:p w14:paraId="7FFF28E0" w14:textId="64CEDAB4" w:rsidR="00EE1B19" w:rsidRDefault="00EE1B19" w:rsidP="00EE1B19">
            <w:pPr>
              <w:rPr>
                <w:rFonts w:ascii="Times New Roman" w:hAnsi="Times New Roman" w:cs="Times New Roman"/>
                <w:color w:val="000000"/>
              </w:rPr>
            </w:pPr>
            <w:r w:rsidRPr="00EE1B19">
              <w:rPr>
                <w:rFonts w:ascii="Times New Roman" w:hAnsi="Times New Roman" w:cs="Times New Roman"/>
                <w:color w:val="000000"/>
              </w:rPr>
              <w:t xml:space="preserve">ANNEX C9bis: Twinning Light - Publication of the Call for Proposals </w:t>
            </w:r>
          </w:p>
        </w:tc>
        <w:tc>
          <w:tcPr>
            <w:tcW w:w="8789" w:type="dxa"/>
          </w:tcPr>
          <w:p w14:paraId="7AD027F6" w14:textId="4FD172E7" w:rsidR="00EE1B19" w:rsidRDefault="00EE1B19" w:rsidP="00EE1B19">
            <w:pPr>
              <w:jc w:val="both"/>
              <w:rPr>
                <w:rFonts w:ascii="Times New Roman" w:eastAsia="Calibri" w:hAnsi="Times New Roman" w:cs="Times New Roman"/>
                <w:b/>
              </w:rPr>
            </w:pPr>
            <w:r>
              <w:rPr>
                <w:rFonts w:ascii="Times New Roman" w:eastAsia="Calibri" w:hAnsi="Times New Roman" w:cs="Times New Roman"/>
                <w:b/>
              </w:rPr>
              <w:t xml:space="preserve">Eligibility of UK applicants </w:t>
            </w:r>
            <w:r w:rsidRPr="00EE1B19">
              <w:rPr>
                <w:rFonts w:ascii="Times New Roman" w:eastAsia="Calibri" w:hAnsi="Times New Roman" w:cs="Times New Roman"/>
              </w:rPr>
              <w:t xml:space="preserve">– </w:t>
            </w:r>
            <w:r>
              <w:rPr>
                <w:rFonts w:ascii="Times New Roman" w:eastAsia="Calibri" w:hAnsi="Times New Roman" w:cs="Times New Roman"/>
              </w:rPr>
              <w:t>updated</w:t>
            </w:r>
            <w:r w:rsidRPr="00EE1B19">
              <w:rPr>
                <w:rFonts w:ascii="Times New Roman" w:eastAsia="Calibri" w:hAnsi="Times New Roman" w:cs="Times New Roman"/>
              </w:rPr>
              <w:t xml:space="preserve"> template</w:t>
            </w:r>
            <w:r>
              <w:rPr>
                <w:rFonts w:ascii="Times New Roman" w:eastAsia="Calibri" w:hAnsi="Times New Roman" w:cs="Times New Roman"/>
              </w:rPr>
              <w:t>s</w:t>
            </w:r>
          </w:p>
        </w:tc>
        <w:tc>
          <w:tcPr>
            <w:tcW w:w="1418" w:type="dxa"/>
          </w:tcPr>
          <w:p w14:paraId="1E99FBAF" w14:textId="38EF6992" w:rsidR="00EE1B19" w:rsidRPr="004968DE" w:rsidRDefault="00EE1B19" w:rsidP="00EE1B19">
            <w:pPr>
              <w:jc w:val="center"/>
              <w:rPr>
                <w:rFonts w:ascii="Times New Roman" w:eastAsia="Calibri" w:hAnsi="Times New Roman" w:cs="Times New Roman"/>
              </w:rPr>
            </w:pPr>
            <w:r>
              <w:rPr>
                <w:rFonts w:ascii="Times New Roman" w:eastAsia="Calibri" w:hAnsi="Times New Roman" w:cs="Times New Roman"/>
              </w:rPr>
              <w:t>X</w:t>
            </w:r>
          </w:p>
        </w:tc>
        <w:tc>
          <w:tcPr>
            <w:tcW w:w="991" w:type="dxa"/>
          </w:tcPr>
          <w:p w14:paraId="14593108" w14:textId="77777777" w:rsidR="00EE1B19" w:rsidRDefault="00EE1B19" w:rsidP="00953376">
            <w:pPr>
              <w:jc w:val="center"/>
              <w:rPr>
                <w:rFonts w:ascii="Times New Roman" w:eastAsia="Calibri" w:hAnsi="Times New Roman" w:cs="Times New Roman"/>
              </w:rPr>
            </w:pPr>
          </w:p>
        </w:tc>
      </w:tr>
      <w:tr w:rsidR="004A7E40" w:rsidRPr="004968DE" w14:paraId="0936539D" w14:textId="44825BFE" w:rsidTr="004A7E40">
        <w:tc>
          <w:tcPr>
            <w:tcW w:w="3085" w:type="dxa"/>
          </w:tcPr>
          <w:p w14:paraId="7FF1BE15" w14:textId="1CCBCE6E" w:rsidR="004A7E40" w:rsidRPr="004968DE" w:rsidRDefault="00953376" w:rsidP="00953376">
            <w:pPr>
              <w:rPr>
                <w:rFonts w:ascii="Times New Roman" w:hAnsi="Times New Roman" w:cs="Times New Roman"/>
                <w:color w:val="000000"/>
              </w:rPr>
            </w:pPr>
            <w:r>
              <w:rPr>
                <w:rFonts w:ascii="Times New Roman" w:hAnsi="Times New Roman" w:cs="Times New Roman"/>
                <w:color w:val="000000"/>
              </w:rPr>
              <w:t>ANNEX C10</w:t>
            </w:r>
          </w:p>
        </w:tc>
        <w:tc>
          <w:tcPr>
            <w:tcW w:w="8789" w:type="dxa"/>
          </w:tcPr>
          <w:p w14:paraId="7816265C" w14:textId="763BCD50" w:rsidR="004A7E40" w:rsidRPr="00953376" w:rsidRDefault="00953376" w:rsidP="00953376">
            <w:pPr>
              <w:jc w:val="both"/>
              <w:rPr>
                <w:rFonts w:ascii="Times New Roman" w:eastAsia="Calibri" w:hAnsi="Times New Roman" w:cs="Times New Roman"/>
              </w:rPr>
            </w:pPr>
            <w:r>
              <w:rPr>
                <w:rFonts w:ascii="Times New Roman" w:eastAsia="Calibri" w:hAnsi="Times New Roman" w:cs="Times New Roman"/>
                <w:b/>
              </w:rPr>
              <w:t xml:space="preserve">Deleted </w:t>
            </w:r>
            <w:r>
              <w:rPr>
                <w:rFonts w:ascii="Times New Roman" w:eastAsia="Calibri" w:hAnsi="Times New Roman" w:cs="Times New Roman"/>
              </w:rPr>
              <w:t xml:space="preserve">– simplification of procedures  </w:t>
            </w:r>
          </w:p>
        </w:tc>
        <w:tc>
          <w:tcPr>
            <w:tcW w:w="1418" w:type="dxa"/>
          </w:tcPr>
          <w:p w14:paraId="311106EE" w14:textId="77777777" w:rsidR="004A7E40" w:rsidRPr="004968DE" w:rsidRDefault="004A7E40" w:rsidP="00980D27">
            <w:pPr>
              <w:jc w:val="both"/>
              <w:rPr>
                <w:rFonts w:ascii="Times New Roman" w:eastAsia="Calibri" w:hAnsi="Times New Roman" w:cs="Times New Roman"/>
              </w:rPr>
            </w:pPr>
          </w:p>
        </w:tc>
        <w:tc>
          <w:tcPr>
            <w:tcW w:w="991" w:type="dxa"/>
          </w:tcPr>
          <w:p w14:paraId="580FF211" w14:textId="219974FC" w:rsidR="004A7E40" w:rsidRPr="004968DE" w:rsidRDefault="00953376" w:rsidP="00953376">
            <w:pPr>
              <w:jc w:val="center"/>
              <w:rPr>
                <w:rFonts w:ascii="Times New Roman" w:eastAsia="Calibri" w:hAnsi="Times New Roman" w:cs="Times New Roman"/>
              </w:rPr>
            </w:pPr>
            <w:r>
              <w:rPr>
                <w:rFonts w:ascii="Times New Roman" w:eastAsia="Calibri" w:hAnsi="Times New Roman" w:cs="Times New Roman"/>
              </w:rPr>
              <w:t>X</w:t>
            </w:r>
          </w:p>
        </w:tc>
      </w:tr>
      <w:tr w:rsidR="004A7E40" w:rsidRPr="004968DE" w14:paraId="0372FB3F" w14:textId="76C66B5C" w:rsidTr="004A7E40">
        <w:tc>
          <w:tcPr>
            <w:tcW w:w="3085" w:type="dxa"/>
          </w:tcPr>
          <w:p w14:paraId="4F9292FB" w14:textId="4645FA72" w:rsidR="00953376" w:rsidRPr="004968DE" w:rsidRDefault="00953376" w:rsidP="004968DE">
            <w:pPr>
              <w:rPr>
                <w:rFonts w:ascii="Times New Roman" w:hAnsi="Times New Roman" w:cs="Times New Roman"/>
                <w:color w:val="000000"/>
              </w:rPr>
            </w:pPr>
            <w:r>
              <w:rPr>
                <w:rFonts w:ascii="Times New Roman" w:hAnsi="Times New Roman" w:cs="Times New Roman"/>
                <w:color w:val="000000"/>
              </w:rPr>
              <w:t>ANNEX C11</w:t>
            </w:r>
          </w:p>
        </w:tc>
        <w:tc>
          <w:tcPr>
            <w:tcW w:w="8789" w:type="dxa"/>
          </w:tcPr>
          <w:p w14:paraId="451D7F00" w14:textId="7EA8E485" w:rsidR="004A7E40" w:rsidRPr="004968DE" w:rsidDel="00384794" w:rsidRDefault="00953376" w:rsidP="00A02991">
            <w:pPr>
              <w:jc w:val="both"/>
              <w:rPr>
                <w:rFonts w:ascii="Times New Roman" w:eastAsia="Calibri" w:hAnsi="Times New Roman" w:cs="Times New Roman"/>
              </w:rPr>
            </w:pPr>
            <w:r>
              <w:rPr>
                <w:rFonts w:ascii="Times New Roman" w:eastAsia="Calibri" w:hAnsi="Times New Roman" w:cs="Times New Roman"/>
                <w:b/>
              </w:rPr>
              <w:t xml:space="preserve">Deleted </w:t>
            </w:r>
            <w:r>
              <w:rPr>
                <w:rFonts w:ascii="Times New Roman" w:eastAsia="Calibri" w:hAnsi="Times New Roman" w:cs="Times New Roman"/>
              </w:rPr>
              <w:t>– simplification of procedures</w:t>
            </w:r>
          </w:p>
        </w:tc>
        <w:tc>
          <w:tcPr>
            <w:tcW w:w="1418" w:type="dxa"/>
          </w:tcPr>
          <w:p w14:paraId="3D2DF2E9" w14:textId="77777777" w:rsidR="004A7E40" w:rsidRPr="004968DE" w:rsidRDefault="004A7E40" w:rsidP="00A02991">
            <w:pPr>
              <w:jc w:val="both"/>
              <w:rPr>
                <w:rFonts w:ascii="Times New Roman" w:eastAsia="Calibri" w:hAnsi="Times New Roman" w:cs="Times New Roman"/>
              </w:rPr>
            </w:pPr>
          </w:p>
        </w:tc>
        <w:tc>
          <w:tcPr>
            <w:tcW w:w="991" w:type="dxa"/>
          </w:tcPr>
          <w:p w14:paraId="3511ABEC" w14:textId="3053D117" w:rsidR="004A7E40" w:rsidRPr="004968DE" w:rsidRDefault="00953376" w:rsidP="00953376">
            <w:pPr>
              <w:jc w:val="center"/>
              <w:rPr>
                <w:rFonts w:ascii="Times New Roman" w:eastAsia="Calibri" w:hAnsi="Times New Roman" w:cs="Times New Roman"/>
              </w:rPr>
            </w:pPr>
            <w:r>
              <w:rPr>
                <w:rFonts w:ascii="Times New Roman" w:eastAsia="Calibri" w:hAnsi="Times New Roman" w:cs="Times New Roman"/>
              </w:rPr>
              <w:t>X</w:t>
            </w:r>
          </w:p>
        </w:tc>
      </w:tr>
      <w:tr w:rsidR="00EE1B19" w:rsidRPr="004968DE" w14:paraId="1DEBF63D" w14:textId="77777777" w:rsidTr="004A7E40">
        <w:tc>
          <w:tcPr>
            <w:tcW w:w="3085" w:type="dxa"/>
          </w:tcPr>
          <w:p w14:paraId="1BB5074D" w14:textId="77777777" w:rsidR="00EE1B19" w:rsidRDefault="00EE1B19" w:rsidP="00EE1B19">
            <w:pPr>
              <w:rPr>
                <w:rFonts w:ascii="Times New Roman" w:hAnsi="Times New Roman" w:cs="Times New Roman"/>
                <w:color w:val="000000"/>
              </w:rPr>
            </w:pPr>
            <w:r w:rsidRPr="00EE1B19">
              <w:rPr>
                <w:rFonts w:ascii="Times New Roman" w:hAnsi="Times New Roman" w:cs="Times New Roman"/>
                <w:color w:val="000000"/>
              </w:rPr>
              <w:t>ANNEX C12: Template for Addenda</w:t>
            </w:r>
            <w:r>
              <w:rPr>
                <w:rFonts w:ascii="Times New Roman" w:hAnsi="Times New Roman" w:cs="Times New Roman"/>
                <w:color w:val="000000"/>
              </w:rPr>
              <w:t xml:space="preserve"> – </w:t>
            </w:r>
            <w:r w:rsidRPr="00EE1B19">
              <w:rPr>
                <w:rFonts w:ascii="Times New Roman" w:hAnsi="Times New Roman" w:cs="Times New Roman"/>
                <w:color w:val="000000"/>
              </w:rPr>
              <w:t>A</w:t>
            </w:r>
            <w:r>
              <w:rPr>
                <w:rFonts w:ascii="Times New Roman" w:hAnsi="Times New Roman" w:cs="Times New Roman"/>
                <w:color w:val="000000"/>
              </w:rPr>
              <w:t xml:space="preserve">rt </w:t>
            </w:r>
            <w:r w:rsidRPr="00EE1B19">
              <w:rPr>
                <w:rFonts w:ascii="Times New Roman" w:hAnsi="Times New Roman" w:cs="Times New Roman"/>
                <w:color w:val="000000"/>
              </w:rPr>
              <w:t>3: Cumulative modifications notified</w:t>
            </w:r>
          </w:p>
          <w:p w14:paraId="68DA6145" w14:textId="7646F86B" w:rsidR="00EE1B19" w:rsidRDefault="00EE1B19" w:rsidP="00EE1B19">
            <w:pPr>
              <w:rPr>
                <w:rFonts w:ascii="Times New Roman" w:hAnsi="Times New Roman" w:cs="Times New Roman"/>
                <w:color w:val="000000"/>
              </w:rPr>
            </w:pPr>
          </w:p>
        </w:tc>
        <w:tc>
          <w:tcPr>
            <w:tcW w:w="8789" w:type="dxa"/>
          </w:tcPr>
          <w:p w14:paraId="1CD27B9F" w14:textId="0AE0EF7D" w:rsidR="00EE1B19" w:rsidRDefault="00EE1B19" w:rsidP="00EE1B19">
            <w:pPr>
              <w:jc w:val="both"/>
              <w:rPr>
                <w:rFonts w:ascii="Times New Roman" w:eastAsia="Calibri" w:hAnsi="Times New Roman" w:cs="Times New Roman"/>
                <w:b/>
              </w:rPr>
            </w:pPr>
            <w:r w:rsidRPr="00EE1B19">
              <w:rPr>
                <w:rFonts w:ascii="Times New Roman" w:eastAsia="Calibri" w:hAnsi="Times New Roman" w:cs="Times New Roman"/>
                <w:b/>
              </w:rPr>
              <w:t>Cumulative modifications notified</w:t>
            </w:r>
            <w:r>
              <w:rPr>
                <w:rFonts w:ascii="Times New Roman" w:eastAsia="Calibri" w:hAnsi="Times New Roman" w:cs="Times New Roman"/>
                <w:b/>
              </w:rPr>
              <w:t xml:space="preserve"> </w:t>
            </w:r>
            <w:r w:rsidRPr="00EE1B19">
              <w:rPr>
                <w:rFonts w:ascii="Times New Roman" w:eastAsia="Calibri" w:hAnsi="Times New Roman" w:cs="Times New Roman"/>
              </w:rPr>
              <w:t>– new table for notifying cumulative changes</w:t>
            </w:r>
          </w:p>
        </w:tc>
        <w:tc>
          <w:tcPr>
            <w:tcW w:w="1418" w:type="dxa"/>
          </w:tcPr>
          <w:p w14:paraId="51DD3749" w14:textId="77777777" w:rsidR="00EE1B19" w:rsidRPr="004968DE" w:rsidRDefault="00EE1B19" w:rsidP="00A02991">
            <w:pPr>
              <w:jc w:val="both"/>
              <w:rPr>
                <w:rFonts w:ascii="Times New Roman" w:eastAsia="Calibri" w:hAnsi="Times New Roman" w:cs="Times New Roman"/>
              </w:rPr>
            </w:pPr>
          </w:p>
        </w:tc>
        <w:tc>
          <w:tcPr>
            <w:tcW w:w="991" w:type="dxa"/>
          </w:tcPr>
          <w:p w14:paraId="2E9ED206" w14:textId="772C9F8B" w:rsidR="00EE1B19" w:rsidRDefault="00EE1B19" w:rsidP="00953376">
            <w:pPr>
              <w:jc w:val="center"/>
              <w:rPr>
                <w:rFonts w:ascii="Times New Roman" w:eastAsia="Calibri" w:hAnsi="Times New Roman" w:cs="Times New Roman"/>
              </w:rPr>
            </w:pPr>
            <w:r>
              <w:rPr>
                <w:rFonts w:ascii="Times New Roman" w:eastAsia="Calibri" w:hAnsi="Times New Roman" w:cs="Times New Roman"/>
              </w:rPr>
              <w:t>X</w:t>
            </w:r>
          </w:p>
        </w:tc>
      </w:tr>
      <w:tr w:rsidR="004A7E40" w:rsidRPr="004968DE" w14:paraId="37EC2AE2" w14:textId="01FD4E2F" w:rsidTr="004A7E40">
        <w:tc>
          <w:tcPr>
            <w:tcW w:w="3085" w:type="dxa"/>
          </w:tcPr>
          <w:p w14:paraId="6425B383" w14:textId="771152A3" w:rsidR="004A7E40" w:rsidRPr="004968DE" w:rsidRDefault="00953376" w:rsidP="004968DE">
            <w:pPr>
              <w:rPr>
                <w:rFonts w:ascii="Times New Roman" w:hAnsi="Times New Roman" w:cs="Times New Roman"/>
                <w:color w:val="000000"/>
              </w:rPr>
            </w:pPr>
            <w:r>
              <w:rPr>
                <w:rFonts w:ascii="Times New Roman" w:hAnsi="Times New Roman" w:cs="Times New Roman"/>
                <w:color w:val="000000"/>
              </w:rPr>
              <w:t>ANNEX C20</w:t>
            </w:r>
          </w:p>
        </w:tc>
        <w:tc>
          <w:tcPr>
            <w:tcW w:w="8789" w:type="dxa"/>
          </w:tcPr>
          <w:p w14:paraId="1564A127" w14:textId="1A50EDC7" w:rsidR="004A7E40" w:rsidRPr="004968DE" w:rsidRDefault="00953376" w:rsidP="00A02991">
            <w:pPr>
              <w:jc w:val="both"/>
              <w:rPr>
                <w:rFonts w:ascii="Times New Roman" w:eastAsia="Calibri" w:hAnsi="Times New Roman" w:cs="Times New Roman"/>
              </w:rPr>
            </w:pPr>
            <w:r>
              <w:rPr>
                <w:rFonts w:ascii="Times New Roman" w:eastAsia="Calibri" w:hAnsi="Times New Roman" w:cs="Times New Roman"/>
                <w:b/>
              </w:rPr>
              <w:t xml:space="preserve">Deleted </w:t>
            </w:r>
            <w:r>
              <w:rPr>
                <w:rFonts w:ascii="Times New Roman" w:eastAsia="Calibri" w:hAnsi="Times New Roman" w:cs="Times New Roman"/>
              </w:rPr>
              <w:t>– simplification of procedures</w:t>
            </w:r>
          </w:p>
        </w:tc>
        <w:tc>
          <w:tcPr>
            <w:tcW w:w="1418" w:type="dxa"/>
          </w:tcPr>
          <w:p w14:paraId="12ED3824" w14:textId="77777777" w:rsidR="004A7E40" w:rsidRPr="004968DE" w:rsidRDefault="004A7E40" w:rsidP="00A02991">
            <w:pPr>
              <w:jc w:val="both"/>
              <w:rPr>
                <w:rFonts w:ascii="Times New Roman" w:eastAsia="Calibri" w:hAnsi="Times New Roman" w:cs="Times New Roman"/>
              </w:rPr>
            </w:pPr>
          </w:p>
        </w:tc>
        <w:tc>
          <w:tcPr>
            <w:tcW w:w="991" w:type="dxa"/>
          </w:tcPr>
          <w:p w14:paraId="6DAD258E" w14:textId="0A9FDAB5" w:rsidR="004A7E40" w:rsidRPr="004968DE" w:rsidRDefault="00953376" w:rsidP="00953376">
            <w:pPr>
              <w:jc w:val="center"/>
              <w:rPr>
                <w:rFonts w:ascii="Times New Roman" w:eastAsia="Calibri" w:hAnsi="Times New Roman" w:cs="Times New Roman"/>
              </w:rPr>
            </w:pPr>
            <w:r>
              <w:rPr>
                <w:rFonts w:ascii="Times New Roman" w:eastAsia="Calibri" w:hAnsi="Times New Roman" w:cs="Times New Roman"/>
              </w:rPr>
              <w:t>X</w:t>
            </w:r>
          </w:p>
        </w:tc>
      </w:tr>
    </w:tbl>
    <w:p w14:paraId="66B86C81" w14:textId="77777777" w:rsidR="008147FB" w:rsidRPr="004968DE" w:rsidRDefault="008147FB">
      <w:pPr>
        <w:rPr>
          <w:rFonts w:ascii="Times New Roman" w:hAnsi="Times New Roman" w:cs="Times New Roman"/>
        </w:rPr>
      </w:pPr>
    </w:p>
    <w:sectPr w:rsidR="008147FB" w:rsidRPr="004968DE" w:rsidSect="005F5E6C">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09"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5413E" w14:textId="77777777" w:rsidR="0055623E" w:rsidRDefault="0055623E" w:rsidP="003A1AEE">
      <w:pPr>
        <w:spacing w:after="0" w:line="240" w:lineRule="auto"/>
      </w:pPr>
      <w:r>
        <w:separator/>
      </w:r>
    </w:p>
  </w:endnote>
  <w:endnote w:type="continuationSeparator" w:id="0">
    <w:p w14:paraId="7F0741E4" w14:textId="77777777" w:rsidR="0055623E" w:rsidRDefault="0055623E" w:rsidP="003A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AFD0" w14:textId="77777777" w:rsidR="001A6C1F" w:rsidRDefault="001A6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193630"/>
      <w:docPartObj>
        <w:docPartGallery w:val="Page Numbers (Bottom of Page)"/>
        <w:docPartUnique/>
      </w:docPartObj>
    </w:sdtPr>
    <w:sdtEndPr>
      <w:rPr>
        <w:noProof/>
      </w:rPr>
    </w:sdtEndPr>
    <w:sdtContent>
      <w:p w14:paraId="54FC5F6B" w14:textId="3132E7D9" w:rsidR="0055623E" w:rsidRDefault="0055623E">
        <w:pPr>
          <w:pStyle w:val="Footer"/>
        </w:pPr>
        <w:r>
          <w:fldChar w:fldCharType="begin"/>
        </w:r>
        <w:r>
          <w:instrText xml:space="preserve"> PAGE   \* MERGEFORMAT </w:instrText>
        </w:r>
        <w:r>
          <w:fldChar w:fldCharType="separate"/>
        </w:r>
        <w:r w:rsidR="00662FE7">
          <w:rPr>
            <w:noProof/>
          </w:rPr>
          <w:t>6</w:t>
        </w:r>
        <w:r>
          <w:rPr>
            <w:noProof/>
          </w:rPr>
          <w:fldChar w:fldCharType="end"/>
        </w:r>
      </w:p>
    </w:sdtContent>
  </w:sdt>
  <w:p w14:paraId="70E56FF9" w14:textId="77777777" w:rsidR="0055623E" w:rsidRDefault="00556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01B17" w14:textId="77777777" w:rsidR="001A6C1F" w:rsidRDefault="001A6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FD255" w14:textId="77777777" w:rsidR="0055623E" w:rsidRDefault="0055623E" w:rsidP="003A1AEE">
      <w:pPr>
        <w:spacing w:after="0" w:line="240" w:lineRule="auto"/>
      </w:pPr>
      <w:r>
        <w:separator/>
      </w:r>
    </w:p>
  </w:footnote>
  <w:footnote w:type="continuationSeparator" w:id="0">
    <w:p w14:paraId="26AD9902" w14:textId="77777777" w:rsidR="0055623E" w:rsidRDefault="0055623E" w:rsidP="003A1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B27F1" w14:textId="77777777" w:rsidR="001A6C1F" w:rsidRDefault="001A6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ED2F0" w14:textId="40E58633" w:rsidR="0055623E" w:rsidRPr="002941A0" w:rsidRDefault="0055623E" w:rsidP="004A7E40">
    <w:pPr>
      <w:ind w:right="-30"/>
      <w:jc w:val="center"/>
      <w:rPr>
        <w:rFonts w:ascii="Times New Roman" w:hAnsi="Times New Roman" w:cs="Times New Roman"/>
        <w:b/>
      </w:rPr>
    </w:pPr>
    <w:r w:rsidRPr="002941A0">
      <w:rPr>
        <w:rFonts w:ascii="Times New Roman" w:hAnsi="Times New Roman" w:cs="Times New Roman"/>
        <w:b/>
      </w:rPr>
      <w:t>Twinning Manual 2017- Update 20</w:t>
    </w:r>
    <w:r w:rsidR="004A7E40">
      <w:rPr>
        <w:rFonts w:ascii="Times New Roman" w:hAnsi="Times New Roman" w:cs="Times New Roman"/>
        <w:b/>
      </w:rPr>
      <w:t>22</w:t>
    </w:r>
    <w:r w:rsidRPr="002941A0">
      <w:rPr>
        <w:rFonts w:ascii="Times New Roman" w:hAnsi="Times New Roman" w:cs="Times New Roman"/>
        <w:b/>
      </w:rPr>
      <w:t xml:space="preserve"> </w:t>
    </w:r>
  </w:p>
  <w:p w14:paraId="7B1EF363" w14:textId="77777777" w:rsidR="0055623E" w:rsidRDefault="0055623E">
    <w:pPr>
      <w:pStyle w:val="Header"/>
    </w:pPr>
  </w:p>
  <w:p w14:paraId="6D6C11A0" w14:textId="77777777" w:rsidR="0055623E" w:rsidRDefault="00556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E9D79" w14:textId="77777777" w:rsidR="001A6C1F" w:rsidRDefault="001A6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8057C"/>
    <w:multiLevelType w:val="hybridMultilevel"/>
    <w:tmpl w:val="45704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F21875"/>
    <w:multiLevelType w:val="singleLevel"/>
    <w:tmpl w:val="34BA10A2"/>
    <w:lvl w:ilvl="0">
      <w:numFmt w:val="bullet"/>
      <w:lvlText w:val="-"/>
      <w:lvlJc w:val="left"/>
      <w:pPr>
        <w:tabs>
          <w:tab w:val="num" w:pos="360"/>
        </w:tabs>
        <w:ind w:left="360" w:hanging="360"/>
      </w:pPr>
      <w:rPr>
        <w:rFonts w:hint="default"/>
      </w:rPr>
    </w:lvl>
  </w:abstractNum>
  <w:abstractNum w:abstractNumId="3" w15:restartNumberingAfterBreak="0">
    <w:nsid w:val="05D0346A"/>
    <w:multiLevelType w:val="hybridMultilevel"/>
    <w:tmpl w:val="0FD6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C6E76"/>
    <w:multiLevelType w:val="hybridMultilevel"/>
    <w:tmpl w:val="A2DE9236"/>
    <w:lvl w:ilvl="0" w:tplc="ADB6D10E">
      <w:start w:val="4"/>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454C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703102"/>
    <w:multiLevelType w:val="hybridMultilevel"/>
    <w:tmpl w:val="541082E8"/>
    <w:lvl w:ilvl="0" w:tplc="E766C280">
      <w:start w:val="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579BF"/>
    <w:multiLevelType w:val="hybridMultilevel"/>
    <w:tmpl w:val="1F4CF59E"/>
    <w:lvl w:ilvl="0" w:tplc="1E307BCE">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5E504F"/>
    <w:multiLevelType w:val="multilevel"/>
    <w:tmpl w:val="60D64D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DE519EF"/>
    <w:multiLevelType w:val="hybridMultilevel"/>
    <w:tmpl w:val="F24626CC"/>
    <w:lvl w:ilvl="0" w:tplc="2DAA589C">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71F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A259D3"/>
    <w:multiLevelType w:val="multilevel"/>
    <w:tmpl w:val="08090001"/>
    <w:lvl w:ilvl="0">
      <w:start w:val="1"/>
      <w:numFmt w:val="bullet"/>
      <w:lvlText w:val=""/>
      <w:lvlJc w:val="left"/>
      <w:pPr>
        <w:tabs>
          <w:tab w:val="num" w:pos="908"/>
        </w:tabs>
        <w:ind w:left="90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457870"/>
    <w:multiLevelType w:val="singleLevel"/>
    <w:tmpl w:val="FFFFFFFF"/>
    <w:lvl w:ilvl="0">
      <w:start w:val="1"/>
      <w:numFmt w:val="bullet"/>
      <w:lvlText w:val=""/>
      <w:lvlJc w:val="left"/>
      <w:pPr>
        <w:ind w:left="283" w:hanging="283"/>
      </w:pPr>
      <w:rPr>
        <w:rFonts w:ascii="Symbol" w:hAnsi="Symbol" w:hint="default"/>
      </w:rPr>
    </w:lvl>
  </w:abstractNum>
  <w:abstractNum w:abstractNumId="13" w15:restartNumberingAfterBreak="0">
    <w:nsid w:val="418017D5"/>
    <w:multiLevelType w:val="hybridMultilevel"/>
    <w:tmpl w:val="09FEB040"/>
    <w:lvl w:ilvl="0" w:tplc="C9DA4824">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6180E"/>
    <w:multiLevelType w:val="hybridMultilevel"/>
    <w:tmpl w:val="F710C0B6"/>
    <w:lvl w:ilvl="0" w:tplc="34BA10A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AF30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292C19"/>
    <w:multiLevelType w:val="hybridMultilevel"/>
    <w:tmpl w:val="DC4A7D28"/>
    <w:lvl w:ilvl="0" w:tplc="1DC8F46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C6F39"/>
    <w:multiLevelType w:val="hybridMultilevel"/>
    <w:tmpl w:val="EF8A49DE"/>
    <w:lvl w:ilvl="0" w:tplc="461C14A8">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D70919"/>
    <w:multiLevelType w:val="hybridMultilevel"/>
    <w:tmpl w:val="6A8AD0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E8850B8"/>
    <w:multiLevelType w:val="hybridMultilevel"/>
    <w:tmpl w:val="C9AE9334"/>
    <w:lvl w:ilvl="0" w:tplc="34BA10A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06664"/>
    <w:multiLevelType w:val="hybridMultilevel"/>
    <w:tmpl w:val="C8EA52F4"/>
    <w:lvl w:ilvl="0" w:tplc="65C812EC">
      <w:start w:val="2"/>
      <w:numFmt w:val="bullet"/>
      <w:lvlText w:val="-"/>
      <w:lvlJc w:val="left"/>
      <w:pPr>
        <w:ind w:left="360" w:hanging="360"/>
      </w:pPr>
      <w:rPr>
        <w:rFonts w:ascii="Times New Roman" w:eastAsia="Times New Roman" w:hAnsi="Times New Roman" w:cs="Times New Roman" w:hint="default"/>
        <w:b/>
        <w:i w:val="0"/>
        <w:sz w:val="16"/>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7B388F"/>
    <w:multiLevelType w:val="hybridMultilevel"/>
    <w:tmpl w:val="F6BA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C243D"/>
    <w:multiLevelType w:val="hybridMultilevel"/>
    <w:tmpl w:val="0058A62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074A4D"/>
    <w:multiLevelType w:val="singleLevel"/>
    <w:tmpl w:val="2C3077E0"/>
    <w:lvl w:ilvl="0">
      <w:start w:val="1"/>
      <w:numFmt w:val="bullet"/>
      <w:lvlText w:val=""/>
      <w:lvlJc w:val="left"/>
      <w:pPr>
        <w:tabs>
          <w:tab w:val="num" w:pos="3272"/>
        </w:tabs>
        <w:ind w:left="3272" w:hanging="436"/>
      </w:pPr>
      <w:rPr>
        <w:rFonts w:ascii="Symbol" w:hAnsi="Symbol" w:hint="default"/>
      </w:rPr>
    </w:lvl>
  </w:abstractNum>
  <w:abstractNum w:abstractNumId="24" w15:restartNumberingAfterBreak="0">
    <w:nsid w:val="6F8179E7"/>
    <w:multiLevelType w:val="hybridMultilevel"/>
    <w:tmpl w:val="CEA08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AD6"/>
    <w:multiLevelType w:val="hybridMultilevel"/>
    <w:tmpl w:val="82B84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DE06BE"/>
    <w:multiLevelType w:val="hybridMultilevel"/>
    <w:tmpl w:val="C12A1C0C"/>
    <w:lvl w:ilvl="0" w:tplc="915E460C">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A25C0"/>
    <w:multiLevelType w:val="multilevel"/>
    <w:tmpl w:val="CD84B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0"/>
  </w:num>
  <w:num w:numId="3">
    <w:abstractNumId w:val="21"/>
  </w:num>
  <w:num w:numId="4">
    <w:abstractNumId w:val="22"/>
  </w:num>
  <w:num w:numId="5">
    <w:abstractNumId w:val="23"/>
  </w:num>
  <w:num w:numId="6">
    <w:abstractNumId w:val="2"/>
  </w:num>
  <w:num w:numId="7">
    <w:abstractNumId w:val="19"/>
  </w:num>
  <w:num w:numId="8">
    <w:abstractNumId w:val="15"/>
  </w:num>
  <w:num w:numId="9">
    <w:abstractNumId w:val="6"/>
  </w:num>
  <w:num w:numId="10">
    <w:abstractNumId w:val="11"/>
  </w:num>
  <w:num w:numId="11">
    <w:abstractNumId w:val="12"/>
  </w:num>
  <w:num w:numId="12">
    <w:abstractNumId w:val="17"/>
  </w:num>
  <w:num w:numId="13">
    <w:abstractNumId w:val="0"/>
    <w:lvlOverride w:ilvl="0">
      <w:lvl w:ilvl="0">
        <w:start w:val="2"/>
        <w:numFmt w:val="bullet"/>
        <w:lvlText w:val="-"/>
        <w:legacy w:legacy="1" w:legacySpace="0" w:legacyIndent="360"/>
        <w:lvlJc w:val="left"/>
        <w:pPr>
          <w:ind w:left="360" w:hanging="360"/>
        </w:pPr>
      </w:lvl>
    </w:lvlOverride>
  </w:num>
  <w:num w:numId="14">
    <w:abstractNumId w:val="8"/>
  </w:num>
  <w:num w:numId="15">
    <w:abstractNumId w:val="26"/>
  </w:num>
  <w:num w:numId="16">
    <w:abstractNumId w:val="9"/>
  </w:num>
  <w:num w:numId="17">
    <w:abstractNumId w:val="0"/>
    <w:lvlOverride w:ilvl="0">
      <w:lvl w:ilvl="0">
        <w:start w:val="1"/>
        <w:numFmt w:val="bullet"/>
        <w:lvlText w:val=""/>
        <w:lvlJc w:val="left"/>
        <w:pPr>
          <w:ind w:left="283" w:hanging="283"/>
        </w:pPr>
        <w:rPr>
          <w:rFonts w:ascii="Symbol" w:hAnsi="Symbol" w:hint="default"/>
        </w:rPr>
      </w:lvl>
    </w:lvlOverride>
  </w:num>
  <w:num w:numId="18">
    <w:abstractNumId w:val="1"/>
  </w:num>
  <w:num w:numId="19">
    <w:abstractNumId w:val="0"/>
    <w:lvlOverride w:ilvl="0">
      <w:lvl w:ilvl="0">
        <w:start w:val="1"/>
        <w:numFmt w:val="bullet"/>
        <w:lvlText w:val=""/>
        <w:lvlJc w:val="left"/>
        <w:pPr>
          <w:ind w:left="283" w:hanging="283"/>
        </w:pPr>
        <w:rPr>
          <w:rFonts w:ascii="Symbol" w:hAnsi="Symbol" w:hint="default"/>
        </w:rPr>
      </w:lvl>
    </w:lvlOverride>
  </w:num>
  <w:num w:numId="20">
    <w:abstractNumId w:val="20"/>
  </w:num>
  <w:num w:numId="21">
    <w:abstractNumId w:val="16"/>
  </w:num>
  <w:num w:numId="22">
    <w:abstractNumId w:val="27"/>
  </w:num>
  <w:num w:numId="23">
    <w:abstractNumId w:val="14"/>
  </w:num>
  <w:num w:numId="24">
    <w:abstractNumId w:val="5"/>
  </w:num>
  <w:num w:numId="25">
    <w:abstractNumId w:val="7"/>
  </w:num>
  <w:num w:numId="26">
    <w:abstractNumId w:val="24"/>
  </w:num>
  <w:num w:numId="27">
    <w:abstractNumId w:val="13"/>
  </w:num>
  <w:num w:numId="28">
    <w:abstractNumId w:val="18"/>
  </w:num>
  <w:num w:numId="29">
    <w:abstractNumId w:val="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E58"/>
    <w:rsid w:val="000004DC"/>
    <w:rsid w:val="000025D6"/>
    <w:rsid w:val="00004030"/>
    <w:rsid w:val="000106EB"/>
    <w:rsid w:val="00017EE3"/>
    <w:rsid w:val="00020254"/>
    <w:rsid w:val="00026D1E"/>
    <w:rsid w:val="00032B27"/>
    <w:rsid w:val="00040F79"/>
    <w:rsid w:val="00042CB0"/>
    <w:rsid w:val="00043AB3"/>
    <w:rsid w:val="00046219"/>
    <w:rsid w:val="00063349"/>
    <w:rsid w:val="000710C2"/>
    <w:rsid w:val="00077479"/>
    <w:rsid w:val="00080B1F"/>
    <w:rsid w:val="0008778A"/>
    <w:rsid w:val="00087F0E"/>
    <w:rsid w:val="00092893"/>
    <w:rsid w:val="00093A63"/>
    <w:rsid w:val="00094191"/>
    <w:rsid w:val="00094371"/>
    <w:rsid w:val="000A1E75"/>
    <w:rsid w:val="000A2094"/>
    <w:rsid w:val="000B1415"/>
    <w:rsid w:val="000B1ED0"/>
    <w:rsid w:val="000B671D"/>
    <w:rsid w:val="000C0150"/>
    <w:rsid w:val="000C1775"/>
    <w:rsid w:val="000C4070"/>
    <w:rsid w:val="000C4D06"/>
    <w:rsid w:val="000C4F97"/>
    <w:rsid w:val="000C5C20"/>
    <w:rsid w:val="000D0F39"/>
    <w:rsid w:val="000D6A21"/>
    <w:rsid w:val="000D789D"/>
    <w:rsid w:val="000E702F"/>
    <w:rsid w:val="000F281B"/>
    <w:rsid w:val="000F3A67"/>
    <w:rsid w:val="000F49D9"/>
    <w:rsid w:val="00106403"/>
    <w:rsid w:val="001072DD"/>
    <w:rsid w:val="00113713"/>
    <w:rsid w:val="001167B2"/>
    <w:rsid w:val="001203B4"/>
    <w:rsid w:val="00120965"/>
    <w:rsid w:val="00126DFB"/>
    <w:rsid w:val="0013054F"/>
    <w:rsid w:val="00131377"/>
    <w:rsid w:val="00140901"/>
    <w:rsid w:val="00146730"/>
    <w:rsid w:val="00146BBA"/>
    <w:rsid w:val="00155E6E"/>
    <w:rsid w:val="00165F6C"/>
    <w:rsid w:val="001729C8"/>
    <w:rsid w:val="00176A45"/>
    <w:rsid w:val="00185D99"/>
    <w:rsid w:val="00196F38"/>
    <w:rsid w:val="001A6337"/>
    <w:rsid w:val="001A6C1F"/>
    <w:rsid w:val="001B10AC"/>
    <w:rsid w:val="001C1042"/>
    <w:rsid w:val="001C11AF"/>
    <w:rsid w:val="001D7F17"/>
    <w:rsid w:val="001E08EE"/>
    <w:rsid w:val="001E1382"/>
    <w:rsid w:val="001E2CD4"/>
    <w:rsid w:val="001E5BFE"/>
    <w:rsid w:val="001E6195"/>
    <w:rsid w:val="001F2B7D"/>
    <w:rsid w:val="00213CD0"/>
    <w:rsid w:val="002143F9"/>
    <w:rsid w:val="00214EBF"/>
    <w:rsid w:val="0022030B"/>
    <w:rsid w:val="0022050F"/>
    <w:rsid w:val="00220E51"/>
    <w:rsid w:val="00231B83"/>
    <w:rsid w:val="002400E0"/>
    <w:rsid w:val="00244275"/>
    <w:rsid w:val="0026203D"/>
    <w:rsid w:val="002631A7"/>
    <w:rsid w:val="002838D7"/>
    <w:rsid w:val="002941A0"/>
    <w:rsid w:val="00295388"/>
    <w:rsid w:val="002A6E18"/>
    <w:rsid w:val="002B2EB2"/>
    <w:rsid w:val="002C2158"/>
    <w:rsid w:val="002C5DF0"/>
    <w:rsid w:val="002D48A6"/>
    <w:rsid w:val="002E14C8"/>
    <w:rsid w:val="002E3538"/>
    <w:rsid w:val="002F2DDD"/>
    <w:rsid w:val="002F5F7C"/>
    <w:rsid w:val="00302C44"/>
    <w:rsid w:val="003030DC"/>
    <w:rsid w:val="00304AB2"/>
    <w:rsid w:val="0031500E"/>
    <w:rsid w:val="00316BA9"/>
    <w:rsid w:val="00322657"/>
    <w:rsid w:val="00324B36"/>
    <w:rsid w:val="0033290B"/>
    <w:rsid w:val="00334C19"/>
    <w:rsid w:val="0033618C"/>
    <w:rsid w:val="003361F4"/>
    <w:rsid w:val="003364FB"/>
    <w:rsid w:val="0034041A"/>
    <w:rsid w:val="00341D1C"/>
    <w:rsid w:val="00343333"/>
    <w:rsid w:val="00344301"/>
    <w:rsid w:val="0034449C"/>
    <w:rsid w:val="00347854"/>
    <w:rsid w:val="0034785E"/>
    <w:rsid w:val="00354E6E"/>
    <w:rsid w:val="00355045"/>
    <w:rsid w:val="00360A91"/>
    <w:rsid w:val="003635EF"/>
    <w:rsid w:val="003638CC"/>
    <w:rsid w:val="0036504F"/>
    <w:rsid w:val="00365FEF"/>
    <w:rsid w:val="0036671E"/>
    <w:rsid w:val="00367F14"/>
    <w:rsid w:val="00384E5A"/>
    <w:rsid w:val="003871B4"/>
    <w:rsid w:val="003920B9"/>
    <w:rsid w:val="00393DD7"/>
    <w:rsid w:val="0039498D"/>
    <w:rsid w:val="003953A2"/>
    <w:rsid w:val="003A1AEE"/>
    <w:rsid w:val="003A2261"/>
    <w:rsid w:val="003A3EA4"/>
    <w:rsid w:val="003A6D9A"/>
    <w:rsid w:val="003A6E65"/>
    <w:rsid w:val="003B5965"/>
    <w:rsid w:val="003C28B1"/>
    <w:rsid w:val="003E3F74"/>
    <w:rsid w:val="003E56A2"/>
    <w:rsid w:val="003E7014"/>
    <w:rsid w:val="003E71C3"/>
    <w:rsid w:val="003F0AAE"/>
    <w:rsid w:val="003F445E"/>
    <w:rsid w:val="00403517"/>
    <w:rsid w:val="004065C1"/>
    <w:rsid w:val="00410601"/>
    <w:rsid w:val="00412482"/>
    <w:rsid w:val="00413161"/>
    <w:rsid w:val="00415D5D"/>
    <w:rsid w:val="004174BF"/>
    <w:rsid w:val="0042255B"/>
    <w:rsid w:val="0042545E"/>
    <w:rsid w:val="004273BC"/>
    <w:rsid w:val="00440BE0"/>
    <w:rsid w:val="00450C9E"/>
    <w:rsid w:val="00451363"/>
    <w:rsid w:val="00457B14"/>
    <w:rsid w:val="00457E2B"/>
    <w:rsid w:val="004639EE"/>
    <w:rsid w:val="004640EB"/>
    <w:rsid w:val="00466FCC"/>
    <w:rsid w:val="00470338"/>
    <w:rsid w:val="00476846"/>
    <w:rsid w:val="004838A4"/>
    <w:rsid w:val="00483AF3"/>
    <w:rsid w:val="004957DF"/>
    <w:rsid w:val="004968DE"/>
    <w:rsid w:val="00497F2F"/>
    <w:rsid w:val="004A1FDB"/>
    <w:rsid w:val="004A3D01"/>
    <w:rsid w:val="004A4B20"/>
    <w:rsid w:val="004A4FDC"/>
    <w:rsid w:val="004A7C9D"/>
    <w:rsid w:val="004A7E40"/>
    <w:rsid w:val="004B0C94"/>
    <w:rsid w:val="004B3D9A"/>
    <w:rsid w:val="004B5478"/>
    <w:rsid w:val="004B7CD3"/>
    <w:rsid w:val="004C0CDD"/>
    <w:rsid w:val="004D0608"/>
    <w:rsid w:val="004D22A3"/>
    <w:rsid w:val="00503A7E"/>
    <w:rsid w:val="005235DE"/>
    <w:rsid w:val="00524572"/>
    <w:rsid w:val="00527562"/>
    <w:rsid w:val="00530844"/>
    <w:rsid w:val="00536001"/>
    <w:rsid w:val="005375BE"/>
    <w:rsid w:val="005375C3"/>
    <w:rsid w:val="005523A8"/>
    <w:rsid w:val="00553972"/>
    <w:rsid w:val="005559C3"/>
    <w:rsid w:val="0055623E"/>
    <w:rsid w:val="005602B6"/>
    <w:rsid w:val="005623FF"/>
    <w:rsid w:val="00564743"/>
    <w:rsid w:val="00564F56"/>
    <w:rsid w:val="005714B2"/>
    <w:rsid w:val="00582430"/>
    <w:rsid w:val="00586AFC"/>
    <w:rsid w:val="00587004"/>
    <w:rsid w:val="005872E0"/>
    <w:rsid w:val="00592091"/>
    <w:rsid w:val="00593520"/>
    <w:rsid w:val="005A1436"/>
    <w:rsid w:val="005A1441"/>
    <w:rsid w:val="005B08FE"/>
    <w:rsid w:val="005B5326"/>
    <w:rsid w:val="005B5B10"/>
    <w:rsid w:val="005B659E"/>
    <w:rsid w:val="005B6850"/>
    <w:rsid w:val="005C1E9C"/>
    <w:rsid w:val="005C6DE7"/>
    <w:rsid w:val="005D35F7"/>
    <w:rsid w:val="005D4CD2"/>
    <w:rsid w:val="005D5142"/>
    <w:rsid w:val="005D7670"/>
    <w:rsid w:val="005E2FBD"/>
    <w:rsid w:val="005E6A82"/>
    <w:rsid w:val="005F0594"/>
    <w:rsid w:val="005F0BED"/>
    <w:rsid w:val="005F4F93"/>
    <w:rsid w:val="005F598E"/>
    <w:rsid w:val="005F5E6C"/>
    <w:rsid w:val="006038A0"/>
    <w:rsid w:val="00605B2C"/>
    <w:rsid w:val="00617419"/>
    <w:rsid w:val="00624BFF"/>
    <w:rsid w:val="00626E9A"/>
    <w:rsid w:val="00640CB6"/>
    <w:rsid w:val="006414AD"/>
    <w:rsid w:val="00662FE7"/>
    <w:rsid w:val="006652B4"/>
    <w:rsid w:val="00680CB6"/>
    <w:rsid w:val="0068422A"/>
    <w:rsid w:val="00690ABC"/>
    <w:rsid w:val="006935D4"/>
    <w:rsid w:val="00696A6D"/>
    <w:rsid w:val="006A652F"/>
    <w:rsid w:val="006A7CC2"/>
    <w:rsid w:val="006B08F8"/>
    <w:rsid w:val="006B154D"/>
    <w:rsid w:val="006B15DA"/>
    <w:rsid w:val="006B1E4C"/>
    <w:rsid w:val="006B4E65"/>
    <w:rsid w:val="006B4F85"/>
    <w:rsid w:val="006B5CF9"/>
    <w:rsid w:val="006B7C0F"/>
    <w:rsid w:val="006C04B6"/>
    <w:rsid w:val="006C6FA3"/>
    <w:rsid w:val="006C79F1"/>
    <w:rsid w:val="006D0549"/>
    <w:rsid w:val="006D496E"/>
    <w:rsid w:val="006D749B"/>
    <w:rsid w:val="006E7726"/>
    <w:rsid w:val="006F3581"/>
    <w:rsid w:val="007118B3"/>
    <w:rsid w:val="00713085"/>
    <w:rsid w:val="00714F3C"/>
    <w:rsid w:val="0072299A"/>
    <w:rsid w:val="00732607"/>
    <w:rsid w:val="00732A1F"/>
    <w:rsid w:val="00741598"/>
    <w:rsid w:val="00744F49"/>
    <w:rsid w:val="007452C5"/>
    <w:rsid w:val="00747D68"/>
    <w:rsid w:val="0075014B"/>
    <w:rsid w:val="00750883"/>
    <w:rsid w:val="00755719"/>
    <w:rsid w:val="007673FD"/>
    <w:rsid w:val="00771879"/>
    <w:rsid w:val="00776708"/>
    <w:rsid w:val="00781E21"/>
    <w:rsid w:val="00781F14"/>
    <w:rsid w:val="00782620"/>
    <w:rsid w:val="00786965"/>
    <w:rsid w:val="0079004C"/>
    <w:rsid w:val="007902D1"/>
    <w:rsid w:val="0079224F"/>
    <w:rsid w:val="007B2D7C"/>
    <w:rsid w:val="007B3095"/>
    <w:rsid w:val="007B591D"/>
    <w:rsid w:val="007B6FEF"/>
    <w:rsid w:val="007C2EF2"/>
    <w:rsid w:val="007C7417"/>
    <w:rsid w:val="007E22E3"/>
    <w:rsid w:val="007E3DCB"/>
    <w:rsid w:val="007E560E"/>
    <w:rsid w:val="00801217"/>
    <w:rsid w:val="008029BD"/>
    <w:rsid w:val="008040A1"/>
    <w:rsid w:val="00810098"/>
    <w:rsid w:val="008147FB"/>
    <w:rsid w:val="008352E3"/>
    <w:rsid w:val="00837E7A"/>
    <w:rsid w:val="00845A76"/>
    <w:rsid w:val="0084645F"/>
    <w:rsid w:val="00854423"/>
    <w:rsid w:val="008554AA"/>
    <w:rsid w:val="00862AE8"/>
    <w:rsid w:val="00862D0D"/>
    <w:rsid w:val="008647A7"/>
    <w:rsid w:val="008659E8"/>
    <w:rsid w:val="00870572"/>
    <w:rsid w:val="00892AF2"/>
    <w:rsid w:val="00894BEC"/>
    <w:rsid w:val="008A2273"/>
    <w:rsid w:val="008A6CA2"/>
    <w:rsid w:val="008B06E7"/>
    <w:rsid w:val="008B47AD"/>
    <w:rsid w:val="008E2859"/>
    <w:rsid w:val="008E3477"/>
    <w:rsid w:val="008E52F2"/>
    <w:rsid w:val="008F6CAE"/>
    <w:rsid w:val="008F7BCA"/>
    <w:rsid w:val="009001D5"/>
    <w:rsid w:val="009074C4"/>
    <w:rsid w:val="00911C4B"/>
    <w:rsid w:val="00913E66"/>
    <w:rsid w:val="00914DC3"/>
    <w:rsid w:val="00914E5F"/>
    <w:rsid w:val="00916134"/>
    <w:rsid w:val="009210A1"/>
    <w:rsid w:val="00921EBD"/>
    <w:rsid w:val="009220EE"/>
    <w:rsid w:val="0092210E"/>
    <w:rsid w:val="00923668"/>
    <w:rsid w:val="00924043"/>
    <w:rsid w:val="00925801"/>
    <w:rsid w:val="00926A4B"/>
    <w:rsid w:val="00930B1E"/>
    <w:rsid w:val="00934E40"/>
    <w:rsid w:val="009370D1"/>
    <w:rsid w:val="00953376"/>
    <w:rsid w:val="00960467"/>
    <w:rsid w:val="00961DB5"/>
    <w:rsid w:val="00963828"/>
    <w:rsid w:val="00976FEF"/>
    <w:rsid w:val="0097753A"/>
    <w:rsid w:val="00980D27"/>
    <w:rsid w:val="00982A48"/>
    <w:rsid w:val="00990676"/>
    <w:rsid w:val="00991E86"/>
    <w:rsid w:val="00992D53"/>
    <w:rsid w:val="00994BE1"/>
    <w:rsid w:val="00995F97"/>
    <w:rsid w:val="009A0B82"/>
    <w:rsid w:val="009A65B9"/>
    <w:rsid w:val="009B58C3"/>
    <w:rsid w:val="009C587C"/>
    <w:rsid w:val="009D23EF"/>
    <w:rsid w:val="009E4806"/>
    <w:rsid w:val="009F323B"/>
    <w:rsid w:val="009F3518"/>
    <w:rsid w:val="009F6895"/>
    <w:rsid w:val="00A02991"/>
    <w:rsid w:val="00A0565C"/>
    <w:rsid w:val="00A06A3B"/>
    <w:rsid w:val="00A139E1"/>
    <w:rsid w:val="00A23512"/>
    <w:rsid w:val="00A27A36"/>
    <w:rsid w:val="00A339AA"/>
    <w:rsid w:val="00A34F6B"/>
    <w:rsid w:val="00A43179"/>
    <w:rsid w:val="00A50754"/>
    <w:rsid w:val="00A50C8A"/>
    <w:rsid w:val="00A531AA"/>
    <w:rsid w:val="00A53BDF"/>
    <w:rsid w:val="00A53EB7"/>
    <w:rsid w:val="00A609E6"/>
    <w:rsid w:val="00A60A16"/>
    <w:rsid w:val="00A633BA"/>
    <w:rsid w:val="00A63ED3"/>
    <w:rsid w:val="00A66213"/>
    <w:rsid w:val="00A67FD5"/>
    <w:rsid w:val="00A80C6C"/>
    <w:rsid w:val="00A83106"/>
    <w:rsid w:val="00A86A97"/>
    <w:rsid w:val="00A870E5"/>
    <w:rsid w:val="00A87BB5"/>
    <w:rsid w:val="00A92155"/>
    <w:rsid w:val="00A95ACB"/>
    <w:rsid w:val="00AA3D29"/>
    <w:rsid w:val="00AA7B6C"/>
    <w:rsid w:val="00AC5D00"/>
    <w:rsid w:val="00AC6DC2"/>
    <w:rsid w:val="00AD5391"/>
    <w:rsid w:val="00AD5E04"/>
    <w:rsid w:val="00AE039E"/>
    <w:rsid w:val="00AE1B2F"/>
    <w:rsid w:val="00AE2EF6"/>
    <w:rsid w:val="00B018A2"/>
    <w:rsid w:val="00B0654D"/>
    <w:rsid w:val="00B112DB"/>
    <w:rsid w:val="00B14257"/>
    <w:rsid w:val="00B30C01"/>
    <w:rsid w:val="00B31EF1"/>
    <w:rsid w:val="00B326CA"/>
    <w:rsid w:val="00B40465"/>
    <w:rsid w:val="00B531CD"/>
    <w:rsid w:val="00B605E7"/>
    <w:rsid w:val="00B62E4A"/>
    <w:rsid w:val="00B6574A"/>
    <w:rsid w:val="00B66761"/>
    <w:rsid w:val="00B74FCA"/>
    <w:rsid w:val="00B7706C"/>
    <w:rsid w:val="00B864B7"/>
    <w:rsid w:val="00B87BFD"/>
    <w:rsid w:val="00B900A3"/>
    <w:rsid w:val="00B928FF"/>
    <w:rsid w:val="00B94DFF"/>
    <w:rsid w:val="00BA5B95"/>
    <w:rsid w:val="00BA7528"/>
    <w:rsid w:val="00BB09D6"/>
    <w:rsid w:val="00BC24C7"/>
    <w:rsid w:val="00BD0A78"/>
    <w:rsid w:val="00BD1D49"/>
    <w:rsid w:val="00BD2321"/>
    <w:rsid w:val="00BD3464"/>
    <w:rsid w:val="00BD3EF6"/>
    <w:rsid w:val="00BE1D01"/>
    <w:rsid w:val="00BF3426"/>
    <w:rsid w:val="00BF7FBD"/>
    <w:rsid w:val="00C040A6"/>
    <w:rsid w:val="00C04B30"/>
    <w:rsid w:val="00C12494"/>
    <w:rsid w:val="00C16982"/>
    <w:rsid w:val="00C20B6E"/>
    <w:rsid w:val="00C22548"/>
    <w:rsid w:val="00C357EF"/>
    <w:rsid w:val="00C40351"/>
    <w:rsid w:val="00C41FAB"/>
    <w:rsid w:val="00C4609A"/>
    <w:rsid w:val="00C53B06"/>
    <w:rsid w:val="00C63D9E"/>
    <w:rsid w:val="00C64B20"/>
    <w:rsid w:val="00C67862"/>
    <w:rsid w:val="00C70269"/>
    <w:rsid w:val="00C726EA"/>
    <w:rsid w:val="00C742E9"/>
    <w:rsid w:val="00C80304"/>
    <w:rsid w:val="00C823F4"/>
    <w:rsid w:val="00C8251B"/>
    <w:rsid w:val="00C82909"/>
    <w:rsid w:val="00C954FB"/>
    <w:rsid w:val="00C958BD"/>
    <w:rsid w:val="00CA6C3E"/>
    <w:rsid w:val="00CB1909"/>
    <w:rsid w:val="00CB22A2"/>
    <w:rsid w:val="00CB65D1"/>
    <w:rsid w:val="00CB6D4F"/>
    <w:rsid w:val="00CB7D73"/>
    <w:rsid w:val="00CB7D89"/>
    <w:rsid w:val="00CC4813"/>
    <w:rsid w:val="00CC6669"/>
    <w:rsid w:val="00CD3DDE"/>
    <w:rsid w:val="00CD45F1"/>
    <w:rsid w:val="00CD5472"/>
    <w:rsid w:val="00CD6E4A"/>
    <w:rsid w:val="00CD794A"/>
    <w:rsid w:val="00CE0413"/>
    <w:rsid w:val="00CE1C20"/>
    <w:rsid w:val="00CE30AF"/>
    <w:rsid w:val="00CF0218"/>
    <w:rsid w:val="00CF5B4C"/>
    <w:rsid w:val="00CF6D57"/>
    <w:rsid w:val="00D14433"/>
    <w:rsid w:val="00D15D0C"/>
    <w:rsid w:val="00D20174"/>
    <w:rsid w:val="00D20FAC"/>
    <w:rsid w:val="00D22A9E"/>
    <w:rsid w:val="00D25147"/>
    <w:rsid w:val="00D255A5"/>
    <w:rsid w:val="00D26051"/>
    <w:rsid w:val="00D27D62"/>
    <w:rsid w:val="00D31508"/>
    <w:rsid w:val="00D34C61"/>
    <w:rsid w:val="00D54B47"/>
    <w:rsid w:val="00D552B9"/>
    <w:rsid w:val="00D6501F"/>
    <w:rsid w:val="00D66B87"/>
    <w:rsid w:val="00D673EA"/>
    <w:rsid w:val="00D70423"/>
    <w:rsid w:val="00D74EAA"/>
    <w:rsid w:val="00D75FE6"/>
    <w:rsid w:val="00D7763F"/>
    <w:rsid w:val="00D81895"/>
    <w:rsid w:val="00D82AF8"/>
    <w:rsid w:val="00D94DE4"/>
    <w:rsid w:val="00DA2D00"/>
    <w:rsid w:val="00DA3D53"/>
    <w:rsid w:val="00DB0E30"/>
    <w:rsid w:val="00DB778C"/>
    <w:rsid w:val="00DC160A"/>
    <w:rsid w:val="00DC6E50"/>
    <w:rsid w:val="00DC7F75"/>
    <w:rsid w:val="00DD0AB4"/>
    <w:rsid w:val="00DD142D"/>
    <w:rsid w:val="00DD246E"/>
    <w:rsid w:val="00DD45F0"/>
    <w:rsid w:val="00DD50B2"/>
    <w:rsid w:val="00DE2D09"/>
    <w:rsid w:val="00DE3F96"/>
    <w:rsid w:val="00DE4B77"/>
    <w:rsid w:val="00DE7281"/>
    <w:rsid w:val="00DF0315"/>
    <w:rsid w:val="00E02FDF"/>
    <w:rsid w:val="00E05E26"/>
    <w:rsid w:val="00E16614"/>
    <w:rsid w:val="00E17B9B"/>
    <w:rsid w:val="00E21464"/>
    <w:rsid w:val="00E304A1"/>
    <w:rsid w:val="00E34D90"/>
    <w:rsid w:val="00E36818"/>
    <w:rsid w:val="00E37609"/>
    <w:rsid w:val="00E40BCE"/>
    <w:rsid w:val="00E433DF"/>
    <w:rsid w:val="00E44C3E"/>
    <w:rsid w:val="00E47449"/>
    <w:rsid w:val="00E47E09"/>
    <w:rsid w:val="00E50480"/>
    <w:rsid w:val="00E547EC"/>
    <w:rsid w:val="00E55990"/>
    <w:rsid w:val="00E61B6C"/>
    <w:rsid w:val="00E656C4"/>
    <w:rsid w:val="00E67707"/>
    <w:rsid w:val="00E71C7A"/>
    <w:rsid w:val="00E73EC4"/>
    <w:rsid w:val="00E77050"/>
    <w:rsid w:val="00E8080F"/>
    <w:rsid w:val="00E81B27"/>
    <w:rsid w:val="00E83DEF"/>
    <w:rsid w:val="00E84488"/>
    <w:rsid w:val="00E92A94"/>
    <w:rsid w:val="00EA724B"/>
    <w:rsid w:val="00EA75F3"/>
    <w:rsid w:val="00EC2118"/>
    <w:rsid w:val="00EC36F3"/>
    <w:rsid w:val="00EC3E58"/>
    <w:rsid w:val="00ED3DCF"/>
    <w:rsid w:val="00EE1B19"/>
    <w:rsid w:val="00EE63E5"/>
    <w:rsid w:val="00EE6810"/>
    <w:rsid w:val="00EF018A"/>
    <w:rsid w:val="00EF0E44"/>
    <w:rsid w:val="00EF22E1"/>
    <w:rsid w:val="00EF3854"/>
    <w:rsid w:val="00EF3AF4"/>
    <w:rsid w:val="00F01B31"/>
    <w:rsid w:val="00F0596D"/>
    <w:rsid w:val="00F06907"/>
    <w:rsid w:val="00F20A2B"/>
    <w:rsid w:val="00F236FC"/>
    <w:rsid w:val="00F279FD"/>
    <w:rsid w:val="00F4191F"/>
    <w:rsid w:val="00F50199"/>
    <w:rsid w:val="00F67676"/>
    <w:rsid w:val="00F828C5"/>
    <w:rsid w:val="00F842FD"/>
    <w:rsid w:val="00F873C2"/>
    <w:rsid w:val="00F90E17"/>
    <w:rsid w:val="00FA118C"/>
    <w:rsid w:val="00FA7979"/>
    <w:rsid w:val="00FB49D0"/>
    <w:rsid w:val="00FC2560"/>
    <w:rsid w:val="00FC2806"/>
    <w:rsid w:val="00FC3294"/>
    <w:rsid w:val="00FD4532"/>
    <w:rsid w:val="00FD5D22"/>
    <w:rsid w:val="00FF0D30"/>
    <w:rsid w:val="00FF0E3F"/>
    <w:rsid w:val="00FF3665"/>
    <w:rsid w:val="00FF4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B11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A1A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3A1AEE"/>
    <w:pPr>
      <w:keepNext/>
      <w:tabs>
        <w:tab w:val="left" w:pos="851"/>
        <w:tab w:val="left" w:pos="1191"/>
        <w:tab w:val="left" w:pos="1531"/>
      </w:tabs>
      <w:spacing w:after="240" w:line="240" w:lineRule="auto"/>
      <w:jc w:val="both"/>
      <w:outlineLvl w:val="2"/>
    </w:pPr>
    <w:rPr>
      <w:rFonts w:ascii="Times New Roman" w:eastAsia="SimSun" w:hAnsi="Times New Roman" w:cs="Times New Roman"/>
      <w:b/>
      <w:sz w:val="24"/>
      <w:szCs w:val="20"/>
      <w:lang w:eastAsia="zh-CN"/>
    </w:rPr>
  </w:style>
  <w:style w:type="paragraph" w:styleId="Heading4">
    <w:name w:val="heading 4"/>
    <w:basedOn w:val="Normal"/>
    <w:next w:val="Normal"/>
    <w:link w:val="Heading4Char"/>
    <w:uiPriority w:val="9"/>
    <w:semiHidden/>
    <w:unhideWhenUsed/>
    <w:qFormat/>
    <w:rsid w:val="003A1AE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D0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1AE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3A1AEE"/>
    <w:rPr>
      <w:rFonts w:ascii="Times New Roman" w:eastAsia="SimSun" w:hAnsi="Times New Roman" w:cs="Times New Roman"/>
      <w:b/>
      <w:sz w:val="24"/>
      <w:szCs w:val="20"/>
      <w:lang w:eastAsia="zh-CN"/>
    </w:rPr>
  </w:style>
  <w:style w:type="character" w:customStyle="1" w:styleId="Heading4Char">
    <w:name w:val="Heading 4 Char"/>
    <w:basedOn w:val="DefaultParagraphFont"/>
    <w:link w:val="Heading4"/>
    <w:uiPriority w:val="9"/>
    <w:semiHidden/>
    <w:rsid w:val="003A1AEE"/>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3A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AEE"/>
    <w:pPr>
      <w:ind w:left="720"/>
      <w:contextualSpacing/>
    </w:pPr>
    <w:rPr>
      <w:rFonts w:ascii="Calibri" w:eastAsia="Times New Roman" w:hAnsi="Calibri" w:cs="Times New Roman"/>
    </w:rPr>
  </w:style>
  <w:style w:type="character" w:styleId="CommentReference">
    <w:name w:val="annotation reference"/>
    <w:uiPriority w:val="99"/>
    <w:rsid w:val="003A1AEE"/>
    <w:rPr>
      <w:rFonts w:cs="Times New Roman"/>
      <w:sz w:val="16"/>
    </w:rPr>
  </w:style>
  <w:style w:type="paragraph" w:styleId="CommentText">
    <w:name w:val="annotation text"/>
    <w:basedOn w:val="Normal"/>
    <w:link w:val="CommentTextChar"/>
    <w:uiPriority w:val="99"/>
    <w:rsid w:val="003A1AEE"/>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3A1AE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A1A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EE"/>
    <w:rPr>
      <w:rFonts w:ascii="Segoe UI" w:hAnsi="Segoe UI" w:cs="Segoe UI"/>
      <w:sz w:val="18"/>
      <w:szCs w:val="18"/>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ootnote symbol"/>
    <w:link w:val="Char2"/>
    <w:qFormat/>
    <w:rsid w:val="003A1AEE"/>
    <w:rPr>
      <w:rFonts w:cs="Times New Roman"/>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qFormat/>
    <w:rsid w:val="003A1AEE"/>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3A1AEE"/>
    <w:rPr>
      <w:rFonts w:ascii="Times New Roman" w:eastAsia="Times New Roman" w:hAnsi="Times New Roman" w:cs="Times New Roman"/>
      <w:sz w:val="20"/>
      <w:szCs w:val="20"/>
      <w:lang w:eastAsia="en-GB"/>
    </w:rPr>
  </w:style>
  <w:style w:type="character" w:styleId="Hyperlink">
    <w:name w:val="Hyperlink"/>
    <w:uiPriority w:val="99"/>
    <w:rsid w:val="003A1AEE"/>
    <w:rPr>
      <w:rFonts w:cs="Times New Roman"/>
      <w:color w:val="0000FF"/>
      <w:u w:val="single"/>
    </w:rPr>
  </w:style>
  <w:style w:type="paragraph" w:customStyle="1" w:styleId="Text1">
    <w:name w:val="Text 1"/>
    <w:basedOn w:val="Normal"/>
    <w:rsid w:val="003A1AEE"/>
    <w:pPr>
      <w:spacing w:after="240" w:line="240" w:lineRule="auto"/>
      <w:jc w:val="both"/>
    </w:pPr>
    <w:rPr>
      <w:rFonts w:ascii="Times New Roman" w:eastAsia="Times New Roman" w:hAnsi="Times New Roman" w:cs="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3A1AE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A1AEE"/>
    <w:rPr>
      <w:rFonts w:ascii="Times New Roman" w:eastAsia="Times New Roman" w:hAnsi="Times New Roman" w:cs="Times New Roman"/>
      <w:b/>
      <w:bCs/>
      <w:sz w:val="20"/>
      <w:szCs w:val="20"/>
      <w:lang w:eastAsia="en-GB"/>
    </w:rPr>
  </w:style>
  <w:style w:type="paragraph" w:styleId="TOC2">
    <w:name w:val="toc 2"/>
    <w:basedOn w:val="Normal"/>
    <w:next w:val="Normal"/>
    <w:autoRedefine/>
    <w:uiPriority w:val="39"/>
    <w:rsid w:val="003A1AEE"/>
    <w:pPr>
      <w:tabs>
        <w:tab w:val="left" w:pos="720"/>
        <w:tab w:val="right" w:pos="7972"/>
      </w:tabs>
      <w:spacing w:before="240" w:after="0" w:line="240" w:lineRule="auto"/>
      <w:ind w:right="81"/>
      <w:jc w:val="both"/>
    </w:pPr>
    <w:rPr>
      <w:rFonts w:ascii="Times New Roman" w:eastAsia="Times New Roman" w:hAnsi="Times New Roman" w:cs="Times New Roman"/>
      <w:noProof/>
      <w:sz w:val="20"/>
      <w:szCs w:val="20"/>
      <w:lang w:val="fr-FR" w:eastAsia="en-GB"/>
    </w:rPr>
  </w:style>
  <w:style w:type="paragraph" w:styleId="Header">
    <w:name w:val="header"/>
    <w:basedOn w:val="Normal"/>
    <w:link w:val="HeaderChar"/>
    <w:uiPriority w:val="99"/>
    <w:unhideWhenUsed/>
    <w:rsid w:val="003A1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AEE"/>
  </w:style>
  <w:style w:type="paragraph" w:styleId="Footer">
    <w:name w:val="footer"/>
    <w:basedOn w:val="Normal"/>
    <w:link w:val="FooterChar"/>
    <w:uiPriority w:val="99"/>
    <w:unhideWhenUsed/>
    <w:rsid w:val="003A1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AEE"/>
  </w:style>
  <w:style w:type="paragraph" w:styleId="Revision">
    <w:name w:val="Revision"/>
    <w:hidden/>
    <w:uiPriority w:val="99"/>
    <w:semiHidden/>
    <w:rsid w:val="00E77050"/>
    <w:pPr>
      <w:spacing w:after="0" w:line="240" w:lineRule="auto"/>
    </w:pPr>
  </w:style>
  <w:style w:type="character" w:customStyle="1" w:styleId="Heading5Char">
    <w:name w:val="Heading 5 Char"/>
    <w:basedOn w:val="DefaultParagraphFont"/>
    <w:link w:val="Heading5"/>
    <w:uiPriority w:val="9"/>
    <w:semiHidden/>
    <w:rsid w:val="00AC5D00"/>
    <w:rPr>
      <w:rFonts w:asciiTheme="majorHAnsi" w:eastAsiaTheme="majorEastAsia" w:hAnsiTheme="majorHAnsi" w:cstheme="majorBidi"/>
      <w:color w:val="365F91" w:themeColor="accent1" w:themeShade="BF"/>
    </w:rPr>
  </w:style>
  <w:style w:type="paragraph" w:customStyle="1" w:styleId="Char2">
    <w:name w:val="Char2"/>
    <w:basedOn w:val="Normal"/>
    <w:link w:val="FootnoteReference"/>
    <w:uiPriority w:val="99"/>
    <w:rsid w:val="00A87BB5"/>
    <w:pPr>
      <w:spacing w:after="160" w:line="240" w:lineRule="exact"/>
    </w:pPr>
    <w:rPr>
      <w:rFonts w:cs="Times New Roman"/>
      <w:vertAlign w:val="superscript"/>
    </w:rPr>
  </w:style>
  <w:style w:type="character" w:styleId="FollowedHyperlink">
    <w:name w:val="FollowedHyperlink"/>
    <w:basedOn w:val="DefaultParagraphFont"/>
    <w:uiPriority w:val="99"/>
    <w:semiHidden/>
    <w:unhideWhenUsed/>
    <w:rsid w:val="002B2E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9287">
      <w:bodyDiv w:val="1"/>
      <w:marLeft w:val="0"/>
      <w:marRight w:val="0"/>
      <w:marTop w:val="0"/>
      <w:marBottom w:val="0"/>
      <w:divBdr>
        <w:top w:val="none" w:sz="0" w:space="0" w:color="auto"/>
        <w:left w:val="none" w:sz="0" w:space="0" w:color="auto"/>
        <w:bottom w:val="none" w:sz="0" w:space="0" w:color="auto"/>
        <w:right w:val="none" w:sz="0" w:space="0" w:color="auto"/>
      </w:divBdr>
    </w:div>
    <w:div w:id="186598331">
      <w:bodyDiv w:val="1"/>
      <w:marLeft w:val="0"/>
      <w:marRight w:val="0"/>
      <w:marTop w:val="0"/>
      <w:marBottom w:val="0"/>
      <w:divBdr>
        <w:top w:val="none" w:sz="0" w:space="0" w:color="auto"/>
        <w:left w:val="none" w:sz="0" w:space="0" w:color="auto"/>
        <w:bottom w:val="none" w:sz="0" w:space="0" w:color="auto"/>
        <w:right w:val="none" w:sz="0" w:space="0" w:color="auto"/>
      </w:divBdr>
    </w:div>
    <w:div w:id="1068922973">
      <w:bodyDiv w:val="1"/>
      <w:marLeft w:val="0"/>
      <w:marRight w:val="0"/>
      <w:marTop w:val="0"/>
      <w:marBottom w:val="0"/>
      <w:divBdr>
        <w:top w:val="none" w:sz="0" w:space="0" w:color="auto"/>
        <w:left w:val="none" w:sz="0" w:space="0" w:color="auto"/>
        <w:bottom w:val="none" w:sz="0" w:space="0" w:color="auto"/>
        <w:right w:val="none" w:sz="0" w:space="0" w:color="auto"/>
      </w:divBdr>
    </w:div>
    <w:div w:id="1158034208">
      <w:bodyDiv w:val="1"/>
      <w:marLeft w:val="0"/>
      <w:marRight w:val="0"/>
      <w:marTop w:val="0"/>
      <w:marBottom w:val="0"/>
      <w:divBdr>
        <w:top w:val="none" w:sz="0" w:space="0" w:color="auto"/>
        <w:left w:val="none" w:sz="0" w:space="0" w:color="auto"/>
        <w:bottom w:val="none" w:sz="0" w:space="0" w:color="auto"/>
        <w:right w:val="none" w:sz="0" w:space="0" w:color="auto"/>
      </w:divBdr>
    </w:div>
    <w:div w:id="130419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TMSWebRestrict/resources/js/ap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6C69D-EDDE-4C12-BBF6-DD024114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1647</Words>
  <Characters>8996</Characters>
  <Application>Microsoft Office Word</Application>
  <DocSecurity>0</DocSecurity>
  <Lines>391</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2020-09-08T20:44:00Z</dcterms:created>
  <dcterms:modified xsi:type="dcterms:W3CDTF">2022-07-15T13:21:00Z</dcterms:modified>
</cp:coreProperties>
</file>