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26221" w14:textId="77777777" w:rsidR="00043218" w:rsidRPr="002B23A5" w:rsidRDefault="00043218" w:rsidP="00043218">
      <w:pPr>
        <w:ind w:firstLine="360"/>
        <w:jc w:val="center"/>
        <w:rPr>
          <w:b/>
        </w:rPr>
      </w:pPr>
    </w:p>
    <w:p w14:paraId="232B6EAC" w14:textId="77777777" w:rsidR="00043218" w:rsidRDefault="00043218" w:rsidP="00043218">
      <w:pPr>
        <w:ind w:firstLine="360"/>
        <w:jc w:val="center"/>
        <w:rPr>
          <w:b/>
          <w:sz w:val="32"/>
          <w:szCs w:val="32"/>
        </w:rPr>
      </w:pPr>
    </w:p>
    <w:p w14:paraId="5441786D" w14:textId="77777777" w:rsidR="00043218" w:rsidRPr="000A1F10" w:rsidRDefault="00043218" w:rsidP="00043218">
      <w:pPr>
        <w:rPr>
          <w:sz w:val="32"/>
          <w:szCs w:val="32"/>
        </w:rPr>
      </w:pPr>
    </w:p>
    <w:p w14:paraId="6EB5D36C" w14:textId="77777777" w:rsidR="00043218" w:rsidRPr="000A1F10" w:rsidRDefault="00043218" w:rsidP="00043218">
      <w:pPr>
        <w:rPr>
          <w:sz w:val="32"/>
          <w:szCs w:val="32"/>
        </w:rPr>
      </w:pPr>
    </w:p>
    <w:p w14:paraId="507CD0AB" w14:textId="77777777" w:rsidR="00043218" w:rsidRPr="000A1F10" w:rsidRDefault="00043218" w:rsidP="00043218">
      <w:pPr>
        <w:rPr>
          <w:sz w:val="32"/>
          <w:szCs w:val="32"/>
        </w:rPr>
      </w:pPr>
    </w:p>
    <w:p w14:paraId="5F5E0277" w14:textId="77777777" w:rsidR="00043218" w:rsidRDefault="00043218" w:rsidP="00043218">
      <w:pPr>
        <w:ind w:firstLine="360"/>
        <w:jc w:val="center"/>
        <w:rPr>
          <w:sz w:val="32"/>
          <w:szCs w:val="32"/>
        </w:rPr>
      </w:pPr>
    </w:p>
    <w:p w14:paraId="349180F9" w14:textId="77777777" w:rsidR="00043218" w:rsidRDefault="00043218" w:rsidP="00043218">
      <w:pPr>
        <w:jc w:val="center"/>
        <w:rPr>
          <w:b/>
          <w:sz w:val="44"/>
          <w:szCs w:val="32"/>
        </w:rPr>
      </w:pPr>
    </w:p>
    <w:p w14:paraId="4D0D9FF5" w14:textId="77777777" w:rsidR="00043218" w:rsidRDefault="00043218" w:rsidP="00043218">
      <w:pPr>
        <w:jc w:val="center"/>
        <w:rPr>
          <w:b/>
          <w:sz w:val="44"/>
          <w:szCs w:val="32"/>
        </w:rPr>
      </w:pPr>
    </w:p>
    <w:p w14:paraId="1EBE4921" w14:textId="77777777" w:rsidR="00043218" w:rsidRDefault="00043218" w:rsidP="00043218">
      <w:pPr>
        <w:jc w:val="center"/>
        <w:rPr>
          <w:b/>
          <w:sz w:val="44"/>
          <w:szCs w:val="32"/>
        </w:rPr>
      </w:pPr>
    </w:p>
    <w:p w14:paraId="050849A3" w14:textId="77777777" w:rsidR="00043218" w:rsidRDefault="00043218" w:rsidP="00043218">
      <w:pPr>
        <w:jc w:val="center"/>
        <w:rPr>
          <w:b/>
          <w:sz w:val="44"/>
          <w:szCs w:val="32"/>
        </w:rPr>
      </w:pPr>
    </w:p>
    <w:p w14:paraId="29FDB31B" w14:textId="77777777" w:rsidR="00043218" w:rsidRPr="000A1F10" w:rsidRDefault="00043218" w:rsidP="00043218">
      <w:pPr>
        <w:ind w:firstLine="0"/>
        <w:jc w:val="center"/>
        <w:rPr>
          <w:b/>
          <w:sz w:val="44"/>
          <w:szCs w:val="32"/>
        </w:rPr>
      </w:pPr>
      <w:r w:rsidRPr="000A1F10">
        <w:rPr>
          <w:b/>
          <w:sz w:val="44"/>
          <w:szCs w:val="32"/>
        </w:rPr>
        <w:t>Informatīvais ziņojums</w:t>
      </w:r>
    </w:p>
    <w:p w14:paraId="04CCD1D4" w14:textId="77777777" w:rsidR="00043218" w:rsidRPr="000A1F10" w:rsidRDefault="00043218" w:rsidP="00043218">
      <w:pPr>
        <w:rPr>
          <w:b/>
          <w:sz w:val="44"/>
          <w:szCs w:val="32"/>
        </w:rPr>
      </w:pPr>
    </w:p>
    <w:p w14:paraId="409A5C47" w14:textId="415882CA" w:rsidR="00043218" w:rsidRPr="00A05C07" w:rsidRDefault="00043218" w:rsidP="00043218">
      <w:pPr>
        <w:ind w:firstLine="0"/>
        <w:jc w:val="center"/>
        <w:rPr>
          <w:b/>
          <w:sz w:val="44"/>
          <w:szCs w:val="32"/>
        </w:rPr>
      </w:pPr>
      <w:r w:rsidRPr="00A05C07">
        <w:rPr>
          <w:b/>
          <w:sz w:val="44"/>
          <w:szCs w:val="32"/>
        </w:rPr>
        <w:t>„Par makroekonomisko rādītāju, ieņēmumu un vispārējās valdības budžeta bilances prognozēm 20</w:t>
      </w:r>
      <w:r w:rsidR="00E73124">
        <w:rPr>
          <w:b/>
          <w:sz w:val="44"/>
          <w:szCs w:val="32"/>
        </w:rPr>
        <w:t>21</w:t>
      </w:r>
      <w:r w:rsidRPr="00A05C07">
        <w:rPr>
          <w:b/>
          <w:sz w:val="44"/>
          <w:szCs w:val="32"/>
        </w:rPr>
        <w:t>.-20</w:t>
      </w:r>
      <w:r w:rsidR="0013226B">
        <w:rPr>
          <w:b/>
          <w:sz w:val="44"/>
          <w:szCs w:val="32"/>
        </w:rPr>
        <w:t>2</w:t>
      </w:r>
      <w:r w:rsidR="00E73124">
        <w:rPr>
          <w:b/>
          <w:sz w:val="44"/>
          <w:szCs w:val="32"/>
        </w:rPr>
        <w:t>3</w:t>
      </w:r>
      <w:r w:rsidRPr="00A05C07">
        <w:rPr>
          <w:b/>
          <w:sz w:val="44"/>
          <w:szCs w:val="32"/>
        </w:rPr>
        <w:t>.gadā”</w:t>
      </w:r>
    </w:p>
    <w:p w14:paraId="7CD2D459" w14:textId="77777777" w:rsidR="00043218" w:rsidRPr="000A1F10" w:rsidRDefault="00043218" w:rsidP="00043218">
      <w:pPr>
        <w:rPr>
          <w:b/>
          <w:sz w:val="48"/>
          <w:szCs w:val="32"/>
        </w:rPr>
      </w:pPr>
    </w:p>
    <w:p w14:paraId="3F296241" w14:textId="77777777" w:rsidR="00043218" w:rsidRDefault="00043218" w:rsidP="00043218">
      <w:pPr>
        <w:tabs>
          <w:tab w:val="left" w:pos="2763"/>
        </w:tabs>
        <w:ind w:firstLine="360"/>
        <w:rPr>
          <w:sz w:val="32"/>
          <w:szCs w:val="32"/>
        </w:rPr>
      </w:pPr>
    </w:p>
    <w:p w14:paraId="31AB1E46" w14:textId="77777777" w:rsidR="00043218" w:rsidRDefault="00043218" w:rsidP="00043218">
      <w:pPr>
        <w:rPr>
          <w:sz w:val="32"/>
          <w:szCs w:val="32"/>
        </w:rPr>
      </w:pPr>
    </w:p>
    <w:p w14:paraId="0CB521EC" w14:textId="77777777" w:rsidR="00043218" w:rsidRPr="000A1F10" w:rsidRDefault="00043218" w:rsidP="00043218">
      <w:pPr>
        <w:rPr>
          <w:sz w:val="32"/>
          <w:szCs w:val="32"/>
        </w:rPr>
      </w:pPr>
    </w:p>
    <w:p w14:paraId="1BE320F2" w14:textId="77777777" w:rsidR="00043218" w:rsidRPr="000A1F10" w:rsidRDefault="00043218" w:rsidP="00043218">
      <w:pPr>
        <w:rPr>
          <w:sz w:val="32"/>
          <w:szCs w:val="32"/>
        </w:rPr>
      </w:pPr>
    </w:p>
    <w:p w14:paraId="73739EF4" w14:textId="77777777" w:rsidR="00043218" w:rsidRPr="000A1F10" w:rsidRDefault="00043218" w:rsidP="00043218">
      <w:pPr>
        <w:rPr>
          <w:sz w:val="32"/>
          <w:szCs w:val="32"/>
        </w:rPr>
      </w:pPr>
    </w:p>
    <w:p w14:paraId="35A5FBF0" w14:textId="77777777" w:rsidR="00043218" w:rsidRPr="000A1F10" w:rsidRDefault="00043218" w:rsidP="00043218">
      <w:pPr>
        <w:rPr>
          <w:sz w:val="32"/>
          <w:szCs w:val="32"/>
        </w:rPr>
      </w:pPr>
    </w:p>
    <w:p w14:paraId="3BBF056C" w14:textId="77777777" w:rsidR="00043218" w:rsidRPr="000A1F10" w:rsidRDefault="00043218" w:rsidP="00043218">
      <w:pPr>
        <w:rPr>
          <w:sz w:val="32"/>
          <w:szCs w:val="32"/>
        </w:rPr>
      </w:pPr>
    </w:p>
    <w:p w14:paraId="2A3FD4E8" w14:textId="77777777" w:rsidR="00043218" w:rsidRPr="000A1F10" w:rsidRDefault="00043218" w:rsidP="00043218">
      <w:pPr>
        <w:rPr>
          <w:sz w:val="32"/>
          <w:szCs w:val="32"/>
        </w:rPr>
      </w:pPr>
    </w:p>
    <w:p w14:paraId="6DD7857F" w14:textId="77777777" w:rsidR="00043218" w:rsidRDefault="00043218" w:rsidP="00043218">
      <w:pPr>
        <w:ind w:firstLine="360"/>
        <w:jc w:val="center"/>
        <w:rPr>
          <w:sz w:val="32"/>
          <w:szCs w:val="32"/>
        </w:rPr>
      </w:pPr>
    </w:p>
    <w:p w14:paraId="00294257" w14:textId="4ECFC6BE" w:rsidR="00043218" w:rsidRDefault="00E73124" w:rsidP="00043218">
      <w:pPr>
        <w:ind w:firstLine="360"/>
        <w:jc w:val="center"/>
        <w:rPr>
          <w:sz w:val="32"/>
          <w:szCs w:val="32"/>
        </w:rPr>
      </w:pPr>
      <w:r>
        <w:rPr>
          <w:sz w:val="32"/>
          <w:szCs w:val="32"/>
        </w:rPr>
        <w:t>Rīga, 2020</w:t>
      </w:r>
    </w:p>
    <w:p w14:paraId="49E2B7FB" w14:textId="77777777" w:rsidR="00043218" w:rsidRDefault="0096417C" w:rsidP="0096417C">
      <w:pPr>
        <w:tabs>
          <w:tab w:val="left" w:pos="3143"/>
        </w:tabs>
        <w:ind w:firstLine="0"/>
        <w:rPr>
          <w:sz w:val="32"/>
          <w:szCs w:val="32"/>
        </w:rPr>
      </w:pPr>
      <w:r>
        <w:rPr>
          <w:sz w:val="32"/>
          <w:szCs w:val="32"/>
        </w:rPr>
        <w:lastRenderedPageBreak/>
        <w:tab/>
      </w:r>
    </w:p>
    <w:p w14:paraId="19B8F0C1" w14:textId="77777777" w:rsidR="0096417C" w:rsidRDefault="0096417C" w:rsidP="00043218">
      <w:pPr>
        <w:ind w:firstLine="360"/>
        <w:jc w:val="center"/>
        <w:rPr>
          <w:sz w:val="32"/>
          <w:szCs w:val="32"/>
        </w:rPr>
      </w:pPr>
    </w:p>
    <w:p w14:paraId="66F8D26F" w14:textId="77777777" w:rsidR="00043218" w:rsidRDefault="00043218" w:rsidP="00043218">
      <w:pPr>
        <w:ind w:firstLine="360"/>
        <w:jc w:val="center"/>
        <w:rPr>
          <w:b/>
          <w:sz w:val="32"/>
          <w:szCs w:val="32"/>
        </w:rPr>
      </w:pPr>
      <w:r>
        <w:rPr>
          <w:b/>
          <w:sz w:val="32"/>
          <w:szCs w:val="32"/>
        </w:rPr>
        <w:t xml:space="preserve"> Saturs</w:t>
      </w:r>
    </w:p>
    <w:p w14:paraId="72ADE09C" w14:textId="77777777" w:rsidR="00043218" w:rsidRDefault="00043218" w:rsidP="00043218">
      <w:pPr>
        <w:rPr>
          <w:b/>
          <w:sz w:val="32"/>
          <w:szCs w:val="32"/>
        </w:rPr>
      </w:pPr>
    </w:p>
    <w:p w14:paraId="0DFD1EDB" w14:textId="3A0D9404" w:rsidR="00BC5A8C" w:rsidRDefault="00043218">
      <w:pPr>
        <w:pStyle w:val="TOC1"/>
        <w:rPr>
          <w:rFonts w:asciiTheme="minorHAnsi" w:eastAsiaTheme="minorEastAsia" w:hAnsiTheme="minorHAnsi"/>
          <w:noProof/>
          <w:sz w:val="22"/>
          <w:lang w:eastAsia="lv-LV"/>
        </w:rPr>
      </w:pPr>
      <w:r w:rsidRPr="008F2113">
        <w:rPr>
          <w:b/>
          <w:sz w:val="32"/>
          <w:szCs w:val="32"/>
          <w:highlight w:val="yellow"/>
        </w:rPr>
        <w:fldChar w:fldCharType="begin"/>
      </w:r>
      <w:r w:rsidRPr="008F2113">
        <w:rPr>
          <w:b/>
          <w:sz w:val="32"/>
          <w:szCs w:val="32"/>
          <w:highlight w:val="yellow"/>
        </w:rPr>
        <w:instrText xml:space="preserve"> TOC \o "1-3" \u </w:instrText>
      </w:r>
      <w:r w:rsidRPr="008F2113">
        <w:rPr>
          <w:b/>
          <w:sz w:val="32"/>
          <w:szCs w:val="32"/>
          <w:highlight w:val="yellow"/>
        </w:rPr>
        <w:fldChar w:fldCharType="separate"/>
      </w:r>
      <w:r w:rsidR="00BC5A8C">
        <w:rPr>
          <w:noProof/>
        </w:rPr>
        <w:t>1.</w:t>
      </w:r>
      <w:r w:rsidR="00BC5A8C">
        <w:rPr>
          <w:rFonts w:asciiTheme="minorHAnsi" w:eastAsiaTheme="minorEastAsia" w:hAnsiTheme="minorHAnsi"/>
          <w:noProof/>
          <w:sz w:val="22"/>
          <w:lang w:eastAsia="lv-LV"/>
        </w:rPr>
        <w:tab/>
      </w:r>
      <w:r w:rsidR="00BC5A8C">
        <w:rPr>
          <w:noProof/>
        </w:rPr>
        <w:t>Galveno makroekonomisko rādītāju prognozes 2020.-2023.gadam</w:t>
      </w:r>
      <w:r w:rsidR="00BC5A8C">
        <w:rPr>
          <w:noProof/>
        </w:rPr>
        <w:tab/>
      </w:r>
      <w:r w:rsidR="00BC5A8C">
        <w:rPr>
          <w:noProof/>
        </w:rPr>
        <w:fldChar w:fldCharType="begin"/>
      </w:r>
      <w:r w:rsidR="00BC5A8C">
        <w:rPr>
          <w:noProof/>
        </w:rPr>
        <w:instrText xml:space="preserve"> PAGEREF _Toc48048096 \h </w:instrText>
      </w:r>
      <w:r w:rsidR="00BC5A8C">
        <w:rPr>
          <w:noProof/>
        </w:rPr>
      </w:r>
      <w:r w:rsidR="00BC5A8C">
        <w:rPr>
          <w:noProof/>
        </w:rPr>
        <w:fldChar w:fldCharType="separate"/>
      </w:r>
      <w:r w:rsidR="00CF4B49">
        <w:rPr>
          <w:noProof/>
        </w:rPr>
        <w:t>3</w:t>
      </w:r>
      <w:r w:rsidR="00BC5A8C">
        <w:rPr>
          <w:noProof/>
        </w:rPr>
        <w:fldChar w:fldCharType="end"/>
      </w:r>
    </w:p>
    <w:p w14:paraId="42956F88" w14:textId="7253A870" w:rsidR="00BC5A8C" w:rsidRDefault="00BC5A8C">
      <w:pPr>
        <w:pStyle w:val="TOC1"/>
        <w:rPr>
          <w:rFonts w:asciiTheme="minorHAnsi" w:eastAsiaTheme="minorEastAsia" w:hAnsiTheme="minorHAnsi"/>
          <w:noProof/>
          <w:sz w:val="22"/>
          <w:lang w:eastAsia="lv-LV"/>
        </w:rPr>
      </w:pPr>
      <w:r>
        <w:rPr>
          <w:noProof/>
        </w:rPr>
        <w:t>2.</w:t>
      </w:r>
      <w:r>
        <w:rPr>
          <w:rFonts w:asciiTheme="minorHAnsi" w:eastAsiaTheme="minorEastAsia" w:hAnsiTheme="minorHAnsi"/>
          <w:noProof/>
          <w:sz w:val="22"/>
          <w:lang w:eastAsia="lv-LV"/>
        </w:rPr>
        <w:tab/>
      </w:r>
      <w:r>
        <w:rPr>
          <w:noProof/>
        </w:rPr>
        <w:t>Kopbudžeta nodokļu un valsts pamatbudžeta nenodokļu ieņēmumu prognoze 2020.-2023.gadam</w:t>
      </w:r>
      <w:r>
        <w:rPr>
          <w:noProof/>
        </w:rPr>
        <w:tab/>
      </w:r>
      <w:r>
        <w:rPr>
          <w:noProof/>
        </w:rPr>
        <w:fldChar w:fldCharType="begin"/>
      </w:r>
      <w:r>
        <w:rPr>
          <w:noProof/>
        </w:rPr>
        <w:instrText xml:space="preserve"> PAGEREF _Toc48048097 \h </w:instrText>
      </w:r>
      <w:r>
        <w:rPr>
          <w:noProof/>
        </w:rPr>
      </w:r>
      <w:r>
        <w:rPr>
          <w:noProof/>
        </w:rPr>
        <w:fldChar w:fldCharType="separate"/>
      </w:r>
      <w:r w:rsidR="00CF4B49">
        <w:rPr>
          <w:noProof/>
        </w:rPr>
        <w:t>23</w:t>
      </w:r>
      <w:r>
        <w:rPr>
          <w:noProof/>
        </w:rPr>
        <w:fldChar w:fldCharType="end"/>
      </w:r>
    </w:p>
    <w:p w14:paraId="79E4822E" w14:textId="3B9BF84A" w:rsidR="00BC5A8C" w:rsidRDefault="00BC5A8C">
      <w:pPr>
        <w:pStyle w:val="TOC1"/>
        <w:rPr>
          <w:rFonts w:asciiTheme="minorHAnsi" w:eastAsiaTheme="minorEastAsia" w:hAnsiTheme="minorHAnsi"/>
          <w:noProof/>
          <w:sz w:val="22"/>
          <w:lang w:eastAsia="lv-LV"/>
        </w:rPr>
      </w:pPr>
      <w:r>
        <w:rPr>
          <w:noProof/>
        </w:rPr>
        <w:t>3.</w:t>
      </w:r>
      <w:r>
        <w:rPr>
          <w:rFonts w:asciiTheme="minorHAnsi" w:eastAsiaTheme="minorEastAsia" w:hAnsiTheme="minorHAnsi"/>
          <w:noProof/>
          <w:sz w:val="22"/>
          <w:lang w:eastAsia="lv-LV"/>
        </w:rPr>
        <w:tab/>
      </w:r>
      <w:r>
        <w:rPr>
          <w:noProof/>
        </w:rPr>
        <w:t>Vispārējās valdības budžeta bilances prognoze pie nemainīgas valdības politikas 2021.-2023.gadam</w:t>
      </w:r>
      <w:r>
        <w:rPr>
          <w:noProof/>
        </w:rPr>
        <w:tab/>
      </w:r>
      <w:r>
        <w:rPr>
          <w:noProof/>
        </w:rPr>
        <w:fldChar w:fldCharType="begin"/>
      </w:r>
      <w:r>
        <w:rPr>
          <w:noProof/>
        </w:rPr>
        <w:instrText xml:space="preserve"> PAGEREF _Toc48048098 \h </w:instrText>
      </w:r>
      <w:r>
        <w:rPr>
          <w:noProof/>
        </w:rPr>
      </w:r>
      <w:r>
        <w:rPr>
          <w:noProof/>
        </w:rPr>
        <w:fldChar w:fldCharType="separate"/>
      </w:r>
      <w:r w:rsidR="00CF4B49">
        <w:rPr>
          <w:noProof/>
        </w:rPr>
        <w:t>26</w:t>
      </w:r>
      <w:r>
        <w:rPr>
          <w:noProof/>
        </w:rPr>
        <w:fldChar w:fldCharType="end"/>
      </w:r>
    </w:p>
    <w:p w14:paraId="4E630D61" w14:textId="7908F568" w:rsidR="00BC5A8C" w:rsidRDefault="00BC5A8C">
      <w:pPr>
        <w:pStyle w:val="TOC1"/>
        <w:rPr>
          <w:rFonts w:asciiTheme="minorHAnsi" w:eastAsiaTheme="minorEastAsia" w:hAnsiTheme="minorHAnsi"/>
          <w:noProof/>
          <w:sz w:val="22"/>
          <w:lang w:eastAsia="lv-LV"/>
        </w:rPr>
      </w:pPr>
      <w:r>
        <w:rPr>
          <w:noProof/>
        </w:rPr>
        <w:t>4.</w:t>
      </w:r>
      <w:r>
        <w:rPr>
          <w:rFonts w:asciiTheme="minorHAnsi" w:eastAsiaTheme="minorEastAsia" w:hAnsiTheme="minorHAnsi"/>
          <w:noProof/>
          <w:sz w:val="22"/>
          <w:lang w:eastAsia="lv-LV"/>
        </w:rPr>
        <w:tab/>
      </w:r>
      <w:r>
        <w:rPr>
          <w:noProof/>
        </w:rPr>
        <w:t>Valdības apstiprinātie atbalsta pasākumi Covid-19</w:t>
      </w:r>
      <w:r w:rsidR="004D62CB">
        <w:rPr>
          <w:noProof/>
        </w:rPr>
        <w:t xml:space="preserve"> infekcijas</w:t>
      </w:r>
      <w:r>
        <w:rPr>
          <w:noProof/>
        </w:rPr>
        <w:t xml:space="preserve"> izraisītās krīzes seku mazināšanai tautsaimniecībā un to fiskālā ietekme</w:t>
      </w:r>
      <w:r>
        <w:rPr>
          <w:noProof/>
        </w:rPr>
        <w:tab/>
      </w:r>
      <w:r>
        <w:rPr>
          <w:noProof/>
        </w:rPr>
        <w:fldChar w:fldCharType="begin"/>
      </w:r>
      <w:r>
        <w:rPr>
          <w:noProof/>
        </w:rPr>
        <w:instrText xml:space="preserve"> PAGEREF _Toc48048099 \h </w:instrText>
      </w:r>
      <w:r>
        <w:rPr>
          <w:noProof/>
        </w:rPr>
      </w:r>
      <w:r>
        <w:rPr>
          <w:noProof/>
        </w:rPr>
        <w:fldChar w:fldCharType="separate"/>
      </w:r>
      <w:r w:rsidR="00CF4B49">
        <w:rPr>
          <w:noProof/>
        </w:rPr>
        <w:t>28</w:t>
      </w:r>
      <w:r>
        <w:rPr>
          <w:noProof/>
        </w:rPr>
        <w:fldChar w:fldCharType="end"/>
      </w:r>
    </w:p>
    <w:p w14:paraId="49052704" w14:textId="20B6493A" w:rsidR="00BC5A8C" w:rsidRDefault="00BC5A8C">
      <w:pPr>
        <w:pStyle w:val="TOC1"/>
        <w:rPr>
          <w:rFonts w:asciiTheme="minorHAnsi" w:eastAsiaTheme="minorEastAsia" w:hAnsiTheme="minorHAnsi"/>
          <w:noProof/>
          <w:sz w:val="22"/>
          <w:lang w:eastAsia="lv-LV"/>
        </w:rPr>
      </w:pPr>
      <w:r>
        <w:rPr>
          <w:noProof/>
        </w:rPr>
        <w:t>5.</w:t>
      </w:r>
      <w:r>
        <w:rPr>
          <w:rFonts w:asciiTheme="minorHAnsi" w:eastAsiaTheme="minorEastAsia" w:hAnsiTheme="minorHAnsi"/>
          <w:noProof/>
          <w:sz w:val="22"/>
          <w:lang w:eastAsia="lv-LV"/>
        </w:rPr>
        <w:tab/>
      </w:r>
      <w:r>
        <w:rPr>
          <w:noProof/>
        </w:rPr>
        <w:t>Makroekonomiskās un fiskālās attīstības “</w:t>
      </w:r>
      <w:r w:rsidRPr="00E20378">
        <w:rPr>
          <w:i/>
          <w:noProof/>
        </w:rPr>
        <w:t>Covid-19</w:t>
      </w:r>
      <w:r>
        <w:rPr>
          <w:noProof/>
        </w:rPr>
        <w:t xml:space="preserve">  2.viļņa” scenārijs</w:t>
      </w:r>
      <w:r>
        <w:rPr>
          <w:noProof/>
        </w:rPr>
        <w:tab/>
      </w:r>
      <w:r>
        <w:rPr>
          <w:noProof/>
        </w:rPr>
        <w:fldChar w:fldCharType="begin"/>
      </w:r>
      <w:r>
        <w:rPr>
          <w:noProof/>
        </w:rPr>
        <w:instrText xml:space="preserve"> PAGEREF _Toc48048100 \h </w:instrText>
      </w:r>
      <w:r>
        <w:rPr>
          <w:noProof/>
        </w:rPr>
      </w:r>
      <w:r>
        <w:rPr>
          <w:noProof/>
        </w:rPr>
        <w:fldChar w:fldCharType="separate"/>
      </w:r>
      <w:r w:rsidR="00CF4B49">
        <w:rPr>
          <w:noProof/>
        </w:rPr>
        <w:t>32</w:t>
      </w:r>
      <w:r>
        <w:rPr>
          <w:noProof/>
        </w:rPr>
        <w:fldChar w:fldCharType="end"/>
      </w:r>
    </w:p>
    <w:p w14:paraId="65B6AA0E" w14:textId="5BABF009" w:rsidR="00BC5A8C" w:rsidRDefault="00BC5A8C">
      <w:pPr>
        <w:pStyle w:val="TOC1"/>
        <w:rPr>
          <w:rFonts w:asciiTheme="minorHAnsi" w:eastAsiaTheme="minorEastAsia" w:hAnsiTheme="minorHAnsi"/>
          <w:noProof/>
          <w:sz w:val="22"/>
          <w:lang w:eastAsia="lv-LV"/>
        </w:rPr>
      </w:pPr>
      <w:r>
        <w:rPr>
          <w:noProof/>
        </w:rPr>
        <w:t>6.</w:t>
      </w:r>
      <w:r>
        <w:rPr>
          <w:rFonts w:asciiTheme="minorHAnsi" w:eastAsiaTheme="minorEastAsia" w:hAnsiTheme="minorHAnsi"/>
          <w:noProof/>
          <w:sz w:val="22"/>
          <w:lang w:eastAsia="lv-LV"/>
        </w:rPr>
        <w:tab/>
      </w:r>
      <w:r>
        <w:rPr>
          <w:noProof/>
        </w:rPr>
        <w:t>Vispārējās valdības parāda prognoze pie nemainīgas valdības politikas 2021.-2023. gadā</w:t>
      </w:r>
      <w:r>
        <w:rPr>
          <w:noProof/>
        </w:rPr>
        <w:tab/>
      </w:r>
      <w:r>
        <w:rPr>
          <w:noProof/>
        </w:rPr>
        <w:fldChar w:fldCharType="begin"/>
      </w:r>
      <w:r>
        <w:rPr>
          <w:noProof/>
        </w:rPr>
        <w:instrText xml:space="preserve"> PAGEREF _Toc48048101 \h </w:instrText>
      </w:r>
      <w:r>
        <w:rPr>
          <w:noProof/>
        </w:rPr>
      </w:r>
      <w:r>
        <w:rPr>
          <w:noProof/>
        </w:rPr>
        <w:fldChar w:fldCharType="separate"/>
      </w:r>
      <w:r w:rsidR="00CF4B49">
        <w:rPr>
          <w:noProof/>
        </w:rPr>
        <w:t>34</w:t>
      </w:r>
      <w:r>
        <w:rPr>
          <w:noProof/>
        </w:rPr>
        <w:fldChar w:fldCharType="end"/>
      </w:r>
    </w:p>
    <w:p w14:paraId="2BA6C09E" w14:textId="05EF4FDB" w:rsidR="00BC5A8C" w:rsidRDefault="00BC5A8C">
      <w:pPr>
        <w:pStyle w:val="TOC1"/>
        <w:rPr>
          <w:rFonts w:asciiTheme="minorHAnsi" w:eastAsiaTheme="minorEastAsia" w:hAnsiTheme="minorHAnsi"/>
          <w:noProof/>
          <w:sz w:val="22"/>
          <w:lang w:eastAsia="lv-LV"/>
        </w:rPr>
      </w:pPr>
      <w:r>
        <w:rPr>
          <w:noProof/>
        </w:rPr>
        <w:t>7.</w:t>
      </w:r>
      <w:r>
        <w:rPr>
          <w:rFonts w:asciiTheme="minorHAnsi" w:eastAsiaTheme="minorEastAsia" w:hAnsiTheme="minorHAnsi"/>
          <w:noProof/>
          <w:sz w:val="22"/>
          <w:lang w:eastAsia="lv-LV"/>
        </w:rPr>
        <w:tab/>
      </w:r>
      <w:r>
        <w:rPr>
          <w:noProof/>
        </w:rPr>
        <w:t>Fiskālās politikas nosacījumi 2021.-2023.gadā</w:t>
      </w:r>
      <w:r>
        <w:rPr>
          <w:noProof/>
        </w:rPr>
        <w:tab/>
      </w:r>
      <w:r>
        <w:rPr>
          <w:noProof/>
        </w:rPr>
        <w:fldChar w:fldCharType="begin"/>
      </w:r>
      <w:r>
        <w:rPr>
          <w:noProof/>
        </w:rPr>
        <w:instrText xml:space="preserve"> PAGEREF _Toc48048102 \h </w:instrText>
      </w:r>
      <w:r>
        <w:rPr>
          <w:noProof/>
        </w:rPr>
      </w:r>
      <w:r>
        <w:rPr>
          <w:noProof/>
        </w:rPr>
        <w:fldChar w:fldCharType="separate"/>
      </w:r>
      <w:r w:rsidR="00CF4B49">
        <w:rPr>
          <w:noProof/>
        </w:rPr>
        <w:t>35</w:t>
      </w:r>
      <w:r>
        <w:rPr>
          <w:noProof/>
        </w:rPr>
        <w:fldChar w:fldCharType="end"/>
      </w:r>
    </w:p>
    <w:p w14:paraId="37382598" w14:textId="02BE8C42" w:rsidR="00BC5A8C" w:rsidRDefault="00BC5A8C">
      <w:pPr>
        <w:pStyle w:val="TOC1"/>
        <w:rPr>
          <w:rFonts w:asciiTheme="minorHAnsi" w:eastAsiaTheme="minorEastAsia" w:hAnsiTheme="minorHAnsi"/>
          <w:noProof/>
          <w:sz w:val="22"/>
          <w:lang w:eastAsia="lv-LV"/>
        </w:rPr>
      </w:pPr>
      <w:r>
        <w:rPr>
          <w:noProof/>
        </w:rPr>
        <w:t>8.</w:t>
      </w:r>
      <w:r>
        <w:rPr>
          <w:rFonts w:asciiTheme="minorHAnsi" w:eastAsiaTheme="minorEastAsia" w:hAnsiTheme="minorHAnsi"/>
          <w:noProof/>
          <w:sz w:val="22"/>
          <w:lang w:eastAsia="lv-LV"/>
        </w:rPr>
        <w:tab/>
      </w:r>
      <w:r>
        <w:rPr>
          <w:noProof/>
        </w:rPr>
        <w:t>Turpmākā rīcība</w:t>
      </w:r>
      <w:r>
        <w:rPr>
          <w:noProof/>
        </w:rPr>
        <w:tab/>
      </w:r>
      <w:r>
        <w:rPr>
          <w:noProof/>
        </w:rPr>
        <w:fldChar w:fldCharType="begin"/>
      </w:r>
      <w:r>
        <w:rPr>
          <w:noProof/>
        </w:rPr>
        <w:instrText xml:space="preserve"> PAGEREF _Toc48048103 \h </w:instrText>
      </w:r>
      <w:r>
        <w:rPr>
          <w:noProof/>
        </w:rPr>
      </w:r>
      <w:r>
        <w:rPr>
          <w:noProof/>
        </w:rPr>
        <w:fldChar w:fldCharType="separate"/>
      </w:r>
      <w:r w:rsidR="00CF4B49">
        <w:rPr>
          <w:noProof/>
        </w:rPr>
        <w:t>38</w:t>
      </w:r>
      <w:r>
        <w:rPr>
          <w:noProof/>
        </w:rPr>
        <w:fldChar w:fldCharType="end"/>
      </w:r>
    </w:p>
    <w:p w14:paraId="7A5C199C" w14:textId="7C84CEC4" w:rsidR="00043218" w:rsidRDefault="00043218" w:rsidP="00043218">
      <w:pPr>
        <w:rPr>
          <w:b/>
          <w:sz w:val="32"/>
          <w:szCs w:val="32"/>
        </w:rPr>
      </w:pPr>
      <w:r w:rsidRPr="008F2113">
        <w:rPr>
          <w:b/>
          <w:sz w:val="32"/>
          <w:szCs w:val="32"/>
          <w:highlight w:val="yellow"/>
        </w:rPr>
        <w:fldChar w:fldCharType="end"/>
      </w:r>
      <w:r>
        <w:rPr>
          <w:b/>
          <w:sz w:val="32"/>
          <w:szCs w:val="32"/>
        </w:rPr>
        <w:br w:type="page"/>
      </w:r>
    </w:p>
    <w:p w14:paraId="3A4F73A1" w14:textId="18807755" w:rsidR="00043218" w:rsidRPr="00377CA0" w:rsidRDefault="00043218" w:rsidP="00BC5A8C">
      <w:pPr>
        <w:pStyle w:val="Heading1"/>
        <w:ind w:left="0"/>
      </w:pPr>
      <w:bookmarkStart w:id="0" w:name="_Toc48048096"/>
      <w:r w:rsidRPr="00377CA0">
        <w:lastRenderedPageBreak/>
        <w:t>Galveno makroekonomisko rādītāju prognozes</w:t>
      </w:r>
      <w:r w:rsidRPr="00377CA0">
        <w:br/>
        <w:t>20</w:t>
      </w:r>
      <w:r w:rsidR="00E73124" w:rsidRPr="00377CA0">
        <w:t>20</w:t>
      </w:r>
      <w:r w:rsidRPr="00377CA0">
        <w:t>.-20</w:t>
      </w:r>
      <w:r w:rsidR="00E73124" w:rsidRPr="00377CA0">
        <w:t>23</w:t>
      </w:r>
      <w:r w:rsidRPr="00377CA0">
        <w:t>.gadam</w:t>
      </w:r>
      <w:bookmarkEnd w:id="0"/>
    </w:p>
    <w:p w14:paraId="6BA4EA5E" w14:textId="77777777" w:rsidR="002E768B" w:rsidRDefault="002E768B" w:rsidP="002E768B">
      <w:pPr>
        <w:spacing w:before="60" w:after="60"/>
        <w:rPr>
          <w:szCs w:val="20"/>
        </w:rPr>
      </w:pPr>
      <w:r w:rsidRPr="00293D93">
        <w:rPr>
          <w:szCs w:val="20"/>
        </w:rPr>
        <w:t>Pēc Latvijas ekonomiskās izaugsmes paātrināšanās 2017. un 2018.gadā līdz attiecīgi 3,8% un 4,3%, ko noteica augošais ārējais pieprasījums un investīciju plūsmas atjaunošanās, 2019.gadā ekonomikas pieauguma temps atkal kļuva lēnāks. Pērn Latvijas</w:t>
      </w:r>
      <w:r>
        <w:rPr>
          <w:szCs w:val="20"/>
        </w:rPr>
        <w:t xml:space="preserve"> iekšzemes kopprodukts</w:t>
      </w:r>
      <w:r w:rsidRPr="00293D93">
        <w:rPr>
          <w:szCs w:val="20"/>
        </w:rPr>
        <w:t xml:space="preserve"> </w:t>
      </w:r>
      <w:r>
        <w:rPr>
          <w:szCs w:val="20"/>
        </w:rPr>
        <w:t>(</w:t>
      </w:r>
      <w:r w:rsidRPr="00293D93">
        <w:rPr>
          <w:szCs w:val="20"/>
        </w:rPr>
        <w:t>IKP</w:t>
      </w:r>
      <w:r>
        <w:rPr>
          <w:szCs w:val="20"/>
        </w:rPr>
        <w:t>)</w:t>
      </w:r>
      <w:r w:rsidRPr="00293D93">
        <w:rPr>
          <w:szCs w:val="20"/>
        </w:rPr>
        <w:t xml:space="preserve"> salīdzināmās cenās palielinājās par 2,2%.</w:t>
      </w:r>
    </w:p>
    <w:p w14:paraId="30BFFE34" w14:textId="77777777" w:rsidR="002E768B" w:rsidRDefault="002E768B" w:rsidP="002E768B">
      <w:pPr>
        <w:spacing w:before="60" w:after="60"/>
        <w:rPr>
          <w:szCs w:val="20"/>
        </w:rPr>
      </w:pPr>
      <w:r w:rsidRPr="00F14205">
        <w:rPr>
          <w:szCs w:val="20"/>
        </w:rPr>
        <w:t xml:space="preserve">Izaugsmes tempu sabremzēšanos 2019.gadā noteica gan ārējās vides pasliktināšanās, gan vairāki vienreizēji iekšēji faktori – enerģētikas nozarei nelabvēlīgie laika apstākļi gada pirmajā pusē, </w:t>
      </w:r>
      <w:r>
        <w:rPr>
          <w:szCs w:val="20"/>
        </w:rPr>
        <w:t xml:space="preserve">apjomu </w:t>
      </w:r>
      <w:r w:rsidRPr="00F14205">
        <w:rPr>
          <w:szCs w:val="20"/>
        </w:rPr>
        <w:t xml:space="preserve">kritums </w:t>
      </w:r>
      <w:r>
        <w:rPr>
          <w:szCs w:val="20"/>
        </w:rPr>
        <w:t>tranzītā</w:t>
      </w:r>
      <w:r w:rsidRPr="00F14205">
        <w:rPr>
          <w:szCs w:val="20"/>
        </w:rPr>
        <w:t xml:space="preserve">, kā arī finanšu pakalpojumu eksporta samazināšanās. Savukārt Latvijas ekonomikas izaugsmi 2019.gadā nodrošināja iekšzemes pieprasījuma pieaugums, privātajam patēriņam palielinoties par 2,9%, ko veicināja joprojām strauji augošā darba samaksa un bezdarba līmeņa samazināšanās. Stabilizējoties ES fondu investīciju plūsmai, ieguldījumi bruto pamatkapitālā pērn </w:t>
      </w:r>
      <w:r>
        <w:rPr>
          <w:szCs w:val="20"/>
        </w:rPr>
        <w:t>palielinājās</w:t>
      </w:r>
      <w:r w:rsidRPr="00F14205">
        <w:rPr>
          <w:szCs w:val="20"/>
        </w:rPr>
        <w:t xml:space="preserve"> </w:t>
      </w:r>
      <w:r>
        <w:rPr>
          <w:szCs w:val="20"/>
        </w:rPr>
        <w:t>par 3,0</w:t>
      </w:r>
      <w:r w:rsidRPr="00F14205">
        <w:rPr>
          <w:szCs w:val="20"/>
        </w:rPr>
        <w:t>%</w:t>
      </w:r>
      <w:r>
        <w:rPr>
          <w:szCs w:val="20"/>
        </w:rPr>
        <w:t xml:space="preserve">, kas ir </w:t>
      </w:r>
      <w:r w:rsidRPr="00F14205">
        <w:rPr>
          <w:szCs w:val="20"/>
        </w:rPr>
        <w:t>ievērojami lēnāk</w:t>
      </w:r>
      <w:r>
        <w:rPr>
          <w:szCs w:val="20"/>
        </w:rPr>
        <w:t>s kāpums</w:t>
      </w:r>
      <w:r w:rsidRPr="00F14205">
        <w:rPr>
          <w:szCs w:val="20"/>
        </w:rPr>
        <w:t xml:space="preserve"> nekā 2018.</w:t>
      </w:r>
      <w:r>
        <w:rPr>
          <w:szCs w:val="20"/>
        </w:rPr>
        <w:t>gadā</w:t>
      </w:r>
      <w:r w:rsidRPr="00F14205">
        <w:rPr>
          <w:szCs w:val="20"/>
        </w:rPr>
        <w:t>. Savukārt straujāku eksporta pieaugumu kavēja pasaules ekonomiskās izaugsmes un globālās tirdzniecības sabremzēšanās, kā arī preču reeksporta apjomu straujš kritums. Tādējādi 2019.gadā kopējais preču un pakalpojumu eksports bija vien par 2,0% augstāks nekā 2018.gadā. Tajā pašā laikā preču un pakalpojumu importa kāpums bija straujāks par eksportu, pieaugumam veidojot 2,3%, tādējādi neto eksporta devums Latvijas ekonomiskajā izaugsmē pērn bija negatīvs.</w:t>
      </w:r>
    </w:p>
    <w:p w14:paraId="5087D3A7" w14:textId="552AFCB7" w:rsidR="002E768B" w:rsidRDefault="002E768B" w:rsidP="002E768B">
      <w:pPr>
        <w:spacing w:before="60" w:after="60"/>
        <w:rPr>
          <w:szCs w:val="20"/>
        </w:rPr>
      </w:pPr>
      <w:r>
        <w:rPr>
          <w:szCs w:val="20"/>
        </w:rPr>
        <w:t xml:space="preserve">Savukārt 2020.gadā, kad ierasto ikdienas ritmu pasaulē iedragāja </w:t>
      </w:r>
      <w:proofErr w:type="spellStart"/>
      <w:r>
        <w:rPr>
          <w:szCs w:val="20"/>
        </w:rPr>
        <w:t>koronavīrusa</w:t>
      </w:r>
      <w:proofErr w:type="spellEnd"/>
      <w:r w:rsidR="003E5E45">
        <w:rPr>
          <w:szCs w:val="20"/>
        </w:rPr>
        <w:t xml:space="preserve"> izraisītā Covid-19 infekcija</w:t>
      </w:r>
      <w:r w:rsidR="004D62CB">
        <w:rPr>
          <w:szCs w:val="20"/>
        </w:rPr>
        <w:t>s</w:t>
      </w:r>
      <w:r w:rsidR="003E5E45">
        <w:rPr>
          <w:szCs w:val="20"/>
        </w:rPr>
        <w:t xml:space="preserve"> (Covid-19)</w:t>
      </w:r>
      <w:r>
        <w:rPr>
          <w:szCs w:val="20"/>
        </w:rPr>
        <w:t xml:space="preserve"> straujā izplatība, kura</w:t>
      </w:r>
      <w:r w:rsidRPr="00EE67D4">
        <w:rPr>
          <w:szCs w:val="20"/>
        </w:rPr>
        <w:t xml:space="preserve"> tiešā ietekme Latvijā bija jūtama no marta vidus,</w:t>
      </w:r>
      <w:r>
        <w:rPr>
          <w:szCs w:val="20"/>
        </w:rPr>
        <w:t xml:space="preserve"> ekonomiskā aktivitāte strauji pasliktinājās un IKP pirmo reizi kopš 2010.gada uzrādīja sarukumu. Jau šā gada pirmajā ceturksnī </w:t>
      </w:r>
      <w:r w:rsidRPr="00884A76">
        <w:rPr>
          <w:szCs w:val="20"/>
        </w:rPr>
        <w:t xml:space="preserve">salīdzinājumā ar pagājušā gada attiecīgo ceturksni </w:t>
      </w:r>
      <w:r>
        <w:rPr>
          <w:szCs w:val="20"/>
        </w:rPr>
        <w:t>Latvijas IKP samazinājā</w:t>
      </w:r>
      <w:r w:rsidRPr="00884A76">
        <w:rPr>
          <w:szCs w:val="20"/>
        </w:rPr>
        <w:t>s par 1,5%</w:t>
      </w:r>
      <w:r>
        <w:rPr>
          <w:szCs w:val="20"/>
        </w:rPr>
        <w:t>, neskatoties uz to, ka Covid-19 krīze Latvijas ekonomiku sasniedza vien ceturkšņa beigās.</w:t>
      </w:r>
    </w:p>
    <w:p w14:paraId="05CF8171" w14:textId="6D2DD4AD" w:rsidR="002E768B" w:rsidRDefault="004D62CB" w:rsidP="002E768B">
      <w:pPr>
        <w:spacing w:before="60" w:after="60"/>
        <w:rPr>
          <w:szCs w:val="20"/>
        </w:rPr>
      </w:pPr>
      <w:r>
        <w:rPr>
          <w:szCs w:val="20"/>
        </w:rPr>
        <w:t xml:space="preserve">Covid-19 </w:t>
      </w:r>
      <w:r w:rsidR="002E768B">
        <w:rPr>
          <w:szCs w:val="20"/>
        </w:rPr>
        <w:t>izplatība un tās</w:t>
      </w:r>
      <w:r w:rsidR="002E768B" w:rsidRPr="0011538C">
        <w:rPr>
          <w:szCs w:val="20"/>
        </w:rPr>
        <w:t xml:space="preserve"> ierobežošanai noteiktie </w:t>
      </w:r>
      <w:r w:rsidR="002E768B">
        <w:rPr>
          <w:szCs w:val="20"/>
        </w:rPr>
        <w:t>pasākumi</w:t>
      </w:r>
      <w:r w:rsidR="002E768B" w:rsidRPr="0011538C">
        <w:rPr>
          <w:szCs w:val="20"/>
        </w:rPr>
        <w:t xml:space="preserve"> jau pirmajā ceturksnī būtiski </w:t>
      </w:r>
      <w:r w:rsidR="002E768B">
        <w:rPr>
          <w:szCs w:val="20"/>
        </w:rPr>
        <w:t>ietekmēja</w:t>
      </w:r>
      <w:r w:rsidR="002E768B" w:rsidRPr="0011538C">
        <w:rPr>
          <w:szCs w:val="20"/>
        </w:rPr>
        <w:t xml:space="preserve"> privāto patēriņu un vairākās krīzes tieši skartajās pakalpojumu nozarēs </w:t>
      </w:r>
      <w:r w:rsidR="002E768B">
        <w:rPr>
          <w:szCs w:val="20"/>
        </w:rPr>
        <w:t>tika</w:t>
      </w:r>
      <w:r w:rsidR="002E768B" w:rsidRPr="0011538C">
        <w:rPr>
          <w:szCs w:val="20"/>
        </w:rPr>
        <w:t xml:space="preserve"> fiksē</w:t>
      </w:r>
      <w:r w:rsidR="002E768B">
        <w:rPr>
          <w:szCs w:val="20"/>
        </w:rPr>
        <w:t>ts visai krass apjomu kritums. Tādējādi p</w:t>
      </w:r>
      <w:r w:rsidR="002E768B" w:rsidRPr="0011538C">
        <w:rPr>
          <w:szCs w:val="20"/>
        </w:rPr>
        <w:t>rivātais patēriņš pirmajā ceturksnī, salīdzinot ar pagājušā g</w:t>
      </w:r>
      <w:r w:rsidR="002E768B">
        <w:rPr>
          <w:szCs w:val="20"/>
        </w:rPr>
        <w:t>ada pirmo ceturksni, samazinājā</w:t>
      </w:r>
      <w:r w:rsidR="002E768B" w:rsidRPr="0011538C">
        <w:rPr>
          <w:szCs w:val="20"/>
        </w:rPr>
        <w:t>s par 4,5%</w:t>
      </w:r>
      <w:r w:rsidR="002E768B">
        <w:rPr>
          <w:szCs w:val="20"/>
        </w:rPr>
        <w:t>, kas noteica kopējo ekonomisko izaugsmes tempu sarukumu</w:t>
      </w:r>
      <w:r w:rsidR="002E768B" w:rsidRPr="0011538C">
        <w:rPr>
          <w:szCs w:val="20"/>
        </w:rPr>
        <w:t>. </w:t>
      </w:r>
      <w:r w:rsidR="002E768B">
        <w:rPr>
          <w:szCs w:val="20"/>
        </w:rPr>
        <w:t>Tajā pašā laikā</w:t>
      </w:r>
      <w:r w:rsidR="002E768B" w:rsidRPr="0011538C">
        <w:rPr>
          <w:szCs w:val="20"/>
        </w:rPr>
        <w:t xml:space="preserve"> laba attīstība pirmajā ceturksnī bijusi investīcijās</w:t>
      </w:r>
      <w:r w:rsidR="002E768B">
        <w:rPr>
          <w:szCs w:val="20"/>
        </w:rPr>
        <w:t xml:space="preserve">, ieguldījumiem bruto pamatkapitālā </w:t>
      </w:r>
      <w:r w:rsidR="002E768B" w:rsidRPr="0011538C">
        <w:rPr>
          <w:szCs w:val="20"/>
        </w:rPr>
        <w:t> pieaugot par 5,7%</w:t>
      </w:r>
      <w:r w:rsidR="002E768B">
        <w:rPr>
          <w:szCs w:val="20"/>
        </w:rPr>
        <w:t>, uzrādot straujāku kāpumu nekā pērn kopumā. Labāki rezultāti nekā 2019.gadā tika reģistrēti arī sabiedriskajā patēriņā, šā gada pirmajā ceturksnī palielinoties par 3,2%. Tāpat pirmajā ceturksnī par 3,0% palielinājās preču un pakalpojumu eksports, kamēr importa kāpums atkal bija straujāks par eksportu, pieaugumam sasniedzot 3,5%.</w:t>
      </w:r>
    </w:p>
    <w:p w14:paraId="6E20124D" w14:textId="77777777" w:rsidR="002E768B" w:rsidRDefault="002E768B" w:rsidP="00500AAB">
      <w:pPr>
        <w:spacing w:before="60" w:after="60"/>
        <w:rPr>
          <w:szCs w:val="20"/>
        </w:rPr>
      </w:pPr>
      <w:r>
        <w:rPr>
          <w:szCs w:val="20"/>
        </w:rPr>
        <w:t>No nozaru puses pievienotās vērtības sarukumu pirmajā ceturksnī uzrādīja ne tikai ar privāto patēriņu saistītās nozares, piemēram, m</w:t>
      </w:r>
      <w:r w:rsidRPr="008F584C">
        <w:rPr>
          <w:szCs w:val="20"/>
        </w:rPr>
        <w:t>āksla, izklaide un atpūta</w:t>
      </w:r>
      <w:r>
        <w:rPr>
          <w:szCs w:val="20"/>
        </w:rPr>
        <w:t xml:space="preserve"> (-8,4% gada griezumā), i</w:t>
      </w:r>
      <w:r w:rsidRPr="008F584C">
        <w:rPr>
          <w:szCs w:val="20"/>
        </w:rPr>
        <w:t>zmitināšana un ēdināšanas pakalpojumi</w:t>
      </w:r>
      <w:r>
        <w:rPr>
          <w:szCs w:val="20"/>
        </w:rPr>
        <w:t xml:space="preserve"> (-6,8%), bet arī uz ārējo pieprasījumu balstītā apstrādes rūpniecība. Salīdzinājumā ar 2019.gada </w:t>
      </w:r>
      <w:r>
        <w:rPr>
          <w:szCs w:val="20"/>
        </w:rPr>
        <w:lastRenderedPageBreak/>
        <w:t>pirmo ceturksni apstrādes rūpniecībā radītā pievienotā vērtība samazinājusies par 1,2%. Pirmajā ceturksnī negaidītu  kritumu uzrādīja i</w:t>
      </w:r>
      <w:r w:rsidRPr="00BB50EE">
        <w:rPr>
          <w:szCs w:val="20"/>
        </w:rPr>
        <w:t>nformācijas un komunikācijas pakalpojum</w:t>
      </w:r>
      <w:r w:rsidRPr="000A1BF6">
        <w:rPr>
          <w:szCs w:val="20"/>
        </w:rPr>
        <w:t xml:space="preserve">i, kamēr visai prognozēts sarukums reģistrēts transporta un uzglabāšanas nozarē, tās pievienotajai vērtībai gada griezumā samazinoties par 9,6% . </w:t>
      </w:r>
      <w:r>
        <w:rPr>
          <w:szCs w:val="20"/>
        </w:rPr>
        <w:t xml:space="preserve">Tajā pašā laikā spēcīgu pieaugumu uzrādīja būvniecība, nozares pievienotajai vērtībai pirmajā ceturksnī palielinoties par 14,9%, kas Latvijas ekonomiku pasargāja no vēl dziļāka krituma. Mēreni pieaugumi tika fiksēti operācijās ar nekustamo īpašumu, profesionālo, zinātnisko un tehnisko pakalpojumu nozarē, kā arī sabiedrisko pakalpojumu nozarēs. </w:t>
      </w:r>
    </w:p>
    <w:p w14:paraId="32C7185C" w14:textId="77777777" w:rsidR="002E768B" w:rsidRDefault="002E768B" w:rsidP="002E768B">
      <w:pPr>
        <w:spacing w:before="60" w:after="60"/>
        <w:rPr>
          <w:szCs w:val="20"/>
        </w:rPr>
      </w:pPr>
      <w:r w:rsidRPr="00B4578B">
        <w:rPr>
          <w:szCs w:val="20"/>
        </w:rPr>
        <w:t>Savukārt</w:t>
      </w:r>
      <w:r>
        <w:rPr>
          <w:szCs w:val="20"/>
        </w:rPr>
        <w:t xml:space="preserve"> Covid-19 krīzes augstākais punkts ir bijis otrajā ceturksnī, īpaši aprīlī, kad slimības izplatības kontrolēšanai ieviestie ierobežojumi būtiski ietekmēja ekonomisko aktivitāti praktiski visās nozarēs un mainīja iedzīvotāju paradumus. Turklāt vīrusa radītā vispārējā nenoteiktība rosināja piesardzību attiecībā uz patērētāju un uzņēmumu finansiālo situāciju un radīja nedrošību par nākotni. Saskaņā ar ātrā novērtējuma datiem par ekonomisko aktivitāti šā gada otrajā ceturksnī, Latvijas IKP salīdzinājumā ar 2019.gada otro ceturksni samazinājās par 9,8%. </w:t>
      </w:r>
      <w:r w:rsidRPr="0026286C">
        <w:rPr>
          <w:szCs w:val="20"/>
        </w:rPr>
        <w:t>Lai gan tas ir</w:t>
      </w:r>
      <w:r>
        <w:rPr>
          <w:szCs w:val="20"/>
        </w:rPr>
        <w:t xml:space="preserve"> straujākais kritums kopš 2010.</w:t>
      </w:r>
      <w:r w:rsidRPr="0026286C">
        <w:rPr>
          <w:szCs w:val="20"/>
        </w:rPr>
        <w:t xml:space="preserve">gada, ekonomikas sarukums bijis pat nedaudz mazāks nekā sākotnēji prognozēts, labāku noturību pret krīzi uzrādot ražošanas nozarēm un pakalpojumu nozarēm sākot atgūties </w:t>
      </w:r>
      <w:r>
        <w:rPr>
          <w:szCs w:val="20"/>
        </w:rPr>
        <w:t>ātrāk</w:t>
      </w:r>
      <w:r w:rsidRPr="0026286C">
        <w:rPr>
          <w:szCs w:val="20"/>
        </w:rPr>
        <w:t xml:space="preserve"> nekā gaidīts. </w:t>
      </w:r>
    </w:p>
    <w:p w14:paraId="0A96B822" w14:textId="1AFE49E1" w:rsidR="00500AAB" w:rsidRPr="00500AAB" w:rsidRDefault="002E768B" w:rsidP="002E768B">
      <w:pPr>
        <w:spacing w:before="60" w:after="60"/>
        <w:rPr>
          <w:rFonts w:eastAsia="Calibri" w:cs="Times New Roman"/>
          <w:szCs w:val="20"/>
        </w:rPr>
      </w:pPr>
      <w:r>
        <w:rPr>
          <w:szCs w:val="20"/>
        </w:rPr>
        <w:t xml:space="preserve">Līdzīgi kā pirmajā ceturksnī arī otrajā ceturksnī </w:t>
      </w:r>
      <w:r w:rsidRPr="00AB0A97">
        <w:rPr>
          <w:szCs w:val="20"/>
        </w:rPr>
        <w:t xml:space="preserve">straujākais kritums </w:t>
      </w:r>
      <w:r>
        <w:rPr>
          <w:szCs w:val="20"/>
        </w:rPr>
        <w:t>bijis tieši pakalpojumu nozarēs - par 11,0%</w:t>
      </w:r>
      <w:r w:rsidRPr="00AB0A97">
        <w:rPr>
          <w:szCs w:val="20"/>
        </w:rPr>
        <w:t>, kamēr ražošanas nozares kopumā uzrādījušas visai stabilu attīstību, samazinoties tikai par 3,8%.</w:t>
      </w:r>
      <w:r>
        <w:rPr>
          <w:szCs w:val="20"/>
        </w:rPr>
        <w:t xml:space="preserve"> Var secināt, ka </w:t>
      </w:r>
      <w:r w:rsidRPr="0026286C">
        <w:rPr>
          <w:szCs w:val="20"/>
        </w:rPr>
        <w:t xml:space="preserve">lielākie kritumi otrajā ceturksnī bijuši izmitināšanas un ēdināšanas, mākslas, izlaides un atpūtas un profesionālo pakalpojumu nozarēs, uz kurām tieši attiecās ārkārtējās situācijas laikā noteiktie darbības ierobežojumi. Spēcīgs kritums bijis arī transportā, kuru līdzās starptautisko pasažieru pārvadājumu apturēšanai un iekšzemes pieprasījuma kritumam skāra arī </w:t>
      </w:r>
      <w:r>
        <w:rPr>
          <w:szCs w:val="20"/>
        </w:rPr>
        <w:t>kravu tranzīta samazināšanās no</w:t>
      </w:r>
      <w:r w:rsidRPr="00384B29">
        <w:rPr>
          <w:szCs w:val="20"/>
        </w:rPr>
        <w:t xml:space="preserve"> </w:t>
      </w:r>
      <w:r w:rsidRPr="0026286C">
        <w:rPr>
          <w:szCs w:val="20"/>
        </w:rPr>
        <w:t>Krievija</w:t>
      </w:r>
      <w:r>
        <w:rPr>
          <w:szCs w:val="20"/>
        </w:rPr>
        <w:t xml:space="preserve">s. Savukārt </w:t>
      </w:r>
      <w:r w:rsidRPr="0026286C">
        <w:rPr>
          <w:szCs w:val="20"/>
        </w:rPr>
        <w:t>ražošanas nozarēs attīstība bijusi daudz stabilāka, jo, piemēram, apstrādes rūpniecību Latvijā atšķirībā no daudzām citām pasaules valstīm tieši neskāra darbības ierobežošana vai apturēšana. Līdzīgi arī būvniecības nozarē otrajā ceturksnī saglabājusies salīdzinoši augsta aktivitāte, turpinoties jau iesākto investīciju projektu realizācijai.</w:t>
      </w:r>
      <w:r>
        <w:rPr>
          <w:szCs w:val="20"/>
        </w:rPr>
        <w:t xml:space="preserve"> O</w:t>
      </w:r>
      <w:r w:rsidRPr="0026286C">
        <w:rPr>
          <w:szCs w:val="20"/>
        </w:rPr>
        <w:t>trā ceturkšņa dati, kā arī situācijas attīstība jūlijā un jaunākie uzņēmēju un patērētāju noskaņojuma rādītāji apstiprina, ka krīzes zemākais punkts otrajā ceturksnī jau ir pārvarēts un nākamajos ceturkšņos ekonomikas izaugsme atsāksies, lai gan pret pagājušo gadu atsevišķās nozarēs vēl būs vērojami samazinājumi.</w:t>
      </w:r>
      <w:r w:rsidR="00500AAB" w:rsidRPr="00500AAB">
        <w:rPr>
          <w:rFonts w:eastAsia="Calibri" w:cs="Times New Roman"/>
          <w:szCs w:val="20"/>
        </w:rPr>
        <w:t> </w:t>
      </w:r>
    </w:p>
    <w:p w14:paraId="5322B2F6" w14:textId="745AEFED" w:rsidR="00500AAB" w:rsidRPr="002E768B" w:rsidRDefault="002E768B" w:rsidP="002E768B">
      <w:pPr>
        <w:spacing w:before="60" w:after="60"/>
        <w:rPr>
          <w:szCs w:val="20"/>
        </w:rPr>
      </w:pPr>
      <w:r w:rsidRPr="00E7612E">
        <w:rPr>
          <w:szCs w:val="20"/>
        </w:rPr>
        <w:t>Makroek</w:t>
      </w:r>
      <w:r>
        <w:rPr>
          <w:szCs w:val="20"/>
        </w:rPr>
        <w:t>onomisko rādītāju prognozes 2020.-2023</w:t>
      </w:r>
      <w:r w:rsidRPr="00E7612E">
        <w:rPr>
          <w:szCs w:val="20"/>
        </w:rPr>
        <w:t xml:space="preserve">.gadam tika izstrādātas </w:t>
      </w:r>
      <w:r>
        <w:rPr>
          <w:szCs w:val="20"/>
        </w:rPr>
        <w:t>šā gada jūnijā, ņemot vērā 2020</w:t>
      </w:r>
      <w:r w:rsidRPr="00E7612E">
        <w:rPr>
          <w:szCs w:val="20"/>
        </w:rPr>
        <w:t xml:space="preserve">.gada pirmā ceturkšņa </w:t>
      </w:r>
      <w:r>
        <w:rPr>
          <w:szCs w:val="20"/>
        </w:rPr>
        <w:t>IKP</w:t>
      </w:r>
      <w:r w:rsidRPr="00E7612E">
        <w:rPr>
          <w:szCs w:val="20"/>
        </w:rPr>
        <w:t xml:space="preserve"> datus un līdz 20</w:t>
      </w:r>
      <w:r>
        <w:rPr>
          <w:szCs w:val="20"/>
        </w:rPr>
        <w:t>20</w:t>
      </w:r>
      <w:r w:rsidRPr="00E7612E">
        <w:rPr>
          <w:szCs w:val="20"/>
        </w:rPr>
        <w:t xml:space="preserve">.gada jūnijam pieejamo īstermiņa makroekonomisko informāciju. Prognozes ņem vērā </w:t>
      </w:r>
      <w:r>
        <w:rPr>
          <w:szCs w:val="20"/>
        </w:rPr>
        <w:t>Covid</w:t>
      </w:r>
      <w:r w:rsidRPr="00E7612E">
        <w:rPr>
          <w:szCs w:val="20"/>
        </w:rPr>
        <w:t>-19 izraisītās krīzes ietekmi uz ekonomiku un</w:t>
      </w:r>
      <w:r>
        <w:rPr>
          <w:szCs w:val="20"/>
        </w:rPr>
        <w:t xml:space="preserve"> valdības apstiprinātos atbalsta pasākumus tautsaimniecībai,</w:t>
      </w:r>
      <w:r w:rsidRPr="00E7612E">
        <w:rPr>
          <w:szCs w:val="20"/>
        </w:rPr>
        <w:t xml:space="preserve"> paredz</w:t>
      </w:r>
      <w:r>
        <w:rPr>
          <w:szCs w:val="20"/>
        </w:rPr>
        <w:t>ot</w:t>
      </w:r>
      <w:r w:rsidRPr="00E7612E">
        <w:rPr>
          <w:szCs w:val="20"/>
        </w:rPr>
        <w:t xml:space="preserve">, ka iekšzemes kopprodukts salīdzināmās cenās šogad samazināsies par 7,0%, bet 2021.gadā ekonomikas izaugsme </w:t>
      </w:r>
      <w:r w:rsidRPr="00E7612E">
        <w:rPr>
          <w:szCs w:val="20"/>
        </w:rPr>
        <w:lastRenderedPageBreak/>
        <w:t>atjaunosies, IKP pieaugumam veidojot 5,1%</w:t>
      </w:r>
      <w:r>
        <w:rPr>
          <w:szCs w:val="20"/>
        </w:rPr>
        <w:t xml:space="preserve">, </w:t>
      </w:r>
      <w:r w:rsidRPr="000A1BF6">
        <w:rPr>
          <w:szCs w:val="20"/>
        </w:rPr>
        <w:t>bet 2022. un 2023.gadā IKP pieaugums stabilizēsies 3,1% līmenī.</w:t>
      </w:r>
    </w:p>
    <w:p w14:paraId="11B6403E" w14:textId="77777777" w:rsidR="00500AAB" w:rsidRPr="00500AAB" w:rsidRDefault="00500AAB" w:rsidP="00083EB1">
      <w:pPr>
        <w:spacing w:before="240"/>
        <w:rPr>
          <w:rFonts w:eastAsia="Calibri" w:cs="Times New Roman"/>
          <w:b/>
          <w:szCs w:val="20"/>
        </w:rPr>
      </w:pPr>
      <w:r w:rsidRPr="00500AAB">
        <w:rPr>
          <w:rFonts w:eastAsia="Calibri" w:cs="Times New Roman"/>
          <w:b/>
          <w:szCs w:val="20"/>
        </w:rPr>
        <w:t>Ārējā vide</w:t>
      </w:r>
    </w:p>
    <w:p w14:paraId="2E58B359" w14:textId="77777777" w:rsidR="002E768B" w:rsidRPr="000A1BF6" w:rsidRDefault="002E768B" w:rsidP="002E768B">
      <w:pPr>
        <w:spacing w:before="60" w:after="60"/>
        <w:rPr>
          <w:szCs w:val="20"/>
        </w:rPr>
      </w:pPr>
      <w:r w:rsidRPr="000A1BF6">
        <w:rPr>
          <w:szCs w:val="20"/>
        </w:rPr>
        <w:t>Pasaules ekonomiskā izaugsme pēc 2018.gadā sasniegtā paātrinājuma jau 2019.gadā bija sākusi bremzēties, palēninoties no 3,6% līdz 2,9%, bet 2020.gadā situāciju pilnībā jau noteicis Covid-19 uzliesmojums. Pēc Starptautiskā Valūtas fonda (SVF) jaunākajām prognozēm, pasaules ekonomikas recesija būs vēl smagāka nekā pēdējās finanšu krīzes laikā 2009.gadā, kad pasaules ekonomika saruka par 0,1%. Šā gada jūnijā SVF prognozējis, ka pasaules ekonomika šogad saruks par 4,9%, nākamajā gadā izaugsmei atjaunojoties un kopproduktam palielinoties par 5,4%.</w:t>
      </w:r>
    </w:p>
    <w:p w14:paraId="1BE51741" w14:textId="77777777" w:rsidR="002E768B" w:rsidRPr="000A1BF6" w:rsidRDefault="002E768B" w:rsidP="002E768B">
      <w:pPr>
        <w:spacing w:before="60" w:after="60"/>
        <w:rPr>
          <w:szCs w:val="20"/>
        </w:rPr>
      </w:pPr>
      <w:r w:rsidRPr="000A1BF6">
        <w:rPr>
          <w:szCs w:val="20"/>
        </w:rPr>
        <w:t xml:space="preserve">Latvijas ekonomikas attīstību visbūtiskāk ietekmē situācija </w:t>
      </w:r>
      <w:proofErr w:type="spellStart"/>
      <w:r w:rsidRPr="000A1BF6">
        <w:rPr>
          <w:szCs w:val="20"/>
        </w:rPr>
        <w:t>eirozonā</w:t>
      </w:r>
      <w:proofErr w:type="spellEnd"/>
      <w:r w:rsidRPr="000A1BF6">
        <w:rPr>
          <w:szCs w:val="20"/>
        </w:rPr>
        <w:t xml:space="preserve"> un atsevišķās tās galvenajās ārējās tirdzniecības partnervalstīs. Pēc Eiropas Komisijas (EK) pēdējām, 2020.gada vasaras prognozēm, </w:t>
      </w:r>
      <w:proofErr w:type="spellStart"/>
      <w:r w:rsidRPr="000A1BF6">
        <w:rPr>
          <w:szCs w:val="20"/>
        </w:rPr>
        <w:t>eirozonas</w:t>
      </w:r>
      <w:proofErr w:type="spellEnd"/>
      <w:r w:rsidRPr="000A1BF6">
        <w:rPr>
          <w:szCs w:val="20"/>
        </w:rPr>
        <w:t xml:space="preserve"> ekonomika šogad piedzīvos 8,7% kritumu. Latvijas lielākajām tirdzniecības partnervalstīm kopumā situācija ir nedaudz labāka</w:t>
      </w:r>
      <w:r>
        <w:rPr>
          <w:szCs w:val="20"/>
        </w:rPr>
        <w:t>,</w:t>
      </w:r>
      <w:r w:rsidRPr="000A1BF6">
        <w:rPr>
          <w:szCs w:val="20"/>
        </w:rPr>
        <w:t xml:space="preserve"> un IKP kritumi prognozēti zemāki -  attiecīgi 7,1% Lietuvai, 7,7% Igaunijai, 6,3% Vācijai, 5,3% Zviedrijai, 9,7% Lielbritānijai, 5,2% Dānijai un 4,6% Polijai. Krievijai, kas ir trešā lielākā Latvijas ārējās tirdzniecības partnervalsts, SVF šim gadam paredz iekšzemes kopprodukta samazinājumu par 6,6%.  </w:t>
      </w:r>
    </w:p>
    <w:p w14:paraId="3EB9DBC0" w14:textId="77777777" w:rsidR="002E768B" w:rsidRPr="000A1BF6" w:rsidRDefault="002E768B" w:rsidP="002E768B">
      <w:pPr>
        <w:spacing w:before="60" w:after="60"/>
        <w:rPr>
          <w:szCs w:val="20"/>
        </w:rPr>
      </w:pPr>
      <w:r w:rsidRPr="000A1BF6">
        <w:rPr>
          <w:szCs w:val="20"/>
        </w:rPr>
        <w:t xml:space="preserve">Jaunākie, šā gada otrā ceturkšņa iekšzemes kopprodukta dati apstiprina, ka Latvijas tirdzniecības partnervalstīs ekonomiskā situācija kopumā bijusi labāka nekā Eiropā kopumā, kā arī parāda, ka ekonomikas kritums tomēr varētu būt ne tik straujš kā sākotnēji sagaidīts. </w:t>
      </w:r>
      <w:proofErr w:type="spellStart"/>
      <w:r w:rsidRPr="000A1BF6">
        <w:rPr>
          <w:szCs w:val="20"/>
        </w:rPr>
        <w:t>Eirozonas</w:t>
      </w:r>
      <w:proofErr w:type="spellEnd"/>
      <w:r w:rsidRPr="000A1BF6">
        <w:rPr>
          <w:szCs w:val="20"/>
        </w:rPr>
        <w:t xml:space="preserve"> ekonomika, pēc IKP ātrā novērtējuma, šā gada otrajā ceturksnī, salīdzinot ar attiecīgo ceturksni pirms gada, samazinājusies par 15%, kamēr Lietuvā un Vācijā, kas ir būtiskas Latvijas ārējās tirdzniecības partneres, IKP kritums bijis attiecīgi 3,7% un 11,7%. Salīdzinot ar iepriekšējo ceturksni, </w:t>
      </w:r>
      <w:proofErr w:type="spellStart"/>
      <w:r w:rsidRPr="000A1BF6">
        <w:rPr>
          <w:szCs w:val="20"/>
        </w:rPr>
        <w:t>eirozonas</w:t>
      </w:r>
      <w:proofErr w:type="spellEnd"/>
      <w:r w:rsidRPr="000A1BF6">
        <w:rPr>
          <w:szCs w:val="20"/>
        </w:rPr>
        <w:t xml:space="preserve"> ekonomika otrajā ceturksnī sarukusi par 12,1%, uzrādot nedaudz lēnāku kritumu nekā bija prognozējusi EK. Atsevišķas institūcijas jau ir sākušas pārskatīt savas ekonomiskās attīstības prognozes, piemēram, </w:t>
      </w:r>
      <w:r w:rsidRPr="00FA58DB">
        <w:rPr>
          <w:i/>
          <w:szCs w:val="20"/>
        </w:rPr>
        <w:t xml:space="preserve">Deutsche </w:t>
      </w:r>
      <w:proofErr w:type="spellStart"/>
      <w:r w:rsidRPr="00FA58DB">
        <w:rPr>
          <w:i/>
          <w:szCs w:val="20"/>
        </w:rPr>
        <w:t>Bank</w:t>
      </w:r>
      <w:proofErr w:type="spellEnd"/>
      <w:r w:rsidRPr="000A1BF6">
        <w:rPr>
          <w:szCs w:val="20"/>
        </w:rPr>
        <w:t xml:space="preserve"> augusta sākumā uzlabojusi savu prognozi </w:t>
      </w:r>
      <w:proofErr w:type="spellStart"/>
      <w:r w:rsidRPr="000A1BF6">
        <w:rPr>
          <w:szCs w:val="20"/>
        </w:rPr>
        <w:t>eirozonai</w:t>
      </w:r>
      <w:proofErr w:type="spellEnd"/>
      <w:r w:rsidRPr="000A1BF6">
        <w:rPr>
          <w:szCs w:val="20"/>
        </w:rPr>
        <w:t xml:space="preserve"> no iepriekš prognozētā 12,0% krituma līdz 8,1% samazinājumam. </w:t>
      </w:r>
    </w:p>
    <w:p w14:paraId="7B3024FF" w14:textId="77777777" w:rsidR="002E768B" w:rsidRPr="000A1BF6" w:rsidRDefault="002E768B" w:rsidP="002E768B">
      <w:pPr>
        <w:spacing w:before="60" w:after="60"/>
        <w:rPr>
          <w:szCs w:val="20"/>
        </w:rPr>
      </w:pPr>
      <w:r w:rsidRPr="000A1BF6">
        <w:rPr>
          <w:szCs w:val="20"/>
        </w:rPr>
        <w:t xml:space="preserve">2021.gadā, līdzīgi kā pasaulei kopumā, arī </w:t>
      </w:r>
      <w:proofErr w:type="spellStart"/>
      <w:r w:rsidRPr="000A1BF6">
        <w:rPr>
          <w:szCs w:val="20"/>
        </w:rPr>
        <w:t>eirozonai</w:t>
      </w:r>
      <w:proofErr w:type="spellEnd"/>
      <w:r w:rsidRPr="000A1BF6">
        <w:rPr>
          <w:szCs w:val="20"/>
        </w:rPr>
        <w:t xml:space="preserve"> tiek prognozēta ekonomiskās izaugsmes atjaunošanās un IKP pieaugums, pēc EK prognozēm, sasniegs 6,1%. Inflācija </w:t>
      </w:r>
      <w:proofErr w:type="spellStart"/>
      <w:r w:rsidRPr="000A1BF6">
        <w:rPr>
          <w:szCs w:val="20"/>
        </w:rPr>
        <w:t>eirozonā</w:t>
      </w:r>
      <w:proofErr w:type="spellEnd"/>
      <w:r w:rsidRPr="000A1BF6">
        <w:rPr>
          <w:szCs w:val="20"/>
        </w:rPr>
        <w:t xml:space="preserve"> šogad līdz ar straujo ekonomikas kritumu un izejvielu cenu samazināšanos noslīdēs līdz 0,3%, bet nākamajā gadā, izaugsmei atjaunojoties un valstīm aktīvi realizējot fiskālās un monetārās stimulēšanas pasākumus, pieaugs līdz 1,1%.</w:t>
      </w:r>
    </w:p>
    <w:p w14:paraId="7B583381" w14:textId="133605F0" w:rsidR="00500AAB" w:rsidRPr="002E768B" w:rsidRDefault="002E768B" w:rsidP="002E768B">
      <w:pPr>
        <w:spacing w:before="60" w:after="60"/>
        <w:rPr>
          <w:szCs w:val="20"/>
        </w:rPr>
      </w:pPr>
      <w:r w:rsidRPr="000A1BF6">
        <w:rPr>
          <w:szCs w:val="20"/>
        </w:rPr>
        <w:t xml:space="preserve">Vienlaikus jāpiebilst, ka pasaulē joprojām saglabājas ļoti augsta nenoteiktība par Covid-19 izplatības turpmāko gaitu un iespējamiem slimības atkārtotiem uzliesmojumiem valstīs, kas iepriekš jau bija sekmīgi ierobežojušas slimības izplatību. Līdz ar to gan pasaules, gan Latvijas galveno eksporta </w:t>
      </w:r>
      <w:r w:rsidRPr="000A1BF6">
        <w:rPr>
          <w:szCs w:val="20"/>
        </w:rPr>
        <w:lastRenderedPageBreak/>
        <w:t>partnervalstu ekonomiskās attīstības prognozes arī turpmāk var piedzīvot visai krasas korekcijas, līdzīgi kā tas noticis jau visa 2020.gada laikā.</w:t>
      </w:r>
    </w:p>
    <w:p w14:paraId="41AD1407" w14:textId="77777777" w:rsidR="00500AAB" w:rsidRPr="00500AAB" w:rsidRDefault="00500AAB" w:rsidP="00083EB1">
      <w:pPr>
        <w:spacing w:before="240"/>
        <w:rPr>
          <w:rFonts w:eastAsia="Calibri" w:cs="Times New Roman"/>
          <w:b/>
          <w:szCs w:val="20"/>
        </w:rPr>
      </w:pPr>
      <w:r w:rsidRPr="00500AAB">
        <w:rPr>
          <w:rFonts w:eastAsia="Calibri" w:cs="Times New Roman"/>
          <w:b/>
          <w:szCs w:val="20"/>
        </w:rPr>
        <w:t>Nozaru attīstība</w:t>
      </w:r>
    </w:p>
    <w:p w14:paraId="27E63480" w14:textId="43946E45" w:rsidR="00500AAB" w:rsidRPr="002E768B" w:rsidRDefault="002E768B" w:rsidP="002E768B">
      <w:pPr>
        <w:spacing w:before="60" w:after="60"/>
        <w:rPr>
          <w:szCs w:val="20"/>
        </w:rPr>
      </w:pPr>
      <w:r>
        <w:rPr>
          <w:szCs w:val="20"/>
        </w:rPr>
        <w:t>Šā gada pirmajā ceturksnī kritums tika reģistrēts lielā daļā Latvijas tautsaimniecības nozaru, kas, pastiprinoties Covid-19 izplatībai un noteikto ierobežojumu ietekmei, turpinājās arī otrajā ceturksnī. Savukārt pievienotās vērtības kāpums pirmajā ceturksnī bija vērojams lauksaimniecības nozarē, operācijā</w:t>
      </w:r>
      <w:r w:rsidRPr="00C66C4A">
        <w:rPr>
          <w:szCs w:val="20"/>
        </w:rPr>
        <w:t>s ar nekustamo īpašumu</w:t>
      </w:r>
      <w:r>
        <w:rPr>
          <w:szCs w:val="20"/>
        </w:rPr>
        <w:t>, profesionālo, zinātnisko un tehnisko pakalpojumu nozarē, kā arī sabiedriskajos pakalpojumos - valsts pārvaldē un aizsardzībā, izglītībā, kā arī veselībā</w:t>
      </w:r>
      <w:r w:rsidRPr="00C66C4A">
        <w:rPr>
          <w:szCs w:val="20"/>
        </w:rPr>
        <w:t xml:space="preserve"> un sociāl</w:t>
      </w:r>
      <w:r>
        <w:rPr>
          <w:szCs w:val="20"/>
        </w:rPr>
        <w:t>ajā aprūpē.</w:t>
      </w:r>
    </w:p>
    <w:p w14:paraId="4A887D5B" w14:textId="3C759E6B" w:rsidR="00500AAB" w:rsidRPr="00500AAB" w:rsidRDefault="00500AAB" w:rsidP="00083EB1">
      <w:pPr>
        <w:spacing w:before="60" w:after="60"/>
        <w:rPr>
          <w:rFonts w:eastAsia="Calibri" w:cs="Times New Roman"/>
          <w:szCs w:val="20"/>
        </w:rPr>
      </w:pPr>
      <w:r w:rsidRPr="00500AAB">
        <w:rPr>
          <w:rFonts w:eastAsia="Calibri" w:cs="Times New Roman"/>
          <w:b/>
          <w:szCs w:val="20"/>
        </w:rPr>
        <w:t>Rūpniecībā</w:t>
      </w:r>
      <w:r w:rsidRPr="00500AAB">
        <w:rPr>
          <w:rFonts w:eastAsia="Calibri" w:cs="Times New Roman"/>
          <w:szCs w:val="20"/>
        </w:rPr>
        <w:t xml:space="preserve"> </w:t>
      </w:r>
      <w:r w:rsidR="002E768B">
        <w:rPr>
          <w:szCs w:val="20"/>
        </w:rPr>
        <w:t>pērn reģistrēta ļoti zema izaugsme, salīdzinājumā ar 2018.gadu ražošanas apjomiem palielinoties vien par 0,8% (</w:t>
      </w:r>
      <w:r w:rsidR="002E768B" w:rsidRPr="0061182E">
        <w:rPr>
          <w:szCs w:val="20"/>
        </w:rPr>
        <w:t>salīdzināmās cenās)</w:t>
      </w:r>
      <w:r w:rsidR="002E768B">
        <w:rPr>
          <w:szCs w:val="20"/>
        </w:rPr>
        <w:t>. Tik vāju nozares izaugsmi noteica sarukums ieguves rūpniecībā, kā arī elektroenerģijas un gāzes apgādes apjomu kritums. Savukārt šogad negatīvās tendences rūpniecībā tikai pastiprinājās, un 2020.gada pirmajā pusgadā nozarē reģistrēts apjomu kritums par 3,8%, samazinoties gan apstrādes rūpniecības, gan elektroenerģijas un gāzes apgādes izlaides apjomiem par attiecīgi 4,5% un 2,4%. Tikmēr ieguves rūpniecībā šā gada pirmajā pusē, salīdzinot ar pērnā gada attiecīgo laika periodu, reģistrēts apjomu kāpums par 3,6%.</w:t>
      </w:r>
    </w:p>
    <w:p w14:paraId="3DF510FD" w14:textId="77777777" w:rsidR="002E768B" w:rsidRDefault="002E768B" w:rsidP="002E768B">
      <w:pPr>
        <w:spacing w:before="60" w:after="60"/>
        <w:rPr>
          <w:szCs w:val="20"/>
        </w:rPr>
      </w:pPr>
      <w:r>
        <w:rPr>
          <w:szCs w:val="20"/>
        </w:rPr>
        <w:t xml:space="preserve">2019.gadā </w:t>
      </w:r>
      <w:r w:rsidRPr="00B53FBF">
        <w:rPr>
          <w:b/>
          <w:szCs w:val="20"/>
        </w:rPr>
        <w:t>apstrādes rūpniecība</w:t>
      </w:r>
      <w:r>
        <w:rPr>
          <w:szCs w:val="20"/>
        </w:rPr>
        <w:t xml:space="preserve"> uzrādīja mērenu pieaugumu, ražošanas apjomiem palielinoties par 2,0%. Lielākajās apstrādes rūpniecības </w:t>
      </w:r>
      <w:proofErr w:type="spellStart"/>
      <w:r>
        <w:rPr>
          <w:szCs w:val="20"/>
        </w:rPr>
        <w:t>apakšnozarēs</w:t>
      </w:r>
      <w:proofErr w:type="spellEnd"/>
      <w:r>
        <w:rPr>
          <w:szCs w:val="20"/>
        </w:rPr>
        <w:t xml:space="preserve"> pērn tika reģistrēti izlaides sarukumi, kokrūpniecības apjomiem samazinoties par 0,2% un pārtikas produktu ražošanas apjomiem – par 1,0%. Tajā pašā laikā, neskatoties uz pasaules ekonomiskās izaugsmes sabremzēšanos, vairākas uz eksportu orientētas apstrādes rūpniecības </w:t>
      </w:r>
      <w:proofErr w:type="spellStart"/>
      <w:r>
        <w:rPr>
          <w:szCs w:val="20"/>
        </w:rPr>
        <w:t>apakšnozares</w:t>
      </w:r>
      <w:proofErr w:type="spellEnd"/>
      <w:r>
        <w:rPr>
          <w:szCs w:val="20"/>
        </w:rPr>
        <w:t xml:space="preserve">, īpaši metālapstrāde un elektrisko iekārtu ražošanas </w:t>
      </w:r>
      <w:proofErr w:type="spellStart"/>
      <w:r>
        <w:rPr>
          <w:szCs w:val="20"/>
        </w:rPr>
        <w:t>apakšnozare</w:t>
      </w:r>
      <w:proofErr w:type="spellEnd"/>
      <w:r>
        <w:rPr>
          <w:szCs w:val="20"/>
        </w:rPr>
        <w:t xml:space="preserve">, pērn uzrādījušas visai spēcīgus izaugsmes tempus. </w:t>
      </w:r>
    </w:p>
    <w:p w14:paraId="7D9981C3" w14:textId="77777777" w:rsidR="002E768B" w:rsidRDefault="002E768B" w:rsidP="002E768B">
      <w:pPr>
        <w:spacing w:before="60" w:after="60"/>
        <w:rPr>
          <w:szCs w:val="20"/>
        </w:rPr>
      </w:pPr>
      <w:r>
        <w:rPr>
          <w:szCs w:val="20"/>
        </w:rPr>
        <w:t xml:space="preserve">Šogad apstrādes rūpniecības attīstības tendences pasliktinājās, ko noteica ne tikai Covid-19 krīze, bet </w:t>
      </w:r>
      <w:r w:rsidRPr="008C588F">
        <w:rPr>
          <w:szCs w:val="20"/>
        </w:rPr>
        <w:t xml:space="preserve">arī gada pirmajos mēnešos reģistrētais </w:t>
      </w:r>
      <w:r>
        <w:rPr>
          <w:szCs w:val="20"/>
        </w:rPr>
        <w:t>ražošanas apjomu kritums</w:t>
      </w:r>
      <w:r w:rsidRPr="008C588F">
        <w:rPr>
          <w:szCs w:val="20"/>
        </w:rPr>
        <w:t xml:space="preserve"> kokrūpniecībā saistībā ar pērnā gada bāzes efektiem, kā arī apjomu </w:t>
      </w:r>
      <w:r>
        <w:rPr>
          <w:szCs w:val="20"/>
        </w:rPr>
        <w:t xml:space="preserve">samazināšanās </w:t>
      </w:r>
      <w:r w:rsidRPr="008C588F">
        <w:rPr>
          <w:szCs w:val="20"/>
        </w:rPr>
        <w:t xml:space="preserve">atsevišķās mašīnbūves </w:t>
      </w:r>
      <w:proofErr w:type="spellStart"/>
      <w:r w:rsidRPr="008C588F">
        <w:rPr>
          <w:szCs w:val="20"/>
        </w:rPr>
        <w:t>apakšnozarēs</w:t>
      </w:r>
      <w:proofErr w:type="spellEnd"/>
      <w:r w:rsidRPr="008C588F">
        <w:rPr>
          <w:szCs w:val="20"/>
        </w:rPr>
        <w:t xml:space="preserve"> saistībā ar ārējā pieprasījuma vājināšanos.</w:t>
      </w:r>
      <w:r>
        <w:rPr>
          <w:szCs w:val="20"/>
        </w:rPr>
        <w:t xml:space="preserve"> Tādējādi 2020.gada pirmajā pusgadā apstrādes rūpniecības izlaide bijusi par 4,5% zemāka nekā pirms gada. Apjomu kritumu uzrādījušas gandrīz vai visas apstrādes rūpniecības </w:t>
      </w:r>
      <w:proofErr w:type="spellStart"/>
      <w:r>
        <w:rPr>
          <w:szCs w:val="20"/>
        </w:rPr>
        <w:t>apakšnozares</w:t>
      </w:r>
      <w:proofErr w:type="spellEnd"/>
      <w:r>
        <w:rPr>
          <w:szCs w:val="20"/>
        </w:rPr>
        <w:t xml:space="preserve">, taču lielāko negatīvo ietekmi uz nozares rezultātiem šā gada pirmajā pusē radīja </w:t>
      </w:r>
      <w:r w:rsidRPr="00C53CB8">
        <w:rPr>
          <w:szCs w:val="20"/>
        </w:rPr>
        <w:t>automobiļu, piekabju un puspiekabju ražošana</w:t>
      </w:r>
      <w:r>
        <w:rPr>
          <w:szCs w:val="20"/>
        </w:rPr>
        <w:t xml:space="preserve">s sarukums par 26,6% un kokrūpniecības izlaides samazināšanās par 2,1%. Kokrūpniecības nozari šogad negatīvi ietekmēja ne tikai Covid-19 izplatības sekas un noteiktie ierobežojumi noieta tirgos, bet arī ražošanas apjomu kritums gada pirmajos mēnešos saistībā ar pērnā gada sākumā sasniegto augsto izlaides līmeni, kad </w:t>
      </w:r>
      <w:proofErr w:type="spellStart"/>
      <w:r w:rsidRPr="000940E1">
        <w:rPr>
          <w:i/>
          <w:szCs w:val="20"/>
        </w:rPr>
        <w:t>Brexit</w:t>
      </w:r>
      <w:proofErr w:type="spellEnd"/>
      <w:r>
        <w:rPr>
          <w:szCs w:val="20"/>
        </w:rPr>
        <w:t xml:space="preserve"> gaidās nozīmīgas produkcijas piegādes tika izpildītas uz Apvienoto Karalisti. Būtiski ražošanas apjomu kritumi reģistrēti vieglās rūpniecības </w:t>
      </w:r>
      <w:proofErr w:type="spellStart"/>
      <w:r>
        <w:rPr>
          <w:szCs w:val="20"/>
        </w:rPr>
        <w:t>apakšnozarēs</w:t>
      </w:r>
      <w:proofErr w:type="spellEnd"/>
      <w:r>
        <w:rPr>
          <w:szCs w:val="20"/>
        </w:rPr>
        <w:t xml:space="preserve">, </w:t>
      </w:r>
      <w:r w:rsidRPr="00EC1206">
        <w:rPr>
          <w:szCs w:val="20"/>
        </w:rPr>
        <w:t>tekstilizstrādājumu ražošana</w:t>
      </w:r>
      <w:r>
        <w:rPr>
          <w:szCs w:val="20"/>
        </w:rPr>
        <w:t>i gada pirmajā pusē sarūkot par 13,3% un apģērbu ražošanai – par 16,8%. I</w:t>
      </w:r>
      <w:r w:rsidRPr="00EC1206">
        <w:rPr>
          <w:szCs w:val="20"/>
        </w:rPr>
        <w:t xml:space="preserve">ekārtu, </w:t>
      </w:r>
      <w:r w:rsidRPr="00EC1206">
        <w:rPr>
          <w:szCs w:val="20"/>
        </w:rPr>
        <w:lastRenderedPageBreak/>
        <w:t>mehānismu un darba mašīnu ražošana</w:t>
      </w:r>
      <w:r>
        <w:rPr>
          <w:szCs w:val="20"/>
        </w:rPr>
        <w:t>s izlaide bija par 12,7% zemāka nekā pirms gada, kamēr iekārtu un ierīču remonta</w:t>
      </w:r>
      <w:r w:rsidRPr="00EC1206">
        <w:rPr>
          <w:szCs w:val="20"/>
        </w:rPr>
        <w:t xml:space="preserve"> un uzstādīšana</w:t>
      </w:r>
      <w:r>
        <w:rPr>
          <w:szCs w:val="20"/>
        </w:rPr>
        <w:t xml:space="preserve">s apjomi gada pirmajā pusē samazinājās par 27,7%. Līdzās samazinājumam kokrūpniecībā 2020.gada pirmajā pusgadā izlaides apjomi saruka arī citās lielākajās apstrādes rūpniecības </w:t>
      </w:r>
      <w:proofErr w:type="spellStart"/>
      <w:r>
        <w:rPr>
          <w:szCs w:val="20"/>
        </w:rPr>
        <w:t>apakšnozarēs</w:t>
      </w:r>
      <w:proofErr w:type="spellEnd"/>
      <w:r>
        <w:rPr>
          <w:szCs w:val="20"/>
        </w:rPr>
        <w:t xml:space="preserve"> - </w:t>
      </w:r>
      <w:r w:rsidRPr="00EC1206">
        <w:rPr>
          <w:szCs w:val="20"/>
        </w:rPr>
        <w:t>pārtikas produktu ražošana</w:t>
      </w:r>
      <w:r>
        <w:rPr>
          <w:szCs w:val="20"/>
        </w:rPr>
        <w:t xml:space="preserve"> bija par 1,2% zemāka nekā pirms gada un </w:t>
      </w:r>
      <w:r w:rsidRPr="00EC1206">
        <w:rPr>
          <w:szCs w:val="20"/>
        </w:rPr>
        <w:t>gatavo metālizstrādājumu ražošana</w:t>
      </w:r>
      <w:r>
        <w:rPr>
          <w:szCs w:val="20"/>
        </w:rPr>
        <w:t>s apjomi samazinājās par 2,4%.</w:t>
      </w:r>
    </w:p>
    <w:p w14:paraId="6B3D3CE3" w14:textId="049F6714" w:rsidR="00500AAB" w:rsidRPr="002E768B" w:rsidRDefault="002E768B" w:rsidP="002E768B">
      <w:pPr>
        <w:spacing w:before="60" w:after="60"/>
        <w:rPr>
          <w:szCs w:val="20"/>
        </w:rPr>
      </w:pPr>
      <w:r>
        <w:rPr>
          <w:szCs w:val="20"/>
        </w:rPr>
        <w:t xml:space="preserve">Tikmēr dažas apstrādes rūpniecības </w:t>
      </w:r>
      <w:proofErr w:type="spellStart"/>
      <w:r>
        <w:rPr>
          <w:szCs w:val="20"/>
        </w:rPr>
        <w:t>apakšnozares</w:t>
      </w:r>
      <w:proofErr w:type="spellEnd"/>
      <w:r>
        <w:rPr>
          <w:szCs w:val="20"/>
        </w:rPr>
        <w:t xml:space="preserve"> Covid-19 krīzi pārcietušas visai veiksmīgi. Tā, piemēram, pieaugot pieprasījumam pēc roku un virsmu dezinfekcijas līdzekļiem, ķīmisko vielu un produktu ražošanas apjomi 2020.gada pirmajā pusē palielinājušies par 9,5%. Pieaugumu 4,2% apmērā uzrādīja elektrisko iekārtu ražošana par spīti sarežģījumiem ārējos tirgos, kas atspoguļojas citu mašīnbūves </w:t>
      </w:r>
      <w:proofErr w:type="spellStart"/>
      <w:r>
        <w:rPr>
          <w:szCs w:val="20"/>
        </w:rPr>
        <w:t>apakšnozaru</w:t>
      </w:r>
      <w:proofErr w:type="spellEnd"/>
      <w:r>
        <w:rPr>
          <w:szCs w:val="20"/>
        </w:rPr>
        <w:t xml:space="preserve"> datos, lai gan arī šeit pieauguma tempi ir kļuvuši vājāki. Apjomu kāpums 2020.gada pirmajā pusgadā tika reģistrēts arī </w:t>
      </w:r>
      <w:r w:rsidRPr="00C26064">
        <w:rPr>
          <w:szCs w:val="20"/>
        </w:rPr>
        <w:t>papīra</w:t>
      </w:r>
      <w:r>
        <w:rPr>
          <w:szCs w:val="20"/>
        </w:rPr>
        <w:t xml:space="preserve"> un papīra izstrādājumu ražošanā, kā arī poligrāfijā un ierakstu reproducēšanā. EK </w:t>
      </w:r>
      <w:r w:rsidRPr="00C26064">
        <w:rPr>
          <w:szCs w:val="20"/>
        </w:rPr>
        <w:t xml:space="preserve">apkopotais ekonomiskās konfidences indekss </w:t>
      </w:r>
      <w:r>
        <w:rPr>
          <w:szCs w:val="20"/>
        </w:rPr>
        <w:t>pēc būtiska krituma martā un aprīlī kopš maija uzrāda</w:t>
      </w:r>
      <w:r w:rsidRPr="00C26064">
        <w:rPr>
          <w:szCs w:val="20"/>
        </w:rPr>
        <w:t xml:space="preserve"> Latvijas apstrādes rūpniecības </w:t>
      </w:r>
      <w:r>
        <w:rPr>
          <w:szCs w:val="20"/>
        </w:rPr>
        <w:t>noskaņojuma uzlabojumus</w:t>
      </w:r>
      <w:r w:rsidRPr="00C26064">
        <w:rPr>
          <w:szCs w:val="20"/>
        </w:rPr>
        <w:t xml:space="preserve">, pieaugot uzņēmēju vērtējumam par pasūtījumu un ražošanas apjomiem turpmākajos mēnešos, kā arī par gaidāmajām produkcijas cenu un nodarbinātības pārmaiņām. </w:t>
      </w:r>
      <w:r>
        <w:rPr>
          <w:szCs w:val="20"/>
        </w:rPr>
        <w:t>Tādējādi</w:t>
      </w:r>
      <w:r w:rsidRPr="00C26064">
        <w:rPr>
          <w:szCs w:val="20"/>
        </w:rPr>
        <w:t>, ja Eiropai izdosies izvairīties no otrā C</w:t>
      </w:r>
      <w:r>
        <w:rPr>
          <w:szCs w:val="20"/>
        </w:rPr>
        <w:t>ovid</w:t>
      </w:r>
      <w:r w:rsidRPr="00C26064">
        <w:rPr>
          <w:szCs w:val="20"/>
        </w:rPr>
        <w:t>-19 viļņa, gada otr</w:t>
      </w:r>
      <w:r>
        <w:rPr>
          <w:szCs w:val="20"/>
        </w:rPr>
        <w:t>ajā pusē Latvijas apstrādes rūpniecības rezultāti būs</w:t>
      </w:r>
      <w:r w:rsidRPr="00C26064">
        <w:rPr>
          <w:szCs w:val="20"/>
        </w:rPr>
        <w:t xml:space="preserve"> </w:t>
      </w:r>
      <w:r>
        <w:rPr>
          <w:szCs w:val="20"/>
        </w:rPr>
        <w:t>pozitīvāki</w:t>
      </w:r>
      <w:r w:rsidRPr="00C26064">
        <w:rPr>
          <w:szCs w:val="20"/>
        </w:rPr>
        <w:t xml:space="preserve"> nekā pirm</w:t>
      </w:r>
      <w:r>
        <w:rPr>
          <w:szCs w:val="20"/>
        </w:rPr>
        <w:t>aj</w:t>
      </w:r>
      <w:r w:rsidRPr="00C26064">
        <w:rPr>
          <w:szCs w:val="20"/>
        </w:rPr>
        <w:t>ā.</w:t>
      </w:r>
    </w:p>
    <w:p w14:paraId="59B111C7" w14:textId="77777777" w:rsidR="002E768B" w:rsidRDefault="002E768B" w:rsidP="002E768B">
      <w:pPr>
        <w:spacing w:before="60" w:after="60"/>
        <w:rPr>
          <w:szCs w:val="20"/>
        </w:rPr>
      </w:pPr>
      <w:r w:rsidRPr="00B53FBF">
        <w:rPr>
          <w:b/>
          <w:szCs w:val="20"/>
        </w:rPr>
        <w:t>Mazumtirdzniecības</w:t>
      </w:r>
      <w:r>
        <w:rPr>
          <w:szCs w:val="20"/>
        </w:rPr>
        <w:t xml:space="preserve"> attīstība šogad bijusi ļoti svārstīga gan preču grupu dalījumā, gan atsevišķi pa mēnešiem. Rezultātā šā gada pirmajā pusgadā mazumtirdzniecības kopējie apjomi ir bijuši tuvi iepriekšējā gada pirmā pusgada līmenim, apgrozījumam palielinoties vien par 0,3%. Covid-19 slimībai sasniedzot Latviju, martā strauji palielinājās mazumtirdzniecības apjomi pārtikas preču veikalos, iedzīvotājiem steidzoties veidot pārtikas produktu rezerves, tikmēr tirdzniecība nepārtikas preču veikalos saruka. Savukārt jau aprīlī samazinājās gan pārtikas, gan nepārtikas preču tirdzniecības apgrozījums, kopējiem mazumtirdzniecības apjomiem gada griezumā sarūkot par 8,9%, kas bija straujākais nozares kritums kopš 2010.gada. Taču jau nākamajā mēnesī mazumtirdzniecībā reģistrētais samazinājums ievērojami palēninājās, un jau jūnijā nozarē bija vērojams veselīgs pieaugums, ko noteica pārdošanas apjomu kāpums gan pārtikas, gan nepārtikas produktu veikalos. Tādējādi šā gada pirmajā pusē kopā m</w:t>
      </w:r>
      <w:r w:rsidRPr="00125E5A">
        <w:rPr>
          <w:szCs w:val="20"/>
        </w:rPr>
        <w:t>azumtirdzniecība pārtikas veikalos</w:t>
      </w:r>
      <w:r>
        <w:rPr>
          <w:szCs w:val="20"/>
        </w:rPr>
        <w:t xml:space="preserve"> ir pieaugusi par 2,9%, bet n</w:t>
      </w:r>
      <w:r w:rsidRPr="00125E5A">
        <w:rPr>
          <w:szCs w:val="20"/>
        </w:rPr>
        <w:t>epārtikas preču mazumtirdzniecība</w:t>
      </w:r>
      <w:r>
        <w:rPr>
          <w:szCs w:val="20"/>
        </w:rPr>
        <w:t>, atskaitot</w:t>
      </w:r>
      <w:r w:rsidRPr="00125E5A">
        <w:rPr>
          <w:szCs w:val="20"/>
        </w:rPr>
        <w:t xml:space="preserve"> </w:t>
      </w:r>
      <w:r>
        <w:rPr>
          <w:szCs w:val="20"/>
        </w:rPr>
        <w:t xml:space="preserve">auto degvielu, samazinājās par 2,3%. Arī autodegvielas mazumtirdzniecības dinamika 2020.gada pirmā pusgada ietvaros bijusi visai svārstīga – to </w:t>
      </w:r>
      <w:r w:rsidRPr="00125E5A">
        <w:rPr>
          <w:szCs w:val="20"/>
        </w:rPr>
        <w:t xml:space="preserve">no vienas puses pozitīvi ietekmēja krītošās naftas cenas pasaules tirgos, kas atspoguļojās zemākās degvielas cenās arī vietējā tirgū – </w:t>
      </w:r>
      <w:r>
        <w:rPr>
          <w:szCs w:val="20"/>
        </w:rPr>
        <w:t>2020.gada pirmajā pusē</w:t>
      </w:r>
      <w:r w:rsidRPr="00125E5A">
        <w:rPr>
          <w:szCs w:val="20"/>
        </w:rPr>
        <w:t xml:space="preserve"> vidējā degvielas cena Latvijas degviel</w:t>
      </w:r>
      <w:r>
        <w:rPr>
          <w:szCs w:val="20"/>
        </w:rPr>
        <w:t xml:space="preserve">as </w:t>
      </w:r>
      <w:proofErr w:type="spellStart"/>
      <w:r>
        <w:rPr>
          <w:szCs w:val="20"/>
        </w:rPr>
        <w:t>uzpildes</w:t>
      </w:r>
      <w:proofErr w:type="spellEnd"/>
      <w:r>
        <w:rPr>
          <w:szCs w:val="20"/>
        </w:rPr>
        <w:t xml:space="preserve"> stacijās bija par 8,9</w:t>
      </w:r>
      <w:r w:rsidRPr="00125E5A">
        <w:rPr>
          <w:szCs w:val="20"/>
        </w:rPr>
        <w:t>% zemāka nekā pirms gada</w:t>
      </w:r>
      <w:r>
        <w:rPr>
          <w:szCs w:val="20"/>
        </w:rPr>
        <w:t>, aprīlī un maijā cenu kritumam pārsniedzot 20%</w:t>
      </w:r>
      <w:r w:rsidRPr="00125E5A">
        <w:rPr>
          <w:szCs w:val="20"/>
        </w:rPr>
        <w:t xml:space="preserve">. Taču no otras puses degvielas patēriņu ierobežoja zemāks pieprasījums saistībā ar </w:t>
      </w:r>
      <w:r>
        <w:rPr>
          <w:szCs w:val="20"/>
        </w:rPr>
        <w:t>Covid</w:t>
      </w:r>
      <w:r w:rsidRPr="00125E5A">
        <w:rPr>
          <w:szCs w:val="20"/>
        </w:rPr>
        <w:t>-19 ierobežojumiem, kuru rezultātā tika ietekmēta iedzīvotāju pārvietošanās nepieciešamība.</w:t>
      </w:r>
      <w:r>
        <w:rPr>
          <w:szCs w:val="20"/>
        </w:rPr>
        <w:t xml:space="preserve"> </w:t>
      </w:r>
      <w:r w:rsidRPr="00D01607">
        <w:rPr>
          <w:szCs w:val="20"/>
        </w:rPr>
        <w:t xml:space="preserve"> Līdz ar to 2020. gada sešos mēnešos </w:t>
      </w:r>
      <w:r w:rsidRPr="00D01607">
        <w:rPr>
          <w:szCs w:val="20"/>
        </w:rPr>
        <w:lastRenderedPageBreak/>
        <w:t>kopā degvielas tirdzniecības apjomi palielinājās mēreni – par 1,3%.</w:t>
      </w:r>
      <w:r>
        <w:rPr>
          <w:szCs w:val="20"/>
        </w:rPr>
        <w:t xml:space="preserve"> Paredzams, ka turpmākajos mēnešos, epidemioloģiskajai situācijai valstī saglabājoties stabilai, mazumtirdzniecības apjomi turpinās pieaugt, ko apstiprina patērētāju un mazumtirgotāju konfidences rādītāji, lai gan tie joprojām nav sasnieguši līmeni, kāds tas bija gada sākumā.</w:t>
      </w:r>
    </w:p>
    <w:p w14:paraId="6826F316" w14:textId="7D5FB8D4" w:rsidR="00500AAB" w:rsidRPr="00500AAB" w:rsidRDefault="002E768B" w:rsidP="00500AAB">
      <w:pPr>
        <w:spacing w:before="60" w:after="60"/>
        <w:rPr>
          <w:rFonts w:eastAsia="Calibri" w:cs="Times New Roman"/>
          <w:szCs w:val="20"/>
        </w:rPr>
      </w:pPr>
      <w:r>
        <w:rPr>
          <w:szCs w:val="20"/>
        </w:rPr>
        <w:t xml:space="preserve">Savukārt negaidīti spēcīgu pieaugumu šā gada pirmajā ceturksnī uzrādīja </w:t>
      </w:r>
      <w:r w:rsidRPr="00B53FBF">
        <w:rPr>
          <w:b/>
          <w:szCs w:val="20"/>
        </w:rPr>
        <w:t>būvniecības nozare</w:t>
      </w:r>
      <w:r>
        <w:rPr>
          <w:szCs w:val="20"/>
        </w:rPr>
        <w:t xml:space="preserve">. Pēc nozares izaugsmes tempu sabremzēšanās pērn līdz 2,9% 2020.gada pirmajā ceturksnī būvniecības izlaide salīdzināmās cenās augusi par 14,8%. Nozares izaugsmi visvairāk veicinājis ēku būvniecības apjomu kāpums par 16,5%, pieaugot gan dzīvojamo, gan nedzīvojamo ēku celtniecības apjomiem. Pirmajā ceturksnī strauji palielinājās izaugsmes tempi  arī </w:t>
      </w:r>
      <w:proofErr w:type="spellStart"/>
      <w:r>
        <w:rPr>
          <w:szCs w:val="20"/>
        </w:rPr>
        <w:t>inženierbūvniecībā</w:t>
      </w:r>
      <w:proofErr w:type="spellEnd"/>
      <w:r>
        <w:rPr>
          <w:szCs w:val="20"/>
        </w:rPr>
        <w:t>, salīdzinājumā ar pērnā gada attiecīgo periodu tās apjomiem pieaugot par 15,9%. Īpaši strauji pieauga ceļu un maģistrāļu būvniecība, kā arī ū</w:t>
      </w:r>
      <w:r w:rsidRPr="00D02B78">
        <w:rPr>
          <w:szCs w:val="20"/>
        </w:rPr>
        <w:t>densapgādes sistēmu būvniecība</w:t>
      </w:r>
      <w:r>
        <w:rPr>
          <w:szCs w:val="20"/>
        </w:rPr>
        <w:t xml:space="preserve">. Specializēto būvdarbu apjomi šajā periodā bija par 9,7% augstāki nekā pirms gada. </w:t>
      </w:r>
      <w:r w:rsidRPr="007D4B9C">
        <w:rPr>
          <w:szCs w:val="20"/>
        </w:rPr>
        <w:t>Savukārt atšķirībā no iepriekšējos periodos uzrādītā kāpuma izsniegtajās bū</w:t>
      </w:r>
      <w:r>
        <w:rPr>
          <w:szCs w:val="20"/>
        </w:rPr>
        <w:t>vatļaujās paredzamā platība šā gada</w:t>
      </w:r>
      <w:r w:rsidRPr="007D4B9C">
        <w:rPr>
          <w:szCs w:val="20"/>
        </w:rPr>
        <w:t xml:space="preserve"> sākumā uzrādīja kritumu, pirmajā ceturksnī samazinoties par 5,7%.</w:t>
      </w:r>
      <w:r>
        <w:rPr>
          <w:szCs w:val="20"/>
        </w:rPr>
        <w:t xml:space="preserve"> Plānotās būvniecības platības samazināšanos gada pirmajā ceturksnī noteica rūpniecisko ražošanas ēku un noliktavu paredzamās būvniecības platības kritums, viesnīcu, kā arī satiksmes un sakaru ēku izdotajās būvatļaujās paredzamās platības kritums.</w:t>
      </w:r>
      <w:r w:rsidRPr="007D4B9C">
        <w:rPr>
          <w:szCs w:val="20"/>
        </w:rPr>
        <w:t xml:space="preserve"> Tas liecina par būvniecības </w:t>
      </w:r>
      <w:r>
        <w:rPr>
          <w:szCs w:val="20"/>
        </w:rPr>
        <w:t xml:space="preserve">izaugsmes tempu palēnināšanos vai pat </w:t>
      </w:r>
      <w:r w:rsidRPr="007D4B9C">
        <w:rPr>
          <w:szCs w:val="20"/>
        </w:rPr>
        <w:t xml:space="preserve">samazinājumu turpmākajos periodos. Turklāt būvniecības nozares perspektīvas šogad apdraud arī nenoteiktība saistībā ar </w:t>
      </w:r>
      <w:r>
        <w:rPr>
          <w:szCs w:val="20"/>
        </w:rPr>
        <w:t>Covid</w:t>
      </w:r>
      <w:r w:rsidRPr="007D4B9C">
        <w:rPr>
          <w:szCs w:val="20"/>
        </w:rPr>
        <w:t>-19 krīzi, ko apstiprina sarukušais būvniecības konfidences rādītājs.</w:t>
      </w:r>
    </w:p>
    <w:p w14:paraId="63204BCC" w14:textId="77777777" w:rsidR="002E768B" w:rsidRPr="00B53FBF" w:rsidRDefault="002E768B" w:rsidP="002E768B">
      <w:pPr>
        <w:spacing w:before="60" w:after="60"/>
        <w:rPr>
          <w:szCs w:val="20"/>
        </w:rPr>
      </w:pPr>
      <w:r w:rsidRPr="00B53FBF">
        <w:rPr>
          <w:b/>
          <w:szCs w:val="20"/>
        </w:rPr>
        <w:t>Transporta un uzglabāšanas nozarē</w:t>
      </w:r>
      <w:r w:rsidRPr="00B53FBF">
        <w:rPr>
          <w:szCs w:val="20"/>
        </w:rPr>
        <w:t xml:space="preserve"> jau 2019.gadā tika piedzīvots kritums par 4%. To noteica kravu tranzīta kritums caur Latvijas ostām, Krievijai pārorientējot kravas uz savām Baltijas jūras ostām un krītoties pieprasījumam pēc Krievijas oglēm pasaules tirgos. Tā rezultātā kravu apgrozījums ostās 2019.gadā bija par 5,7% zemāks nekā  2018.gadā, savukārt pa dzelzceļu pārvadāto kravu apjoms pērn saruka par 15,8%. Kravu apgrozība autopārvadājumos saglabājās iepriekšējā gada līmenī, bet pozitīvu dinamiku uzrādīja aviopārvadājumi, lidostā Rīga apkalpoto pasažieru skaitam palielinoties par 10,5%.</w:t>
      </w:r>
    </w:p>
    <w:p w14:paraId="6908CE50" w14:textId="77777777" w:rsidR="002E768B" w:rsidRDefault="002E768B" w:rsidP="002E768B">
      <w:pPr>
        <w:spacing w:before="60" w:after="60"/>
        <w:rPr>
          <w:szCs w:val="20"/>
        </w:rPr>
      </w:pPr>
      <w:r w:rsidRPr="00B53FBF">
        <w:rPr>
          <w:szCs w:val="20"/>
        </w:rPr>
        <w:t xml:space="preserve">Tranzīta nozarē līdzīga situācija saglabājās arī 2020.gada pirmajā pusē, kad Krievijas kravu tranzīts turpināja samazināties, bet transporta nozares kopējo situāciju vēl papildus krasi pasliktināja starptautisko pasažieru pārvadājumu apturēšana Covid-19 izplatības ierobežošanai. Kravu apgrozījums ostās šā gada pirmajā pusē bijis par 30,1% mazāks nekā pirms gada, īpaši strauji krītoties ogļu un naftas kravu apjomiem, bet dzelzceļā pārvadāto kravu apjoms pusgadā samazinājies par 46,9%. Aviopārvadājumu nozarē, pēc spēcīga pieauguma gada pirmajos divos mēnešos pasažieru skaits lidostā Rīga martā samazinājās par 55,7%, bet otrajā ceturksnī kritās par 96,8%, salīdzinot ar iepriekšējā gada attiecīgo ceturksni. Ārkārtas situācijas laikā no marta līdz jūnijam, krītoties mobilitātei un pieprasījumam pēc pārvietošanās arī Latvijas robežās, krasi samazinājies arī vilcienos un  reģionālo maršrutu autobusos pārvadāto pasažieru </w:t>
      </w:r>
      <w:r w:rsidRPr="00B53FBF">
        <w:rPr>
          <w:szCs w:val="20"/>
        </w:rPr>
        <w:lastRenderedPageBreak/>
        <w:t>skaits, - par 33% gada pirmajā pusē, salīdzinot ar 2019.gada pirmo pusi, liecina Autotransporta direkcijas dati. Savukārt kravu autopārvadājumu apjoms gada pirmajā pusē Covid-19 krīzes ietekmē samazinājies par 30%. Kopumā transporta nozare 2020.gadā līdzās izmitināšanai un ēdināšanai, kā arī mākslai, izklaidei un atpūtai būs viena no tām nozarēm, kas būs noteikusi kopējo ekonomikas kritumu, un arī nākamajā gadā pievienotās vērtības apjoms transporta nozarē vēl neatgriezīsies 2019.gada līmenī.</w:t>
      </w:r>
    </w:p>
    <w:p w14:paraId="04A139D0" w14:textId="77777777" w:rsidR="00500AAB" w:rsidRPr="00500AAB" w:rsidRDefault="00500AAB" w:rsidP="00083EB1">
      <w:pPr>
        <w:spacing w:before="240"/>
        <w:rPr>
          <w:rFonts w:eastAsia="Calibri" w:cs="Times New Roman"/>
          <w:b/>
          <w:szCs w:val="20"/>
        </w:rPr>
      </w:pPr>
      <w:r w:rsidRPr="00500AAB">
        <w:rPr>
          <w:rFonts w:eastAsia="Calibri" w:cs="Times New Roman"/>
          <w:b/>
          <w:szCs w:val="20"/>
        </w:rPr>
        <w:t xml:space="preserve">Ārējā tirdzniecība </w:t>
      </w:r>
    </w:p>
    <w:p w14:paraId="47B91847" w14:textId="77777777" w:rsidR="002E768B" w:rsidRPr="001B0A7B" w:rsidRDefault="002E768B" w:rsidP="002E768B">
      <w:pPr>
        <w:spacing w:before="60" w:after="60"/>
        <w:rPr>
          <w:szCs w:val="20"/>
        </w:rPr>
      </w:pPr>
      <w:r w:rsidRPr="001B0A7B">
        <w:rPr>
          <w:szCs w:val="20"/>
        </w:rPr>
        <w:t xml:space="preserve">Latvijas </w:t>
      </w:r>
      <w:r w:rsidRPr="001B0A7B">
        <w:rPr>
          <w:b/>
          <w:szCs w:val="20"/>
        </w:rPr>
        <w:t>preču un pakalpojumu eksports</w:t>
      </w:r>
      <w:r w:rsidRPr="001B0A7B">
        <w:rPr>
          <w:szCs w:val="20"/>
        </w:rPr>
        <w:t xml:space="preserve"> salīdzināmās cenās 2019.gadā pieauga par 1,9%, kas </w:t>
      </w:r>
      <w:r>
        <w:rPr>
          <w:szCs w:val="20"/>
        </w:rPr>
        <w:t>bija</w:t>
      </w:r>
      <w:r w:rsidRPr="001B0A7B">
        <w:rPr>
          <w:szCs w:val="20"/>
        </w:rPr>
        <w:t xml:space="preserve"> vājākais kāpums kopš 2014.gada. Ņemot vērā, ka arī Latvijas reālā IKP pieauguma temps pērn sabremzējās, veidojot 2,2%, eksporta īpatsvars IKP palika praktiski nemainīgs salīdzinājumā ar iepriekšējiem gadiem un bija 63,2%. Eksporta attīstību 2019.gadā vienlaicīgi negatīvi ietekmēja vairāku faktoru kopums. Viens no galvenajiem faktoriem bija divu pasaules lielāko ekonomiku jeb ASV un Ķīnas tirdznie</w:t>
      </w:r>
      <w:r>
        <w:rPr>
          <w:szCs w:val="20"/>
        </w:rPr>
        <w:t>cības saspīlējums un savstarpēju</w:t>
      </w:r>
      <w:r w:rsidRPr="001B0A7B">
        <w:rPr>
          <w:szCs w:val="20"/>
        </w:rPr>
        <w:t xml:space="preserve"> importa tarifu ieviešana, kas radīja negatīvu efektu uz globālo tirdzniecību un pasaules ekonomisko izaugsmi. Tādējādi pasaules IKP pērn uzrādīja vājāko pieaugumu pēdējās desmitgades laikā, kamēr ES izaugsme bija </w:t>
      </w:r>
      <w:r>
        <w:rPr>
          <w:szCs w:val="20"/>
        </w:rPr>
        <w:t>zemākajā līmenī kopš 2014.gada.</w:t>
      </w:r>
    </w:p>
    <w:p w14:paraId="22E548BE" w14:textId="77777777" w:rsidR="002E768B" w:rsidRPr="001B0A7B" w:rsidRDefault="002E768B" w:rsidP="002E768B">
      <w:pPr>
        <w:spacing w:before="60" w:after="60"/>
        <w:rPr>
          <w:szCs w:val="20"/>
        </w:rPr>
      </w:pPr>
      <w:r w:rsidRPr="001B0A7B">
        <w:rPr>
          <w:szCs w:val="20"/>
        </w:rPr>
        <w:t>ES ir lielākais Latvijas preču un pakalpojumu eksporta tirgus. 2019.gadā uz ES tika eksportēti 72,3% no Latvijas kopējā preču eksporta un 66,9% no kopējā pakalpojumu eksporta. Tādējādi, palēninoties ES iekšējam patēriņam, Latvijas eksporta pieauguma tempi arī sāka mazināties. Piemēram, preču eksporta vērtības pieaugums faktiskajās</w:t>
      </w:r>
      <w:r>
        <w:rPr>
          <w:szCs w:val="20"/>
        </w:rPr>
        <w:t xml:space="preserve"> cenās 2019.gadā uz ES palēninā</w:t>
      </w:r>
      <w:r w:rsidRPr="001B0A7B">
        <w:rPr>
          <w:szCs w:val="20"/>
        </w:rPr>
        <w:t>jās līdz 3,0%, kamēr 2018.gadā p</w:t>
      </w:r>
      <w:r>
        <w:rPr>
          <w:szCs w:val="20"/>
        </w:rPr>
        <w:t>ieaugums veidoja 9,8%. Savukārt</w:t>
      </w:r>
      <w:r w:rsidRPr="001B0A7B">
        <w:rPr>
          <w:szCs w:val="20"/>
        </w:rPr>
        <w:t xml:space="preserve"> pakalpojumu eksporta vērtība uz ES 2019.gadā palielināj</w:t>
      </w:r>
      <w:r>
        <w:rPr>
          <w:szCs w:val="20"/>
        </w:rPr>
        <w:t>ā</w:t>
      </w:r>
      <w:r w:rsidRPr="001B0A7B">
        <w:rPr>
          <w:szCs w:val="20"/>
        </w:rPr>
        <w:t xml:space="preserve">s par 7,9%, bet gadu iepriekš pieaugums bija 8,7%. </w:t>
      </w:r>
    </w:p>
    <w:p w14:paraId="5124588B" w14:textId="77777777" w:rsidR="002E768B" w:rsidRPr="001B0A7B" w:rsidRDefault="002E768B" w:rsidP="002E768B">
      <w:pPr>
        <w:spacing w:before="60" w:after="60"/>
        <w:rPr>
          <w:szCs w:val="20"/>
        </w:rPr>
      </w:pPr>
      <w:r w:rsidRPr="001B0A7B">
        <w:rPr>
          <w:szCs w:val="20"/>
        </w:rPr>
        <w:t>2020.gads sācies ar negaidīti strauju preču eksporta izaugsmi, ņemot vērā, ka kopš pērnā gada vidus pasaules ekonomikas izaugsme un ārējais pi</w:t>
      </w:r>
      <w:r>
        <w:rPr>
          <w:szCs w:val="20"/>
        </w:rPr>
        <w:t>eprasījums sāka bremzēties. Šā gada</w:t>
      </w:r>
      <w:r w:rsidRPr="001B0A7B">
        <w:rPr>
          <w:szCs w:val="20"/>
        </w:rPr>
        <w:t xml:space="preserve"> janvārī un februārī preču eksporta vērtība bija par attiecīgi 4,9% un 7,3% augstāka salīdzinājumā ar iepriekšējā gada attiecīgo periodu. Tik strauju preču eksporta izaugsmi gada sākumā pozitīvi ietekmēja graudaugu eksporta kāpums un mehānismu un mehānisko ierīču, kā arī elektroierīču un elektroiekārtu reeksporta pieaugums. </w:t>
      </w:r>
      <w:r>
        <w:rPr>
          <w:szCs w:val="20"/>
        </w:rPr>
        <w:t>Savukārt m</w:t>
      </w:r>
      <w:r w:rsidRPr="001B0A7B">
        <w:rPr>
          <w:szCs w:val="20"/>
        </w:rPr>
        <w:t>artā preču eksports</w:t>
      </w:r>
      <w:r>
        <w:rPr>
          <w:szCs w:val="20"/>
        </w:rPr>
        <w:t xml:space="preserve"> samazinājā</w:t>
      </w:r>
      <w:r w:rsidRPr="001B0A7B">
        <w:rPr>
          <w:szCs w:val="20"/>
        </w:rPr>
        <w:t>s par 0,7% gada griezumā, ko lielā mērā negatīvi ietekmēja bāzes efekti</w:t>
      </w:r>
      <w:r>
        <w:rPr>
          <w:szCs w:val="20"/>
        </w:rPr>
        <w:t>, un kopumā marta datos vēl neiezīmējā</w:t>
      </w:r>
      <w:r w:rsidRPr="001B0A7B">
        <w:rPr>
          <w:szCs w:val="20"/>
        </w:rPr>
        <w:t>s Covid-19 pandēmijas negatīvā ietekme uz Latvijas eksportu. Tomēr</w:t>
      </w:r>
      <w:r>
        <w:rPr>
          <w:szCs w:val="20"/>
        </w:rPr>
        <w:t>,</w:t>
      </w:r>
      <w:r w:rsidRPr="001B0A7B">
        <w:rPr>
          <w:szCs w:val="20"/>
        </w:rPr>
        <w:t xml:space="preserve"> sākot ar aprīli</w:t>
      </w:r>
      <w:r>
        <w:rPr>
          <w:szCs w:val="20"/>
        </w:rPr>
        <w:t xml:space="preserve">, situācija </w:t>
      </w:r>
      <w:r w:rsidRPr="001B0A7B">
        <w:rPr>
          <w:szCs w:val="20"/>
        </w:rPr>
        <w:t xml:space="preserve">mainījās un ārējās tirdzniecības aktivitātes kritums visā pasaulē saistībā ar Covid-19 pandēmiju negatīvi ietekmēja </w:t>
      </w:r>
      <w:r>
        <w:rPr>
          <w:szCs w:val="20"/>
        </w:rPr>
        <w:t xml:space="preserve">arī </w:t>
      </w:r>
      <w:r w:rsidRPr="001B0A7B">
        <w:rPr>
          <w:szCs w:val="20"/>
        </w:rPr>
        <w:t xml:space="preserve">Latvijas preču eksportu. </w:t>
      </w:r>
      <w:r>
        <w:rPr>
          <w:szCs w:val="20"/>
        </w:rPr>
        <w:t>A</w:t>
      </w:r>
      <w:r w:rsidRPr="001B0A7B">
        <w:rPr>
          <w:szCs w:val="20"/>
        </w:rPr>
        <w:t>prīlī un maijā Lat</w:t>
      </w:r>
      <w:r>
        <w:rPr>
          <w:szCs w:val="20"/>
        </w:rPr>
        <w:t>vijas preču eksports samazinājā</w:t>
      </w:r>
      <w:r w:rsidRPr="001B0A7B">
        <w:rPr>
          <w:szCs w:val="20"/>
        </w:rPr>
        <w:t>s attiecīgi par 13,9% un 16,8% salīdzinājumā ar attiecīgo periodu pagājušajā gadā. Fiksētais eksporta kritums šajos mēnešos bija stra</w:t>
      </w:r>
      <w:r>
        <w:rPr>
          <w:szCs w:val="20"/>
        </w:rPr>
        <w:t>ujākais kopš 2009.gada oktobra.</w:t>
      </w:r>
    </w:p>
    <w:p w14:paraId="7A65BD2F" w14:textId="77777777" w:rsidR="002E768B" w:rsidRPr="001B0A7B" w:rsidRDefault="002E768B" w:rsidP="002E768B">
      <w:pPr>
        <w:spacing w:before="60" w:after="60"/>
        <w:rPr>
          <w:szCs w:val="20"/>
        </w:rPr>
      </w:pPr>
      <w:r>
        <w:rPr>
          <w:szCs w:val="20"/>
        </w:rPr>
        <w:t>Būtisks ā</w:t>
      </w:r>
      <w:r w:rsidRPr="001B0A7B">
        <w:rPr>
          <w:szCs w:val="20"/>
        </w:rPr>
        <w:t>rējā pieprasījuma kritums pasaulē bij</w:t>
      </w:r>
      <w:r>
        <w:rPr>
          <w:szCs w:val="20"/>
        </w:rPr>
        <w:t>a iepriekš paredzams, uz ko norā</w:t>
      </w:r>
      <w:r w:rsidRPr="001B0A7B">
        <w:rPr>
          <w:szCs w:val="20"/>
        </w:rPr>
        <w:t xml:space="preserve">dīja gan ekonomikas sentimenta rādītāji ES, ASV un Ķīnā, gan starptautisko </w:t>
      </w:r>
      <w:r w:rsidRPr="001B0A7B">
        <w:rPr>
          <w:szCs w:val="20"/>
        </w:rPr>
        <w:lastRenderedPageBreak/>
        <w:t xml:space="preserve">organizāciju prognozes par pasaules ekonomikas attīstību un ārējo tirdzniecību. Daudzām pasaules valstīm bija izsludināts ārkārtējais stāvoklis un robežas bija slēgtas </w:t>
      </w:r>
      <w:r>
        <w:rPr>
          <w:szCs w:val="20"/>
        </w:rPr>
        <w:t>jau</w:t>
      </w:r>
      <w:r w:rsidRPr="001B0A7B">
        <w:rPr>
          <w:szCs w:val="20"/>
        </w:rPr>
        <w:t xml:space="preserve"> martā, bet  starptautiskajai preču kustībai nebija noteikti </w:t>
      </w:r>
      <w:r>
        <w:rPr>
          <w:szCs w:val="20"/>
        </w:rPr>
        <w:t>tādi</w:t>
      </w:r>
      <w:r w:rsidRPr="001B0A7B">
        <w:rPr>
          <w:szCs w:val="20"/>
        </w:rPr>
        <w:t xml:space="preserve"> ierobežojumi kā cilvēku kustībai. Tomēr </w:t>
      </w:r>
      <w:proofErr w:type="spellStart"/>
      <w:r w:rsidRPr="001B0A7B">
        <w:rPr>
          <w:szCs w:val="20"/>
        </w:rPr>
        <w:t>pašizolācija</w:t>
      </w:r>
      <w:proofErr w:type="spellEnd"/>
      <w:r w:rsidRPr="001B0A7B">
        <w:rPr>
          <w:szCs w:val="20"/>
        </w:rPr>
        <w:t xml:space="preserve"> un karantīnas ieviešana, it īpaši Eiropas Savienības valstīs jeb lielākajā Latvijas eksporta tirgū, būtiski mazināja ekonomisko ak</w:t>
      </w:r>
      <w:r>
        <w:rPr>
          <w:szCs w:val="20"/>
        </w:rPr>
        <w:t>tivitāti, kā rezultātā mazinājās arī pieprasījums pēc Latvijā ražotajām</w:t>
      </w:r>
      <w:r w:rsidRPr="001B0A7B">
        <w:rPr>
          <w:szCs w:val="20"/>
        </w:rPr>
        <w:t xml:space="preserve"> precēm.</w:t>
      </w:r>
    </w:p>
    <w:p w14:paraId="2C17BB79" w14:textId="4DD3449F" w:rsidR="002E768B" w:rsidRPr="001B0A7B" w:rsidRDefault="00AA4E8A" w:rsidP="002E768B">
      <w:pPr>
        <w:spacing w:before="60" w:after="60"/>
        <w:rPr>
          <w:szCs w:val="20"/>
        </w:rPr>
      </w:pPr>
      <w:r>
        <w:rPr>
          <w:szCs w:val="20"/>
        </w:rPr>
        <w:t>EK</w:t>
      </w:r>
      <w:r w:rsidR="002E768B" w:rsidRPr="001B0A7B">
        <w:rPr>
          <w:szCs w:val="20"/>
        </w:rPr>
        <w:t xml:space="preserve"> dati par patērētāju noskaņojumu un turpmāko ekonomikas attīstību ES, pēc spēcīga</w:t>
      </w:r>
      <w:r w:rsidR="002E768B">
        <w:rPr>
          <w:szCs w:val="20"/>
        </w:rPr>
        <w:t xml:space="preserve"> krituma </w:t>
      </w:r>
      <w:r w:rsidR="004D62CB">
        <w:rPr>
          <w:szCs w:val="20"/>
        </w:rPr>
        <w:t>2020.gada a</w:t>
      </w:r>
      <w:r w:rsidR="002E768B">
        <w:rPr>
          <w:szCs w:val="20"/>
        </w:rPr>
        <w:t>prīlī, maijā uzrā</w:t>
      </w:r>
      <w:r w:rsidR="002E768B" w:rsidRPr="001B0A7B">
        <w:rPr>
          <w:szCs w:val="20"/>
        </w:rPr>
        <w:t xml:space="preserve">dīja nelielu pieaugumu. Savukārt jūnijā noskaņojums turpināja uzlaboties, kas norāda uz to, ka ES ekonomikā zemākais punkts tika sasniegts aprīlī un šobrīd vērojama pakāpeniska ekonomiskās aktivitātes atjaunošanās. Tajā pašā laikā svarīgi norādīt, ka situācija ar Covid-19 izplatību attīstās dinamiski, līdz ar to prognozēt gan ES, gan pasaules ekonomikas attīstību joprojām ir grūti. Nevar arī izslēgt pandēmijas otro vilni </w:t>
      </w:r>
      <w:r w:rsidR="00FE4C87">
        <w:rPr>
          <w:szCs w:val="20"/>
        </w:rPr>
        <w:t>2020.gada</w:t>
      </w:r>
      <w:r w:rsidR="002E768B" w:rsidRPr="001B0A7B">
        <w:rPr>
          <w:szCs w:val="20"/>
        </w:rPr>
        <w:t xml:space="preserve"> otrajā pusē. </w:t>
      </w:r>
      <w:r>
        <w:rPr>
          <w:szCs w:val="20"/>
        </w:rPr>
        <w:t>EK</w:t>
      </w:r>
      <w:r w:rsidR="002E768B" w:rsidRPr="001B0A7B">
        <w:rPr>
          <w:szCs w:val="20"/>
        </w:rPr>
        <w:t xml:space="preserve"> </w:t>
      </w:r>
      <w:r w:rsidR="004D62CB">
        <w:rPr>
          <w:szCs w:val="20"/>
        </w:rPr>
        <w:t xml:space="preserve">2020.gada </w:t>
      </w:r>
      <w:r w:rsidR="002E768B" w:rsidRPr="001B0A7B">
        <w:rPr>
          <w:szCs w:val="20"/>
        </w:rPr>
        <w:t xml:space="preserve"> jūlijā atjaunotajās makroekonomiskajās prognozēs brīdina par būtiskiem lejupvērstiem riskiem un kopumā prognozē, ka 2020.gadā IKP un importa kritums būs absolūti visām ES dalībvalstīm, kā arī Lielbritānijā. ES dalībvalstis un Lielbritānija ir lielākie Latvijas preču eksporta noieta tirgi, līdz ar to būtiski mazinoties importa apjomiem šajās valstīs jeb ārējam pieprasījumam, mazināsies arī Latvijas eksporta apjomi. </w:t>
      </w:r>
      <w:r>
        <w:rPr>
          <w:szCs w:val="20"/>
        </w:rPr>
        <w:t>EK</w:t>
      </w:r>
      <w:r w:rsidR="002E768B" w:rsidRPr="001B0A7B">
        <w:rPr>
          <w:szCs w:val="20"/>
        </w:rPr>
        <w:t xml:space="preserve"> prognozē, ka lielākais ES ekonomikas aktivitātes kritums būs tieši </w:t>
      </w:r>
      <w:r w:rsidR="004D62CB">
        <w:rPr>
          <w:szCs w:val="20"/>
        </w:rPr>
        <w:t xml:space="preserve">2020.gada </w:t>
      </w:r>
      <w:r w:rsidR="002E768B" w:rsidRPr="001B0A7B">
        <w:rPr>
          <w:szCs w:val="20"/>
        </w:rPr>
        <w:t>otrajā ceturksnī, IKP samazinoties par 13,1% salīdzinājumā ar iepriekšējā gada otro ceturksni. Papildus tam, būtiski ir samazinājies arī Latvijas rūpnieku novērtēj</w:t>
      </w:r>
      <w:r w:rsidR="002E768B">
        <w:rPr>
          <w:szCs w:val="20"/>
        </w:rPr>
        <w:t xml:space="preserve">ums par eksporta pasūtījumiem </w:t>
      </w:r>
      <w:r w:rsidR="00FE4C87" w:rsidRPr="00B53FBF">
        <w:rPr>
          <w:szCs w:val="20"/>
        </w:rPr>
        <w:t xml:space="preserve">2020.gada </w:t>
      </w:r>
      <w:r w:rsidR="002E768B" w:rsidRPr="001B0A7B">
        <w:rPr>
          <w:szCs w:val="20"/>
        </w:rPr>
        <w:t>otrajam ceturksnim. Tād</w:t>
      </w:r>
      <w:r w:rsidR="002E768B">
        <w:rPr>
          <w:szCs w:val="20"/>
        </w:rPr>
        <w:t>ē</w:t>
      </w:r>
      <w:r w:rsidR="002E768B" w:rsidRPr="001B0A7B">
        <w:rPr>
          <w:szCs w:val="20"/>
        </w:rPr>
        <w:t>jādi sagaidāms</w:t>
      </w:r>
      <w:r w:rsidR="002E768B">
        <w:rPr>
          <w:szCs w:val="20"/>
        </w:rPr>
        <w:t>, ka vasaras</w:t>
      </w:r>
      <w:r w:rsidR="002E768B" w:rsidRPr="001B0A7B">
        <w:rPr>
          <w:szCs w:val="20"/>
        </w:rPr>
        <w:t xml:space="preserve"> un rudens mēnešos turpināsies preču eksporta vērtības kritums. Savukārt, vērtējot eksporta attīstības perspektīvas tuvāk gada nogalei, tiek prognozēts, ka preču eksports stabilizēsies, ņemot vērā gan ES ekonomikas sentimenta uzlabošanos, gan arī ieviestos un plānotos ES valstu atbalsta instrumentus, lai palīdzētu valstu ekonomikām ātrāk atkopties no Covid-19 pandēmijas sekām.</w:t>
      </w:r>
    </w:p>
    <w:p w14:paraId="257FCD20" w14:textId="58917AED" w:rsidR="002E768B" w:rsidRPr="001B0A7B" w:rsidRDefault="002E768B" w:rsidP="002E768B">
      <w:pPr>
        <w:spacing w:before="60" w:after="60"/>
        <w:rPr>
          <w:szCs w:val="20"/>
        </w:rPr>
      </w:pPr>
      <w:r w:rsidRPr="001B0A7B">
        <w:rPr>
          <w:szCs w:val="20"/>
        </w:rPr>
        <w:t xml:space="preserve">Kopumā </w:t>
      </w:r>
      <w:r w:rsidR="00FE4C87">
        <w:rPr>
          <w:szCs w:val="20"/>
        </w:rPr>
        <w:t xml:space="preserve">2020.gada </w:t>
      </w:r>
      <w:r w:rsidRPr="001B0A7B">
        <w:rPr>
          <w:szCs w:val="20"/>
        </w:rPr>
        <w:t xml:space="preserve"> pirmajos piecos mēnešos Latvijas preču eksporta vērtība bija par 4,1% zemāka salīdzinājumā ar iepriekšējā gad</w:t>
      </w:r>
      <w:r>
        <w:rPr>
          <w:szCs w:val="20"/>
        </w:rPr>
        <w:t>a</w:t>
      </w:r>
      <w:r w:rsidRPr="001B0A7B">
        <w:rPr>
          <w:szCs w:val="20"/>
        </w:rPr>
        <w:t xml:space="preserve"> attiecīgo periodu. Lielākais eksporta kritums ir fiksēts koka un koka izstrādājumu preču grupai, kopumā par 11,9% salīdzinājumā ar pirmajiem pieciem mēnešiem pagājušajā gadā. Koksnes eksporta kritumu negatīvi iete</w:t>
      </w:r>
      <w:r>
        <w:rPr>
          <w:szCs w:val="20"/>
        </w:rPr>
        <w:t>kmēja gan bāzes efekti, gan Covi</w:t>
      </w:r>
      <w:r w:rsidRPr="001B0A7B">
        <w:rPr>
          <w:szCs w:val="20"/>
        </w:rPr>
        <w:t xml:space="preserve">d-19 pandēmija. Pagājušā gada sākumā koksnes eksports palielinājās, ko labvēlīgi ietekmēja augstais koka un koka izstrādājumu eksporta apjoms uz Lielbritāniju, kad </w:t>
      </w:r>
      <w:proofErr w:type="spellStart"/>
      <w:r w:rsidRPr="001B0A7B">
        <w:rPr>
          <w:i/>
          <w:szCs w:val="20"/>
        </w:rPr>
        <w:t>Brexit</w:t>
      </w:r>
      <w:proofErr w:type="spellEnd"/>
      <w:r w:rsidRPr="001B0A7B">
        <w:rPr>
          <w:szCs w:val="20"/>
        </w:rPr>
        <w:t xml:space="preserve"> gaidās tika papildinātas šīs valsts noliktavas. Taču šī faktora pozitīvā ietekme pazuda pērnā gada maijā un gada otrajā pusē kopējā koksnes eksporta vērtība sāka mazināties, atsevišķos mēnešos kritumam sasniedzot 15%. Papildus tam, pērn bija straujš koksnes cenu kritums pasaules tirgos, kas tikai paātrināja kok</w:t>
      </w:r>
      <w:r>
        <w:rPr>
          <w:szCs w:val="20"/>
        </w:rPr>
        <w:t>snes eksporta kritumu. Savukārt</w:t>
      </w:r>
      <w:r w:rsidRPr="001B0A7B">
        <w:rPr>
          <w:szCs w:val="20"/>
        </w:rPr>
        <w:t xml:space="preserve"> aprīlī un maijā koka un koka izstrādājumu eksportu jau </w:t>
      </w:r>
      <w:r>
        <w:rPr>
          <w:szCs w:val="20"/>
        </w:rPr>
        <w:t>sā</w:t>
      </w:r>
      <w:r w:rsidRPr="001B0A7B">
        <w:rPr>
          <w:szCs w:val="20"/>
        </w:rPr>
        <w:t xml:space="preserve">ka negatīvi ietekmēt Covid-19 pandēmija. </w:t>
      </w:r>
    </w:p>
    <w:p w14:paraId="32ED18FF" w14:textId="77777777" w:rsidR="002E768B" w:rsidRPr="001B0A7B" w:rsidRDefault="002E768B" w:rsidP="002E768B">
      <w:pPr>
        <w:spacing w:before="60" w:after="60"/>
        <w:rPr>
          <w:szCs w:val="20"/>
        </w:rPr>
      </w:pPr>
      <w:r>
        <w:rPr>
          <w:szCs w:val="20"/>
        </w:rPr>
        <w:t>Būtiski samazinājā</w:t>
      </w:r>
      <w:r w:rsidRPr="001B0A7B">
        <w:rPr>
          <w:szCs w:val="20"/>
        </w:rPr>
        <w:t xml:space="preserve">s satiksmes līdzekļu eksports, kopumā par 32,0% salīdzinājumā ar pieciem mēnešiem 2019.gadā, ko negatīvi ietekmēja automobiļu </w:t>
      </w:r>
      <w:r w:rsidRPr="001B0A7B">
        <w:rPr>
          <w:szCs w:val="20"/>
        </w:rPr>
        <w:lastRenderedPageBreak/>
        <w:t>reeksporta samazinājums. Eksporta kritums šajā preču grupā tiešā veidā ir saistīts ar pandēmijas sekām un fiksēts visiem satiksmes līdzekļu veidiem. Tomēr lielākais samazinājums ir fiksēts automobiļu eksportam</w:t>
      </w:r>
      <w:r>
        <w:rPr>
          <w:szCs w:val="20"/>
        </w:rPr>
        <w:t xml:space="preserve"> </w:t>
      </w:r>
      <w:r w:rsidRPr="001B0A7B">
        <w:rPr>
          <w:szCs w:val="20"/>
        </w:rPr>
        <w:t>- kopumā pa</w:t>
      </w:r>
      <w:r>
        <w:rPr>
          <w:szCs w:val="20"/>
        </w:rPr>
        <w:t xml:space="preserve">r 90 milj. </w:t>
      </w:r>
      <w:proofErr w:type="spellStart"/>
      <w:r w:rsidRPr="00FE4584">
        <w:rPr>
          <w:i/>
          <w:szCs w:val="20"/>
        </w:rPr>
        <w:t>euro</w:t>
      </w:r>
      <w:proofErr w:type="spellEnd"/>
      <w:r w:rsidRPr="001B0A7B">
        <w:rPr>
          <w:szCs w:val="20"/>
        </w:rPr>
        <w:t>. Savukārt automobiļu impor</w:t>
      </w:r>
      <w:r>
        <w:rPr>
          <w:szCs w:val="20"/>
        </w:rPr>
        <w:t xml:space="preserve">ts samazinājies par 175 milj. </w:t>
      </w:r>
      <w:proofErr w:type="spellStart"/>
      <w:r w:rsidRPr="00FE4584">
        <w:rPr>
          <w:i/>
          <w:szCs w:val="20"/>
        </w:rPr>
        <w:t>euro</w:t>
      </w:r>
      <w:proofErr w:type="spellEnd"/>
      <w:r w:rsidRPr="001B0A7B">
        <w:rPr>
          <w:szCs w:val="20"/>
        </w:rPr>
        <w:t xml:space="preserve">. Latvija importē automobiļus no Vācijas un Igaunijas, bet </w:t>
      </w:r>
      <w:proofErr w:type="spellStart"/>
      <w:r w:rsidRPr="001B0A7B">
        <w:rPr>
          <w:szCs w:val="20"/>
        </w:rPr>
        <w:t>reeksportē</w:t>
      </w:r>
      <w:proofErr w:type="spellEnd"/>
      <w:r w:rsidRPr="001B0A7B">
        <w:rPr>
          <w:szCs w:val="20"/>
        </w:rPr>
        <w:t xml:space="preserve"> galvenokārt uz Lietuvu. Ņemot vērā, ka Latvija importē automobiļus arī iekšējam patēriņam, līdz ar to eksporta kritums ir zemāks par importa samazinājumu. Jāatzīmē, ka pirmoreiz reģistrēto vieglo automobiļus skaits Latvijā š.g. piecos mēnešos samazinājies par 30,7% salīdzinā</w:t>
      </w:r>
      <w:r>
        <w:rPr>
          <w:szCs w:val="20"/>
        </w:rPr>
        <w:t>jumā ar attiecīgo periodu 2019.</w:t>
      </w:r>
      <w:r w:rsidRPr="001B0A7B">
        <w:rPr>
          <w:szCs w:val="20"/>
        </w:rPr>
        <w:t xml:space="preserve">gadā. Savukārt tieši š.g. aprīlī un maijā vidēji par 54,2%. </w:t>
      </w:r>
    </w:p>
    <w:p w14:paraId="4CE4B658" w14:textId="6025B2DB" w:rsidR="002E768B" w:rsidRPr="001B0A7B" w:rsidRDefault="002E768B" w:rsidP="002E768B">
      <w:pPr>
        <w:spacing w:before="60" w:after="60"/>
        <w:rPr>
          <w:szCs w:val="20"/>
        </w:rPr>
      </w:pPr>
      <w:r w:rsidRPr="001B0A7B">
        <w:rPr>
          <w:szCs w:val="20"/>
        </w:rPr>
        <w:t xml:space="preserve">Par 24,0% </w:t>
      </w:r>
      <w:r w:rsidR="00FE4C87" w:rsidRPr="00B53FBF">
        <w:rPr>
          <w:szCs w:val="20"/>
        </w:rPr>
        <w:t xml:space="preserve">2020.gada </w:t>
      </w:r>
      <w:r w:rsidRPr="001B0A7B">
        <w:rPr>
          <w:szCs w:val="20"/>
        </w:rPr>
        <w:t xml:space="preserve">piecos mēnešos samazinājies </w:t>
      </w:r>
      <w:proofErr w:type="spellStart"/>
      <w:r w:rsidRPr="001B0A7B">
        <w:rPr>
          <w:szCs w:val="20"/>
        </w:rPr>
        <w:t>minerālproduktu</w:t>
      </w:r>
      <w:proofErr w:type="spellEnd"/>
      <w:r w:rsidRPr="001B0A7B">
        <w:rPr>
          <w:szCs w:val="20"/>
        </w:rPr>
        <w:t xml:space="preserve"> eksports. Eksporta kritumu šajā preču grupā noteica elektroenerģijas eksporta samazinājums par 51,8%, kā arī naftas pārstrādes produktu eksporta samazinājums par 36,2%. Elektroenerģijas eksportu negatīvi ietekmēja elektroenerģijas patēriņa samazinājums Lietuvā saistībā ar siltajiem laika apstākļiem š.g. ziemā, kā arī ar zemāku ekonomisko aktivitāti ārkārtas situācijas laikā. Savukārt naftas pārstrādes produktu eksporta kritumu </w:t>
      </w:r>
      <w:r>
        <w:rPr>
          <w:szCs w:val="20"/>
        </w:rPr>
        <w:t>noteica</w:t>
      </w:r>
      <w:r w:rsidRPr="001B0A7B">
        <w:rPr>
          <w:szCs w:val="20"/>
        </w:rPr>
        <w:t xml:space="preserve"> gan naftas cenu kritums pasaules biržās, gan </w:t>
      </w:r>
      <w:r>
        <w:rPr>
          <w:szCs w:val="20"/>
        </w:rPr>
        <w:t>naftas produktu pieprasījuma samazinājums pandēmijas laikā.</w:t>
      </w:r>
    </w:p>
    <w:p w14:paraId="7D342149" w14:textId="77777777" w:rsidR="002E768B" w:rsidRPr="001B0A7B" w:rsidRDefault="002E768B" w:rsidP="002E768B">
      <w:pPr>
        <w:spacing w:before="60" w:after="60"/>
        <w:rPr>
          <w:szCs w:val="20"/>
        </w:rPr>
      </w:pPr>
      <w:r w:rsidRPr="001B0A7B">
        <w:rPr>
          <w:szCs w:val="20"/>
        </w:rPr>
        <w:t>E</w:t>
      </w:r>
      <w:r>
        <w:rPr>
          <w:szCs w:val="20"/>
        </w:rPr>
        <w:t>ksporta kritums fiksēts arī tādā</w:t>
      </w:r>
      <w:r w:rsidRPr="001B0A7B">
        <w:rPr>
          <w:szCs w:val="20"/>
        </w:rPr>
        <w:t>m preču grupām kā metāli un to izstrādājumi, būvniecības, poligrāfijas un tekstilmateriāli. Tomēr eksporta samazinājums šajās pre</w:t>
      </w:r>
      <w:r>
        <w:rPr>
          <w:szCs w:val="20"/>
        </w:rPr>
        <w:t>ču grupās nebija</w:t>
      </w:r>
      <w:r w:rsidRPr="001B0A7B">
        <w:rPr>
          <w:szCs w:val="20"/>
        </w:rPr>
        <w:t xml:space="preserve"> būtisks un vērtējams vien dažos procentos.  </w:t>
      </w:r>
    </w:p>
    <w:p w14:paraId="2ED3F7EE" w14:textId="53F24454" w:rsidR="00500AAB" w:rsidRPr="002E768B" w:rsidRDefault="002E768B" w:rsidP="002E768B">
      <w:pPr>
        <w:spacing w:before="60" w:after="60"/>
        <w:rPr>
          <w:szCs w:val="20"/>
        </w:rPr>
      </w:pPr>
      <w:r w:rsidRPr="001B0A7B">
        <w:rPr>
          <w:szCs w:val="20"/>
        </w:rPr>
        <w:t xml:space="preserve">Eksporta kritumu š.g. piecos mēnešos nedaudz mazināja lauksaimniecības un pārtikas, kā arī mehānisko un elektroierīču eksporta pieaugums. Lauksaimniecības un pārtikas </w:t>
      </w:r>
      <w:r>
        <w:rPr>
          <w:szCs w:val="20"/>
        </w:rPr>
        <w:t xml:space="preserve">preču </w:t>
      </w:r>
      <w:r w:rsidRPr="001B0A7B">
        <w:rPr>
          <w:szCs w:val="20"/>
        </w:rPr>
        <w:t>eksporta kāpumu par 5,4% noteica straujš graudaugu un rapšu sēklu eksporta pieaugums š.g. pirmajā ceturksnī, kas ir vēl pērnā gada augstās ražas atspulgs. Papildus tam palielinājies arī tabakas un to iz</w:t>
      </w:r>
      <w:r>
        <w:rPr>
          <w:szCs w:val="20"/>
        </w:rPr>
        <w:t>strādājumu reeksports. Savukārt</w:t>
      </w:r>
      <w:r w:rsidRPr="001B0A7B">
        <w:rPr>
          <w:szCs w:val="20"/>
        </w:rPr>
        <w:t xml:space="preserve"> mehānisko un elektroierīču eksporta vērtība palielinājās par 7,7% salīdzinājumā ar pērnā gadā pirmajiem pieciem mēnešiem. Detalizētāka analīze rāda, ka </w:t>
      </w:r>
      <w:r>
        <w:rPr>
          <w:szCs w:val="20"/>
        </w:rPr>
        <w:t>šīs grupas pieaugumu noteica re</w:t>
      </w:r>
      <w:r w:rsidRPr="001B0A7B">
        <w:rPr>
          <w:szCs w:val="20"/>
        </w:rPr>
        <w:t xml:space="preserve">eksports, jo straujāki eksporta kāpumi ir </w:t>
      </w:r>
      <w:r>
        <w:rPr>
          <w:szCs w:val="20"/>
        </w:rPr>
        <w:t>fiksēti tādām precēm</w:t>
      </w:r>
      <w:r w:rsidRPr="001B0A7B">
        <w:rPr>
          <w:szCs w:val="20"/>
        </w:rPr>
        <w:t xml:space="preserve"> kā mobilie telefoni, monitori, projektori, datu uzglabāšanas ierīces, automātiskās datu apstrādes iekārtas jeb tās preces, k</w:t>
      </w:r>
      <w:r>
        <w:rPr>
          <w:szCs w:val="20"/>
        </w:rPr>
        <w:t>as</w:t>
      </w:r>
      <w:r w:rsidRPr="001B0A7B">
        <w:rPr>
          <w:szCs w:val="20"/>
        </w:rPr>
        <w:t xml:space="preserve"> Latvijā netiek ražotas. Jāatzīmē, ka lauksaimniecības un pārtikas</w:t>
      </w:r>
      <w:r>
        <w:rPr>
          <w:szCs w:val="20"/>
        </w:rPr>
        <w:t xml:space="preserve"> preču</w:t>
      </w:r>
      <w:r w:rsidRPr="001B0A7B">
        <w:rPr>
          <w:szCs w:val="20"/>
        </w:rPr>
        <w:t xml:space="preserve">, kā arī mehānisko un elektroierīču eksporta pieaugums bija fiksēts š.g. pirmajā ceturksnī, bet aprīlī un maijā arī šo </w:t>
      </w:r>
      <w:r>
        <w:rPr>
          <w:szCs w:val="20"/>
        </w:rPr>
        <w:t>preču grupu eksports samazinājā</w:t>
      </w:r>
      <w:r w:rsidRPr="001B0A7B">
        <w:rPr>
          <w:szCs w:val="20"/>
        </w:rPr>
        <w:t>s. Sagaidāms, k</w:t>
      </w:r>
      <w:r>
        <w:rPr>
          <w:szCs w:val="20"/>
        </w:rPr>
        <w:t>a arī turpmākajos mēnešos gan šīs</w:t>
      </w:r>
      <w:r w:rsidRPr="001B0A7B">
        <w:rPr>
          <w:szCs w:val="20"/>
        </w:rPr>
        <w:t xml:space="preserve"> preču grupas, gan arī pārējo preču grupu </w:t>
      </w:r>
      <w:r>
        <w:rPr>
          <w:szCs w:val="20"/>
        </w:rPr>
        <w:t xml:space="preserve">eksports </w:t>
      </w:r>
      <w:r w:rsidRPr="001B0A7B">
        <w:rPr>
          <w:szCs w:val="20"/>
        </w:rPr>
        <w:t xml:space="preserve">turpinās samazināties. </w:t>
      </w:r>
    </w:p>
    <w:p w14:paraId="0068E62D" w14:textId="41635107" w:rsidR="002E768B" w:rsidRPr="001B0A7B" w:rsidRDefault="00500AAB" w:rsidP="002E768B">
      <w:pPr>
        <w:spacing w:before="60" w:after="60"/>
        <w:rPr>
          <w:szCs w:val="20"/>
        </w:rPr>
      </w:pPr>
      <w:r w:rsidRPr="00500AAB">
        <w:rPr>
          <w:rFonts w:eastAsia="Calibri" w:cs="Times New Roman"/>
          <w:szCs w:val="20"/>
        </w:rPr>
        <w:t xml:space="preserve"> </w:t>
      </w:r>
      <w:r w:rsidR="002E768B" w:rsidRPr="001B0A7B">
        <w:rPr>
          <w:szCs w:val="20"/>
        </w:rPr>
        <w:t xml:space="preserve">Ja Covid-19 pandēmijas negatīvā ietekme uz preču eksportu ir atspoguļojusies ar </w:t>
      </w:r>
      <w:r w:rsidR="002E768B">
        <w:rPr>
          <w:szCs w:val="20"/>
        </w:rPr>
        <w:t xml:space="preserve">nelielu </w:t>
      </w:r>
      <w:r w:rsidR="002E768B" w:rsidRPr="001B0A7B">
        <w:rPr>
          <w:szCs w:val="20"/>
        </w:rPr>
        <w:t xml:space="preserve">novēlošanos, tad </w:t>
      </w:r>
      <w:r w:rsidR="002E768B">
        <w:rPr>
          <w:b/>
          <w:szCs w:val="20"/>
        </w:rPr>
        <w:t>pakalpojumu eksports</w:t>
      </w:r>
      <w:r w:rsidR="002E768B" w:rsidRPr="001B0A7B">
        <w:rPr>
          <w:szCs w:val="20"/>
        </w:rPr>
        <w:t xml:space="preserve"> </w:t>
      </w:r>
      <w:r w:rsidR="002E768B">
        <w:rPr>
          <w:szCs w:val="20"/>
        </w:rPr>
        <w:t>tika</w:t>
      </w:r>
      <w:r w:rsidR="002E768B" w:rsidRPr="001B0A7B">
        <w:rPr>
          <w:szCs w:val="20"/>
        </w:rPr>
        <w:t xml:space="preserve"> </w:t>
      </w:r>
      <w:r w:rsidR="002E768B">
        <w:rPr>
          <w:szCs w:val="20"/>
        </w:rPr>
        <w:t xml:space="preserve">skarts jau š.g. martā, jo </w:t>
      </w:r>
      <w:proofErr w:type="spellStart"/>
      <w:r w:rsidR="002E768B">
        <w:rPr>
          <w:szCs w:val="20"/>
        </w:rPr>
        <w:t>korona</w:t>
      </w:r>
      <w:r w:rsidR="002E768B" w:rsidRPr="001B0A7B">
        <w:rPr>
          <w:szCs w:val="20"/>
        </w:rPr>
        <w:t>vīrusa</w:t>
      </w:r>
      <w:proofErr w:type="spellEnd"/>
      <w:r w:rsidR="002E768B" w:rsidRPr="001B0A7B">
        <w:rPr>
          <w:szCs w:val="20"/>
        </w:rPr>
        <w:t xml:space="preserve"> izplatība pirmām kārtām ietekmēja pakalpojumu sektorus, it īpaši pasažieru pārvadājumus, izmitināšanas, ēdināšanas un</w:t>
      </w:r>
      <w:r w:rsidR="002E768B">
        <w:rPr>
          <w:szCs w:val="20"/>
        </w:rPr>
        <w:t xml:space="preserve"> izklaides pakalpojumus. Kopumā</w:t>
      </w:r>
      <w:r w:rsidR="002E768B" w:rsidRPr="001B0A7B">
        <w:rPr>
          <w:szCs w:val="20"/>
        </w:rPr>
        <w:t xml:space="preserve"> pakalpojumu eksporta vērtība </w:t>
      </w:r>
      <w:r w:rsidR="00FE4C87">
        <w:rPr>
          <w:szCs w:val="20"/>
        </w:rPr>
        <w:t xml:space="preserve">2020.gada </w:t>
      </w:r>
      <w:r w:rsidR="002E768B" w:rsidRPr="001B0A7B">
        <w:rPr>
          <w:szCs w:val="20"/>
        </w:rPr>
        <w:t xml:space="preserve"> piecos mēnešos samazinājās par 17,2% salīdzinājumā ar pērnā gada attiecīgo periodu. Š.g. martā, </w:t>
      </w:r>
      <w:r w:rsidR="002E768B" w:rsidRPr="001B0A7B">
        <w:rPr>
          <w:szCs w:val="20"/>
        </w:rPr>
        <w:lastRenderedPageBreak/>
        <w:t>kad jau vairākās pasaules valstīs bija note</w:t>
      </w:r>
      <w:r w:rsidR="002E768B">
        <w:rPr>
          <w:szCs w:val="20"/>
        </w:rPr>
        <w:t xml:space="preserve">ikti stingri ierobežojumi </w:t>
      </w:r>
      <w:proofErr w:type="spellStart"/>
      <w:r w:rsidR="002E768B">
        <w:rPr>
          <w:szCs w:val="20"/>
        </w:rPr>
        <w:t>korona</w:t>
      </w:r>
      <w:r w:rsidR="002E768B" w:rsidRPr="001B0A7B">
        <w:rPr>
          <w:szCs w:val="20"/>
        </w:rPr>
        <w:t>vīrusa</w:t>
      </w:r>
      <w:proofErr w:type="spellEnd"/>
      <w:r w:rsidR="002E768B" w:rsidRPr="001B0A7B">
        <w:rPr>
          <w:szCs w:val="20"/>
        </w:rPr>
        <w:t xml:space="preserve"> izplatības mazināšanai, Latvijas pakalpojumu eksports gada griezumā samazinājās par 13,8%, kritumam palie</w:t>
      </w:r>
      <w:r w:rsidR="002E768B">
        <w:rPr>
          <w:szCs w:val="20"/>
        </w:rPr>
        <w:t>li</w:t>
      </w:r>
      <w:r w:rsidR="002E768B" w:rsidRPr="001B0A7B">
        <w:rPr>
          <w:szCs w:val="20"/>
        </w:rPr>
        <w:t xml:space="preserve">noties līdz 30,5% un 32,6% š.g. aprīlī un maijā. </w:t>
      </w:r>
    </w:p>
    <w:p w14:paraId="5353097D" w14:textId="1A2847B2" w:rsidR="002E768B" w:rsidRPr="001B0A7B" w:rsidRDefault="002E768B" w:rsidP="002E768B">
      <w:pPr>
        <w:spacing w:before="60" w:after="60"/>
        <w:rPr>
          <w:szCs w:val="20"/>
        </w:rPr>
      </w:pPr>
      <w:r>
        <w:rPr>
          <w:szCs w:val="20"/>
        </w:rPr>
        <w:t>Spēcīgāk</w:t>
      </w:r>
      <w:r w:rsidRPr="001B0A7B">
        <w:rPr>
          <w:szCs w:val="20"/>
        </w:rPr>
        <w:t>a ietekme vērojama transporta pakalpojumu eksportā, kur jau kopš gada sākuma bija spēcīgs kritums jūras un dzelzceļa transporta pakalpojumos saistībā ar ogļu un naftas produktu kravu samazināšanos no</w:t>
      </w:r>
      <w:r>
        <w:rPr>
          <w:szCs w:val="20"/>
        </w:rPr>
        <w:t xml:space="preserve"> Krievijas. Pandēmijas ietekmē samazinājā</w:t>
      </w:r>
      <w:r w:rsidRPr="001B0A7B">
        <w:rPr>
          <w:szCs w:val="20"/>
        </w:rPr>
        <w:t>s arī gaisa un auto transpor</w:t>
      </w:r>
      <w:r>
        <w:rPr>
          <w:szCs w:val="20"/>
        </w:rPr>
        <w:t>ta pakalpojumu eksports. Kopumā</w:t>
      </w:r>
      <w:r w:rsidRPr="001B0A7B">
        <w:rPr>
          <w:szCs w:val="20"/>
        </w:rPr>
        <w:t xml:space="preserve"> transporta pakalpojumu eksporta vērtība </w:t>
      </w:r>
      <w:r w:rsidR="00FE4C87">
        <w:rPr>
          <w:szCs w:val="20"/>
        </w:rPr>
        <w:t xml:space="preserve">2020.gada </w:t>
      </w:r>
      <w:r w:rsidRPr="001B0A7B">
        <w:rPr>
          <w:szCs w:val="20"/>
        </w:rPr>
        <w:t xml:space="preserve">piecos mēnešos bija par 31,6% zemāka nekā iepriekšējā gada  atbilstošajā periodā. </w:t>
      </w:r>
    </w:p>
    <w:p w14:paraId="125FC6C0" w14:textId="78099224" w:rsidR="00500AAB" w:rsidRPr="00500AAB" w:rsidRDefault="002E768B" w:rsidP="002E768B">
      <w:pPr>
        <w:spacing w:before="60" w:after="60"/>
        <w:rPr>
          <w:rFonts w:eastAsia="Calibri" w:cs="Times New Roman"/>
          <w:szCs w:val="20"/>
        </w:rPr>
      </w:pPr>
      <w:r w:rsidRPr="001B0A7B">
        <w:rPr>
          <w:szCs w:val="20"/>
        </w:rPr>
        <w:t>Robežu slēgšana, karantīnas ieviešana un cilvēku pulcēšanās ierobežojumi būtiski ietekmēja iebraukušo ārvalstu t</w:t>
      </w:r>
      <w:r>
        <w:rPr>
          <w:szCs w:val="20"/>
        </w:rPr>
        <w:t>ūristu skaitu Latvijā. Kopš gada sākuma</w:t>
      </w:r>
      <w:r w:rsidRPr="001B0A7B">
        <w:rPr>
          <w:szCs w:val="20"/>
        </w:rPr>
        <w:t xml:space="preserve"> ārvalstu tū</w:t>
      </w:r>
      <w:r>
        <w:rPr>
          <w:szCs w:val="20"/>
        </w:rPr>
        <w:t>ristu skaits Latvijā samazinājā</w:t>
      </w:r>
      <w:r w:rsidRPr="001B0A7B">
        <w:rPr>
          <w:szCs w:val="20"/>
        </w:rPr>
        <w:t>s vairāk nekā uz pusi, kamēr aprīlī un maijā kritums palielinājies attiecīgi līdz 98,4%</w:t>
      </w:r>
      <w:r>
        <w:rPr>
          <w:szCs w:val="20"/>
        </w:rPr>
        <w:t xml:space="preserve"> un 96,5</w:t>
      </w:r>
      <w:r w:rsidRPr="001B0A7B">
        <w:rPr>
          <w:szCs w:val="20"/>
        </w:rPr>
        <w:t xml:space="preserve">%. Tādējādi ārvalstu tūristu izdevumi š.g. piecos mēnešos samazinājās par 35,7% salīdzinājumā ar pērnā gada attiecīgo periodu. Kamēr </w:t>
      </w:r>
      <w:r w:rsidR="00FE4C87">
        <w:rPr>
          <w:szCs w:val="20"/>
        </w:rPr>
        <w:t>2020.gada</w:t>
      </w:r>
      <w:r w:rsidRPr="001B0A7B">
        <w:rPr>
          <w:szCs w:val="20"/>
        </w:rPr>
        <w:t xml:space="preserve"> aprīlī un maijā ārvalstu tūristu izdevumu kritums veidoja attiecīgi 80,0% un 81,1%. Neskatoties uz kopējā ekonomikas sentimenta pasliktināšanos un ārējā pieprasījuma kritumu, pārējo pakalpojumu eksports pirmajos piecos mēnešos pat nedaudz palielinājies</w:t>
      </w:r>
      <w:r>
        <w:rPr>
          <w:szCs w:val="20"/>
        </w:rPr>
        <w:t>,</w:t>
      </w:r>
      <w:r w:rsidRPr="001B0A7B">
        <w:rPr>
          <w:szCs w:val="20"/>
        </w:rPr>
        <w:t xml:space="preserve"> kopumā pieaugot par 2,0%. Tomēr tas ir būtiski </w:t>
      </w:r>
      <w:r>
        <w:rPr>
          <w:szCs w:val="20"/>
        </w:rPr>
        <w:t>vājāks pieaugums</w:t>
      </w:r>
      <w:r w:rsidRPr="001B0A7B">
        <w:rPr>
          <w:szCs w:val="20"/>
        </w:rPr>
        <w:t xml:space="preserve"> nekā vidēji 2019.gadā, kad pārējo pakalpojumu eksports palielinājās par 11,9%. </w:t>
      </w:r>
      <w:r w:rsidR="00500AAB" w:rsidRPr="00500AAB">
        <w:rPr>
          <w:rFonts w:eastAsia="Calibri" w:cs="Times New Roman"/>
          <w:szCs w:val="20"/>
        </w:rPr>
        <w:t xml:space="preserve">  </w:t>
      </w:r>
    </w:p>
    <w:p w14:paraId="015DBA34" w14:textId="77777777" w:rsidR="002E768B" w:rsidRPr="001B0A7B" w:rsidRDefault="002E768B" w:rsidP="002E768B">
      <w:pPr>
        <w:spacing w:before="60" w:after="60"/>
        <w:rPr>
          <w:szCs w:val="20"/>
        </w:rPr>
      </w:pPr>
      <w:r>
        <w:rPr>
          <w:szCs w:val="20"/>
        </w:rPr>
        <w:t>Tāpat kā eksporta</w:t>
      </w:r>
      <w:r w:rsidRPr="001B0A7B">
        <w:rPr>
          <w:szCs w:val="20"/>
        </w:rPr>
        <w:t xml:space="preserve">, arī </w:t>
      </w:r>
      <w:r w:rsidRPr="001B0A7B">
        <w:rPr>
          <w:b/>
          <w:szCs w:val="20"/>
        </w:rPr>
        <w:t>preču un pakalpojumu importa</w:t>
      </w:r>
      <w:r w:rsidRPr="001B0A7B">
        <w:rPr>
          <w:szCs w:val="20"/>
        </w:rPr>
        <w:t xml:space="preserve"> izaugsme 2019.gadā bremzējusies. Palēninoties Latvijas ekonomikas izaugsmei, mazinājies arī pieprasījums pēc importa precēm, galvenokārt starppatēriņa precēm, kas tiek izmantotas ražošanas procesā. Kopējā preču un pakalpojumu importa vērtība salīdzināmās cenās 2019.gadā pieauga par 2,3%, kas ir nedaudz straujāk nekā eksporta kāpums, tādējādi neto eksporta devums reālā IKP pieaugumā pērn bija negatīvs, proti, -0,3 procentpunkti.</w:t>
      </w:r>
    </w:p>
    <w:p w14:paraId="03BD0B93" w14:textId="77777777" w:rsidR="002E768B" w:rsidRPr="001B0A7B" w:rsidRDefault="002E768B" w:rsidP="002E768B">
      <w:pPr>
        <w:spacing w:before="60" w:after="60"/>
        <w:rPr>
          <w:szCs w:val="20"/>
        </w:rPr>
      </w:pPr>
      <w:r w:rsidRPr="001B0A7B">
        <w:rPr>
          <w:szCs w:val="20"/>
        </w:rPr>
        <w:t xml:space="preserve">Savukārt faktiskajās cenās kopējā importa vērtība palielinājās par 1,8%, kas nozīmē, ka preču un pakalpojumu importa cenas pērn bija nedaudz zemākas nekā 2018.gadā. Vērtējot kopējo ārējās tirdzniecības bilanci faktiskajās cenās, 2019.gadā izveidojies pārpalikums 17 milj. </w:t>
      </w:r>
      <w:proofErr w:type="spellStart"/>
      <w:r w:rsidRPr="001B0A7B">
        <w:rPr>
          <w:i/>
          <w:szCs w:val="20"/>
        </w:rPr>
        <w:t>euro</w:t>
      </w:r>
      <w:proofErr w:type="spellEnd"/>
      <w:r w:rsidRPr="001B0A7B">
        <w:rPr>
          <w:szCs w:val="20"/>
        </w:rPr>
        <w:t xml:space="preserve"> apmērā, pretstatā 54 milj. </w:t>
      </w:r>
      <w:proofErr w:type="spellStart"/>
      <w:r w:rsidRPr="001B0A7B">
        <w:rPr>
          <w:i/>
          <w:szCs w:val="20"/>
        </w:rPr>
        <w:t>euro</w:t>
      </w:r>
      <w:proofErr w:type="spellEnd"/>
      <w:r w:rsidRPr="001B0A7B">
        <w:rPr>
          <w:szCs w:val="20"/>
        </w:rPr>
        <w:t xml:space="preserve"> deficītam 2018.gadā.</w:t>
      </w:r>
    </w:p>
    <w:p w14:paraId="0671C01A" w14:textId="77777777" w:rsidR="002E768B" w:rsidRDefault="002E768B" w:rsidP="002E768B">
      <w:pPr>
        <w:spacing w:before="60" w:after="60"/>
        <w:rPr>
          <w:szCs w:val="20"/>
        </w:rPr>
      </w:pPr>
      <w:r w:rsidRPr="001B0A7B">
        <w:rPr>
          <w:szCs w:val="20"/>
        </w:rPr>
        <w:t>Bremzējoties Latvijas iekšējam patēriņam un samazinoties reeksporta apjomiem, Covid-19 pandēmijas ietekme uz preču importu ir lielāka nekā uz preču eksportu. Š.g. piecos mēnešos preču importa vēr</w:t>
      </w:r>
      <w:r>
        <w:rPr>
          <w:szCs w:val="20"/>
        </w:rPr>
        <w:t>t</w:t>
      </w:r>
      <w:r w:rsidRPr="001B0A7B">
        <w:rPr>
          <w:szCs w:val="20"/>
        </w:rPr>
        <w:t xml:space="preserve">ība gada griezumā samazinājās par 13,3%, </w:t>
      </w:r>
      <w:r>
        <w:rPr>
          <w:szCs w:val="20"/>
        </w:rPr>
        <w:t>importa kritumam</w:t>
      </w:r>
      <w:r w:rsidRPr="001B0A7B">
        <w:rPr>
          <w:szCs w:val="20"/>
        </w:rPr>
        <w:t xml:space="preserve"> š.g. aprīlī un maijā </w:t>
      </w:r>
      <w:r>
        <w:rPr>
          <w:szCs w:val="20"/>
        </w:rPr>
        <w:t>pietuvojoties</w:t>
      </w:r>
      <w:r w:rsidRPr="001B0A7B">
        <w:rPr>
          <w:szCs w:val="20"/>
        </w:rPr>
        <w:t xml:space="preserve"> 30%. Ņemot vērā, ka preču importa samazinājums bija straujāks par eksporta kritumu, būti</w:t>
      </w:r>
      <w:r>
        <w:rPr>
          <w:szCs w:val="20"/>
        </w:rPr>
        <w:t>ski saruka Latvijas preču ārējās</w:t>
      </w:r>
      <w:r w:rsidRPr="001B0A7B">
        <w:rPr>
          <w:szCs w:val="20"/>
        </w:rPr>
        <w:t xml:space="preserve"> tirdzniecības deficīts, no 1264 milj. </w:t>
      </w:r>
      <w:proofErr w:type="spellStart"/>
      <w:r w:rsidRPr="001B0A7B">
        <w:rPr>
          <w:i/>
          <w:szCs w:val="20"/>
        </w:rPr>
        <w:t>euro</w:t>
      </w:r>
      <w:proofErr w:type="spellEnd"/>
      <w:r w:rsidRPr="001B0A7B">
        <w:rPr>
          <w:szCs w:val="20"/>
        </w:rPr>
        <w:t xml:space="preserve"> 2019.gada piecos mēnešos līdz 620 milj. </w:t>
      </w:r>
      <w:proofErr w:type="spellStart"/>
      <w:r w:rsidRPr="001B0A7B">
        <w:rPr>
          <w:i/>
          <w:szCs w:val="20"/>
        </w:rPr>
        <w:t>euro</w:t>
      </w:r>
      <w:proofErr w:type="spellEnd"/>
      <w:r w:rsidRPr="001B0A7B">
        <w:rPr>
          <w:szCs w:val="20"/>
        </w:rPr>
        <w:t xml:space="preserve"> š.g. piecos mēnešos. Nacionālo kontu dati, kas pašreiz ir pi</w:t>
      </w:r>
      <w:r>
        <w:rPr>
          <w:szCs w:val="20"/>
        </w:rPr>
        <w:t>eejami tikai par pirmo ceturksni,</w:t>
      </w:r>
      <w:r w:rsidRPr="001B0A7B">
        <w:rPr>
          <w:szCs w:val="20"/>
        </w:rPr>
        <w:t xml:space="preserve"> rāda, ka lielākais preču importa kritums ir fiksēts tieši </w:t>
      </w:r>
      <w:proofErr w:type="spellStart"/>
      <w:r w:rsidRPr="001B0A7B">
        <w:rPr>
          <w:szCs w:val="20"/>
        </w:rPr>
        <w:t>kapitālprecēm</w:t>
      </w:r>
      <w:proofErr w:type="spellEnd"/>
      <w:r w:rsidRPr="001B0A7B">
        <w:rPr>
          <w:szCs w:val="20"/>
        </w:rPr>
        <w:t xml:space="preserve"> (</w:t>
      </w:r>
      <w:r>
        <w:rPr>
          <w:szCs w:val="20"/>
        </w:rPr>
        <w:t>-24,4%</w:t>
      </w:r>
      <w:r w:rsidRPr="001B0A7B">
        <w:rPr>
          <w:szCs w:val="20"/>
        </w:rPr>
        <w:t xml:space="preserve"> salīdzināju</w:t>
      </w:r>
      <w:r>
        <w:rPr>
          <w:szCs w:val="20"/>
        </w:rPr>
        <w:t>mā ar pērnā gada pirmo ceturksni)</w:t>
      </w:r>
      <w:r w:rsidRPr="001B0A7B">
        <w:rPr>
          <w:szCs w:val="20"/>
        </w:rPr>
        <w:t>. Tas atspoguļo ekonomikas attīstības tempu bremzēšanos š.g. pirmajā ceturksnī, kad IKP faktisk</w:t>
      </w:r>
      <w:r>
        <w:rPr>
          <w:szCs w:val="20"/>
        </w:rPr>
        <w:t>aj</w:t>
      </w:r>
      <w:r w:rsidRPr="001B0A7B">
        <w:rPr>
          <w:szCs w:val="20"/>
        </w:rPr>
        <w:t>ā</w:t>
      </w:r>
      <w:r>
        <w:rPr>
          <w:szCs w:val="20"/>
        </w:rPr>
        <w:t xml:space="preserve">s cenās samazinājās par </w:t>
      </w:r>
      <w:r>
        <w:rPr>
          <w:szCs w:val="20"/>
        </w:rPr>
        <w:lastRenderedPageBreak/>
        <w:t>0,2% bet aprīļa un maija dati liecina par vēl straujāku IKP kritumu otrajā ceturksnī.</w:t>
      </w:r>
    </w:p>
    <w:p w14:paraId="54E35F2C" w14:textId="77777777" w:rsidR="002E768B" w:rsidRPr="001B0A7B" w:rsidRDefault="002E768B" w:rsidP="002E768B">
      <w:pPr>
        <w:spacing w:before="60" w:after="60"/>
        <w:rPr>
          <w:szCs w:val="20"/>
        </w:rPr>
      </w:pPr>
      <w:r w:rsidRPr="001B0A7B">
        <w:rPr>
          <w:szCs w:val="20"/>
        </w:rPr>
        <w:t>Preču importa vērtības kritums š.g. piecos mēnešos fiksēts visām preču importa grupām</w:t>
      </w:r>
      <w:r>
        <w:rPr>
          <w:szCs w:val="20"/>
        </w:rPr>
        <w:t>,</w:t>
      </w:r>
      <w:r w:rsidRPr="001B0A7B">
        <w:rPr>
          <w:szCs w:val="20"/>
        </w:rPr>
        <w:t xml:space="preserve"> izņemot lauksaimniecības un pārtikas importu. Zīmīgi, ka lielākie importa kritumi ir fiksēti tām pašām preču grupām kā  eksportā. Lielāko negatīvo devumu preču importa kritumā noteica satiksmes līdzekļu samazinājums par 55,1%, ko noteica automobiļu un gaisa kuģu importa samazinājums attiecīgi par 31,0% un 98,3%. Būtisks importa kritums fiksēts arī </w:t>
      </w:r>
      <w:proofErr w:type="spellStart"/>
      <w:r w:rsidRPr="001B0A7B">
        <w:rPr>
          <w:szCs w:val="20"/>
        </w:rPr>
        <w:t>minerālproduktiem</w:t>
      </w:r>
      <w:proofErr w:type="spellEnd"/>
      <w:r w:rsidRPr="001B0A7B">
        <w:rPr>
          <w:szCs w:val="20"/>
        </w:rPr>
        <w:t xml:space="preserve">, kopumā par 31,3%. Šajā preču grupā importa samazinājumu noteica elektroenerģijas un naftas produktu importa samazinājums no Baltijas valstīm un Krievijas. </w:t>
      </w:r>
    </w:p>
    <w:p w14:paraId="31C6FE9E" w14:textId="77777777" w:rsidR="002E768B" w:rsidRPr="001B0A7B" w:rsidRDefault="002E768B" w:rsidP="002E768B">
      <w:pPr>
        <w:spacing w:before="60" w:after="60"/>
        <w:rPr>
          <w:szCs w:val="20"/>
        </w:rPr>
      </w:pPr>
      <w:r>
        <w:rPr>
          <w:szCs w:val="20"/>
        </w:rPr>
        <w:t>Pārējās preču grupā</w:t>
      </w:r>
      <w:r w:rsidRPr="001B0A7B">
        <w:rPr>
          <w:szCs w:val="20"/>
        </w:rPr>
        <w:t>s importa kritums ir mazāks. Tā, metālu un to izstrādājumu imports samazinājies par 10,6%, ko noteica dzelzs un neleģētā tērauda importa samazinājums no Krievijas, kā arī alumīnija importa samazinājums no vairākām ES dalībvalstīm. Būvmateriālu importa vērtība samazinājās par 7,9% salīdzinājumā ar pērnā gada attiecīgo periodu, ko lielā mērā noteica ģipša, cementa un akmens importa samazinājums par 16,6%. Metālu un būvniecības izstrādājumu importa samazinājums fiksēts tieši š.g. aprīlī un maijā, kamēr pirmajā ceturksnī kopumā būvniecības preču imports bija vēl augošs, bet metālu imports bija pērnā gada līmenī. Šāda importa tendence norāda uz to, ka būvniecības un investīciju aktivitāte Latvijā š.g. otrajā ceturksnī būs būtiski zemāka nekā gada sākumā un vi</w:t>
      </w:r>
      <w:r>
        <w:rPr>
          <w:szCs w:val="20"/>
        </w:rPr>
        <w:t>dēji 2019.gadā. Tajā pašā laikā</w:t>
      </w:r>
      <w:r w:rsidRPr="001B0A7B">
        <w:rPr>
          <w:szCs w:val="20"/>
        </w:rPr>
        <w:t xml:space="preserve"> metālu un būvniecības materiālu importa samazinājum</w:t>
      </w:r>
      <w:r>
        <w:rPr>
          <w:szCs w:val="20"/>
        </w:rPr>
        <w:t>u</w:t>
      </w:r>
      <w:r w:rsidRPr="001B0A7B">
        <w:rPr>
          <w:szCs w:val="20"/>
        </w:rPr>
        <w:t xml:space="preserve"> tieši aprīlī un maijā varēja izraisīt šo preču piegādes traucējumi saistīb</w:t>
      </w:r>
      <w:r>
        <w:rPr>
          <w:szCs w:val="20"/>
        </w:rPr>
        <w:t>ā</w:t>
      </w:r>
      <w:r w:rsidRPr="001B0A7B">
        <w:rPr>
          <w:szCs w:val="20"/>
        </w:rPr>
        <w:t xml:space="preserve"> ar karantīnas ieviešanu un ražošana</w:t>
      </w:r>
      <w:r>
        <w:rPr>
          <w:szCs w:val="20"/>
        </w:rPr>
        <w:t>s jaudas samazināšanos</w:t>
      </w:r>
      <w:r w:rsidRPr="001B0A7B">
        <w:rPr>
          <w:szCs w:val="20"/>
        </w:rPr>
        <w:t xml:space="preserve"> tirdzniecības partnervalstīs. </w:t>
      </w:r>
    </w:p>
    <w:p w14:paraId="67D004A6" w14:textId="3A22BD6E" w:rsidR="00500AAB" w:rsidRPr="00500AAB" w:rsidRDefault="002E768B" w:rsidP="002E768B">
      <w:pPr>
        <w:spacing w:before="60" w:after="60"/>
        <w:rPr>
          <w:rFonts w:eastAsia="Calibri" w:cs="Times New Roman"/>
          <w:szCs w:val="20"/>
        </w:rPr>
      </w:pPr>
      <w:r w:rsidRPr="001B0A7B">
        <w:rPr>
          <w:szCs w:val="20"/>
        </w:rPr>
        <w:t>Preču importa kritumu nedaudz mazināja lauksaimniecības un pārtikas preču eksporta pieaugums par 1,8% salīdzinājumā ar pērnā gada pirmajiem pieciem mēnešiem. Šo preču importa grupas pieaugumu veicināja tabakas izst</w:t>
      </w:r>
      <w:r>
        <w:rPr>
          <w:szCs w:val="20"/>
        </w:rPr>
        <w:t>rādājumu, augļu, kafijas un tējas</w:t>
      </w:r>
      <w:r w:rsidRPr="001B0A7B">
        <w:rPr>
          <w:szCs w:val="20"/>
        </w:rPr>
        <w:t xml:space="preserve"> importa palielinājums.</w:t>
      </w:r>
      <w:r w:rsidR="00500AAB" w:rsidRPr="00500AAB">
        <w:rPr>
          <w:rFonts w:eastAsia="Calibri" w:cs="Times New Roman"/>
          <w:szCs w:val="20"/>
        </w:rPr>
        <w:t xml:space="preserve"> </w:t>
      </w:r>
    </w:p>
    <w:p w14:paraId="324F552F" w14:textId="1577E458" w:rsidR="00500AAB" w:rsidRPr="00500AAB" w:rsidRDefault="002E768B" w:rsidP="00500AAB">
      <w:pPr>
        <w:spacing w:before="60" w:after="60"/>
        <w:rPr>
          <w:rFonts w:eastAsia="Calibri" w:cs="Times New Roman"/>
          <w:szCs w:val="20"/>
        </w:rPr>
      </w:pPr>
      <w:r w:rsidRPr="001B0A7B">
        <w:rPr>
          <w:szCs w:val="20"/>
        </w:rPr>
        <w:t xml:space="preserve">Būtiska ietekme redzama arī </w:t>
      </w:r>
      <w:r w:rsidRPr="001B0A7B">
        <w:rPr>
          <w:b/>
          <w:szCs w:val="20"/>
        </w:rPr>
        <w:t>pakalpojumu importā</w:t>
      </w:r>
      <w:r w:rsidRPr="001B0A7B">
        <w:rPr>
          <w:szCs w:val="20"/>
        </w:rPr>
        <w:t xml:space="preserve">, jo pakalpojumu importa vērtība š.g. pirmajos piecos mēnešos samazinājās par 16,5% salīdzinājumā ar pērnā gada attiecīgo periodu. </w:t>
      </w:r>
      <w:r>
        <w:rPr>
          <w:szCs w:val="20"/>
        </w:rPr>
        <w:t>U</w:t>
      </w:r>
      <w:r w:rsidRPr="001B0A7B">
        <w:rPr>
          <w:szCs w:val="20"/>
        </w:rPr>
        <w:t xml:space="preserve">z Covid-19 pandēmijas radīto krīzi </w:t>
      </w:r>
      <w:r>
        <w:rPr>
          <w:szCs w:val="20"/>
        </w:rPr>
        <w:t xml:space="preserve">ātrāk </w:t>
      </w:r>
      <w:r w:rsidRPr="001B0A7B">
        <w:rPr>
          <w:szCs w:val="20"/>
        </w:rPr>
        <w:t>reaģējis transporta pakalpojumu imports un Latvijas iedzīvotāju tēriņi ārvalstis. Šo pakalpojumu importa vērtība samazinājās attiecīgi par 19,7% un 38,6%. Savukārt pārējo</w:t>
      </w:r>
      <w:r>
        <w:rPr>
          <w:szCs w:val="20"/>
        </w:rPr>
        <w:t xml:space="preserve"> pakalpojumu imports samazinājās par 5,3%</w:t>
      </w:r>
      <w:r w:rsidR="00500AAB" w:rsidRPr="00500AAB">
        <w:rPr>
          <w:rFonts w:eastAsia="Calibri" w:cs="Times New Roman"/>
          <w:szCs w:val="20"/>
        </w:rPr>
        <w:t xml:space="preserve">. </w:t>
      </w:r>
    </w:p>
    <w:p w14:paraId="538CEDBB" w14:textId="77777777" w:rsidR="002E768B" w:rsidRPr="001B0A7B" w:rsidRDefault="002E768B" w:rsidP="002E768B">
      <w:pPr>
        <w:spacing w:before="60" w:after="60"/>
        <w:rPr>
          <w:szCs w:val="20"/>
        </w:rPr>
      </w:pPr>
      <w:r w:rsidRPr="001B0A7B">
        <w:rPr>
          <w:szCs w:val="20"/>
        </w:rPr>
        <w:t xml:space="preserve">Covid-19 pandēmijas izraisītas sekas būtiski ietekmēja arī Latvijas </w:t>
      </w:r>
      <w:r w:rsidRPr="001B0A7B">
        <w:rPr>
          <w:b/>
          <w:szCs w:val="20"/>
        </w:rPr>
        <w:t xml:space="preserve">maksājumu bilances tekošo kontu. </w:t>
      </w:r>
      <w:r w:rsidRPr="001B0A7B">
        <w:rPr>
          <w:szCs w:val="20"/>
        </w:rPr>
        <w:t xml:space="preserve">Š.g. pirmajos piecos mēnešos tekošajā kontā bija fiksēts pārpalikums 598 milj. </w:t>
      </w:r>
      <w:proofErr w:type="spellStart"/>
      <w:r w:rsidRPr="001B0A7B">
        <w:rPr>
          <w:i/>
          <w:szCs w:val="20"/>
        </w:rPr>
        <w:t>euro</w:t>
      </w:r>
      <w:proofErr w:type="spellEnd"/>
      <w:r w:rsidRPr="001B0A7B">
        <w:rPr>
          <w:szCs w:val="20"/>
        </w:rPr>
        <w:t xml:space="preserve"> apmērā pretstatā 178 milj. </w:t>
      </w:r>
      <w:proofErr w:type="spellStart"/>
      <w:r w:rsidRPr="001B0A7B">
        <w:rPr>
          <w:i/>
          <w:szCs w:val="20"/>
        </w:rPr>
        <w:t>euro</w:t>
      </w:r>
      <w:proofErr w:type="spellEnd"/>
      <w:r w:rsidRPr="001B0A7B">
        <w:rPr>
          <w:szCs w:val="20"/>
        </w:rPr>
        <w:t xml:space="preserve"> pārpalikumam 2019.gada piecos mēnešos. Izmaiņas ir fiksētas visos tekošā konta apakškontos, tomēr noteicošo lomu pārpalikuma pieaugumā nodrošināja izmaiņas preču kontā. Preču importa vērtībai samazinoties straujāk par preču eksportu, preču konta deficīts samazinājies no 941 milj. </w:t>
      </w:r>
      <w:proofErr w:type="spellStart"/>
      <w:r w:rsidRPr="001B0A7B">
        <w:rPr>
          <w:i/>
          <w:szCs w:val="20"/>
        </w:rPr>
        <w:t>euro</w:t>
      </w:r>
      <w:proofErr w:type="spellEnd"/>
      <w:r w:rsidRPr="001B0A7B">
        <w:rPr>
          <w:szCs w:val="20"/>
        </w:rPr>
        <w:t xml:space="preserve"> 2019.gada piecos mēnešos līdz 562 milj. </w:t>
      </w:r>
      <w:proofErr w:type="spellStart"/>
      <w:r w:rsidRPr="001B0A7B">
        <w:rPr>
          <w:i/>
          <w:szCs w:val="20"/>
        </w:rPr>
        <w:t>euro</w:t>
      </w:r>
      <w:proofErr w:type="spellEnd"/>
      <w:r w:rsidRPr="001B0A7B">
        <w:rPr>
          <w:szCs w:val="20"/>
        </w:rPr>
        <w:t xml:space="preserve"> š.g. piecos mēnešos. Savukārt pakalpojumu kontā vērojama pretēja situācija. Pakalpojumu eksports samazinājies straujāk par importu, </w:t>
      </w:r>
      <w:r w:rsidRPr="001B0A7B">
        <w:rPr>
          <w:szCs w:val="20"/>
        </w:rPr>
        <w:lastRenderedPageBreak/>
        <w:t xml:space="preserve">tādējādi konta pārpalikums </w:t>
      </w:r>
      <w:r>
        <w:rPr>
          <w:szCs w:val="20"/>
        </w:rPr>
        <w:t>saruka</w:t>
      </w:r>
      <w:r w:rsidRPr="001B0A7B">
        <w:rPr>
          <w:szCs w:val="20"/>
        </w:rPr>
        <w:t xml:space="preserve"> par 178 milj. </w:t>
      </w:r>
      <w:proofErr w:type="spellStart"/>
      <w:r w:rsidRPr="001B0A7B">
        <w:rPr>
          <w:i/>
          <w:szCs w:val="20"/>
        </w:rPr>
        <w:t>euro</w:t>
      </w:r>
      <w:proofErr w:type="spellEnd"/>
      <w:r w:rsidRPr="001B0A7B">
        <w:rPr>
          <w:szCs w:val="20"/>
        </w:rPr>
        <w:t xml:space="preserve"> līdz 809 milj. </w:t>
      </w:r>
      <w:proofErr w:type="spellStart"/>
      <w:r w:rsidRPr="001B0A7B">
        <w:rPr>
          <w:i/>
          <w:szCs w:val="20"/>
        </w:rPr>
        <w:t>euro</w:t>
      </w:r>
      <w:proofErr w:type="spellEnd"/>
      <w:r w:rsidRPr="001B0A7B">
        <w:rPr>
          <w:szCs w:val="20"/>
        </w:rPr>
        <w:t>. Tomēr kopumā ārējā</w:t>
      </w:r>
      <w:r>
        <w:rPr>
          <w:szCs w:val="20"/>
        </w:rPr>
        <w:t>s</w:t>
      </w:r>
      <w:r w:rsidRPr="001B0A7B">
        <w:rPr>
          <w:szCs w:val="20"/>
        </w:rPr>
        <w:t xml:space="preserve"> tirdzniecība</w:t>
      </w:r>
      <w:r>
        <w:rPr>
          <w:szCs w:val="20"/>
        </w:rPr>
        <w:t>s</w:t>
      </w:r>
      <w:r w:rsidRPr="001B0A7B">
        <w:rPr>
          <w:szCs w:val="20"/>
        </w:rPr>
        <w:t xml:space="preserve"> bilance š.g. piecos mēnešos bija pozitīva un pakalpojumu konta pārpalikums bija par 247 milj. </w:t>
      </w:r>
      <w:proofErr w:type="spellStart"/>
      <w:r w:rsidRPr="001B0A7B">
        <w:rPr>
          <w:i/>
          <w:szCs w:val="20"/>
        </w:rPr>
        <w:t>euro</w:t>
      </w:r>
      <w:proofErr w:type="spellEnd"/>
      <w:r w:rsidRPr="001B0A7B">
        <w:rPr>
          <w:szCs w:val="20"/>
        </w:rPr>
        <w:t xml:space="preserve"> lielāks nekā preču konta deficīts. </w:t>
      </w:r>
    </w:p>
    <w:p w14:paraId="5EF999F5" w14:textId="6088F45A" w:rsidR="00500AAB" w:rsidRPr="00500AAB" w:rsidRDefault="002E768B" w:rsidP="002E768B">
      <w:pPr>
        <w:spacing w:before="60" w:after="60"/>
        <w:rPr>
          <w:rFonts w:eastAsia="Calibri" w:cs="Times New Roman"/>
          <w:szCs w:val="20"/>
        </w:rPr>
      </w:pPr>
      <w:r w:rsidRPr="001B0A7B">
        <w:rPr>
          <w:szCs w:val="20"/>
        </w:rPr>
        <w:t>Sākotnējo ienākum</w:t>
      </w:r>
      <w:r>
        <w:rPr>
          <w:szCs w:val="20"/>
        </w:rPr>
        <w:t>u konta pārpalikums palielinājā</w:t>
      </w:r>
      <w:r w:rsidRPr="001B0A7B">
        <w:rPr>
          <w:szCs w:val="20"/>
        </w:rPr>
        <w:t xml:space="preserve">s par 185 milj. </w:t>
      </w:r>
      <w:proofErr w:type="spellStart"/>
      <w:r w:rsidRPr="001B0A7B">
        <w:rPr>
          <w:i/>
          <w:szCs w:val="20"/>
        </w:rPr>
        <w:t>euro</w:t>
      </w:r>
      <w:proofErr w:type="spellEnd"/>
      <w:r w:rsidRPr="001B0A7B">
        <w:rPr>
          <w:szCs w:val="20"/>
        </w:rPr>
        <w:t xml:space="preserve"> līdz 252 milj. </w:t>
      </w:r>
      <w:proofErr w:type="spellStart"/>
      <w:r w:rsidRPr="001B0A7B">
        <w:rPr>
          <w:i/>
          <w:szCs w:val="20"/>
        </w:rPr>
        <w:t>euro</w:t>
      </w:r>
      <w:proofErr w:type="spellEnd"/>
      <w:r w:rsidRPr="001B0A7B">
        <w:rPr>
          <w:i/>
          <w:szCs w:val="20"/>
        </w:rPr>
        <w:t xml:space="preserve"> </w:t>
      </w:r>
      <w:r w:rsidRPr="001B0A7B">
        <w:rPr>
          <w:szCs w:val="20"/>
        </w:rPr>
        <w:t>š.g. piecos mēnešos, ko lielā mērā noteica zemāks izmaksāto dividenžu apjoms ārvalstu investoriem. Savukārt otrreizēj</w:t>
      </w:r>
      <w:r>
        <w:rPr>
          <w:szCs w:val="20"/>
        </w:rPr>
        <w:t>o</w:t>
      </w:r>
      <w:r w:rsidRPr="001B0A7B">
        <w:rPr>
          <w:szCs w:val="20"/>
        </w:rPr>
        <w:t xml:space="preserve"> ienākum</w:t>
      </w:r>
      <w:r>
        <w:rPr>
          <w:szCs w:val="20"/>
        </w:rPr>
        <w:t>u</w:t>
      </w:r>
      <w:r w:rsidRPr="001B0A7B">
        <w:rPr>
          <w:szCs w:val="20"/>
        </w:rPr>
        <w:t xml:space="preserve"> konta bilance uzlabojās no 64 milj. </w:t>
      </w:r>
      <w:proofErr w:type="spellStart"/>
      <w:r w:rsidRPr="001B0A7B">
        <w:rPr>
          <w:i/>
          <w:szCs w:val="20"/>
        </w:rPr>
        <w:t>euro</w:t>
      </w:r>
      <w:proofErr w:type="spellEnd"/>
      <w:r w:rsidRPr="001B0A7B">
        <w:rPr>
          <w:szCs w:val="20"/>
        </w:rPr>
        <w:t xml:space="preserve"> līdz 98 milj. </w:t>
      </w:r>
      <w:proofErr w:type="spellStart"/>
      <w:r w:rsidRPr="001B0A7B">
        <w:rPr>
          <w:i/>
          <w:szCs w:val="20"/>
        </w:rPr>
        <w:t>euro</w:t>
      </w:r>
      <w:proofErr w:type="spellEnd"/>
      <w:r w:rsidRPr="001B0A7B">
        <w:rPr>
          <w:szCs w:val="20"/>
        </w:rPr>
        <w:t xml:space="preserve">, ko labvēlīgi ietekmēja ES fondu investīciju plūsma un mājsaimniecību un uzņēmumu rezidentu naudas pārvedumi no ārvalstīm. Šī konta pārpalikums varēja būt augstāks, taču </w:t>
      </w:r>
      <w:r>
        <w:rPr>
          <w:szCs w:val="20"/>
        </w:rPr>
        <w:t>lielākas</w:t>
      </w:r>
      <w:r w:rsidRPr="001B0A7B">
        <w:rPr>
          <w:szCs w:val="20"/>
        </w:rPr>
        <w:t xml:space="preserve"> Latvijas iemaksas ES budžetā par 16 milj. </w:t>
      </w:r>
      <w:proofErr w:type="spellStart"/>
      <w:r w:rsidRPr="001B0A7B">
        <w:rPr>
          <w:i/>
          <w:szCs w:val="20"/>
        </w:rPr>
        <w:t>euro</w:t>
      </w:r>
      <w:proofErr w:type="spellEnd"/>
      <w:r w:rsidRPr="001B0A7B">
        <w:rPr>
          <w:i/>
          <w:szCs w:val="20"/>
        </w:rPr>
        <w:t xml:space="preserve"> </w:t>
      </w:r>
      <w:r w:rsidRPr="001B0A7B">
        <w:rPr>
          <w:szCs w:val="20"/>
        </w:rPr>
        <w:t xml:space="preserve">salīdzinājumā ar pērnā gada pieciem mēnešiem mazināja konta pozitīvo saldo. </w:t>
      </w:r>
      <w:r w:rsidR="00500AAB" w:rsidRPr="00500AAB">
        <w:rPr>
          <w:rFonts w:eastAsia="Calibri" w:cs="Times New Roman"/>
          <w:szCs w:val="20"/>
        </w:rPr>
        <w:t xml:space="preserve"> </w:t>
      </w:r>
    </w:p>
    <w:p w14:paraId="5B002D26" w14:textId="77777777" w:rsidR="00500AAB" w:rsidRPr="00500AAB" w:rsidRDefault="00500AAB" w:rsidP="00BF00F7">
      <w:pPr>
        <w:spacing w:before="240"/>
        <w:rPr>
          <w:rFonts w:eastAsia="Calibri" w:cs="Times New Roman"/>
          <w:b/>
          <w:szCs w:val="20"/>
        </w:rPr>
      </w:pPr>
      <w:r w:rsidRPr="00500AAB">
        <w:rPr>
          <w:rFonts w:eastAsia="Calibri" w:cs="Times New Roman"/>
          <w:b/>
          <w:szCs w:val="20"/>
        </w:rPr>
        <w:t xml:space="preserve">Investīcijas </w:t>
      </w:r>
    </w:p>
    <w:p w14:paraId="3A8A5754" w14:textId="77777777" w:rsidR="002E768B" w:rsidRPr="001B0A7B" w:rsidRDefault="002E768B" w:rsidP="002E768B">
      <w:pPr>
        <w:spacing w:before="60" w:after="60"/>
        <w:rPr>
          <w:szCs w:val="20"/>
        </w:rPr>
      </w:pPr>
      <w:r w:rsidRPr="001B0A7B">
        <w:rPr>
          <w:szCs w:val="20"/>
        </w:rPr>
        <w:t xml:space="preserve">2019.gadā </w:t>
      </w:r>
      <w:r w:rsidRPr="001B0A7B">
        <w:rPr>
          <w:b/>
          <w:szCs w:val="20"/>
        </w:rPr>
        <w:t>ieguldījumi bruto pamatkapitāla veidošanā jeb investīcijas</w:t>
      </w:r>
      <w:r w:rsidRPr="001B0A7B">
        <w:rPr>
          <w:szCs w:val="20"/>
        </w:rPr>
        <w:t xml:space="preserve"> uzrādīja pieaugumu, bet salīdzinājumā ar iepriekšējiem diviem gadiem investīciju kāpumu drīzāk var uzskatīt par simbolisku, jo gada laikā tās palielinājās tikai par 3,0%. Kamēr 2017.gada un 2018.gadā investīciju pieaugums veidoja attiecīgi 11,3% un 15,8%. Investīciju pieauguma tempa piebremzēšanās saistīta galvenokārt ar zemāku būvniecības aktivitāti, uz ko norāda </w:t>
      </w:r>
      <w:r>
        <w:rPr>
          <w:szCs w:val="20"/>
        </w:rPr>
        <w:t>vājāka</w:t>
      </w:r>
      <w:r w:rsidRPr="001B0A7B">
        <w:rPr>
          <w:szCs w:val="20"/>
        </w:rPr>
        <w:t xml:space="preserve"> būvniecības nozares </w:t>
      </w:r>
      <w:r>
        <w:rPr>
          <w:szCs w:val="20"/>
        </w:rPr>
        <w:t>izaugsme</w:t>
      </w:r>
      <w:r w:rsidRPr="001B0A7B">
        <w:rPr>
          <w:szCs w:val="20"/>
        </w:rPr>
        <w:t xml:space="preserve"> 2019.gadā. Tomēr investīciju kāpums 2019.gadā bija straujāks par IKP kopējo izaugsmi un nodrošināja 0,7 procentpunktus reālā IKP pieaugumā. Kopējais investīciju apjoms </w:t>
      </w:r>
      <w:r>
        <w:rPr>
          <w:szCs w:val="20"/>
        </w:rPr>
        <w:t xml:space="preserve">pērn </w:t>
      </w:r>
      <w:r w:rsidRPr="001B0A7B">
        <w:rPr>
          <w:szCs w:val="20"/>
        </w:rPr>
        <w:t xml:space="preserve">salīdzināmajās cenās bija 6549 milj. </w:t>
      </w:r>
      <w:proofErr w:type="spellStart"/>
      <w:r w:rsidRPr="001B0A7B">
        <w:rPr>
          <w:i/>
          <w:szCs w:val="20"/>
        </w:rPr>
        <w:t>euro</w:t>
      </w:r>
      <w:proofErr w:type="spellEnd"/>
      <w:r>
        <w:rPr>
          <w:szCs w:val="20"/>
        </w:rPr>
        <w:t>, t</w:t>
      </w:r>
      <w:r w:rsidRPr="001B0A7B">
        <w:rPr>
          <w:szCs w:val="20"/>
        </w:rPr>
        <w:t>ādējādi investīciju īp</w:t>
      </w:r>
      <w:r>
        <w:rPr>
          <w:szCs w:val="20"/>
        </w:rPr>
        <w:t>atsvars reālajā IKP palielinājā</w:t>
      </w:r>
      <w:r w:rsidRPr="001B0A7B">
        <w:rPr>
          <w:szCs w:val="20"/>
        </w:rPr>
        <w:t xml:space="preserve">s līdz 23,8%, kas ir augstākais līmenis pēdējā desmitgadē. </w:t>
      </w:r>
    </w:p>
    <w:p w14:paraId="68450881" w14:textId="77777777" w:rsidR="002E768B" w:rsidRPr="001B0A7B" w:rsidRDefault="002E768B" w:rsidP="002E768B">
      <w:pPr>
        <w:spacing w:before="60" w:after="60"/>
        <w:rPr>
          <w:szCs w:val="20"/>
        </w:rPr>
      </w:pPr>
      <w:r w:rsidRPr="001B0A7B">
        <w:rPr>
          <w:szCs w:val="20"/>
        </w:rPr>
        <w:t xml:space="preserve">Būtiska loma investīciju aktivitātes pieaugumā pēdējos gados bija arī ES fondu investīcijām. Valsts budžeta izdevumi ES fondu investīciju projektiem pērnajā gadā bija 712 milj. </w:t>
      </w:r>
      <w:proofErr w:type="spellStart"/>
      <w:r w:rsidRPr="001B0A7B">
        <w:rPr>
          <w:i/>
          <w:szCs w:val="20"/>
        </w:rPr>
        <w:t>euro</w:t>
      </w:r>
      <w:proofErr w:type="spellEnd"/>
      <w:r w:rsidRPr="001B0A7B">
        <w:rPr>
          <w:szCs w:val="20"/>
        </w:rPr>
        <w:t xml:space="preserve">, no tiem 350 milj. </w:t>
      </w:r>
      <w:proofErr w:type="spellStart"/>
      <w:r w:rsidRPr="001B0A7B">
        <w:rPr>
          <w:i/>
          <w:szCs w:val="20"/>
        </w:rPr>
        <w:t>euro</w:t>
      </w:r>
      <w:proofErr w:type="spellEnd"/>
      <w:r w:rsidRPr="001B0A7B">
        <w:rPr>
          <w:szCs w:val="20"/>
        </w:rPr>
        <w:t xml:space="preserve"> bija kapitālie izdevumi jeb investīcijas, kas tiešā veidā ietekmē bruto pamatkapitāla veidošanas apjomu tautsaimniecībā. Tomēr gan kopējie valsts budžeta izdevumi ES fondu investīciju projektiem, gan kapitālie izdevumi 2019.gadā praktiski bija iepriekšējā gada līmenī, tādējādi neradot papildus stimulu straujākam investīciju pieaugumam tautsaimniecībā kopumā. Ņemot vērā aktuālākas prognozes, sagaidāms, kā arī 2020.gadā valsts budžeta izdevumi ES fondu investīciju projektiem būs aptuveni iepriekšējā gada līmenī.</w:t>
      </w:r>
    </w:p>
    <w:p w14:paraId="3B6438A5" w14:textId="77777777" w:rsidR="002E768B" w:rsidRPr="001B0A7B" w:rsidRDefault="002E768B" w:rsidP="002E768B">
      <w:pPr>
        <w:spacing w:before="60" w:after="60"/>
        <w:rPr>
          <w:szCs w:val="20"/>
        </w:rPr>
      </w:pPr>
      <w:r w:rsidRPr="001B0A7B">
        <w:rPr>
          <w:szCs w:val="20"/>
        </w:rPr>
        <w:t xml:space="preserve">Par spīti ekonomikas kritumam 2020.gada pirmajā ceturksnī, investīcijas turpināja palielināties un kopumā veidoja 1284 milj. </w:t>
      </w:r>
      <w:proofErr w:type="spellStart"/>
      <w:r w:rsidRPr="001B0A7B">
        <w:rPr>
          <w:i/>
          <w:szCs w:val="20"/>
        </w:rPr>
        <w:t>euro</w:t>
      </w:r>
      <w:proofErr w:type="spellEnd"/>
      <w:r w:rsidRPr="001B0A7B">
        <w:rPr>
          <w:szCs w:val="20"/>
        </w:rPr>
        <w:t>, kas bija par 5,7% vairāk nekā iepriekšējā gada pirmajā ceturksnī. Kopējo investīciju kāpumu nodrošināja būvniecības attīstība, kura bija pietiekoši strauja, lai kompe</w:t>
      </w:r>
      <w:r>
        <w:rPr>
          <w:szCs w:val="20"/>
        </w:rPr>
        <w:t>nsētu investīciju kritumu mašīnās un iekārtā</w:t>
      </w:r>
      <w:r w:rsidRPr="001B0A7B">
        <w:rPr>
          <w:szCs w:val="20"/>
        </w:rPr>
        <w:t xml:space="preserve">s. </w:t>
      </w:r>
    </w:p>
    <w:p w14:paraId="0EDDEE7B" w14:textId="77777777" w:rsidR="002E768B" w:rsidRDefault="002E768B" w:rsidP="002E768B">
      <w:pPr>
        <w:spacing w:before="60" w:after="60"/>
        <w:rPr>
          <w:szCs w:val="20"/>
        </w:rPr>
      </w:pPr>
      <w:r w:rsidRPr="001B0A7B">
        <w:rPr>
          <w:szCs w:val="20"/>
        </w:rPr>
        <w:t>Investīcijas biroju, mājokļu, noliktavu un citu ēku būvniecībā, kā arī jau esošo ēku un būvju renovācijā jo</w:t>
      </w:r>
      <w:r>
        <w:rPr>
          <w:szCs w:val="20"/>
        </w:rPr>
        <w:t>projām saglabājas kā</w:t>
      </w:r>
      <w:r w:rsidRPr="001B0A7B">
        <w:rPr>
          <w:szCs w:val="20"/>
        </w:rPr>
        <w:t xml:space="preserve"> galven</w:t>
      </w:r>
      <w:r>
        <w:rPr>
          <w:szCs w:val="20"/>
        </w:rPr>
        <w:t>ais investīciju veids. 2020.gada</w:t>
      </w:r>
      <w:r w:rsidRPr="001B0A7B">
        <w:rPr>
          <w:szCs w:val="20"/>
        </w:rPr>
        <w:t xml:space="preserve"> pirmajā ceturksnī investīcijas ēkās un būvēs veidoja 53,5% no kopējām investīcijām un salīdzinājumā ar pērnā gada pirmo ceturksn</w:t>
      </w:r>
      <w:r>
        <w:rPr>
          <w:szCs w:val="20"/>
        </w:rPr>
        <w:t>i</w:t>
      </w:r>
      <w:r w:rsidRPr="001B0A7B">
        <w:rPr>
          <w:szCs w:val="20"/>
        </w:rPr>
        <w:t xml:space="preserve"> palielinājās par </w:t>
      </w:r>
      <w:r w:rsidRPr="001B0A7B">
        <w:rPr>
          <w:szCs w:val="20"/>
        </w:rPr>
        <w:lastRenderedPageBreak/>
        <w:t>11,4%. Pateicoties labvēlīgiem laik</w:t>
      </w:r>
      <w:r>
        <w:rPr>
          <w:szCs w:val="20"/>
        </w:rPr>
        <w:t>a</w:t>
      </w:r>
      <w:r w:rsidRPr="001B0A7B">
        <w:rPr>
          <w:szCs w:val="20"/>
        </w:rPr>
        <w:t xml:space="preserve"> apstākļiem un realizētiem būvniecības objektiem gan privāt</w:t>
      </w:r>
      <w:r>
        <w:rPr>
          <w:szCs w:val="20"/>
        </w:rPr>
        <w:t>aj</w:t>
      </w:r>
      <w:r w:rsidRPr="001B0A7B">
        <w:rPr>
          <w:szCs w:val="20"/>
        </w:rPr>
        <w:t>ā, gan sabiedrisk</w:t>
      </w:r>
      <w:r>
        <w:rPr>
          <w:szCs w:val="20"/>
        </w:rPr>
        <w:t>aj</w:t>
      </w:r>
      <w:r w:rsidRPr="001B0A7B">
        <w:rPr>
          <w:szCs w:val="20"/>
        </w:rPr>
        <w:t xml:space="preserve">ā sektorā š.g. sākumā būvniecības produkcijas apjoms palielinājies par 14,9%. </w:t>
      </w:r>
      <w:r>
        <w:rPr>
          <w:szCs w:val="28"/>
        </w:rPr>
        <w:t>Covid-19 pandēmija ietekmējusi visas tautsaimniecības nozares, tomēr būvniecības noskaņojuma kritums nav bijis tik liels kā citos pakalpojumu sektoros. Taču būvniecības pasūtījumu apjoms š.g. aprīlī un maijā noslīdēja līdz 2016.gada līmenim, kad būvniecības produkcijas apjoms vidēji samazinājās par 16,6%, bet jūnijā un jūlijā jau sāka uzlaboties.</w:t>
      </w:r>
    </w:p>
    <w:p w14:paraId="7312A4AB" w14:textId="77777777" w:rsidR="002E768B" w:rsidRPr="001B0A7B" w:rsidRDefault="002E768B" w:rsidP="002E768B">
      <w:pPr>
        <w:spacing w:before="60" w:after="60"/>
        <w:rPr>
          <w:szCs w:val="20"/>
        </w:rPr>
      </w:pPr>
      <w:r>
        <w:rPr>
          <w:szCs w:val="20"/>
        </w:rPr>
        <w:t>Negatīvi vērtējams, ka i</w:t>
      </w:r>
      <w:r w:rsidRPr="001B0A7B">
        <w:rPr>
          <w:szCs w:val="20"/>
        </w:rPr>
        <w:t>nvestīcijas tehnoloģiskajās iekārtās un mašīnās</w:t>
      </w:r>
      <w:r>
        <w:rPr>
          <w:szCs w:val="20"/>
        </w:rPr>
        <w:t>, kas</w:t>
      </w:r>
      <w:r w:rsidRPr="001B0A7B">
        <w:rPr>
          <w:szCs w:val="20"/>
        </w:rPr>
        <w:t xml:space="preserve"> 2020.gada pirmajā ceturksnī veidoja 40,3% no kopējām </w:t>
      </w:r>
      <w:r>
        <w:rPr>
          <w:szCs w:val="20"/>
        </w:rPr>
        <w:t xml:space="preserve">investīcijām, </w:t>
      </w:r>
      <w:r w:rsidRPr="001B0A7B">
        <w:rPr>
          <w:szCs w:val="20"/>
        </w:rPr>
        <w:t>salīdzinājumā ar iepriekšējā gada pirmo ceturksn</w:t>
      </w:r>
      <w:r>
        <w:rPr>
          <w:szCs w:val="20"/>
        </w:rPr>
        <w:t xml:space="preserve">i samazinājušās par 1,6%. </w:t>
      </w:r>
      <w:r w:rsidRPr="001B0A7B">
        <w:rPr>
          <w:szCs w:val="20"/>
        </w:rPr>
        <w:t xml:space="preserve">Neskatoties uz to, ka pēdējos gados investīciju apjoms šajos aktīvos bija augošs, tas </w:t>
      </w:r>
      <w:r>
        <w:rPr>
          <w:szCs w:val="20"/>
        </w:rPr>
        <w:t>nebija pietiekošs</w:t>
      </w:r>
      <w:r w:rsidRPr="001B0A7B">
        <w:rPr>
          <w:szCs w:val="20"/>
        </w:rPr>
        <w:t>, lai spētu būtiski veicināt un nodrošināt produktivitātes pieaugumu un inovāciju ieviešanu. Piemēram, investīcijas iekārtās un mašīnās 2019.gadā kopumā bija par 1 mljrd.</w:t>
      </w:r>
      <w:r>
        <w:rPr>
          <w:szCs w:val="20"/>
        </w:rPr>
        <w:t xml:space="preserve"> </w:t>
      </w:r>
      <w:proofErr w:type="spellStart"/>
      <w:r w:rsidRPr="00B76734">
        <w:rPr>
          <w:i/>
          <w:szCs w:val="20"/>
        </w:rPr>
        <w:t>euro</w:t>
      </w:r>
      <w:proofErr w:type="spellEnd"/>
      <w:r w:rsidRPr="001B0A7B">
        <w:rPr>
          <w:szCs w:val="20"/>
        </w:rPr>
        <w:t xml:space="preserve"> zemākas nekā 2007.–2008.gada periodā, kamēr IKP kopumā sasniedza 2007.gada jeb </w:t>
      </w:r>
      <w:proofErr w:type="spellStart"/>
      <w:r w:rsidRPr="001B0A7B">
        <w:rPr>
          <w:szCs w:val="20"/>
        </w:rPr>
        <w:t>pirmskrīzes</w:t>
      </w:r>
      <w:proofErr w:type="spellEnd"/>
      <w:r w:rsidRPr="001B0A7B">
        <w:rPr>
          <w:szCs w:val="20"/>
        </w:rPr>
        <w:t xml:space="preserve"> līmeni jau 2017.gadā. Tas norāda uz uzņēmēju piesardzību veikt investīcijas un paplašinā</w:t>
      </w:r>
      <w:r>
        <w:rPr>
          <w:szCs w:val="20"/>
        </w:rPr>
        <w:t>t savu uzņēmējdarbību. Savukārt</w:t>
      </w:r>
      <w:r w:rsidRPr="001B0A7B">
        <w:rPr>
          <w:szCs w:val="20"/>
        </w:rPr>
        <w:t xml:space="preserve"> Covid-19 sekas tikai pasliktinās šo situāciju. Papildus tam jāatzīmē, ka uzņēm</w:t>
      </w:r>
      <w:r>
        <w:rPr>
          <w:szCs w:val="20"/>
        </w:rPr>
        <w:t>ēju aptauju dati par investīcijas</w:t>
      </w:r>
      <w:r w:rsidRPr="001B0A7B">
        <w:rPr>
          <w:szCs w:val="20"/>
        </w:rPr>
        <w:t xml:space="preserve"> ietekmējošiem faktoriem norāda, ka lielākā daļa veikto investīciju iepriekšējos gados bija vērstas uz vec</w:t>
      </w:r>
      <w:r>
        <w:rPr>
          <w:szCs w:val="20"/>
        </w:rPr>
        <w:t>o</w:t>
      </w:r>
      <w:r w:rsidRPr="001B0A7B">
        <w:rPr>
          <w:szCs w:val="20"/>
        </w:rPr>
        <w:t xml:space="preserve"> iekārt</w:t>
      </w:r>
      <w:r>
        <w:rPr>
          <w:szCs w:val="20"/>
        </w:rPr>
        <w:t>u</w:t>
      </w:r>
      <w:r w:rsidRPr="001B0A7B">
        <w:rPr>
          <w:szCs w:val="20"/>
        </w:rPr>
        <w:t xml:space="preserve"> aizvietošanu un ražošanas procesu optimizāciju, bet tikai trešdaļa no veikt</w:t>
      </w:r>
      <w:r>
        <w:rPr>
          <w:szCs w:val="20"/>
        </w:rPr>
        <w:t>aj</w:t>
      </w:r>
      <w:r w:rsidRPr="001B0A7B">
        <w:rPr>
          <w:szCs w:val="20"/>
        </w:rPr>
        <w:t>ām investīcijām bija m</w:t>
      </w:r>
      <w:r>
        <w:rPr>
          <w:szCs w:val="20"/>
        </w:rPr>
        <w:t>ērķētas uz ražošanas paplašināšu</w:t>
      </w:r>
      <w:r w:rsidRPr="001B0A7B">
        <w:rPr>
          <w:szCs w:val="20"/>
        </w:rPr>
        <w:t xml:space="preserve">. </w:t>
      </w:r>
    </w:p>
    <w:p w14:paraId="48627B49" w14:textId="5A7DECA3" w:rsidR="00500AAB" w:rsidRPr="00500AAB" w:rsidRDefault="002E768B" w:rsidP="002E768B">
      <w:pPr>
        <w:spacing w:before="60" w:after="60"/>
        <w:rPr>
          <w:rFonts w:eastAsia="Calibri" w:cs="Times New Roman"/>
          <w:szCs w:val="20"/>
        </w:rPr>
      </w:pPr>
      <w:r w:rsidRPr="001B0A7B">
        <w:rPr>
          <w:szCs w:val="20"/>
        </w:rPr>
        <w:t>Pieprasījuma kritums, piesardzība</w:t>
      </w:r>
      <w:r>
        <w:rPr>
          <w:szCs w:val="20"/>
        </w:rPr>
        <w:t xml:space="preserve"> finanšu tirgos</w:t>
      </w:r>
      <w:r w:rsidRPr="001B0A7B">
        <w:rPr>
          <w:szCs w:val="20"/>
        </w:rPr>
        <w:t>, jaudu noslodzes</w:t>
      </w:r>
      <w:r>
        <w:rPr>
          <w:szCs w:val="20"/>
        </w:rPr>
        <w:t xml:space="preserve"> kritums un ierobežotie monetārā</w:t>
      </w:r>
      <w:r w:rsidRPr="001B0A7B">
        <w:rPr>
          <w:szCs w:val="20"/>
        </w:rPr>
        <w:t>s politikas</w:t>
      </w:r>
      <w:r>
        <w:rPr>
          <w:szCs w:val="20"/>
        </w:rPr>
        <w:t xml:space="preserve"> stimulēšanas instrumenti bremzē</w:t>
      </w:r>
      <w:r w:rsidRPr="001B0A7B">
        <w:rPr>
          <w:szCs w:val="20"/>
        </w:rPr>
        <w:t>s investīciju aktivitāti visā Eiropā, tajā skaitā Latvijā. Latvijas apstrādes rūpniecības jaudu noslodze š.g. otrajā un trešajā ceturksnī samazināj</w:t>
      </w:r>
      <w:r>
        <w:rPr>
          <w:szCs w:val="20"/>
        </w:rPr>
        <w:t>us</w:t>
      </w:r>
      <w:r w:rsidRPr="001B0A7B">
        <w:rPr>
          <w:szCs w:val="20"/>
        </w:rPr>
        <w:t>ies līdz 2015.gad</w:t>
      </w:r>
      <w:r>
        <w:rPr>
          <w:szCs w:val="20"/>
        </w:rPr>
        <w:t>a</w:t>
      </w:r>
      <w:r w:rsidRPr="001B0A7B">
        <w:rPr>
          <w:szCs w:val="20"/>
        </w:rPr>
        <w:t xml:space="preserve"> līmenim, bet ES vidēji līdz 2009.gada līmenim. Tādējādi investīciju projekti, kuri vērsti uz ražošanas kapacitātes paplašināšan</w:t>
      </w:r>
      <w:r>
        <w:rPr>
          <w:szCs w:val="20"/>
        </w:rPr>
        <w:t>u</w:t>
      </w:r>
      <w:r w:rsidRPr="001B0A7B">
        <w:rPr>
          <w:szCs w:val="20"/>
        </w:rPr>
        <w:t xml:space="preserve"> šogad un visticamāk arī nāk</w:t>
      </w:r>
      <w:r>
        <w:rPr>
          <w:szCs w:val="20"/>
        </w:rPr>
        <w:t>am</w:t>
      </w:r>
      <w:r w:rsidRPr="001B0A7B">
        <w:rPr>
          <w:szCs w:val="20"/>
        </w:rPr>
        <w:t xml:space="preserve">gad varētu būt atlikti. </w:t>
      </w:r>
      <w:r>
        <w:rPr>
          <w:szCs w:val="20"/>
        </w:rPr>
        <w:t xml:space="preserve">Līdz šim </w:t>
      </w:r>
      <w:r w:rsidRPr="001B0A7B">
        <w:rPr>
          <w:szCs w:val="20"/>
        </w:rPr>
        <w:t>Eiropas Centrālās bankas īstenot</w:t>
      </w:r>
      <w:r>
        <w:rPr>
          <w:szCs w:val="20"/>
        </w:rPr>
        <w:t>ā aktīvu paplašinātās</w:t>
      </w:r>
      <w:r w:rsidRPr="001B0A7B">
        <w:rPr>
          <w:szCs w:val="20"/>
        </w:rPr>
        <w:t xml:space="preserve"> iegād</w:t>
      </w:r>
      <w:r>
        <w:rPr>
          <w:szCs w:val="20"/>
        </w:rPr>
        <w:t>es programma un zemā</w:t>
      </w:r>
      <w:r w:rsidRPr="001B0A7B">
        <w:rPr>
          <w:szCs w:val="20"/>
        </w:rPr>
        <w:t>s kredītu procentu likmes minimāli ietekmēj</w:t>
      </w:r>
      <w:r>
        <w:rPr>
          <w:szCs w:val="20"/>
        </w:rPr>
        <w:t>ušas</w:t>
      </w:r>
      <w:r w:rsidRPr="001B0A7B">
        <w:rPr>
          <w:szCs w:val="20"/>
        </w:rPr>
        <w:t xml:space="preserve"> kreditēš</w:t>
      </w:r>
      <w:r>
        <w:rPr>
          <w:szCs w:val="20"/>
        </w:rPr>
        <w:t>an</w:t>
      </w:r>
      <w:r w:rsidRPr="001B0A7B">
        <w:rPr>
          <w:szCs w:val="20"/>
        </w:rPr>
        <w:t>u Latvijā. Savukārt pašreiz, kad vairākos pakalpojumu sektoros būtiski mazinājies apgrozījums un peļņa, uzņēmumi visticamāk att</w:t>
      </w:r>
      <w:r>
        <w:rPr>
          <w:szCs w:val="20"/>
        </w:rPr>
        <w:t>e</w:t>
      </w:r>
      <w:r w:rsidRPr="001B0A7B">
        <w:rPr>
          <w:szCs w:val="20"/>
        </w:rPr>
        <w:t>iksies no jauniem kredītiem investīciju veikšanai. Savukārt</w:t>
      </w:r>
      <w:r>
        <w:rPr>
          <w:szCs w:val="20"/>
        </w:rPr>
        <w:t xml:space="preserve"> darba organizācijas</w:t>
      </w:r>
      <w:r w:rsidRPr="001B0A7B">
        <w:rPr>
          <w:szCs w:val="20"/>
        </w:rPr>
        <w:t xml:space="preserve"> ieradumu mai</w:t>
      </w:r>
      <w:r>
        <w:rPr>
          <w:szCs w:val="20"/>
        </w:rPr>
        <w:t>ņa</w:t>
      </w:r>
      <w:r w:rsidRPr="001B0A7B">
        <w:rPr>
          <w:szCs w:val="20"/>
        </w:rPr>
        <w:t xml:space="preserve"> un masveidīga attālināta darba prakses ieviešana varētu mazināt pieprasījumu pēc birojiem vidējā termiņā, kas arī negatīvi ietekmēs investīciju aktivitāti. Šajā ekonomik</w:t>
      </w:r>
      <w:r>
        <w:rPr>
          <w:szCs w:val="20"/>
        </w:rPr>
        <w:t>as krīzē</w:t>
      </w:r>
      <w:r w:rsidRPr="001B0A7B">
        <w:rPr>
          <w:szCs w:val="20"/>
        </w:rPr>
        <w:t xml:space="preserve"> būtiska loma ir valdības īst</w:t>
      </w:r>
      <w:r>
        <w:rPr>
          <w:szCs w:val="20"/>
        </w:rPr>
        <w:t>enotajiem ekonomikas atbalsta</w:t>
      </w:r>
      <w:r w:rsidRPr="001B0A7B">
        <w:rPr>
          <w:szCs w:val="20"/>
        </w:rPr>
        <w:t xml:space="preserve"> un </w:t>
      </w:r>
      <w:r>
        <w:rPr>
          <w:szCs w:val="20"/>
        </w:rPr>
        <w:t xml:space="preserve">izaugsmes </w:t>
      </w:r>
      <w:r w:rsidRPr="001B0A7B">
        <w:rPr>
          <w:szCs w:val="20"/>
        </w:rPr>
        <w:t xml:space="preserve">veicināšanas pasākumiem. Salīdzinājumā </w:t>
      </w:r>
      <w:r>
        <w:rPr>
          <w:szCs w:val="20"/>
        </w:rPr>
        <w:t>ar iepriekšējo ekonomikas krīzi šobrīd</w:t>
      </w:r>
      <w:r w:rsidRPr="001B0A7B">
        <w:rPr>
          <w:szCs w:val="20"/>
        </w:rPr>
        <w:t xml:space="preserve"> Latvijas finanšu stāvoklis ir būtiski labāks un pieejami</w:t>
      </w:r>
      <w:r>
        <w:rPr>
          <w:szCs w:val="20"/>
        </w:rPr>
        <w:t>e</w:t>
      </w:r>
      <w:r w:rsidRPr="001B0A7B">
        <w:rPr>
          <w:szCs w:val="20"/>
        </w:rPr>
        <w:t xml:space="preserve"> finanšu resursi ir ievērojami plašāki. Balstoties uz informāciju par ES daudzgadu budžetu 2021.-2027.gadam</w:t>
      </w:r>
      <w:r>
        <w:rPr>
          <w:szCs w:val="20"/>
        </w:rPr>
        <w:t xml:space="preserve"> un instrumentiem</w:t>
      </w:r>
      <w:r w:rsidRPr="001B0A7B">
        <w:rPr>
          <w:szCs w:val="20"/>
        </w:rPr>
        <w:t xml:space="preserve"> ES ekonomikas atbalstam izejai no Covid-19 krīzes, Latvijas ekonomikas attīstībai nākamo septiņu gad</w:t>
      </w:r>
      <w:r>
        <w:rPr>
          <w:szCs w:val="20"/>
        </w:rPr>
        <w:t>u</w:t>
      </w:r>
      <w:r w:rsidRPr="001B0A7B">
        <w:rPr>
          <w:szCs w:val="20"/>
        </w:rPr>
        <w:t xml:space="preserve"> laikā būs pieejami gandrīz 10,5 miljardi </w:t>
      </w:r>
      <w:proofErr w:type="spellStart"/>
      <w:r w:rsidRPr="001B0A7B">
        <w:rPr>
          <w:i/>
          <w:szCs w:val="20"/>
        </w:rPr>
        <w:t>euro</w:t>
      </w:r>
      <w:proofErr w:type="spellEnd"/>
      <w:r w:rsidRPr="001B0A7B">
        <w:rPr>
          <w:i/>
          <w:szCs w:val="20"/>
        </w:rPr>
        <w:t>.</w:t>
      </w:r>
      <w:r w:rsidRPr="001B0A7B">
        <w:rPr>
          <w:szCs w:val="20"/>
        </w:rPr>
        <w:t xml:space="preserve"> Papildus tam, lielo infrastruktūras projektu realizēšana varētu būtiski palielināt in</w:t>
      </w:r>
      <w:r>
        <w:rPr>
          <w:szCs w:val="20"/>
        </w:rPr>
        <w:t>vestīciju apjomu vidējā termiņā</w:t>
      </w:r>
      <w:r w:rsidR="00500AAB" w:rsidRPr="00500AAB">
        <w:rPr>
          <w:rFonts w:eastAsia="Calibri" w:cs="Times New Roman"/>
          <w:szCs w:val="20"/>
        </w:rPr>
        <w:t xml:space="preserve">. </w:t>
      </w:r>
    </w:p>
    <w:p w14:paraId="7D0869FE" w14:textId="77777777" w:rsidR="005715AA" w:rsidRDefault="005715AA">
      <w:pPr>
        <w:spacing w:before="0" w:after="0"/>
        <w:ind w:firstLine="0"/>
        <w:jc w:val="left"/>
        <w:rPr>
          <w:rFonts w:eastAsia="Calibri" w:cs="Times New Roman"/>
          <w:b/>
          <w:szCs w:val="20"/>
        </w:rPr>
      </w:pPr>
      <w:r>
        <w:rPr>
          <w:rFonts w:eastAsia="Calibri" w:cs="Times New Roman"/>
          <w:b/>
          <w:szCs w:val="20"/>
        </w:rPr>
        <w:br w:type="page"/>
      </w:r>
    </w:p>
    <w:p w14:paraId="4CA29026" w14:textId="7ABB430E" w:rsidR="00500AAB" w:rsidRPr="00500AAB" w:rsidRDefault="00500AAB" w:rsidP="00BF00F7">
      <w:pPr>
        <w:spacing w:before="240"/>
        <w:rPr>
          <w:rFonts w:eastAsia="Calibri" w:cs="Times New Roman"/>
          <w:b/>
          <w:szCs w:val="20"/>
        </w:rPr>
      </w:pPr>
      <w:r w:rsidRPr="00500AAB">
        <w:rPr>
          <w:rFonts w:eastAsia="Calibri" w:cs="Times New Roman"/>
          <w:b/>
          <w:szCs w:val="20"/>
        </w:rPr>
        <w:lastRenderedPageBreak/>
        <w:t>Darba tirgus</w:t>
      </w:r>
    </w:p>
    <w:p w14:paraId="03B7282E" w14:textId="77777777" w:rsidR="002E768B" w:rsidRPr="00571162" w:rsidRDefault="002E768B" w:rsidP="002E768B">
      <w:pPr>
        <w:spacing w:before="60" w:after="60"/>
        <w:rPr>
          <w:szCs w:val="20"/>
        </w:rPr>
      </w:pPr>
      <w:r w:rsidRPr="00571162">
        <w:rPr>
          <w:szCs w:val="20"/>
        </w:rPr>
        <w:t xml:space="preserve">Līdz ar straujo ekonomikas izaugsmi pēdējos trijos gados Latvijā bija vērojama visai strauja bezdarba līmeņa samazināšanās, kas atsevišķās nozarēs un profesijās jau robežojās ar darbaspēka trūkumu, līdz 2020.gadā to pārtrauca jaunā </w:t>
      </w:r>
      <w:proofErr w:type="spellStart"/>
      <w:r w:rsidRPr="00571162">
        <w:rPr>
          <w:szCs w:val="20"/>
        </w:rPr>
        <w:t>koronavīrusa</w:t>
      </w:r>
      <w:proofErr w:type="spellEnd"/>
      <w:r w:rsidRPr="00571162">
        <w:rPr>
          <w:szCs w:val="20"/>
        </w:rPr>
        <w:t xml:space="preserve"> izraisītā krīze. Vienlaikus tautsaimniecībā nodarbināto iedzīvotāju skaita pieaugums pēdējos gados bija tikai mērens, ko noteica ierobežotais darbspējas vecuma iedzīvotāju skaits.</w:t>
      </w:r>
    </w:p>
    <w:p w14:paraId="248D2B94" w14:textId="77777777" w:rsidR="002E768B" w:rsidRPr="00571162" w:rsidRDefault="002E768B" w:rsidP="002E768B">
      <w:pPr>
        <w:spacing w:before="60" w:after="60"/>
        <w:rPr>
          <w:szCs w:val="20"/>
        </w:rPr>
      </w:pPr>
      <w:r w:rsidRPr="00571162">
        <w:rPr>
          <w:szCs w:val="20"/>
        </w:rPr>
        <w:t xml:space="preserve">2019.gadā bezdarba līmenis pēc darbaspēka </w:t>
      </w:r>
      <w:proofErr w:type="spellStart"/>
      <w:r w:rsidRPr="00571162">
        <w:rPr>
          <w:szCs w:val="20"/>
        </w:rPr>
        <w:t>apsekojuma</w:t>
      </w:r>
      <w:proofErr w:type="spellEnd"/>
      <w:r w:rsidRPr="00571162">
        <w:rPr>
          <w:szCs w:val="20"/>
        </w:rPr>
        <w:t xml:space="preserve"> bija samazinājies par 1,1 procentpunktu līdz 6,3% no ekonomiski aktīvajiem iedzīvotājiem. Savukārt jau 2020.gada pirmajā ceturksnī, kad Covid-19 krīze vēl tikai sāka ietekmēt ekonomiku, bezdarba līmenis pēc darbaspēka </w:t>
      </w:r>
      <w:proofErr w:type="spellStart"/>
      <w:r w:rsidRPr="00571162">
        <w:rPr>
          <w:szCs w:val="20"/>
        </w:rPr>
        <w:t>apsekojuma</w:t>
      </w:r>
      <w:proofErr w:type="spellEnd"/>
      <w:r w:rsidRPr="00571162">
        <w:rPr>
          <w:szCs w:val="20"/>
        </w:rPr>
        <w:t>, salīdzinot ar 2019.gada pirmo ceturksni, palielinājās par 0,5 procentpunktiem, sasniedzot 7,4%. Vēl straujāks bezdarba pieaugums sekoja nākamajos mēnešos, kad Nodarbinātības valsts aģentūras (NVA) reģistrēto bezdarbnieku skaits aprīlī un maijā palielinājās par 14,9 tūkstošiem jeb 24,2% un maija beigās sasniedza 76,4 tūkstošus. Reģistrētā bezdarba līmenis no 6,8% marta beigās pieauga līdz 8,4% maija beigās. Vēl straujāku bezdarba pieaugumu šajā laikā ierobežoja dīkstāves pabalstu izmaksa, bez kuriem reģistrētā bezdarba līmenis varētu būt pietuvojies 13%. Jūnijā, ekonomiskajai aktivitātei krīzes skartajās nozarēs pakāpeniski sākot atjaunoties, bezdarba pieaugums kļuva būtiski lēnāks, mēneša beigās reģistrētajam bezdarbam sasniedzot 8,6%. Savukārt jūlijā bezdarba pieaugums jau bija apstājies un kopējais NVA reģistrēto bezdarbnieku skaits mēneša laikā pat bija samazinājies par 268.</w:t>
      </w:r>
    </w:p>
    <w:p w14:paraId="56CD8F73" w14:textId="77777777" w:rsidR="002E768B" w:rsidRPr="00571162" w:rsidRDefault="002E768B" w:rsidP="002E768B">
      <w:pPr>
        <w:spacing w:before="60" w:after="60"/>
        <w:rPr>
          <w:szCs w:val="20"/>
        </w:rPr>
      </w:pPr>
      <w:r w:rsidRPr="00571162">
        <w:rPr>
          <w:szCs w:val="20"/>
        </w:rPr>
        <w:t xml:space="preserve">  NVA dati par Covid-19 krīzes laikā reģistrētajiem bezdarbniekiem rāda, ka bezdarba līmenis visstraujāk auga Rīgā un Rīgas apkārtnē, kamēr Latvijas reģionos Covid-19 krīze sākotnēji bija daudz mazāk jūtama. Rīgas reģionā bezdarba līmenis laikā no februāra beigām līdz jūnija beigām ir palielinājies par 2,6 procentpunktiem, kamēr Zemgalē un Kurzemē pieaugums bijis tikai 1,7-1,9 procentpunktu apmērā. Bezdarbnieku skaits Rīgas reģionā šajā laikā audzis par 62,6% jeb 13,3 tūkstošiem, kamēr Latgalē bezdarbnieku skaita pieaugums bijis tikai 10,9% jeb 1,8 tūkstošu apmērā. Tomēr, neskatoties uz atšķirīgo dinamiku pēdējo mēnešu laikā, bezdarba līmenis Rīgas reģionā joprojām ir ievērojami zemāks – 6,9% jūnija beigās, kamēr Latgalē tas sasniedz 16,0% no ekonomiski aktīvajiem iedzīvotājiem.</w:t>
      </w:r>
    </w:p>
    <w:p w14:paraId="270521F2" w14:textId="77777777" w:rsidR="002E768B" w:rsidRPr="00571162" w:rsidRDefault="002E768B" w:rsidP="002E768B">
      <w:pPr>
        <w:spacing w:before="60" w:after="60"/>
        <w:rPr>
          <w:szCs w:val="20"/>
        </w:rPr>
      </w:pPr>
      <w:r w:rsidRPr="00571162">
        <w:rPr>
          <w:szCs w:val="20"/>
        </w:rPr>
        <w:t xml:space="preserve">Darbu zaudējot vispirms tieši krīzes skartajās nozarēs, tajā skaitā izmitināšanā un ēdināšanā, izklaidē un atpūtā nodarbinātajiem, procentuāli straujākais bezdarbnieku skaita pieaugums bijis 20-24 gadu vecuma grupā. Arī pēc izglītības līmeņa visstraujākais bezdarba pieaugums bijis starp vispārējo vidējo izglītību ieguvušajiem, kamēr cilvēkus ar augstāko izglītību vai tikai pamatizglītību ieguvušos krīze bija </w:t>
      </w:r>
      <w:proofErr w:type="spellStart"/>
      <w:r w:rsidRPr="00571162">
        <w:rPr>
          <w:szCs w:val="20"/>
        </w:rPr>
        <w:t>skārusi</w:t>
      </w:r>
      <w:proofErr w:type="spellEnd"/>
      <w:r w:rsidRPr="00571162">
        <w:rPr>
          <w:szCs w:val="20"/>
        </w:rPr>
        <w:t xml:space="preserve"> salīdzinoši mazāk.</w:t>
      </w:r>
    </w:p>
    <w:p w14:paraId="0AF3FB5D" w14:textId="77777777" w:rsidR="002E768B" w:rsidRPr="00571162" w:rsidRDefault="002E768B" w:rsidP="002E768B">
      <w:pPr>
        <w:spacing w:before="60" w:after="60"/>
        <w:rPr>
          <w:szCs w:val="20"/>
        </w:rPr>
      </w:pPr>
      <w:r w:rsidRPr="00571162">
        <w:rPr>
          <w:szCs w:val="20"/>
        </w:rPr>
        <w:t xml:space="preserve">Vienlaikus ar straujo bezdarba samazināšanos tautsaimniecībā nodarbināto iedzīvotāju skaits 2019.gadā palielinājās tikai par 0,1% līdz 910 tūkstošiem, un nodarbinātības pieaugumu bremzēja galvenokārt sarūkošais darbspējas vecuma iedzīvotāju skaits. Kā liecina dati par aizņemtajām darba vietām, visstraujāk </w:t>
      </w:r>
      <w:r w:rsidRPr="00571162">
        <w:rPr>
          <w:szCs w:val="20"/>
        </w:rPr>
        <w:lastRenderedPageBreak/>
        <w:t xml:space="preserve">jaunas darba vietas pagājušā gada laikā veidojās administratīvo pakalpojumu, izmitināšanas un ēdināšanas, kā arī veselības un sociālās aprūpes nozarēs, kur aizņemto darba vietu skaits 2019.gadā bija attiecīgi par 4,7%, 3,9% un 3,3% lielāks nekā iepriekšējā gadā. Savukārt lielākais darba vietu skaita samazinājums 2019.gadā bija energoapgādes un valsts pārvaldes nozarēs. 2020.gada pirmajā pusē tautsaimniecībā nodarbināto iedzīvotāju skaits kritās un gada pirmajā ceturksnī, pēc darbaspēka </w:t>
      </w:r>
      <w:proofErr w:type="spellStart"/>
      <w:r w:rsidRPr="00571162">
        <w:rPr>
          <w:szCs w:val="20"/>
        </w:rPr>
        <w:t>apsekojuma</w:t>
      </w:r>
      <w:proofErr w:type="spellEnd"/>
      <w:r w:rsidRPr="00571162">
        <w:rPr>
          <w:szCs w:val="20"/>
        </w:rPr>
        <w:t xml:space="preserve"> datiem, strādājošo iedzīvotāju skaits bija par 0,2% mazāks nekā pirms gada. Nākamo mēnešu operatīvie dati rāda, ka otrajā ceturksnī nodarbināto skaita kritums bijis jau būtiski straujāks, tam pietuvojoties 3%.</w:t>
      </w:r>
    </w:p>
    <w:p w14:paraId="4CFEC5F9" w14:textId="77777777" w:rsidR="002E768B" w:rsidRPr="00571162" w:rsidRDefault="002E768B" w:rsidP="002E768B">
      <w:pPr>
        <w:spacing w:before="60" w:after="60"/>
        <w:rPr>
          <w:szCs w:val="20"/>
        </w:rPr>
      </w:pPr>
      <w:r w:rsidRPr="00571162">
        <w:rPr>
          <w:szCs w:val="20"/>
        </w:rPr>
        <w:t xml:space="preserve">Līdz ar straujo ekonomikas izaugsmi un augošo pieprasījumu pēc darbiniekiem pēdējo trīs gadu laikā bija vērojams visai straujš mēneša vidējās darba samaksas pieaugums, kas turpinājās vēl šā gada pirmajā ceturksnī. 2019.gadā mēneša vidējā bruto darba samaksa palielinājās par 7,2%, vidējai algai sasniedzot 1076 </w:t>
      </w:r>
      <w:proofErr w:type="spellStart"/>
      <w:r w:rsidRPr="00571162">
        <w:rPr>
          <w:i/>
          <w:szCs w:val="20"/>
        </w:rPr>
        <w:t>euro</w:t>
      </w:r>
      <w:proofErr w:type="spellEnd"/>
      <w:r w:rsidRPr="00571162">
        <w:rPr>
          <w:szCs w:val="20"/>
        </w:rPr>
        <w:t xml:space="preserve">. Pagājušajā gadā kopumā straujāks darba samaksas pieaugums bija privātajā sektorā, kur mēneša vidējā bruto darba samaksa palielinājās par 7,6%, kamēr sabiedriskajā sektorā tā auga par 6,8%. Tomēr vēl joprojām augstāks darba samaksas līmenis saglabājās sabiedriskajā sektorā, kur vidējā alga bija 1103 </w:t>
      </w:r>
      <w:proofErr w:type="spellStart"/>
      <w:r w:rsidRPr="00571162">
        <w:rPr>
          <w:i/>
          <w:szCs w:val="20"/>
        </w:rPr>
        <w:t>euro</w:t>
      </w:r>
      <w:proofErr w:type="spellEnd"/>
      <w:r w:rsidRPr="00571162">
        <w:rPr>
          <w:szCs w:val="20"/>
        </w:rPr>
        <w:t xml:space="preserve">, kamēr privātajā sektorā tā veidoja 1067 </w:t>
      </w:r>
      <w:proofErr w:type="spellStart"/>
      <w:r w:rsidRPr="00571162">
        <w:rPr>
          <w:i/>
          <w:szCs w:val="20"/>
        </w:rPr>
        <w:t>euro</w:t>
      </w:r>
      <w:proofErr w:type="spellEnd"/>
      <w:r w:rsidRPr="00571162">
        <w:rPr>
          <w:szCs w:val="20"/>
        </w:rPr>
        <w:t xml:space="preserve">. </w:t>
      </w:r>
    </w:p>
    <w:p w14:paraId="647A6F58" w14:textId="64FDBB38" w:rsidR="00500AAB" w:rsidRPr="00500AAB" w:rsidRDefault="002E768B" w:rsidP="002E768B">
      <w:pPr>
        <w:spacing w:before="60" w:after="60"/>
        <w:rPr>
          <w:rFonts w:eastAsia="Calibri" w:cs="Times New Roman"/>
          <w:szCs w:val="20"/>
        </w:rPr>
      </w:pPr>
      <w:r w:rsidRPr="00571162">
        <w:rPr>
          <w:szCs w:val="20"/>
        </w:rPr>
        <w:t xml:space="preserve">2020.gada pirmajā ceturksnī inerces rezultātā vēl saglabājās visai spēcīgs darba samaksas pieaugums, mēneša vidējai bruto darba samaksai, salīdzinot ar pagājušā gada pirmo ceturksni palielinoties par 6,6% līdz 1100 </w:t>
      </w:r>
      <w:proofErr w:type="spellStart"/>
      <w:r w:rsidRPr="00571162">
        <w:rPr>
          <w:i/>
          <w:szCs w:val="20"/>
        </w:rPr>
        <w:t>euro</w:t>
      </w:r>
      <w:proofErr w:type="spellEnd"/>
      <w:r w:rsidRPr="00571162">
        <w:rPr>
          <w:szCs w:val="20"/>
        </w:rPr>
        <w:t>. Tomēr darba samaksas pieauguma tempi jau pirmā ceturkšņa laikā pa mēnešiem pakāpeniski samazinājās, martā noslīdot līdz 5,0%, un operatīvie dati rāda, ka nākamajos mēnešos vidējās darba samaksas pieaugums</w:t>
      </w:r>
      <w:r>
        <w:rPr>
          <w:szCs w:val="20"/>
        </w:rPr>
        <w:t xml:space="preserve"> </w:t>
      </w:r>
      <w:r w:rsidRPr="00571162">
        <w:rPr>
          <w:szCs w:val="20"/>
        </w:rPr>
        <w:t>jau ir pietuvojies nullei.</w:t>
      </w:r>
      <w:r w:rsidR="00500AAB" w:rsidRPr="00500AAB">
        <w:rPr>
          <w:rFonts w:eastAsia="Calibri" w:cs="Times New Roman"/>
          <w:szCs w:val="20"/>
        </w:rPr>
        <w:t xml:space="preserve"> </w:t>
      </w:r>
    </w:p>
    <w:p w14:paraId="6F524616" w14:textId="77777777" w:rsidR="00500AAB" w:rsidRPr="00500AAB" w:rsidRDefault="00500AAB" w:rsidP="00BF00F7">
      <w:pPr>
        <w:spacing w:before="240"/>
        <w:rPr>
          <w:rFonts w:eastAsia="Calibri" w:cs="Times New Roman"/>
          <w:b/>
          <w:szCs w:val="20"/>
        </w:rPr>
      </w:pPr>
      <w:r w:rsidRPr="00500AAB">
        <w:rPr>
          <w:rFonts w:eastAsia="Calibri" w:cs="Times New Roman"/>
          <w:b/>
          <w:sz w:val="24"/>
          <w:szCs w:val="24"/>
        </w:rPr>
        <w:t xml:space="preserve"> </w:t>
      </w:r>
      <w:r w:rsidRPr="00500AAB">
        <w:rPr>
          <w:rFonts w:eastAsia="Calibri" w:cs="Times New Roman"/>
          <w:b/>
          <w:szCs w:val="20"/>
        </w:rPr>
        <w:t xml:space="preserve">Inflācija </w:t>
      </w:r>
    </w:p>
    <w:p w14:paraId="7937B76A" w14:textId="77777777" w:rsidR="002E768B" w:rsidRPr="001B0A7B" w:rsidRDefault="002E768B" w:rsidP="002E768B">
      <w:pPr>
        <w:spacing w:before="60" w:after="60"/>
        <w:rPr>
          <w:szCs w:val="20"/>
        </w:rPr>
      </w:pPr>
      <w:r w:rsidRPr="001B0A7B">
        <w:rPr>
          <w:szCs w:val="20"/>
        </w:rPr>
        <w:t>2019.gadā salīdzinājumā ar iepriekšējo gadu patēriņa cenas Latvijā pieauga par 2,8%, palielinoties gan preču, gan pakalpojumu cenām</w:t>
      </w:r>
      <w:r>
        <w:rPr>
          <w:szCs w:val="20"/>
        </w:rPr>
        <w:t xml:space="preserve"> -</w:t>
      </w:r>
      <w:r w:rsidRPr="001B0A7B">
        <w:rPr>
          <w:szCs w:val="20"/>
        </w:rPr>
        <w:t xml:space="preserve"> attiecīgi par 2,7% un 3,0%. Patēriņa cenu kāpumu noteica izejvielu cenu pieaugums pasaules biržās, kas atspoguļojās augstākās pārtikas, gāzes un cietā kurināmā cenās. Papildus tam, noturīgā ekonomikas izaugsme un darba samaksas kāpums veicināja iedzīvotāju pirktspēju, kas tiešā veidā stimulēja pakalpojumu cenu pieaugumu, it īpaši personīgo aprūp</w:t>
      </w:r>
      <w:r>
        <w:rPr>
          <w:szCs w:val="20"/>
        </w:rPr>
        <w:t>es pakalpojumu</w:t>
      </w:r>
      <w:r w:rsidRPr="001B0A7B">
        <w:rPr>
          <w:szCs w:val="20"/>
        </w:rPr>
        <w:t xml:space="preserve">, ēdināšanas un izmitināšanas pakalpojumu, kā arī atpūtas un kultūras pakalpojumu cenas.  </w:t>
      </w:r>
    </w:p>
    <w:p w14:paraId="69845C82" w14:textId="77777777" w:rsidR="002E768B" w:rsidRPr="001B0A7B" w:rsidRDefault="002E768B" w:rsidP="002E768B">
      <w:pPr>
        <w:spacing w:before="60" w:after="60"/>
        <w:rPr>
          <w:szCs w:val="20"/>
        </w:rPr>
      </w:pPr>
      <w:r w:rsidRPr="001B0A7B">
        <w:rPr>
          <w:szCs w:val="20"/>
        </w:rPr>
        <w:t xml:space="preserve">Patēriņa cenu kāpums 2019.gadā bija fiksēts visās ES dalībvalstīs, kamēr vidējā </w:t>
      </w:r>
      <w:proofErr w:type="spellStart"/>
      <w:r w:rsidRPr="001B0A7B">
        <w:rPr>
          <w:szCs w:val="20"/>
        </w:rPr>
        <w:t>eirozonas</w:t>
      </w:r>
      <w:proofErr w:type="spellEnd"/>
      <w:r w:rsidRPr="001B0A7B">
        <w:rPr>
          <w:szCs w:val="20"/>
        </w:rPr>
        <w:t xml:space="preserve"> un ES inflācija attiecīgi bija 1,2% un 1,5%. Augstāka inflācija Latvijā</w:t>
      </w:r>
      <w:r>
        <w:rPr>
          <w:szCs w:val="20"/>
        </w:rPr>
        <w:t xml:space="preserve"> salīdzinājumā ar ES vidējiem rā</w:t>
      </w:r>
      <w:r w:rsidRPr="001B0A7B">
        <w:rPr>
          <w:szCs w:val="20"/>
        </w:rPr>
        <w:t>dītājiem skaidrojama ar vairākiem faktoriem. Pirmkārt, inflācijas atšķirību nosaka dažāds ekonomikas attīstības temps. Ja Latvijas nomin</w:t>
      </w:r>
      <w:r>
        <w:rPr>
          <w:szCs w:val="20"/>
        </w:rPr>
        <w:t>ālais IKP 2019.gadā palielinājā</w:t>
      </w:r>
      <w:r w:rsidRPr="001B0A7B">
        <w:rPr>
          <w:szCs w:val="20"/>
        </w:rPr>
        <w:t>s par 4,9%, tad ES vidēji ekonomikas izaugsme bija zemāka un veidoja 3,4%. Otrkārt, atšķirīga patēriņa groza struktūra. Ek</w:t>
      </w:r>
      <w:r>
        <w:rPr>
          <w:szCs w:val="20"/>
        </w:rPr>
        <w:t>onomiski attīstītākajās valstīs</w:t>
      </w:r>
      <w:r w:rsidRPr="001B0A7B">
        <w:rPr>
          <w:szCs w:val="20"/>
        </w:rPr>
        <w:t xml:space="preserve"> tādu preču kā pārtika, degviela, alkoholiskie dzērieni un tabaka īpatsvars kopējā patēriņ</w:t>
      </w:r>
      <w:r>
        <w:rPr>
          <w:szCs w:val="20"/>
        </w:rPr>
        <w:t>a</w:t>
      </w:r>
      <w:r w:rsidRPr="001B0A7B">
        <w:rPr>
          <w:szCs w:val="20"/>
        </w:rPr>
        <w:t xml:space="preserve"> grozā ir zemāks. Tādējādi pat pie vienāda šo preču cenu kāpuma ietekme </w:t>
      </w:r>
      <w:r>
        <w:rPr>
          <w:szCs w:val="20"/>
        </w:rPr>
        <w:t xml:space="preserve">uz inflāciju dažādās </w:t>
      </w:r>
      <w:r>
        <w:rPr>
          <w:szCs w:val="20"/>
        </w:rPr>
        <w:lastRenderedPageBreak/>
        <w:t>valstīs var</w:t>
      </w:r>
      <w:r w:rsidRPr="001B0A7B">
        <w:rPr>
          <w:szCs w:val="20"/>
        </w:rPr>
        <w:t xml:space="preserve"> ievērojami atšķirties. Piemēram, pārtikas produktu īpatsvars Latvijas patēriņa grozā sasniedz gandrīz 22%, bet ES vidēji </w:t>
      </w:r>
      <w:r>
        <w:rPr>
          <w:szCs w:val="20"/>
        </w:rPr>
        <w:t xml:space="preserve">ir </w:t>
      </w:r>
      <w:r w:rsidRPr="001B0A7B">
        <w:rPr>
          <w:szCs w:val="20"/>
        </w:rPr>
        <w:t xml:space="preserve">ap 15% un šo preču cena 2019. gadā Latvijā pieauga par 2,9%, bet ES vidēji par 2,0%. Tieši pārtikas cenu pieaugums </w:t>
      </w:r>
      <w:r>
        <w:rPr>
          <w:szCs w:val="20"/>
        </w:rPr>
        <w:t xml:space="preserve">Latvijā </w:t>
      </w:r>
      <w:r w:rsidRPr="001B0A7B">
        <w:rPr>
          <w:szCs w:val="20"/>
        </w:rPr>
        <w:t>2019.gadā nodrošināja lielāko devumu</w:t>
      </w:r>
      <w:r>
        <w:rPr>
          <w:szCs w:val="20"/>
        </w:rPr>
        <w:t xml:space="preserve"> kopējā</w:t>
      </w:r>
      <w:r w:rsidRPr="001B0A7B">
        <w:rPr>
          <w:szCs w:val="20"/>
        </w:rPr>
        <w:t xml:space="preserve"> patēriņa cenu kāpumā</w:t>
      </w:r>
      <w:r>
        <w:rPr>
          <w:szCs w:val="20"/>
        </w:rPr>
        <w:t>.</w:t>
      </w:r>
      <w:r w:rsidRPr="001B0A7B">
        <w:rPr>
          <w:szCs w:val="20"/>
        </w:rPr>
        <w:t xml:space="preserve"> Treškārt, atšķirīga nodokļ</w:t>
      </w:r>
      <w:r>
        <w:rPr>
          <w:szCs w:val="20"/>
        </w:rPr>
        <w:t>u</w:t>
      </w:r>
      <w:r w:rsidRPr="001B0A7B">
        <w:rPr>
          <w:szCs w:val="20"/>
        </w:rPr>
        <w:t xml:space="preserve"> politika. 2019.gadā Latvijā </w:t>
      </w:r>
      <w:r>
        <w:rPr>
          <w:szCs w:val="20"/>
        </w:rPr>
        <w:t>tika</w:t>
      </w:r>
      <w:r w:rsidRPr="001B0A7B">
        <w:rPr>
          <w:szCs w:val="20"/>
        </w:rPr>
        <w:t xml:space="preserve"> palielināta akcīzes nodokļa likme alkoholiskajiem dzērieniem un tabakai, kā arī dabas resursu nodokļa likme, tādējādi palielinot atkritumu savākšanas pakalpojumu cenas. Kopumā alkoholisko dzērienu, tabakas izstrādājumu un atkritumu savākšanas pakalpojum</w:t>
      </w:r>
      <w:r>
        <w:rPr>
          <w:szCs w:val="20"/>
        </w:rPr>
        <w:t>u</w:t>
      </w:r>
      <w:r w:rsidRPr="001B0A7B">
        <w:rPr>
          <w:szCs w:val="20"/>
        </w:rPr>
        <w:t xml:space="preserve"> 2019.gadā sadārdzinājās attiecīgi par 4,9%, 6,7% un 17,0%. </w:t>
      </w:r>
    </w:p>
    <w:p w14:paraId="15DDE2F0" w14:textId="77777777" w:rsidR="002E768B" w:rsidRPr="001B0A7B" w:rsidRDefault="002E768B" w:rsidP="002E768B">
      <w:pPr>
        <w:spacing w:before="60" w:after="60"/>
        <w:rPr>
          <w:szCs w:val="20"/>
        </w:rPr>
      </w:pPr>
      <w:r>
        <w:rPr>
          <w:szCs w:val="20"/>
        </w:rPr>
        <w:t>2020.gada</w:t>
      </w:r>
      <w:r w:rsidRPr="001B0A7B">
        <w:rPr>
          <w:szCs w:val="20"/>
        </w:rPr>
        <w:t xml:space="preserve"> pirmajā pusgadā patēriņa cenu līmenis Latvijā salīdzinājumā ar attiecīgo perio</w:t>
      </w:r>
      <w:r>
        <w:rPr>
          <w:szCs w:val="20"/>
        </w:rPr>
        <w:t>du iepriekšējā gadā palielinājā</w:t>
      </w:r>
      <w:r w:rsidRPr="001B0A7B">
        <w:rPr>
          <w:szCs w:val="20"/>
        </w:rPr>
        <w:t>s par 0,7%. Lai arī patēriņa cenas š.g. pirmajā pusē palielinājās, cenu pieauguma diapazons pa mēnešiem bija plašs un kopš gada sākuma kopējā inflācijas aina Latvijā būtiski izmainījusies. Ja vēl janvārī un februārī gada inflācija pārsniedza 2%, tad maijā un jūnijā pirmo reizi kopš 2016.gada vidus</w:t>
      </w:r>
      <w:r>
        <w:rPr>
          <w:szCs w:val="20"/>
        </w:rPr>
        <w:t xml:space="preserve"> Latvijā</w:t>
      </w:r>
      <w:r w:rsidRPr="001B0A7B">
        <w:rPr>
          <w:szCs w:val="20"/>
        </w:rPr>
        <w:t xml:space="preserve"> bija fiksēta deflācija. Straujš patēriņa cenu kritums vien dažos mēnešos ir saistīts ar Covid-19 pandēmiju un tās izra</w:t>
      </w:r>
      <w:r>
        <w:rPr>
          <w:szCs w:val="20"/>
        </w:rPr>
        <w:t>isītajā</w:t>
      </w:r>
      <w:r w:rsidRPr="001B0A7B">
        <w:rPr>
          <w:szCs w:val="20"/>
        </w:rPr>
        <w:t xml:space="preserve">m sekām, kas galvenokārt izpaudās </w:t>
      </w:r>
      <w:r>
        <w:rPr>
          <w:szCs w:val="20"/>
        </w:rPr>
        <w:t xml:space="preserve">kā </w:t>
      </w:r>
      <w:r w:rsidRPr="001B0A7B">
        <w:rPr>
          <w:szCs w:val="20"/>
        </w:rPr>
        <w:t>naftas cenu samazinājum</w:t>
      </w:r>
      <w:r>
        <w:rPr>
          <w:szCs w:val="20"/>
        </w:rPr>
        <w:t>s pasaules tirgos un straujš pieprasījuma kritums</w:t>
      </w:r>
      <w:r w:rsidRPr="001B0A7B">
        <w:rPr>
          <w:szCs w:val="20"/>
        </w:rPr>
        <w:t xml:space="preserve"> ar tūrisma nozari saistīt</w:t>
      </w:r>
      <w:r>
        <w:rPr>
          <w:szCs w:val="20"/>
        </w:rPr>
        <w:t>ajiem pakalpojumiem, piemēram</w:t>
      </w:r>
      <w:r w:rsidRPr="001B0A7B">
        <w:rPr>
          <w:szCs w:val="20"/>
        </w:rPr>
        <w:t>, aviopārvadāju</w:t>
      </w:r>
      <w:r>
        <w:rPr>
          <w:szCs w:val="20"/>
        </w:rPr>
        <w:t>mi un izmitināšanas pakalpojumi</w:t>
      </w:r>
      <w:r w:rsidRPr="001B0A7B">
        <w:rPr>
          <w:szCs w:val="20"/>
        </w:rPr>
        <w:t>.</w:t>
      </w:r>
    </w:p>
    <w:p w14:paraId="7C57C064" w14:textId="77777777" w:rsidR="002E768B" w:rsidRPr="001B0A7B" w:rsidRDefault="002E768B" w:rsidP="002E768B">
      <w:pPr>
        <w:spacing w:before="60" w:after="60"/>
        <w:rPr>
          <w:szCs w:val="20"/>
        </w:rPr>
      </w:pPr>
      <w:r w:rsidRPr="001B0A7B">
        <w:rPr>
          <w:szCs w:val="20"/>
        </w:rPr>
        <w:t>Strauji samazinoties degvielas, gāzes, izmitināšanas un aviopārvadājumu pakalpojumu cenai, kā arī mājokļa īres maksai, š.g. maijā un jūnijā patēriņa cenas samazinājās attiecīgi par 0,6% un 0,7% salīdzinājumā ar attiecīgo mēnesi 2019.</w:t>
      </w:r>
      <w:r>
        <w:rPr>
          <w:szCs w:val="20"/>
        </w:rPr>
        <w:t>gadā. Kopumā</w:t>
      </w:r>
      <w:r w:rsidRPr="001B0A7B">
        <w:rPr>
          <w:szCs w:val="20"/>
        </w:rPr>
        <w:t xml:space="preserve"> preču cenas maijā un jūnijā samazinājā</w:t>
      </w:r>
      <w:r>
        <w:rPr>
          <w:szCs w:val="20"/>
        </w:rPr>
        <w:t>s vidēji</w:t>
      </w:r>
      <w:r w:rsidRPr="001B0A7B">
        <w:rPr>
          <w:szCs w:val="20"/>
        </w:rPr>
        <w:t xml:space="preserve"> par 1,6%, ko lielā mērā ietekmēja energoresursu cenu kritums, kamēr pakalpojumu cenas turpināja palielināties un bija par 1,5% augstākas nekā pērnā gada maijā un jūnijā</w:t>
      </w:r>
      <w:r>
        <w:rPr>
          <w:szCs w:val="20"/>
        </w:rPr>
        <w:t>. Tomēr</w:t>
      </w:r>
      <w:r w:rsidRPr="001B0A7B">
        <w:rPr>
          <w:szCs w:val="20"/>
        </w:rPr>
        <w:t xml:space="preserve"> pandēmijas ietekme ir jūtama arī pakalpojumu sektorā, jo pakalpojumu cenu kāpums kopš š.g. sākuma </w:t>
      </w:r>
      <w:r>
        <w:rPr>
          <w:szCs w:val="20"/>
        </w:rPr>
        <w:t xml:space="preserve">samazinājies </w:t>
      </w:r>
      <w:r w:rsidRPr="001B0A7B">
        <w:rPr>
          <w:szCs w:val="20"/>
        </w:rPr>
        <w:t>aptuveni divas reizes.</w:t>
      </w:r>
    </w:p>
    <w:p w14:paraId="4D7CA6CD" w14:textId="1C67198E" w:rsidR="002E768B" w:rsidRPr="001B0A7B" w:rsidRDefault="002E768B" w:rsidP="002E768B">
      <w:pPr>
        <w:spacing w:before="60" w:after="60"/>
        <w:rPr>
          <w:szCs w:val="20"/>
        </w:rPr>
      </w:pPr>
      <w:r w:rsidRPr="001B0A7B">
        <w:rPr>
          <w:szCs w:val="20"/>
        </w:rPr>
        <w:t xml:space="preserve">Zemo inflācijas līmeni </w:t>
      </w:r>
      <w:r w:rsidR="00F508F2">
        <w:rPr>
          <w:szCs w:val="20"/>
        </w:rPr>
        <w:t xml:space="preserve">2020.gada </w:t>
      </w:r>
      <w:r w:rsidRPr="001B0A7B">
        <w:rPr>
          <w:szCs w:val="20"/>
        </w:rPr>
        <w:t xml:space="preserve">maijā un jūnijā noteica gan ārējie, gan iekšējie faktori. Tomēr lielāko negatīvo devumu patēriņa cenu kritumā nodrošināja tieši ārējie faktori jeb naftas cenu kritums pasaules biržās. Vidējā degvielas cena Latvijas benzīntankos š.g. maijā un jūnijā bija attiecīgi par 24,3% un 16,0% zemāka nekā iepriekšējā gada attiecīgajā </w:t>
      </w:r>
      <w:r>
        <w:rPr>
          <w:szCs w:val="20"/>
        </w:rPr>
        <w:t>mēnesī</w:t>
      </w:r>
      <w:r w:rsidRPr="001B0A7B">
        <w:rPr>
          <w:szCs w:val="20"/>
        </w:rPr>
        <w:t xml:space="preserve"> un </w:t>
      </w:r>
      <w:r>
        <w:rPr>
          <w:szCs w:val="20"/>
        </w:rPr>
        <w:t>šis</w:t>
      </w:r>
      <w:r w:rsidRPr="001B0A7B">
        <w:rPr>
          <w:szCs w:val="20"/>
        </w:rPr>
        <w:t xml:space="preserve"> cenu samazinājums bija straujākais kopš 1998.gada. Kopumā degvielas cena Latvijā š.g. pirmajā pusē bija par 8,9% zemāk</w:t>
      </w:r>
      <w:r>
        <w:rPr>
          <w:szCs w:val="20"/>
        </w:rPr>
        <w:t>a</w:t>
      </w:r>
      <w:r w:rsidRPr="001B0A7B">
        <w:rPr>
          <w:szCs w:val="20"/>
        </w:rPr>
        <w:t xml:space="preserve"> </w:t>
      </w:r>
      <w:r>
        <w:rPr>
          <w:szCs w:val="20"/>
        </w:rPr>
        <w:t>nekā pagājušā gada attiecīgajā periodā</w:t>
      </w:r>
      <w:r w:rsidRPr="001B0A7B">
        <w:rPr>
          <w:szCs w:val="20"/>
        </w:rPr>
        <w:t>. Naftas cenu kritums sākās vēl šā gada sākumā, ko ietekmēja gan ekon</w:t>
      </w:r>
      <w:r>
        <w:rPr>
          <w:szCs w:val="20"/>
        </w:rPr>
        <w:t>omikas sentimenta pasliktināšanās</w:t>
      </w:r>
      <w:r w:rsidRPr="001B0A7B">
        <w:rPr>
          <w:szCs w:val="20"/>
        </w:rPr>
        <w:t xml:space="preserve"> pasaulē saistībā ar straujo Covid-19 izplatību Ķīnā, gan OPEC eksportētājvalstu un Krievijas nespēja vienoties par naftas ieguves apjomu samazināšanu marta sākumā, lai stabilizētu naftas piedāvājumu. Pēc OPEC+ sanāksmes Saūda Arābija paziņoja, ka samazinās savu naftas cenu aprīļa piegādēm līdz 25 ASV dolāriem par barelu un vienlaicīgi palielinās naftas ieguvi, tādējādi vienas dienas laikā naftas cena samazinājās par 25%. Tomēr jau aprīļa vidū OPEC+ valstis vienojās par naftas ieguves apjomu samazinājumu par aptuveni 10 milj. barelu dienā sākot no š.g. maija, bet vien uz diviem mēnešiem. </w:t>
      </w:r>
      <w:r w:rsidRPr="001B0A7B">
        <w:rPr>
          <w:szCs w:val="20"/>
        </w:rPr>
        <w:lastRenderedPageBreak/>
        <w:t>Neskatoties uz būtisku naftas ieguves apjomu samazinājumu, tas nav bijis pietiekoši, lai pilnībā kompensētu naftas piepr</w:t>
      </w:r>
      <w:r>
        <w:rPr>
          <w:szCs w:val="20"/>
        </w:rPr>
        <w:t xml:space="preserve">asījuma kritumu pasaulē, kas </w:t>
      </w:r>
      <w:r w:rsidRPr="001B0A7B">
        <w:rPr>
          <w:szCs w:val="20"/>
        </w:rPr>
        <w:t>vērtēja</w:t>
      </w:r>
      <w:r>
        <w:rPr>
          <w:szCs w:val="20"/>
        </w:rPr>
        <w:t xml:space="preserve">ms 20-30 milj. barelu dienā apmērā. </w:t>
      </w:r>
      <w:r w:rsidRPr="001B0A7B">
        <w:rPr>
          <w:szCs w:val="20"/>
        </w:rPr>
        <w:t>Jūnija sākumā OPEC+ valstis vienojās pagarināt na</w:t>
      </w:r>
      <w:r>
        <w:rPr>
          <w:szCs w:val="20"/>
        </w:rPr>
        <w:t>ftas ieguves apjomu samazinājuma periodu</w:t>
      </w:r>
      <w:r w:rsidRPr="001B0A7B">
        <w:rPr>
          <w:szCs w:val="20"/>
        </w:rPr>
        <w:t xml:space="preserve"> līdz jūlija beigām. Ņemot vērā šo vienošanos, kā arī to, ka valstis pakāpeniski atvieglo </w:t>
      </w:r>
      <w:proofErr w:type="spellStart"/>
      <w:r>
        <w:rPr>
          <w:szCs w:val="20"/>
        </w:rPr>
        <w:t>koronavīrusa</w:t>
      </w:r>
      <w:proofErr w:type="spellEnd"/>
      <w:r>
        <w:rPr>
          <w:szCs w:val="20"/>
        </w:rPr>
        <w:t xml:space="preserve"> izplatības ierobežošanai noteiktos noteikumus</w:t>
      </w:r>
      <w:r w:rsidRPr="001B0A7B">
        <w:rPr>
          <w:szCs w:val="20"/>
        </w:rPr>
        <w:t xml:space="preserve"> un palielinās energoresursu patēriņš, naftas cenas pieauga līdz 44 ASV dolāriem par barelu. Pašreiz nav pamata naftas cenu samazinājumam, un, visticamāk, naftas cena vismaz līdz rudenim saglabāsies ap 50 ASV dolār</w:t>
      </w:r>
      <w:r>
        <w:rPr>
          <w:szCs w:val="20"/>
        </w:rPr>
        <w:t>u</w:t>
      </w:r>
      <w:r w:rsidRPr="001B0A7B">
        <w:rPr>
          <w:szCs w:val="20"/>
        </w:rPr>
        <w:t xml:space="preserve"> par barelu</w:t>
      </w:r>
      <w:r>
        <w:rPr>
          <w:szCs w:val="20"/>
        </w:rPr>
        <w:t xml:space="preserve"> līmenī</w:t>
      </w:r>
      <w:r w:rsidRPr="001B0A7B">
        <w:rPr>
          <w:szCs w:val="20"/>
        </w:rPr>
        <w:t xml:space="preserve">. Savukārt pēc tam, naftas cenu ietekmēs pasaules ekonomikas atgūšanās temps un iespējamais pandēmijas otrais vilnis. Neskatoties uz to, ka kopš marta naftas cena vairāk nekā dubultojās, tā joprojām ir būtiski zemāka </w:t>
      </w:r>
      <w:r>
        <w:rPr>
          <w:szCs w:val="20"/>
        </w:rPr>
        <w:t>par</w:t>
      </w:r>
      <w:r w:rsidRPr="001B0A7B">
        <w:rPr>
          <w:szCs w:val="20"/>
        </w:rPr>
        <w:t xml:space="preserve"> pagājušā gada vidējo līmeni. Tādējādi arī turpmākajos mēnešos degvielas cena Latvijā būs zemāka nekā pērnajā gadā. </w:t>
      </w:r>
    </w:p>
    <w:p w14:paraId="4217E4A8" w14:textId="77777777" w:rsidR="002E768B" w:rsidRPr="001B0A7B" w:rsidRDefault="002E768B" w:rsidP="002E768B">
      <w:pPr>
        <w:spacing w:before="60" w:after="60"/>
        <w:rPr>
          <w:szCs w:val="20"/>
        </w:rPr>
      </w:pPr>
      <w:r w:rsidRPr="001B0A7B">
        <w:rPr>
          <w:szCs w:val="20"/>
        </w:rPr>
        <w:t xml:space="preserve">No naftas cenām ir atkarīgas arī administratīvi regulējamās cenas dabasgāzei un siltumenerģijai. Š.g. pirmajā pusē </w:t>
      </w:r>
      <w:r>
        <w:rPr>
          <w:szCs w:val="20"/>
        </w:rPr>
        <w:t>dabasgāzes cena</w:t>
      </w:r>
      <w:r w:rsidRPr="001B0A7B">
        <w:rPr>
          <w:szCs w:val="20"/>
        </w:rPr>
        <w:t xml:space="preserve"> bija par 18,4% </w:t>
      </w:r>
      <w:r>
        <w:rPr>
          <w:szCs w:val="20"/>
        </w:rPr>
        <w:t>zemāka</w:t>
      </w:r>
      <w:r w:rsidRPr="001B0A7B">
        <w:rPr>
          <w:szCs w:val="20"/>
        </w:rPr>
        <w:t xml:space="preserve"> nekā attiecīgajā periodā pirms gada, bet siltumenerģija bija par 2,4% dārgāka. Vairāki s</w:t>
      </w:r>
      <w:r>
        <w:rPr>
          <w:szCs w:val="20"/>
        </w:rPr>
        <w:t>iltumenerģijas uzņēmumi paziņoju</w:t>
      </w:r>
      <w:r w:rsidRPr="001B0A7B">
        <w:rPr>
          <w:szCs w:val="20"/>
        </w:rPr>
        <w:t>ši par siltumenerģijas tarifa samazināšanu saistībā ar naftas cenu</w:t>
      </w:r>
      <w:r>
        <w:rPr>
          <w:szCs w:val="20"/>
        </w:rPr>
        <w:t xml:space="preserve"> kritumu. Tā, AS </w:t>
      </w:r>
      <w:r w:rsidRPr="000D2543">
        <w:rPr>
          <w:i/>
          <w:szCs w:val="20"/>
        </w:rPr>
        <w:t>Rīgas Siltums</w:t>
      </w:r>
      <w:r w:rsidRPr="001B0A7B">
        <w:rPr>
          <w:szCs w:val="20"/>
        </w:rPr>
        <w:t xml:space="preserve"> kopš š.g. sākuma jau divas reizes samazināja siltumenerģijas tarifus, tomēr bāzes efektu dēļ siltumenerģijas cenu kritums pagaidām nav novērots inflācijas datos. Taču, sākot no š.g. augusta, izzūdot bāzes efektiem, siltumenerģijas cena salīdzinājumā</w:t>
      </w:r>
      <w:r>
        <w:rPr>
          <w:szCs w:val="20"/>
        </w:rPr>
        <w:t xml:space="preserve"> ar pērnā gada attiecīgo mēnesi pazemināsies.</w:t>
      </w:r>
    </w:p>
    <w:p w14:paraId="29ABE73C" w14:textId="77777777" w:rsidR="002E768B" w:rsidRPr="001B0A7B" w:rsidRDefault="002E768B" w:rsidP="002E768B">
      <w:pPr>
        <w:spacing w:before="60" w:after="60"/>
        <w:rPr>
          <w:szCs w:val="20"/>
        </w:rPr>
      </w:pPr>
      <w:r w:rsidRPr="001B0A7B">
        <w:rPr>
          <w:szCs w:val="20"/>
        </w:rPr>
        <w:t>Cenu kritums vērojams arī elektroenerģijai, kas š.g. pirmajā pusgadā bija par 2,8% lētāka nekā 2019.gada attiecīgajā periodā. Cenu kritumu noteica elektroenerģijas patēriņa kritums silto laika apstākļu dēļ, kā arī zemāka ekonomiskā aktivitāte ārkārtas situācijas laikā. Svarīgi atzīmēt, ka lētāka degviela un cenu kritums ar mājokli saistīto energoresursu pre</w:t>
      </w:r>
      <w:r>
        <w:rPr>
          <w:szCs w:val="20"/>
        </w:rPr>
        <w:t>cēm</w:t>
      </w:r>
      <w:r w:rsidRPr="001B0A7B">
        <w:rPr>
          <w:szCs w:val="20"/>
        </w:rPr>
        <w:t xml:space="preserve"> un pakalpojumiem, kam ir liels īpatsvars tieši mazāk turīgo iedzīvotāju patēriņā, pašreizējos pandēmijas apstākļos</w:t>
      </w:r>
      <w:r w:rsidRPr="000D2543">
        <w:rPr>
          <w:szCs w:val="20"/>
        </w:rPr>
        <w:t xml:space="preserve"> </w:t>
      </w:r>
      <w:r w:rsidRPr="001B0A7B">
        <w:rPr>
          <w:szCs w:val="20"/>
        </w:rPr>
        <w:t xml:space="preserve">vērtējams pozitīvi, jo mazina </w:t>
      </w:r>
      <w:r>
        <w:rPr>
          <w:szCs w:val="20"/>
        </w:rPr>
        <w:t>iedzīvotāju</w:t>
      </w:r>
      <w:r w:rsidRPr="001B0A7B">
        <w:rPr>
          <w:szCs w:val="20"/>
        </w:rPr>
        <w:t xml:space="preserve"> ikmēneša izmaksas. </w:t>
      </w:r>
    </w:p>
    <w:p w14:paraId="42D2B958" w14:textId="77777777" w:rsidR="002E768B" w:rsidRPr="001B0A7B" w:rsidRDefault="002E768B" w:rsidP="002E768B">
      <w:pPr>
        <w:spacing w:before="60" w:after="60"/>
        <w:rPr>
          <w:szCs w:val="20"/>
        </w:rPr>
      </w:pPr>
      <w:r w:rsidRPr="001B0A7B">
        <w:rPr>
          <w:szCs w:val="20"/>
        </w:rPr>
        <w:t>Robežu slēgšana un ārvalstu tūristu</w:t>
      </w:r>
      <w:r>
        <w:rPr>
          <w:szCs w:val="20"/>
        </w:rPr>
        <w:t xml:space="preserve"> skaita</w:t>
      </w:r>
      <w:r w:rsidRPr="001B0A7B">
        <w:rPr>
          <w:szCs w:val="20"/>
        </w:rPr>
        <w:t xml:space="preserve"> būtisks kritums ietekmēja mājokļu īres, aviopārvadājumu un izmitināšanas pakalpojumu cenas. Ja kopumā pirmajā pusgadā cenu izmaiņas šajā pakalpojumu grupā bija nelielas, tad sākot ar martu, kad valstī tika izsludināts ārkārtas stāvoklis, cenas strauji samazinājās. Piemēram, š.g. jūnijā mājokļu īres, aviopārvadājumu un izmitināšanas pakalpojumu cenas samazinājās attiecīgi par 5,6%, 6,3% un 13,2%. Aktuālākie dati liecina, ka ārvalstu tūristu skaits Latvijā š.g. aprīlī un maijā samazinājās attiecīgi par 98,4% un 96,5% salīdzinājumā ar attiecīgo mēnesi pērn, tādējādi mazinot pieprasījumu pēc īres mājokļiem, aviopārvadājumiem un viesnīcām. Tikpat būtisks iebraukušo ārvalstu tūristu kritums visticamāk saglabāsies arī jūnijā un jūlijā, savukārt gada otrajā pusē kritums varētu mazināties, ja nebūs Covid-19 otrā viļņa. Attiecībā uz šo pakalpojumu cenu izmaiņām, līdz gada beigām saglabāsies cenu kritums gada izteiksmē.   </w:t>
      </w:r>
    </w:p>
    <w:p w14:paraId="291D48ED" w14:textId="77777777" w:rsidR="002E768B" w:rsidRPr="001B0A7B" w:rsidRDefault="002E768B" w:rsidP="002E768B">
      <w:pPr>
        <w:spacing w:before="60" w:after="60"/>
        <w:rPr>
          <w:szCs w:val="20"/>
        </w:rPr>
      </w:pPr>
      <w:r w:rsidRPr="001B0A7B">
        <w:rPr>
          <w:szCs w:val="20"/>
        </w:rPr>
        <w:t>Augstākminēto preču un pakalpojumu cenu kritumu kompensēja pārtikas un bezalkoholisko dzērienu cenu pieaugums par 3,0%.</w:t>
      </w:r>
      <w:r>
        <w:rPr>
          <w:szCs w:val="20"/>
        </w:rPr>
        <w:t xml:space="preserve"> Izteikti augsts cenu </w:t>
      </w:r>
      <w:r>
        <w:rPr>
          <w:szCs w:val="20"/>
        </w:rPr>
        <w:lastRenderedPageBreak/>
        <w:t xml:space="preserve">kāpums </w:t>
      </w:r>
      <w:r w:rsidRPr="001B0A7B">
        <w:rPr>
          <w:szCs w:val="20"/>
        </w:rPr>
        <w:t>fiksēts svaigiem augļiem (+18,9%</w:t>
      </w:r>
      <w:r>
        <w:rPr>
          <w:szCs w:val="20"/>
        </w:rPr>
        <w:t xml:space="preserve"> gada griezumā</w:t>
      </w:r>
      <w:r w:rsidRPr="001B0A7B">
        <w:rPr>
          <w:szCs w:val="20"/>
        </w:rPr>
        <w:t>), gaļai un gaļas izstrādājumiem (+8,8%), maizei un graudaugiem (+3,5%), cukuram (+4,6%), ko lielā mērā noteica ārējie faktori. Augļu un graudaugu cenu palielinājumu negatīvi ietekmēja pērnā gada sliktā raž</w:t>
      </w:r>
      <w:r>
        <w:rPr>
          <w:szCs w:val="20"/>
        </w:rPr>
        <w:t>a Eiropā. Savukārt gaļas un gaļas</w:t>
      </w:r>
      <w:r w:rsidRPr="001B0A7B">
        <w:rPr>
          <w:szCs w:val="20"/>
        </w:rPr>
        <w:t xml:space="preserve"> izstrādājumu cenu pieaugumu ietekmēja Āfrikas cūku mēra uzliesmojums Ķīnā pērnā gada vidū, būtiski samazinot cūkgaļas piedāvājumu pasaulē kopumā. Pandēmijas apstākļos grūti prognozēt pārtikas cenu izmaiņas, tomēr aktuālākie dati norāda, ka pārtikas cenu pieaugums pakāpeniski bremzējas. Jāatzīmē arī to, ka tieši pārtikas preču grupas cenu pieaugums š.g. maijā un jūnijā neļāva patēriņa cenām samazināties</w:t>
      </w:r>
      <w:r w:rsidRPr="009A2E1C">
        <w:rPr>
          <w:szCs w:val="20"/>
        </w:rPr>
        <w:t xml:space="preserve"> </w:t>
      </w:r>
      <w:r w:rsidRPr="001B0A7B">
        <w:rPr>
          <w:szCs w:val="20"/>
        </w:rPr>
        <w:t>vēl straujāk</w:t>
      </w:r>
      <w:r>
        <w:rPr>
          <w:szCs w:val="20"/>
        </w:rPr>
        <w:t>.</w:t>
      </w:r>
    </w:p>
    <w:p w14:paraId="2DB85B2F" w14:textId="63836B69" w:rsidR="00500AAB" w:rsidRPr="00500AAB" w:rsidRDefault="002E768B" w:rsidP="002E768B">
      <w:pPr>
        <w:spacing w:before="60" w:after="60"/>
        <w:rPr>
          <w:rFonts w:eastAsia="Calibri" w:cs="Times New Roman"/>
          <w:szCs w:val="20"/>
        </w:rPr>
      </w:pPr>
      <w:r w:rsidRPr="001B0A7B">
        <w:rPr>
          <w:szCs w:val="20"/>
        </w:rPr>
        <w:t>Ņemot vērā straujo degvielas cenu kritumu, kā arī Covid-19 sekas, kas atspoguļosies ārvalstu tūristu plūsmas kritumā un īslaicīgā iedzīvotāju ienākumu samazinājumā, kas savukārt mazinās pieprasījumu un līdz ar to arī cenas atsevišķiem pakalpojumie</w:t>
      </w:r>
      <w:r>
        <w:rPr>
          <w:szCs w:val="20"/>
        </w:rPr>
        <w:t>m, sagaidāms, ka deflācija sagla</w:t>
      </w:r>
      <w:r w:rsidRPr="001B0A7B">
        <w:rPr>
          <w:szCs w:val="20"/>
        </w:rPr>
        <w:t>b</w:t>
      </w:r>
      <w:r>
        <w:rPr>
          <w:szCs w:val="20"/>
        </w:rPr>
        <w:t>ā</w:t>
      </w:r>
      <w:r w:rsidRPr="001B0A7B">
        <w:rPr>
          <w:szCs w:val="20"/>
        </w:rPr>
        <w:t xml:space="preserve">sies vismaz līdz š.g. oktobrim-novembrim. Tomēr, ņemot vērā cenu kāpumu š.g. pirmajā ceturksnī, 2020.gadā kopumā vidējā inflācija būs pozitīva, lai </w:t>
      </w:r>
      <w:r>
        <w:rPr>
          <w:szCs w:val="20"/>
        </w:rPr>
        <w:t>gan</w:t>
      </w:r>
      <w:r w:rsidRPr="001B0A7B">
        <w:rPr>
          <w:szCs w:val="20"/>
        </w:rPr>
        <w:t xml:space="preserve"> būtiski zemāka nekā iepriekšējos gados.</w:t>
      </w:r>
      <w:r w:rsidRPr="00571162">
        <w:rPr>
          <w:szCs w:val="20"/>
        </w:rPr>
        <w:t xml:space="preserve"> </w:t>
      </w:r>
      <w:r w:rsidR="00500AAB" w:rsidRPr="00500AAB">
        <w:rPr>
          <w:rFonts w:eastAsia="Calibri" w:cs="Times New Roman"/>
          <w:szCs w:val="20"/>
        </w:rPr>
        <w:t xml:space="preserve"> </w:t>
      </w:r>
    </w:p>
    <w:p w14:paraId="148EEA40" w14:textId="77777777" w:rsidR="00500AAB" w:rsidRPr="00500AAB" w:rsidRDefault="00500AAB" w:rsidP="00BF00F7">
      <w:pPr>
        <w:spacing w:before="240"/>
        <w:rPr>
          <w:rFonts w:eastAsia="Calibri" w:cs="Times New Roman"/>
          <w:b/>
          <w:szCs w:val="20"/>
        </w:rPr>
      </w:pPr>
      <w:r w:rsidRPr="00500AAB">
        <w:rPr>
          <w:rFonts w:eastAsia="Calibri" w:cs="Times New Roman"/>
          <w:b/>
          <w:szCs w:val="20"/>
        </w:rPr>
        <w:t>Makroekonomiskās attīstības scenārijs</w:t>
      </w:r>
    </w:p>
    <w:p w14:paraId="02DDD01D" w14:textId="77777777" w:rsidR="002E768B" w:rsidRPr="00444066" w:rsidRDefault="002E768B" w:rsidP="002E768B">
      <w:pPr>
        <w:spacing w:before="60" w:after="60"/>
        <w:rPr>
          <w:szCs w:val="20"/>
        </w:rPr>
      </w:pPr>
      <w:r w:rsidRPr="00444066">
        <w:rPr>
          <w:szCs w:val="20"/>
        </w:rPr>
        <w:t>Vidēja termiņa makroekonomiskās attīstības scenārijs 2020.-2023.gadam izstrādāts 2020.gada jūnijā, balstoties uz konservatīviem pieņēmumiem, ņemot vērā 2020.gada pirmā ceturkšņa IKP datus un līdz 2020.gada jūnijam pieejamo īstermiņa makroekonomisko informāciju, kā arī valdības apstiprinātos atbalsta pasākumus Covid-19 izraisītās krīzes seku mazināšanai tautsaimniecībā.</w:t>
      </w:r>
    </w:p>
    <w:p w14:paraId="12858B3B" w14:textId="66C7B4DE" w:rsidR="002E768B" w:rsidRPr="00444066" w:rsidRDefault="002E768B" w:rsidP="002E768B">
      <w:pPr>
        <w:spacing w:before="60" w:after="60"/>
        <w:rPr>
          <w:szCs w:val="20"/>
        </w:rPr>
      </w:pPr>
      <w:r w:rsidRPr="00444066">
        <w:rPr>
          <w:szCs w:val="20"/>
        </w:rPr>
        <w:t xml:space="preserve">Izstrādājot vidēja termiņa makroekonomiskās attīstības scenāriju, FM ir konsultējusies ar </w:t>
      </w:r>
      <w:r w:rsidR="00AA4E8A">
        <w:rPr>
          <w:szCs w:val="20"/>
        </w:rPr>
        <w:t>SVF</w:t>
      </w:r>
      <w:r w:rsidRPr="00444066">
        <w:rPr>
          <w:szCs w:val="20"/>
        </w:rPr>
        <w:t xml:space="preserve"> un </w:t>
      </w:r>
      <w:r w:rsidR="00AA4E8A">
        <w:rPr>
          <w:szCs w:val="20"/>
        </w:rPr>
        <w:t>EK</w:t>
      </w:r>
      <w:r w:rsidRPr="00444066">
        <w:rPr>
          <w:szCs w:val="20"/>
        </w:rPr>
        <w:t xml:space="preserve"> ekspertiem. Makroekonomisko rādītāju prognozes ir saskaņotas ar Latvijas Banku un Ekonomikas ministriju, kā arī tās </w:t>
      </w:r>
      <w:r w:rsidR="00F508F2">
        <w:rPr>
          <w:szCs w:val="20"/>
        </w:rPr>
        <w:t xml:space="preserve">2020.gada </w:t>
      </w:r>
      <w:r w:rsidRPr="00444066">
        <w:rPr>
          <w:szCs w:val="20"/>
        </w:rPr>
        <w:t>15.jūnijā ir apstiprinājusi Fiskālās disciplīnas padome.</w:t>
      </w:r>
    </w:p>
    <w:p w14:paraId="283B0DBC" w14:textId="292123FA" w:rsidR="002E768B" w:rsidRPr="00444066" w:rsidRDefault="002E768B" w:rsidP="002E768B">
      <w:pPr>
        <w:spacing w:before="60" w:after="60"/>
        <w:rPr>
          <w:szCs w:val="20"/>
        </w:rPr>
      </w:pPr>
      <w:r w:rsidRPr="00444066">
        <w:rPr>
          <w:szCs w:val="20"/>
        </w:rPr>
        <w:t>Atbilstoši atjaunotajam makroekonomiskās attīstības scenārijam, Latvijas iekšzemes kopprodukts šogad samazināsies par 7,0% un šī prognoze ir tāda pati, kā Finanšu ministrija</w:t>
      </w:r>
      <w:r>
        <w:rPr>
          <w:szCs w:val="20"/>
        </w:rPr>
        <w:t>s</w:t>
      </w:r>
      <w:r w:rsidRPr="00444066">
        <w:rPr>
          <w:szCs w:val="20"/>
        </w:rPr>
        <w:t xml:space="preserve"> </w:t>
      </w:r>
      <w:r w:rsidR="00F508F2">
        <w:rPr>
          <w:szCs w:val="20"/>
        </w:rPr>
        <w:t xml:space="preserve">2020.gada </w:t>
      </w:r>
      <w:r w:rsidRPr="00444066">
        <w:rPr>
          <w:szCs w:val="20"/>
        </w:rPr>
        <w:t>aprīlī</w:t>
      </w:r>
      <w:r>
        <w:rPr>
          <w:szCs w:val="20"/>
        </w:rPr>
        <w:t xml:space="preserve"> izstrādātā prognoze</w:t>
      </w:r>
      <w:r w:rsidRPr="00444066">
        <w:rPr>
          <w:szCs w:val="20"/>
        </w:rPr>
        <w:t>, sagatavojot Latvijas Stabilitātes programmu 2020.-2023.gadam. Savukārt 2021.gadā Latvijas iekšzemes kopprodukts palielināsies par 5,1%, kas ir par 4,1 procentpunktu vairāk nekā iepri</w:t>
      </w:r>
      <w:r>
        <w:rPr>
          <w:szCs w:val="20"/>
        </w:rPr>
        <w:t>ekšējā prognoze</w:t>
      </w:r>
      <w:r w:rsidRPr="00444066">
        <w:rPr>
          <w:szCs w:val="20"/>
        </w:rPr>
        <w:t>. Savukārt 2022. un 2023.gadā IKP palielināsies par 3,1%, kas attiecīgi ir par 0,4 procentpunktiem mazāk un par 0,7 procentpunktiem vairāk nekā iepriekšējās prognozēs.</w:t>
      </w:r>
    </w:p>
    <w:p w14:paraId="7C8AB1B8" w14:textId="77777777" w:rsidR="002E768B" w:rsidRPr="00444066" w:rsidRDefault="002E768B" w:rsidP="002E768B">
      <w:pPr>
        <w:spacing w:before="60" w:after="60"/>
        <w:rPr>
          <w:szCs w:val="20"/>
        </w:rPr>
      </w:pPr>
      <w:r w:rsidRPr="00444066">
        <w:rPr>
          <w:szCs w:val="20"/>
        </w:rPr>
        <w:t xml:space="preserve">Makroekonomiskās attīstības scenārijs balstās uz pieņēmumu, ka Covid-19 pandēmija 2020.gada pirmajā pusē tiek ierobežota un pēc tam ekonomiskā aktivitāte pasaulē un Latvijā pakāpeniski atjaunojas. Šāds pieņēmums bija pamatā visu starptautisko institūciju makroekonomikas prognozēm, kas balstījās uz Covid-19 izplatības dinamikas pēdējiem datiem. Scenārijs paredz, ka pēc 1,5% lejupslīdes 2020.gada pirmajā ceturksnī, otrajā ceturksnī Latvijas ekonomika piedzīvo krasu kritumu līdz zemākajam punktam un pēc tam aktivitātes līmenis sāk atjaunoties. Trešajā un ceturksnī samazinājumi gada griezumā prognozēti </w:t>
      </w:r>
      <w:r w:rsidRPr="00444066">
        <w:rPr>
          <w:szCs w:val="20"/>
        </w:rPr>
        <w:lastRenderedPageBreak/>
        <w:t>aptuveni uz pusi mazāki nekā  otrajā ceturksnī.  Krīzes smagāk skartajās nozarēs - transportā, izmitināšanā un ēdināšanā, mākslas, izklaides un atpūtas nozarē, profesionālo pakalpojumu nozarē izlaides apjomi līdz 2020.gada beigām neatgriežas 2019.gada līmenī.</w:t>
      </w:r>
    </w:p>
    <w:p w14:paraId="6FD0EA89" w14:textId="77777777" w:rsidR="002E768B" w:rsidRPr="00444066" w:rsidRDefault="002E768B" w:rsidP="002E768B">
      <w:pPr>
        <w:spacing w:before="60" w:after="60"/>
        <w:rPr>
          <w:szCs w:val="20"/>
        </w:rPr>
      </w:pPr>
      <w:r w:rsidRPr="00444066">
        <w:rPr>
          <w:szCs w:val="20"/>
        </w:rPr>
        <w:t>No izlietojuma puses lielākais kritums 2020.gadā gaidāms investīcijās, kur, uzņēmējiem atsakoties no investīcijām un atliekot investīciju projektus,  bruto pamatkapitāla veidošana prognozēta par 10,2% mazāka nekā 2019.gadā. Eksports samazināsies par 10,3%, ko daļēji kompensēs importa samazinājums par 11,5%, bet privātais patēriņš saruks par 7,5%. Kopējo ekonomikas kritumu nedaudz mīkstinās sabiedriskā patēriņa pieaugums par 3,1%, saglabājot šī gada plānoto izdevumu apmēru.</w:t>
      </w:r>
    </w:p>
    <w:p w14:paraId="013C0D6C" w14:textId="1672A22F" w:rsidR="00500AAB" w:rsidRPr="002E768B" w:rsidRDefault="002E768B" w:rsidP="002E768B">
      <w:pPr>
        <w:spacing w:before="60" w:after="60"/>
        <w:rPr>
          <w:szCs w:val="20"/>
        </w:rPr>
      </w:pPr>
      <w:r w:rsidRPr="00444066">
        <w:rPr>
          <w:szCs w:val="20"/>
        </w:rPr>
        <w:t>Nākamajos gados ekonomikas izaugsme pakāpeniski atjaunosies, IKP pieaugumam 2021.gadā veidojot 5,1% tomēr IKP vēl neatgriežoties 2019.gada līmenī un to pārsniedzot tikai 2022.gadā, kad tāpat kā 2023.gadā, prognozēta ekonomikas izaugsme 3,1%</w:t>
      </w:r>
      <w:r>
        <w:rPr>
          <w:szCs w:val="20"/>
        </w:rPr>
        <w:t xml:space="preserve"> apmērā</w:t>
      </w:r>
      <w:r w:rsidR="00FE4C87">
        <w:rPr>
          <w:szCs w:val="20"/>
        </w:rPr>
        <w:t xml:space="preserve"> (skat. 1. tabulu).</w:t>
      </w:r>
    </w:p>
    <w:p w14:paraId="77DB8D65" w14:textId="57908AAD" w:rsidR="00500AAB" w:rsidRPr="00500AAB" w:rsidRDefault="00500AAB" w:rsidP="00BF00F7">
      <w:pPr>
        <w:spacing w:before="240" w:after="60"/>
        <w:jc w:val="center"/>
        <w:rPr>
          <w:rFonts w:eastAsia="Calibri" w:cs="Times New Roman"/>
          <w:b/>
          <w:sz w:val="24"/>
          <w:szCs w:val="24"/>
        </w:rPr>
      </w:pPr>
      <w:r w:rsidRPr="00BF00F7">
        <w:rPr>
          <w:rFonts w:eastAsia="Calibri" w:cs="Times New Roman"/>
          <w:b/>
          <w:sz w:val="24"/>
          <w:szCs w:val="24"/>
        </w:rPr>
        <w:t>1.tabula.</w:t>
      </w:r>
      <w:r w:rsidRPr="00500AAB">
        <w:rPr>
          <w:rFonts w:eastAsia="Calibri" w:cs="Times New Roman"/>
          <w:b/>
          <w:sz w:val="24"/>
          <w:szCs w:val="24"/>
        </w:rPr>
        <w:t xml:space="preserve"> Makroekonomiskie rādītāji 2019. – 2023.gadā</w:t>
      </w:r>
      <w:r w:rsidR="000A1CF7">
        <w:rPr>
          <w:rFonts w:eastAsia="Calibri" w:cs="Times New Roman"/>
          <w:b/>
          <w:sz w:val="24"/>
          <w:szCs w:val="24"/>
        </w:rPr>
        <w:t xml:space="preserve"> </w:t>
      </w:r>
    </w:p>
    <w:tbl>
      <w:tblPr>
        <w:tblW w:w="8500" w:type="dxa"/>
        <w:jc w:val="center"/>
        <w:tblLayout w:type="fixed"/>
        <w:tblLook w:val="04A0" w:firstRow="1" w:lastRow="0" w:firstColumn="1" w:lastColumn="0" w:noHBand="0" w:noVBand="1"/>
      </w:tblPr>
      <w:tblGrid>
        <w:gridCol w:w="3823"/>
        <w:gridCol w:w="935"/>
        <w:gridCol w:w="935"/>
        <w:gridCol w:w="936"/>
        <w:gridCol w:w="935"/>
        <w:gridCol w:w="936"/>
      </w:tblGrid>
      <w:tr w:rsidR="00500AAB" w:rsidRPr="00500AAB" w14:paraId="4A399B85" w14:textId="77777777" w:rsidTr="00500AAB">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5F7E" w14:textId="77777777" w:rsidR="00500AAB" w:rsidRPr="00500AAB" w:rsidRDefault="00500AAB" w:rsidP="00500AAB">
            <w:pPr>
              <w:spacing w:before="0" w:after="0"/>
              <w:ind w:firstLine="0"/>
              <w:jc w:val="left"/>
              <w:rPr>
                <w:rFonts w:eastAsia="Times New Roman" w:cs="Times New Roman"/>
                <w:b/>
                <w:sz w:val="20"/>
                <w:szCs w:val="20"/>
                <w:lang w:eastAsia="lv-LV"/>
              </w:rPr>
            </w:pP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07783746" w14:textId="77777777" w:rsidR="00500AAB" w:rsidRPr="00500AAB" w:rsidRDefault="00500AAB" w:rsidP="00500AAB">
            <w:pPr>
              <w:spacing w:before="0" w:after="0"/>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2019</w:t>
            </w:r>
          </w:p>
        </w:tc>
        <w:tc>
          <w:tcPr>
            <w:tcW w:w="935" w:type="dxa"/>
            <w:tcBorders>
              <w:top w:val="single" w:sz="4" w:space="0" w:color="auto"/>
              <w:left w:val="nil"/>
              <w:bottom w:val="single" w:sz="4" w:space="0" w:color="auto"/>
              <w:right w:val="single" w:sz="4" w:space="0" w:color="auto"/>
            </w:tcBorders>
            <w:shd w:val="clear" w:color="auto" w:fill="EAF1DD"/>
            <w:noWrap/>
            <w:vAlign w:val="center"/>
          </w:tcPr>
          <w:p w14:paraId="29ED2B62" w14:textId="77777777" w:rsidR="00500AAB" w:rsidRPr="00500AAB" w:rsidRDefault="00500AAB" w:rsidP="00500AAB">
            <w:pPr>
              <w:spacing w:before="0" w:after="0"/>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2020</w:t>
            </w:r>
          </w:p>
        </w:tc>
        <w:tc>
          <w:tcPr>
            <w:tcW w:w="936" w:type="dxa"/>
            <w:tcBorders>
              <w:top w:val="single" w:sz="4" w:space="0" w:color="auto"/>
              <w:left w:val="nil"/>
              <w:bottom w:val="single" w:sz="4" w:space="0" w:color="auto"/>
              <w:right w:val="single" w:sz="4" w:space="0" w:color="auto"/>
            </w:tcBorders>
            <w:shd w:val="clear" w:color="auto" w:fill="EAF1DD"/>
            <w:noWrap/>
            <w:vAlign w:val="center"/>
          </w:tcPr>
          <w:p w14:paraId="0AA615DD" w14:textId="77777777" w:rsidR="00500AAB" w:rsidRPr="00500AAB" w:rsidRDefault="00500AAB" w:rsidP="00500AAB">
            <w:pPr>
              <w:spacing w:before="0" w:after="0"/>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2021</w:t>
            </w:r>
          </w:p>
        </w:tc>
        <w:tc>
          <w:tcPr>
            <w:tcW w:w="935" w:type="dxa"/>
            <w:tcBorders>
              <w:top w:val="single" w:sz="4" w:space="0" w:color="auto"/>
              <w:left w:val="nil"/>
              <w:bottom w:val="single" w:sz="4" w:space="0" w:color="auto"/>
              <w:right w:val="single" w:sz="4" w:space="0" w:color="auto"/>
            </w:tcBorders>
            <w:shd w:val="clear" w:color="auto" w:fill="EAF1DD"/>
            <w:noWrap/>
            <w:vAlign w:val="center"/>
          </w:tcPr>
          <w:p w14:paraId="20A168CC" w14:textId="77777777" w:rsidR="00500AAB" w:rsidRPr="00500AAB" w:rsidRDefault="00500AAB" w:rsidP="00500AAB">
            <w:pPr>
              <w:spacing w:before="0" w:after="0"/>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2022</w:t>
            </w:r>
          </w:p>
        </w:tc>
        <w:tc>
          <w:tcPr>
            <w:tcW w:w="936" w:type="dxa"/>
            <w:tcBorders>
              <w:top w:val="single" w:sz="4" w:space="0" w:color="auto"/>
              <w:left w:val="nil"/>
              <w:bottom w:val="single" w:sz="4" w:space="0" w:color="auto"/>
              <w:right w:val="single" w:sz="4" w:space="0" w:color="auto"/>
            </w:tcBorders>
            <w:shd w:val="clear" w:color="auto" w:fill="EAF1DD"/>
            <w:noWrap/>
            <w:vAlign w:val="center"/>
          </w:tcPr>
          <w:p w14:paraId="6B3E25B6" w14:textId="77777777" w:rsidR="00500AAB" w:rsidRPr="00500AAB" w:rsidRDefault="00500AAB" w:rsidP="00500AAB">
            <w:pPr>
              <w:spacing w:before="0" w:after="0"/>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2023</w:t>
            </w:r>
          </w:p>
        </w:tc>
      </w:tr>
      <w:tr w:rsidR="00500AAB" w:rsidRPr="00500AAB" w14:paraId="1A5CD8C0" w14:textId="77777777" w:rsidTr="00500AAB">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02671" w14:textId="77777777" w:rsidR="00500AAB" w:rsidRPr="00500AAB" w:rsidRDefault="00500AAB" w:rsidP="00500AAB">
            <w:pPr>
              <w:spacing w:before="0" w:after="0"/>
              <w:ind w:firstLine="0"/>
              <w:jc w:val="left"/>
              <w:rPr>
                <w:rFonts w:eastAsia="Times New Roman" w:cs="Times New Roman"/>
                <w:sz w:val="20"/>
                <w:szCs w:val="20"/>
                <w:lang w:eastAsia="lv-LV"/>
              </w:rPr>
            </w:pPr>
          </w:p>
        </w:tc>
        <w:tc>
          <w:tcPr>
            <w:tcW w:w="935" w:type="dxa"/>
            <w:tcBorders>
              <w:top w:val="single" w:sz="4" w:space="0" w:color="auto"/>
              <w:left w:val="nil"/>
              <w:bottom w:val="single" w:sz="4" w:space="0" w:color="auto"/>
              <w:right w:val="single" w:sz="4" w:space="0" w:color="auto"/>
            </w:tcBorders>
            <w:shd w:val="clear" w:color="auto" w:fill="auto"/>
            <w:noWrap/>
            <w:vAlign w:val="center"/>
          </w:tcPr>
          <w:p w14:paraId="499F90D2" w14:textId="77777777" w:rsidR="00500AAB" w:rsidRPr="00500AAB" w:rsidRDefault="00500AAB" w:rsidP="00500AAB">
            <w:pPr>
              <w:spacing w:before="0" w:after="0"/>
              <w:ind w:firstLine="0"/>
              <w:jc w:val="center"/>
              <w:rPr>
                <w:rFonts w:eastAsia="Times New Roman" w:cs="Times New Roman"/>
                <w:sz w:val="20"/>
                <w:szCs w:val="20"/>
                <w:lang w:eastAsia="lv-LV"/>
              </w:rPr>
            </w:pPr>
            <w:r w:rsidRPr="00500AAB">
              <w:rPr>
                <w:rFonts w:eastAsia="Times New Roman" w:cs="Times New Roman"/>
                <w:sz w:val="20"/>
                <w:szCs w:val="20"/>
                <w:lang w:eastAsia="lv-LV"/>
              </w:rPr>
              <w:t>fakts</w:t>
            </w:r>
          </w:p>
        </w:tc>
        <w:tc>
          <w:tcPr>
            <w:tcW w:w="3742" w:type="dxa"/>
            <w:gridSpan w:val="4"/>
            <w:tcBorders>
              <w:top w:val="single" w:sz="4" w:space="0" w:color="auto"/>
              <w:left w:val="nil"/>
              <w:bottom w:val="single" w:sz="4" w:space="0" w:color="auto"/>
              <w:right w:val="single" w:sz="4" w:space="0" w:color="auto"/>
            </w:tcBorders>
            <w:shd w:val="clear" w:color="auto" w:fill="EAF1DD"/>
            <w:noWrap/>
            <w:vAlign w:val="center"/>
          </w:tcPr>
          <w:p w14:paraId="0983A4FB" w14:textId="77777777" w:rsidR="00500AAB" w:rsidRPr="00500AAB" w:rsidRDefault="00500AAB" w:rsidP="00500AAB">
            <w:pPr>
              <w:spacing w:before="0" w:after="0"/>
              <w:ind w:firstLine="0"/>
              <w:jc w:val="center"/>
              <w:rPr>
                <w:rFonts w:eastAsia="Times New Roman" w:cs="Times New Roman"/>
                <w:sz w:val="20"/>
                <w:szCs w:val="20"/>
                <w:lang w:eastAsia="lv-LV"/>
              </w:rPr>
            </w:pPr>
            <w:r w:rsidRPr="00500AAB">
              <w:rPr>
                <w:rFonts w:eastAsia="Times New Roman" w:cs="Times New Roman"/>
                <w:sz w:val="20"/>
                <w:szCs w:val="20"/>
                <w:lang w:eastAsia="lv-LV"/>
              </w:rPr>
              <w:t>prognoze</w:t>
            </w:r>
          </w:p>
        </w:tc>
      </w:tr>
      <w:tr w:rsidR="00500AAB" w:rsidRPr="00500AAB" w14:paraId="02245E3D"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6F3EDA0" w14:textId="77777777" w:rsidR="00500AAB" w:rsidRPr="00500AAB" w:rsidRDefault="00500AAB" w:rsidP="00500AAB">
            <w:pPr>
              <w:spacing w:before="0" w:after="0"/>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 xml:space="preserve">Iekšzemes kopprodukts (IKP), </w:t>
            </w:r>
            <w:r w:rsidRPr="00500AAB">
              <w:rPr>
                <w:rFonts w:eastAsia="Times New Roman" w:cs="Times New Roman"/>
                <w:b/>
                <w:noProof/>
                <w:sz w:val="20"/>
                <w:szCs w:val="20"/>
                <w:lang w:eastAsia="lv-LV"/>
              </w:rPr>
              <w:br/>
              <w:t xml:space="preserve">milj. </w:t>
            </w:r>
            <w:r w:rsidRPr="00500AAB">
              <w:rPr>
                <w:rFonts w:eastAsia="Times New Roman" w:cs="Times New Roman"/>
                <w:b/>
                <w:i/>
                <w:noProof/>
                <w:sz w:val="20"/>
                <w:szCs w:val="20"/>
                <w:lang w:eastAsia="lv-LV"/>
              </w:rPr>
              <w:t>euro</w:t>
            </w:r>
          </w:p>
        </w:tc>
        <w:tc>
          <w:tcPr>
            <w:tcW w:w="935" w:type="dxa"/>
            <w:tcBorders>
              <w:top w:val="single" w:sz="4" w:space="0" w:color="auto"/>
              <w:left w:val="nil"/>
              <w:bottom w:val="single" w:sz="4" w:space="0" w:color="auto"/>
              <w:right w:val="single" w:sz="4" w:space="0" w:color="auto"/>
            </w:tcBorders>
            <w:shd w:val="clear" w:color="auto" w:fill="auto"/>
            <w:noWrap/>
            <w:tcMar>
              <w:right w:w="170" w:type="dxa"/>
            </w:tcMar>
          </w:tcPr>
          <w:p w14:paraId="06F015F4"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30476</w:t>
            </w:r>
          </w:p>
        </w:tc>
        <w:tc>
          <w:tcPr>
            <w:tcW w:w="935" w:type="dxa"/>
            <w:tcBorders>
              <w:top w:val="nil"/>
              <w:left w:val="nil"/>
              <w:bottom w:val="single" w:sz="4" w:space="0" w:color="auto"/>
              <w:right w:val="single" w:sz="4" w:space="0" w:color="auto"/>
            </w:tcBorders>
            <w:shd w:val="clear" w:color="auto" w:fill="EAF1DD"/>
            <w:noWrap/>
            <w:tcMar>
              <w:right w:w="170" w:type="dxa"/>
            </w:tcMar>
          </w:tcPr>
          <w:p w14:paraId="4386EAD0"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28206</w:t>
            </w:r>
          </w:p>
        </w:tc>
        <w:tc>
          <w:tcPr>
            <w:tcW w:w="936" w:type="dxa"/>
            <w:tcBorders>
              <w:top w:val="nil"/>
              <w:left w:val="nil"/>
              <w:bottom w:val="single" w:sz="4" w:space="0" w:color="auto"/>
              <w:right w:val="single" w:sz="4" w:space="0" w:color="auto"/>
            </w:tcBorders>
            <w:shd w:val="clear" w:color="auto" w:fill="EAF1DD"/>
            <w:noWrap/>
            <w:tcMar>
              <w:right w:w="170" w:type="dxa"/>
            </w:tcMar>
          </w:tcPr>
          <w:p w14:paraId="29EAF7BE"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30035</w:t>
            </w:r>
          </w:p>
        </w:tc>
        <w:tc>
          <w:tcPr>
            <w:tcW w:w="935" w:type="dxa"/>
            <w:tcBorders>
              <w:top w:val="nil"/>
              <w:left w:val="nil"/>
              <w:bottom w:val="single" w:sz="4" w:space="0" w:color="auto"/>
              <w:right w:val="single" w:sz="4" w:space="0" w:color="auto"/>
            </w:tcBorders>
            <w:shd w:val="clear" w:color="auto" w:fill="EAF1DD"/>
            <w:noWrap/>
            <w:tcMar>
              <w:right w:w="170" w:type="dxa"/>
            </w:tcMar>
          </w:tcPr>
          <w:p w14:paraId="362F071F"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31614</w:t>
            </w:r>
          </w:p>
        </w:tc>
        <w:tc>
          <w:tcPr>
            <w:tcW w:w="936" w:type="dxa"/>
            <w:tcBorders>
              <w:top w:val="nil"/>
              <w:left w:val="nil"/>
              <w:bottom w:val="single" w:sz="4" w:space="0" w:color="auto"/>
              <w:right w:val="single" w:sz="4" w:space="0" w:color="auto"/>
            </w:tcBorders>
            <w:shd w:val="clear" w:color="auto" w:fill="EAF1DD"/>
            <w:noWrap/>
            <w:tcMar>
              <w:right w:w="170" w:type="dxa"/>
            </w:tcMar>
          </w:tcPr>
          <w:p w14:paraId="4530F499"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33262</w:t>
            </w:r>
          </w:p>
        </w:tc>
      </w:tr>
      <w:tr w:rsidR="00500AAB" w:rsidRPr="00500AAB" w14:paraId="1E2EB515"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83FF6AB" w14:textId="77777777" w:rsidR="00500AAB" w:rsidRPr="00500AAB" w:rsidRDefault="00500AAB" w:rsidP="00500AAB">
            <w:pPr>
              <w:spacing w:before="0" w:after="0"/>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faktiskajās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58E6D3EA"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4,9</w:t>
            </w:r>
          </w:p>
        </w:tc>
        <w:tc>
          <w:tcPr>
            <w:tcW w:w="935" w:type="dxa"/>
            <w:tcBorders>
              <w:top w:val="nil"/>
              <w:left w:val="nil"/>
              <w:bottom w:val="single" w:sz="4" w:space="0" w:color="auto"/>
              <w:right w:val="single" w:sz="4" w:space="0" w:color="auto"/>
            </w:tcBorders>
            <w:shd w:val="clear" w:color="auto" w:fill="EAF1DD"/>
            <w:noWrap/>
            <w:tcMar>
              <w:right w:w="170" w:type="dxa"/>
            </w:tcMar>
          </w:tcPr>
          <w:p w14:paraId="2A5CA807"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-7,4</w:t>
            </w:r>
          </w:p>
        </w:tc>
        <w:tc>
          <w:tcPr>
            <w:tcW w:w="936" w:type="dxa"/>
            <w:tcBorders>
              <w:top w:val="nil"/>
              <w:left w:val="nil"/>
              <w:bottom w:val="single" w:sz="4" w:space="0" w:color="auto"/>
              <w:right w:val="single" w:sz="4" w:space="0" w:color="auto"/>
            </w:tcBorders>
            <w:shd w:val="clear" w:color="auto" w:fill="EAF1DD"/>
            <w:noWrap/>
            <w:tcMar>
              <w:right w:w="170" w:type="dxa"/>
            </w:tcMar>
          </w:tcPr>
          <w:p w14:paraId="3FA6DD39"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6,5</w:t>
            </w:r>
          </w:p>
        </w:tc>
        <w:tc>
          <w:tcPr>
            <w:tcW w:w="935" w:type="dxa"/>
            <w:tcBorders>
              <w:top w:val="nil"/>
              <w:left w:val="nil"/>
              <w:bottom w:val="single" w:sz="4" w:space="0" w:color="auto"/>
              <w:right w:val="single" w:sz="4" w:space="0" w:color="auto"/>
            </w:tcBorders>
            <w:shd w:val="clear" w:color="auto" w:fill="EAF1DD"/>
            <w:noWrap/>
            <w:tcMar>
              <w:right w:w="170" w:type="dxa"/>
            </w:tcMar>
          </w:tcPr>
          <w:p w14:paraId="7F81B4E3"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5,3</w:t>
            </w:r>
          </w:p>
        </w:tc>
        <w:tc>
          <w:tcPr>
            <w:tcW w:w="936" w:type="dxa"/>
            <w:tcBorders>
              <w:top w:val="nil"/>
              <w:left w:val="nil"/>
              <w:bottom w:val="single" w:sz="4" w:space="0" w:color="auto"/>
              <w:right w:val="single" w:sz="4" w:space="0" w:color="auto"/>
            </w:tcBorders>
            <w:shd w:val="clear" w:color="auto" w:fill="EAF1DD"/>
            <w:noWrap/>
            <w:tcMar>
              <w:right w:w="170" w:type="dxa"/>
            </w:tcMar>
          </w:tcPr>
          <w:p w14:paraId="2E0558DC"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5,2</w:t>
            </w:r>
          </w:p>
        </w:tc>
      </w:tr>
      <w:tr w:rsidR="00500AAB" w:rsidRPr="00500AAB" w14:paraId="6508C4B2"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0E5B336" w14:textId="77777777" w:rsidR="00500AAB" w:rsidRPr="00500AAB" w:rsidRDefault="00500AAB" w:rsidP="00500AAB">
            <w:pPr>
              <w:spacing w:before="0" w:after="0"/>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salīdzināmās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0718C429"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2,2</w:t>
            </w:r>
          </w:p>
        </w:tc>
        <w:tc>
          <w:tcPr>
            <w:tcW w:w="935" w:type="dxa"/>
            <w:tcBorders>
              <w:top w:val="nil"/>
              <w:left w:val="nil"/>
              <w:bottom w:val="single" w:sz="4" w:space="0" w:color="auto"/>
              <w:right w:val="single" w:sz="4" w:space="0" w:color="auto"/>
            </w:tcBorders>
            <w:shd w:val="clear" w:color="auto" w:fill="EAF1DD"/>
            <w:noWrap/>
            <w:tcMar>
              <w:right w:w="170" w:type="dxa"/>
            </w:tcMar>
          </w:tcPr>
          <w:p w14:paraId="5C2A0C72"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-7,0</w:t>
            </w:r>
          </w:p>
        </w:tc>
        <w:tc>
          <w:tcPr>
            <w:tcW w:w="936" w:type="dxa"/>
            <w:tcBorders>
              <w:top w:val="nil"/>
              <w:left w:val="nil"/>
              <w:bottom w:val="single" w:sz="4" w:space="0" w:color="auto"/>
              <w:right w:val="single" w:sz="4" w:space="0" w:color="auto"/>
            </w:tcBorders>
            <w:shd w:val="clear" w:color="auto" w:fill="EAF1DD"/>
            <w:noWrap/>
            <w:tcMar>
              <w:right w:w="170" w:type="dxa"/>
            </w:tcMar>
          </w:tcPr>
          <w:p w14:paraId="542C558E"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5,1</w:t>
            </w:r>
          </w:p>
        </w:tc>
        <w:tc>
          <w:tcPr>
            <w:tcW w:w="935" w:type="dxa"/>
            <w:tcBorders>
              <w:top w:val="nil"/>
              <w:left w:val="nil"/>
              <w:bottom w:val="single" w:sz="4" w:space="0" w:color="auto"/>
              <w:right w:val="single" w:sz="4" w:space="0" w:color="auto"/>
            </w:tcBorders>
            <w:shd w:val="clear" w:color="auto" w:fill="EAF1DD"/>
            <w:noWrap/>
            <w:tcMar>
              <w:right w:w="170" w:type="dxa"/>
            </w:tcMar>
          </w:tcPr>
          <w:p w14:paraId="43DB0C8A"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3,1</w:t>
            </w:r>
          </w:p>
        </w:tc>
        <w:tc>
          <w:tcPr>
            <w:tcW w:w="936" w:type="dxa"/>
            <w:tcBorders>
              <w:top w:val="nil"/>
              <w:left w:val="nil"/>
              <w:bottom w:val="single" w:sz="4" w:space="0" w:color="auto"/>
              <w:right w:val="single" w:sz="4" w:space="0" w:color="auto"/>
            </w:tcBorders>
            <w:shd w:val="clear" w:color="auto" w:fill="EAF1DD"/>
            <w:noWrap/>
            <w:tcMar>
              <w:right w:w="170" w:type="dxa"/>
            </w:tcMar>
          </w:tcPr>
          <w:p w14:paraId="457CEFCF"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3,1</w:t>
            </w:r>
          </w:p>
        </w:tc>
      </w:tr>
      <w:tr w:rsidR="00500AAB" w:rsidRPr="00500AAB" w14:paraId="73D71013"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C6EBB1B" w14:textId="77777777" w:rsidR="00500AAB" w:rsidRPr="00500AAB" w:rsidRDefault="00500AAB" w:rsidP="00500AAB">
            <w:pPr>
              <w:spacing w:before="0" w:after="0"/>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IKP deflators (gads pret gadu), %</w:t>
            </w:r>
          </w:p>
        </w:tc>
        <w:tc>
          <w:tcPr>
            <w:tcW w:w="935" w:type="dxa"/>
            <w:tcBorders>
              <w:top w:val="nil"/>
              <w:left w:val="nil"/>
              <w:bottom w:val="single" w:sz="4" w:space="0" w:color="auto"/>
              <w:right w:val="single" w:sz="4" w:space="0" w:color="auto"/>
            </w:tcBorders>
            <w:shd w:val="clear" w:color="auto" w:fill="auto"/>
            <w:noWrap/>
            <w:tcMar>
              <w:right w:w="170" w:type="dxa"/>
            </w:tcMar>
          </w:tcPr>
          <w:p w14:paraId="5F0CB780"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2,6</w:t>
            </w:r>
          </w:p>
        </w:tc>
        <w:tc>
          <w:tcPr>
            <w:tcW w:w="935" w:type="dxa"/>
            <w:tcBorders>
              <w:top w:val="nil"/>
              <w:left w:val="nil"/>
              <w:bottom w:val="single" w:sz="4" w:space="0" w:color="auto"/>
              <w:right w:val="single" w:sz="4" w:space="0" w:color="auto"/>
            </w:tcBorders>
            <w:shd w:val="clear" w:color="auto" w:fill="EAF1DD"/>
            <w:noWrap/>
            <w:tcMar>
              <w:right w:w="170" w:type="dxa"/>
            </w:tcMar>
          </w:tcPr>
          <w:p w14:paraId="05E8884A"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-0,5</w:t>
            </w:r>
          </w:p>
        </w:tc>
        <w:tc>
          <w:tcPr>
            <w:tcW w:w="936" w:type="dxa"/>
            <w:tcBorders>
              <w:top w:val="nil"/>
              <w:left w:val="nil"/>
              <w:bottom w:val="single" w:sz="4" w:space="0" w:color="auto"/>
              <w:right w:val="single" w:sz="4" w:space="0" w:color="auto"/>
            </w:tcBorders>
            <w:shd w:val="clear" w:color="auto" w:fill="EAF1DD"/>
            <w:noWrap/>
            <w:tcMar>
              <w:right w:w="170" w:type="dxa"/>
            </w:tcMar>
          </w:tcPr>
          <w:p w14:paraId="44C129BE"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1,3</w:t>
            </w:r>
          </w:p>
        </w:tc>
        <w:tc>
          <w:tcPr>
            <w:tcW w:w="935" w:type="dxa"/>
            <w:tcBorders>
              <w:top w:val="nil"/>
              <w:left w:val="nil"/>
              <w:bottom w:val="single" w:sz="4" w:space="0" w:color="auto"/>
              <w:right w:val="single" w:sz="4" w:space="0" w:color="auto"/>
            </w:tcBorders>
            <w:shd w:val="clear" w:color="auto" w:fill="EAF1DD"/>
            <w:noWrap/>
            <w:tcMar>
              <w:right w:w="170" w:type="dxa"/>
            </w:tcMar>
          </w:tcPr>
          <w:p w14:paraId="416B33F7"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2,0</w:t>
            </w:r>
          </w:p>
        </w:tc>
        <w:tc>
          <w:tcPr>
            <w:tcW w:w="936" w:type="dxa"/>
            <w:tcBorders>
              <w:top w:val="nil"/>
              <w:left w:val="nil"/>
              <w:bottom w:val="single" w:sz="4" w:space="0" w:color="auto"/>
              <w:right w:val="single" w:sz="4" w:space="0" w:color="auto"/>
            </w:tcBorders>
            <w:shd w:val="clear" w:color="auto" w:fill="EAF1DD"/>
            <w:noWrap/>
            <w:tcMar>
              <w:right w:w="170" w:type="dxa"/>
            </w:tcMar>
          </w:tcPr>
          <w:p w14:paraId="48B571AF"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2,0</w:t>
            </w:r>
          </w:p>
        </w:tc>
      </w:tr>
      <w:tr w:rsidR="00500AAB" w:rsidRPr="00500AAB" w14:paraId="07D5EB46"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C90B060" w14:textId="77777777" w:rsidR="00500AAB" w:rsidRPr="00500AAB" w:rsidRDefault="00500AAB" w:rsidP="00500AAB">
            <w:pPr>
              <w:spacing w:before="0" w:after="0"/>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PCI (gads pret gadu), %</w:t>
            </w:r>
          </w:p>
        </w:tc>
        <w:tc>
          <w:tcPr>
            <w:tcW w:w="935" w:type="dxa"/>
            <w:tcBorders>
              <w:top w:val="nil"/>
              <w:left w:val="nil"/>
              <w:bottom w:val="single" w:sz="4" w:space="0" w:color="auto"/>
              <w:right w:val="single" w:sz="4" w:space="0" w:color="auto"/>
            </w:tcBorders>
            <w:shd w:val="clear" w:color="auto" w:fill="auto"/>
            <w:noWrap/>
            <w:tcMar>
              <w:right w:w="170" w:type="dxa"/>
            </w:tcMar>
          </w:tcPr>
          <w:p w14:paraId="75CB15EF"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2,8</w:t>
            </w:r>
          </w:p>
        </w:tc>
        <w:tc>
          <w:tcPr>
            <w:tcW w:w="935" w:type="dxa"/>
            <w:tcBorders>
              <w:top w:val="nil"/>
              <w:left w:val="nil"/>
              <w:bottom w:val="single" w:sz="4" w:space="0" w:color="auto"/>
              <w:right w:val="single" w:sz="4" w:space="0" w:color="auto"/>
            </w:tcBorders>
            <w:shd w:val="clear" w:color="auto" w:fill="EAF1DD"/>
            <w:noWrap/>
            <w:tcMar>
              <w:right w:w="170" w:type="dxa"/>
            </w:tcMar>
          </w:tcPr>
          <w:p w14:paraId="0B156179"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0,2</w:t>
            </w:r>
          </w:p>
        </w:tc>
        <w:tc>
          <w:tcPr>
            <w:tcW w:w="936" w:type="dxa"/>
            <w:tcBorders>
              <w:top w:val="nil"/>
              <w:left w:val="nil"/>
              <w:bottom w:val="single" w:sz="4" w:space="0" w:color="auto"/>
              <w:right w:val="single" w:sz="4" w:space="0" w:color="auto"/>
            </w:tcBorders>
            <w:shd w:val="clear" w:color="auto" w:fill="EAF1DD"/>
            <w:noWrap/>
            <w:tcMar>
              <w:right w:w="170" w:type="dxa"/>
            </w:tcMar>
          </w:tcPr>
          <w:p w14:paraId="4E4904F2"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1,2</w:t>
            </w:r>
          </w:p>
        </w:tc>
        <w:tc>
          <w:tcPr>
            <w:tcW w:w="935" w:type="dxa"/>
            <w:tcBorders>
              <w:top w:val="nil"/>
              <w:left w:val="nil"/>
              <w:bottom w:val="single" w:sz="4" w:space="0" w:color="auto"/>
              <w:right w:val="single" w:sz="4" w:space="0" w:color="auto"/>
            </w:tcBorders>
            <w:shd w:val="clear" w:color="auto" w:fill="EAF1DD"/>
            <w:noWrap/>
            <w:tcMar>
              <w:right w:w="170" w:type="dxa"/>
            </w:tcMar>
          </w:tcPr>
          <w:p w14:paraId="624F9546"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2,0</w:t>
            </w:r>
          </w:p>
        </w:tc>
        <w:tc>
          <w:tcPr>
            <w:tcW w:w="936" w:type="dxa"/>
            <w:tcBorders>
              <w:top w:val="nil"/>
              <w:left w:val="nil"/>
              <w:bottom w:val="single" w:sz="4" w:space="0" w:color="auto"/>
              <w:right w:val="single" w:sz="4" w:space="0" w:color="auto"/>
            </w:tcBorders>
            <w:shd w:val="clear" w:color="auto" w:fill="EAF1DD"/>
            <w:noWrap/>
            <w:tcMar>
              <w:right w:w="170" w:type="dxa"/>
            </w:tcMar>
          </w:tcPr>
          <w:p w14:paraId="221E84B5"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2,0</w:t>
            </w:r>
          </w:p>
        </w:tc>
      </w:tr>
      <w:tr w:rsidR="00500AAB" w:rsidRPr="00500AAB" w14:paraId="0FE8A243" w14:textId="77777777" w:rsidTr="00500AAB">
        <w:trPr>
          <w:trHeight w:val="6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4AF95E7" w14:textId="77777777" w:rsidR="00500AAB" w:rsidRPr="00500AAB" w:rsidRDefault="00500AAB" w:rsidP="00500AAB">
            <w:pPr>
              <w:spacing w:before="0" w:after="0"/>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 xml:space="preserve">Tautsaimniecībā nodarbināto mēn. vid. bruto darba samaksa, </w:t>
            </w:r>
            <w:r w:rsidRPr="00500AAB">
              <w:rPr>
                <w:rFonts w:eastAsia="Times New Roman" w:cs="Times New Roman"/>
                <w:b/>
                <w:i/>
                <w:noProof/>
                <w:sz w:val="20"/>
                <w:szCs w:val="20"/>
                <w:lang w:eastAsia="lv-LV"/>
              </w:rPr>
              <w:t>euro</w:t>
            </w:r>
          </w:p>
        </w:tc>
        <w:tc>
          <w:tcPr>
            <w:tcW w:w="935" w:type="dxa"/>
            <w:tcBorders>
              <w:top w:val="nil"/>
              <w:left w:val="nil"/>
              <w:bottom w:val="single" w:sz="4" w:space="0" w:color="auto"/>
              <w:right w:val="single" w:sz="4" w:space="0" w:color="auto"/>
            </w:tcBorders>
            <w:shd w:val="clear" w:color="auto" w:fill="auto"/>
            <w:noWrap/>
            <w:tcMar>
              <w:right w:w="170" w:type="dxa"/>
            </w:tcMar>
          </w:tcPr>
          <w:p w14:paraId="4F167E9B"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1076</w:t>
            </w:r>
          </w:p>
        </w:tc>
        <w:tc>
          <w:tcPr>
            <w:tcW w:w="935" w:type="dxa"/>
            <w:tcBorders>
              <w:top w:val="nil"/>
              <w:left w:val="nil"/>
              <w:bottom w:val="single" w:sz="4" w:space="0" w:color="auto"/>
              <w:right w:val="single" w:sz="4" w:space="0" w:color="auto"/>
            </w:tcBorders>
            <w:shd w:val="clear" w:color="auto" w:fill="EAF1DD"/>
            <w:noWrap/>
            <w:tcMar>
              <w:right w:w="170" w:type="dxa"/>
            </w:tcMar>
          </w:tcPr>
          <w:p w14:paraId="2D03E949"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1065</w:t>
            </w:r>
          </w:p>
        </w:tc>
        <w:tc>
          <w:tcPr>
            <w:tcW w:w="936" w:type="dxa"/>
            <w:tcBorders>
              <w:top w:val="nil"/>
              <w:left w:val="nil"/>
              <w:bottom w:val="single" w:sz="4" w:space="0" w:color="auto"/>
              <w:right w:val="single" w:sz="4" w:space="0" w:color="auto"/>
            </w:tcBorders>
            <w:shd w:val="clear" w:color="auto" w:fill="EAF1DD"/>
            <w:noWrap/>
            <w:tcMar>
              <w:right w:w="170" w:type="dxa"/>
            </w:tcMar>
          </w:tcPr>
          <w:p w14:paraId="0A195B5B"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1097</w:t>
            </w:r>
          </w:p>
        </w:tc>
        <w:tc>
          <w:tcPr>
            <w:tcW w:w="935" w:type="dxa"/>
            <w:tcBorders>
              <w:top w:val="nil"/>
              <w:left w:val="nil"/>
              <w:bottom w:val="single" w:sz="4" w:space="0" w:color="auto"/>
              <w:right w:val="single" w:sz="4" w:space="0" w:color="auto"/>
            </w:tcBorders>
            <w:shd w:val="clear" w:color="auto" w:fill="EAF1DD"/>
            <w:noWrap/>
            <w:tcMar>
              <w:right w:w="170" w:type="dxa"/>
            </w:tcMar>
          </w:tcPr>
          <w:p w14:paraId="09D270A1"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1152</w:t>
            </w:r>
          </w:p>
        </w:tc>
        <w:tc>
          <w:tcPr>
            <w:tcW w:w="936" w:type="dxa"/>
            <w:tcBorders>
              <w:top w:val="nil"/>
              <w:left w:val="nil"/>
              <w:bottom w:val="single" w:sz="4" w:space="0" w:color="auto"/>
              <w:right w:val="single" w:sz="4" w:space="0" w:color="auto"/>
            </w:tcBorders>
            <w:shd w:val="clear" w:color="auto" w:fill="EAF1DD"/>
            <w:noWrap/>
            <w:tcMar>
              <w:right w:w="170" w:type="dxa"/>
            </w:tcMar>
          </w:tcPr>
          <w:p w14:paraId="6937774D"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1210</w:t>
            </w:r>
          </w:p>
        </w:tc>
      </w:tr>
      <w:tr w:rsidR="00500AAB" w:rsidRPr="00500AAB" w14:paraId="2C711757"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AA59D48" w14:textId="77777777" w:rsidR="00500AAB" w:rsidRPr="00500AAB" w:rsidRDefault="00500AAB" w:rsidP="00500AAB">
            <w:pPr>
              <w:spacing w:before="0" w:after="0"/>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faktiskajās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6E8FD528"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7,2</w:t>
            </w:r>
          </w:p>
        </w:tc>
        <w:tc>
          <w:tcPr>
            <w:tcW w:w="935" w:type="dxa"/>
            <w:tcBorders>
              <w:top w:val="nil"/>
              <w:left w:val="nil"/>
              <w:bottom w:val="single" w:sz="4" w:space="0" w:color="auto"/>
              <w:right w:val="single" w:sz="4" w:space="0" w:color="auto"/>
            </w:tcBorders>
            <w:shd w:val="clear" w:color="auto" w:fill="EAF1DD"/>
            <w:noWrap/>
            <w:tcMar>
              <w:right w:w="170" w:type="dxa"/>
            </w:tcMar>
          </w:tcPr>
          <w:p w14:paraId="1EF13EFE"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-1,0</w:t>
            </w:r>
          </w:p>
        </w:tc>
        <w:tc>
          <w:tcPr>
            <w:tcW w:w="936" w:type="dxa"/>
            <w:tcBorders>
              <w:top w:val="nil"/>
              <w:left w:val="nil"/>
              <w:bottom w:val="single" w:sz="4" w:space="0" w:color="auto"/>
              <w:right w:val="single" w:sz="4" w:space="0" w:color="auto"/>
            </w:tcBorders>
            <w:shd w:val="clear" w:color="auto" w:fill="EAF1DD"/>
            <w:noWrap/>
            <w:tcMar>
              <w:right w:w="170" w:type="dxa"/>
            </w:tcMar>
          </w:tcPr>
          <w:p w14:paraId="280A59A3"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3,0</w:t>
            </w:r>
          </w:p>
        </w:tc>
        <w:tc>
          <w:tcPr>
            <w:tcW w:w="935" w:type="dxa"/>
            <w:tcBorders>
              <w:top w:val="nil"/>
              <w:left w:val="nil"/>
              <w:bottom w:val="single" w:sz="4" w:space="0" w:color="auto"/>
              <w:right w:val="single" w:sz="4" w:space="0" w:color="auto"/>
            </w:tcBorders>
            <w:shd w:val="clear" w:color="auto" w:fill="EAF1DD"/>
            <w:noWrap/>
            <w:tcMar>
              <w:right w:w="170" w:type="dxa"/>
            </w:tcMar>
          </w:tcPr>
          <w:p w14:paraId="301D8102"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5,0</w:t>
            </w:r>
          </w:p>
        </w:tc>
        <w:tc>
          <w:tcPr>
            <w:tcW w:w="936" w:type="dxa"/>
            <w:tcBorders>
              <w:top w:val="nil"/>
              <w:left w:val="nil"/>
              <w:bottom w:val="single" w:sz="4" w:space="0" w:color="auto"/>
              <w:right w:val="single" w:sz="4" w:space="0" w:color="auto"/>
            </w:tcBorders>
            <w:shd w:val="clear" w:color="auto" w:fill="EAF1DD"/>
            <w:noWrap/>
            <w:tcMar>
              <w:right w:w="170" w:type="dxa"/>
            </w:tcMar>
          </w:tcPr>
          <w:p w14:paraId="76EAE571"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5,0</w:t>
            </w:r>
          </w:p>
        </w:tc>
      </w:tr>
      <w:tr w:rsidR="00500AAB" w:rsidRPr="00500AAB" w14:paraId="0D627FE4"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9991EAE" w14:textId="77777777" w:rsidR="00500AAB" w:rsidRPr="00500AAB" w:rsidRDefault="00500AAB" w:rsidP="00500AAB">
            <w:pPr>
              <w:spacing w:before="0" w:after="0"/>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salīdzināmās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523AA3EB"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4,2</w:t>
            </w:r>
          </w:p>
        </w:tc>
        <w:tc>
          <w:tcPr>
            <w:tcW w:w="935" w:type="dxa"/>
            <w:tcBorders>
              <w:top w:val="nil"/>
              <w:left w:val="nil"/>
              <w:bottom w:val="single" w:sz="4" w:space="0" w:color="auto"/>
              <w:right w:val="single" w:sz="4" w:space="0" w:color="auto"/>
            </w:tcBorders>
            <w:shd w:val="clear" w:color="auto" w:fill="EAF1DD"/>
            <w:noWrap/>
            <w:tcMar>
              <w:right w:w="170" w:type="dxa"/>
            </w:tcMar>
          </w:tcPr>
          <w:p w14:paraId="2EAF5CBE"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-1,2</w:t>
            </w:r>
          </w:p>
        </w:tc>
        <w:tc>
          <w:tcPr>
            <w:tcW w:w="936" w:type="dxa"/>
            <w:tcBorders>
              <w:top w:val="nil"/>
              <w:left w:val="nil"/>
              <w:bottom w:val="single" w:sz="4" w:space="0" w:color="auto"/>
              <w:right w:val="single" w:sz="4" w:space="0" w:color="auto"/>
            </w:tcBorders>
            <w:shd w:val="clear" w:color="auto" w:fill="EAF1DD"/>
            <w:noWrap/>
            <w:tcMar>
              <w:right w:w="170" w:type="dxa"/>
            </w:tcMar>
          </w:tcPr>
          <w:p w14:paraId="1885ADDB"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1,8</w:t>
            </w:r>
          </w:p>
        </w:tc>
        <w:tc>
          <w:tcPr>
            <w:tcW w:w="935" w:type="dxa"/>
            <w:tcBorders>
              <w:top w:val="nil"/>
              <w:left w:val="nil"/>
              <w:bottom w:val="single" w:sz="4" w:space="0" w:color="auto"/>
              <w:right w:val="single" w:sz="4" w:space="0" w:color="auto"/>
            </w:tcBorders>
            <w:shd w:val="clear" w:color="auto" w:fill="EAF1DD"/>
            <w:noWrap/>
            <w:tcMar>
              <w:right w:w="170" w:type="dxa"/>
            </w:tcMar>
          </w:tcPr>
          <w:p w14:paraId="5B6B7350"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2,9</w:t>
            </w:r>
          </w:p>
        </w:tc>
        <w:tc>
          <w:tcPr>
            <w:tcW w:w="936" w:type="dxa"/>
            <w:tcBorders>
              <w:top w:val="nil"/>
              <w:left w:val="nil"/>
              <w:bottom w:val="single" w:sz="4" w:space="0" w:color="auto"/>
              <w:right w:val="single" w:sz="4" w:space="0" w:color="auto"/>
            </w:tcBorders>
            <w:shd w:val="clear" w:color="auto" w:fill="EAF1DD"/>
            <w:noWrap/>
            <w:tcMar>
              <w:right w:w="170" w:type="dxa"/>
            </w:tcMar>
          </w:tcPr>
          <w:p w14:paraId="4433AC37"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2,9</w:t>
            </w:r>
          </w:p>
        </w:tc>
      </w:tr>
      <w:tr w:rsidR="00500AAB" w:rsidRPr="00500AAB" w14:paraId="71F30E7D" w14:textId="77777777" w:rsidTr="00500AAB">
        <w:trPr>
          <w:trHeight w:val="6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6D1135D" w14:textId="77777777" w:rsidR="00500AAB" w:rsidRPr="00500AAB" w:rsidRDefault="00500AAB" w:rsidP="00500AAB">
            <w:pPr>
              <w:spacing w:before="0" w:after="0"/>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Nodarbinātība, tūkst. iedzīvotāju (atbilstoši darbaspēka apsekojumiem)</w:t>
            </w:r>
          </w:p>
        </w:tc>
        <w:tc>
          <w:tcPr>
            <w:tcW w:w="935" w:type="dxa"/>
            <w:tcBorders>
              <w:top w:val="nil"/>
              <w:left w:val="nil"/>
              <w:bottom w:val="single" w:sz="4" w:space="0" w:color="auto"/>
              <w:right w:val="single" w:sz="4" w:space="0" w:color="auto"/>
            </w:tcBorders>
            <w:shd w:val="clear" w:color="auto" w:fill="auto"/>
            <w:noWrap/>
            <w:tcMar>
              <w:right w:w="170" w:type="dxa"/>
            </w:tcMar>
          </w:tcPr>
          <w:p w14:paraId="6DE09FD6"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910</w:t>
            </w:r>
          </w:p>
        </w:tc>
        <w:tc>
          <w:tcPr>
            <w:tcW w:w="935" w:type="dxa"/>
            <w:tcBorders>
              <w:top w:val="nil"/>
              <w:left w:val="nil"/>
              <w:bottom w:val="single" w:sz="4" w:space="0" w:color="auto"/>
              <w:right w:val="single" w:sz="4" w:space="0" w:color="auto"/>
            </w:tcBorders>
            <w:shd w:val="clear" w:color="auto" w:fill="EAF1DD"/>
            <w:noWrap/>
            <w:tcMar>
              <w:right w:w="170" w:type="dxa"/>
            </w:tcMar>
          </w:tcPr>
          <w:p w14:paraId="5D60D8C4"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870</w:t>
            </w:r>
          </w:p>
        </w:tc>
        <w:tc>
          <w:tcPr>
            <w:tcW w:w="936" w:type="dxa"/>
            <w:tcBorders>
              <w:top w:val="nil"/>
              <w:left w:val="nil"/>
              <w:bottom w:val="single" w:sz="4" w:space="0" w:color="auto"/>
              <w:right w:val="single" w:sz="4" w:space="0" w:color="auto"/>
            </w:tcBorders>
            <w:shd w:val="clear" w:color="auto" w:fill="EAF1DD"/>
            <w:noWrap/>
            <w:tcMar>
              <w:right w:w="170" w:type="dxa"/>
            </w:tcMar>
          </w:tcPr>
          <w:p w14:paraId="6768B323"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875</w:t>
            </w:r>
          </w:p>
        </w:tc>
        <w:tc>
          <w:tcPr>
            <w:tcW w:w="935" w:type="dxa"/>
            <w:tcBorders>
              <w:top w:val="nil"/>
              <w:left w:val="nil"/>
              <w:bottom w:val="single" w:sz="4" w:space="0" w:color="auto"/>
              <w:right w:val="single" w:sz="4" w:space="0" w:color="auto"/>
            </w:tcBorders>
            <w:shd w:val="clear" w:color="auto" w:fill="EAF1DD"/>
            <w:noWrap/>
            <w:tcMar>
              <w:right w:w="170" w:type="dxa"/>
            </w:tcMar>
          </w:tcPr>
          <w:p w14:paraId="36AD410C"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884</w:t>
            </w:r>
          </w:p>
        </w:tc>
        <w:tc>
          <w:tcPr>
            <w:tcW w:w="936" w:type="dxa"/>
            <w:tcBorders>
              <w:top w:val="nil"/>
              <w:left w:val="nil"/>
              <w:bottom w:val="single" w:sz="4" w:space="0" w:color="auto"/>
              <w:right w:val="single" w:sz="4" w:space="0" w:color="auto"/>
            </w:tcBorders>
            <w:shd w:val="clear" w:color="auto" w:fill="EAF1DD"/>
            <w:noWrap/>
            <w:tcMar>
              <w:right w:w="170" w:type="dxa"/>
            </w:tcMar>
          </w:tcPr>
          <w:p w14:paraId="2FA54273"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883</w:t>
            </w:r>
          </w:p>
        </w:tc>
      </w:tr>
      <w:tr w:rsidR="00500AAB" w:rsidRPr="00500AAB" w14:paraId="342D586D" w14:textId="77777777" w:rsidTr="00500AA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47FD403" w14:textId="77777777" w:rsidR="00500AAB" w:rsidRPr="00500AAB" w:rsidRDefault="00500AAB" w:rsidP="00500AAB">
            <w:pPr>
              <w:spacing w:before="0" w:after="0"/>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w:t>
            </w:r>
          </w:p>
        </w:tc>
        <w:tc>
          <w:tcPr>
            <w:tcW w:w="935" w:type="dxa"/>
            <w:tcBorders>
              <w:top w:val="nil"/>
              <w:left w:val="nil"/>
              <w:bottom w:val="single" w:sz="4" w:space="0" w:color="auto"/>
              <w:right w:val="single" w:sz="4" w:space="0" w:color="auto"/>
            </w:tcBorders>
            <w:shd w:val="clear" w:color="auto" w:fill="auto"/>
            <w:noWrap/>
            <w:tcMar>
              <w:right w:w="170" w:type="dxa"/>
            </w:tcMar>
          </w:tcPr>
          <w:p w14:paraId="06F541A6"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0,1</w:t>
            </w:r>
          </w:p>
        </w:tc>
        <w:tc>
          <w:tcPr>
            <w:tcW w:w="935" w:type="dxa"/>
            <w:tcBorders>
              <w:top w:val="nil"/>
              <w:left w:val="nil"/>
              <w:bottom w:val="single" w:sz="4" w:space="0" w:color="auto"/>
              <w:right w:val="single" w:sz="4" w:space="0" w:color="auto"/>
            </w:tcBorders>
            <w:shd w:val="clear" w:color="auto" w:fill="EAF1DD"/>
            <w:noWrap/>
            <w:tcMar>
              <w:right w:w="170" w:type="dxa"/>
            </w:tcMar>
          </w:tcPr>
          <w:p w14:paraId="09E42685"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-4,4</w:t>
            </w:r>
          </w:p>
        </w:tc>
        <w:tc>
          <w:tcPr>
            <w:tcW w:w="936" w:type="dxa"/>
            <w:tcBorders>
              <w:top w:val="nil"/>
              <w:left w:val="nil"/>
              <w:bottom w:val="single" w:sz="4" w:space="0" w:color="auto"/>
              <w:right w:val="single" w:sz="4" w:space="0" w:color="auto"/>
            </w:tcBorders>
            <w:shd w:val="clear" w:color="auto" w:fill="EAF1DD"/>
            <w:noWrap/>
            <w:tcMar>
              <w:right w:w="170" w:type="dxa"/>
            </w:tcMar>
          </w:tcPr>
          <w:p w14:paraId="10A66C0D"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0,6</w:t>
            </w:r>
          </w:p>
        </w:tc>
        <w:tc>
          <w:tcPr>
            <w:tcW w:w="935" w:type="dxa"/>
            <w:tcBorders>
              <w:top w:val="nil"/>
              <w:left w:val="nil"/>
              <w:bottom w:val="single" w:sz="4" w:space="0" w:color="auto"/>
              <w:right w:val="single" w:sz="4" w:space="0" w:color="auto"/>
            </w:tcBorders>
            <w:shd w:val="clear" w:color="auto" w:fill="EAF1DD"/>
            <w:noWrap/>
            <w:tcMar>
              <w:right w:w="170" w:type="dxa"/>
            </w:tcMar>
          </w:tcPr>
          <w:p w14:paraId="5B8BD6E2"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1,0</w:t>
            </w:r>
          </w:p>
        </w:tc>
        <w:tc>
          <w:tcPr>
            <w:tcW w:w="936" w:type="dxa"/>
            <w:tcBorders>
              <w:top w:val="nil"/>
              <w:left w:val="nil"/>
              <w:bottom w:val="single" w:sz="4" w:space="0" w:color="auto"/>
              <w:right w:val="single" w:sz="4" w:space="0" w:color="auto"/>
            </w:tcBorders>
            <w:shd w:val="clear" w:color="auto" w:fill="EAF1DD"/>
            <w:noWrap/>
            <w:tcMar>
              <w:right w:w="170" w:type="dxa"/>
            </w:tcMar>
          </w:tcPr>
          <w:p w14:paraId="1EBF83BB"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-0,1</w:t>
            </w:r>
          </w:p>
        </w:tc>
      </w:tr>
      <w:tr w:rsidR="00500AAB" w:rsidRPr="00500AAB" w14:paraId="028573CC" w14:textId="77777777" w:rsidTr="00500AAB">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62FFA" w14:textId="77777777" w:rsidR="00500AAB" w:rsidRPr="00500AAB" w:rsidRDefault="00500AAB" w:rsidP="00500AAB">
            <w:pPr>
              <w:spacing w:before="0" w:after="0"/>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Bezdarba līmenis (gada vidējais),</w:t>
            </w:r>
            <w:r w:rsidRPr="00500AAB">
              <w:rPr>
                <w:rFonts w:eastAsia="Times New Roman" w:cs="Times New Roman"/>
                <w:b/>
                <w:noProof/>
                <w:sz w:val="20"/>
                <w:szCs w:val="20"/>
                <w:lang w:eastAsia="lv-LV"/>
              </w:rPr>
              <w:br/>
              <w:t>% no ekon. aktīviem iedzīv.</w:t>
            </w:r>
          </w:p>
        </w:tc>
        <w:tc>
          <w:tcPr>
            <w:tcW w:w="935" w:type="dxa"/>
            <w:tcBorders>
              <w:top w:val="single" w:sz="4" w:space="0" w:color="auto"/>
              <w:left w:val="nil"/>
              <w:bottom w:val="single" w:sz="4" w:space="0" w:color="auto"/>
              <w:right w:val="single" w:sz="4" w:space="0" w:color="auto"/>
            </w:tcBorders>
            <w:shd w:val="clear" w:color="auto" w:fill="auto"/>
            <w:noWrap/>
            <w:tcMar>
              <w:right w:w="170" w:type="dxa"/>
            </w:tcMar>
          </w:tcPr>
          <w:p w14:paraId="648B769D"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6,3</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tcPr>
          <w:p w14:paraId="55525B59"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10,5</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tcPr>
          <w:p w14:paraId="538737E7"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9,8</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tcPr>
          <w:p w14:paraId="05787934"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8,1</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tcPr>
          <w:p w14:paraId="79CE8306" w14:textId="77777777" w:rsidR="00500AAB" w:rsidRPr="00500AAB" w:rsidRDefault="00500AAB" w:rsidP="00500AAB">
            <w:pPr>
              <w:spacing w:before="0" w:after="0"/>
              <w:ind w:firstLine="0"/>
              <w:jc w:val="right"/>
              <w:rPr>
                <w:rFonts w:eastAsia="Calibri" w:cs="Times New Roman"/>
                <w:sz w:val="20"/>
                <w:szCs w:val="20"/>
              </w:rPr>
            </w:pPr>
            <w:r w:rsidRPr="00500AAB">
              <w:rPr>
                <w:rFonts w:eastAsia="Calibri" w:cs="Times New Roman"/>
                <w:sz w:val="20"/>
                <w:szCs w:val="20"/>
              </w:rPr>
              <w:t>7,3</w:t>
            </w:r>
          </w:p>
        </w:tc>
      </w:tr>
    </w:tbl>
    <w:p w14:paraId="002901F9" w14:textId="77777777" w:rsidR="002E768B" w:rsidRPr="00444066" w:rsidRDefault="002E768B" w:rsidP="005715AA">
      <w:pPr>
        <w:spacing w:after="60"/>
        <w:rPr>
          <w:szCs w:val="20"/>
        </w:rPr>
      </w:pPr>
      <w:r w:rsidRPr="00444066">
        <w:rPr>
          <w:szCs w:val="20"/>
        </w:rPr>
        <w:t>Gada vidējā inflācija 2020.gadā prognozēta 0,2% un 2021.gadā 1,2% līmenī. Salīdzinājumā ar Latvijas Stabilitātes programmas 2020.-2023.gadam prognozēm inflācijas prognoze 2020.gadam ir samazināta par 0,2 procentpunktiem un 2021.gadam – par 0,5 procentpunktiem, galvenokārt straujā energoresursu cenu krituma dēļ, kā arī mazinoties pakalpojumu cenu pieaugumam. Nākamajos divos gados patēriņa cenu pieaugums atjaunosies 2% līmenī.</w:t>
      </w:r>
    </w:p>
    <w:p w14:paraId="403D4B94" w14:textId="77777777" w:rsidR="002E768B" w:rsidRPr="00444066" w:rsidRDefault="002E768B" w:rsidP="002E768B">
      <w:pPr>
        <w:spacing w:before="60" w:after="60"/>
        <w:rPr>
          <w:szCs w:val="20"/>
        </w:rPr>
      </w:pPr>
      <w:r w:rsidRPr="00444066">
        <w:rPr>
          <w:szCs w:val="20"/>
        </w:rPr>
        <w:t xml:space="preserve">Makroekonomiskās attīstības scenārijā pieņemts, ka vīrusa izplatības un tā ierobežošanas pasākumu ietekmē tautsaimniecībā nodarbināto iedzīvotāju skaits 2020.gadā samazināsies vidēji par 40 tūkstošiem jeb 4,4%, darbu zaudējot daļai darbinieku ierobežojumu tieši skartajās nozarēs, tajā skaitā transportā, tirdzniecībā, izmitināšanā un ēdināšanā, profesionālajos un administratīvajos </w:t>
      </w:r>
      <w:r w:rsidRPr="00444066">
        <w:rPr>
          <w:szCs w:val="20"/>
        </w:rPr>
        <w:lastRenderedPageBreak/>
        <w:t xml:space="preserve">pakalpojumos, kā arī nedaudz samazinoties strādājošo skaitam arī netieši ietekmētajās nozarēs. Attiecīgi sagaidāms, ka bezdarba līmenis 2020.gadā salīdzinājumā ar 2019.gadu pieaugs par 4,2 procentpunktiem līdz 10,5%. 2021. un 2022.gadā, ekonomikas izaugsmei atjaunojoties, nodarbināto skaits nedaudz palielināsies, līdz 2023.gadam stabilizējoties 883 tūkstošu līmenī, bet bezdarba līmenis 2021.gadā pazemināsies līdz 9,8%. </w:t>
      </w:r>
    </w:p>
    <w:p w14:paraId="0A89475C" w14:textId="77777777" w:rsidR="002E768B" w:rsidRPr="00444066" w:rsidRDefault="002E768B" w:rsidP="002E768B">
      <w:pPr>
        <w:spacing w:before="60" w:after="60"/>
        <w:rPr>
          <w:szCs w:val="20"/>
        </w:rPr>
      </w:pPr>
      <w:r w:rsidRPr="00444066">
        <w:rPr>
          <w:szCs w:val="20"/>
        </w:rPr>
        <w:t>Ņemot vērā valdības apstiprinātos nodarbinātības atbalsta pasākumus, nodarbināto iedzīvotāju skaita prognoze 2020.gadam, salīdzinājumā ar iepriekšējo prognozi, ir nedaudz paaugstināta, sagaidot, ka strādājošo skaita kritums 2020.gadā būs par pieciem tūkstošiem mazāks nekā tika prognozēts, sagatavojot Latvijas Stabilitātes programmu.</w:t>
      </w:r>
    </w:p>
    <w:p w14:paraId="4F834713" w14:textId="77777777" w:rsidR="002E768B" w:rsidRPr="00444066" w:rsidRDefault="002E768B" w:rsidP="002E768B">
      <w:pPr>
        <w:spacing w:before="60" w:after="60"/>
        <w:rPr>
          <w:szCs w:val="20"/>
        </w:rPr>
      </w:pPr>
      <w:r w:rsidRPr="00444066">
        <w:rPr>
          <w:szCs w:val="20"/>
        </w:rPr>
        <w:t xml:space="preserve">Atbilstoši jaunajam makroekonomiskās attīstības scenārijam, mēneša vidējā darba samaksa 2020.gadā samazināsies par 1,0%, gada pirmajā ceturksnī vēl saglabājoties spēcīgam algu pieaugumam, bet pēc tam uzņēmējiem vairs nespējot saglabāt esošo algu līmeni strauja ekonomikas krituma apstākļos. Nākamajos gados algu pieaugums pakāpeniski atjaunosies, 2021.gadā mēneša vidējai darba samaksai palielinoties par 3,0% un pēc tam pieaugumam stabilizējoties līmenī, kas </w:t>
      </w:r>
      <w:r>
        <w:rPr>
          <w:szCs w:val="20"/>
        </w:rPr>
        <w:t xml:space="preserve">ir </w:t>
      </w:r>
      <w:r w:rsidRPr="00444066">
        <w:rPr>
          <w:szCs w:val="20"/>
        </w:rPr>
        <w:t>tuvs kopējam produktivitātes pieaugumam tautsaimniecībā.</w:t>
      </w:r>
    </w:p>
    <w:p w14:paraId="4F304433" w14:textId="16D303D7" w:rsidR="00500AAB" w:rsidRDefault="002E768B" w:rsidP="002E768B">
      <w:pPr>
        <w:spacing w:before="60" w:after="60"/>
        <w:rPr>
          <w:szCs w:val="20"/>
        </w:rPr>
      </w:pPr>
      <w:r w:rsidRPr="00444066">
        <w:rPr>
          <w:szCs w:val="20"/>
        </w:rPr>
        <w:t>Izstrādājot makroekonomisko rādītāju prognozes, Finanšu ministrija balstījās uz konservatīviem pieņēmumiem, kā arī izvērtēja ārējās un iekšējās vides riskus, kuriem īstenojoties, ekonomikas izaugsme var izrādīties straujāka vai lēnāka, nekā paredz pamata prognoze. Jāatzīmē, ka prognozes vēl nekad nav izstrādātas tik augstas nenoteiktības apstākļos un prognožu riski ir lejupvērsti. Būtiskākais negatīvais risks ir Covid-19 atkārtots uzliesmojums Eiropā un Latvijā, kas var radīt nepieciešamību pēc jauniem, vēl spēcīgākiem ierobežojošajiem pasākumiem. Tāpat vērā ņemami negatīvie riski ir saistīti ar sociālās un etniskās spriedzes saasināšanos pasaulē, ģeopolitisko konfliktu aktualizēšanos, ASV un Ķīnas attiecību pasliktināšanos, strauju protekcionisma pieaugumu un augstu nestabilitāti un svārstīgumu finanšu tirgos. Vienlaikus pašlaik pastāv arī pozitīvie riski, kas var nodrošināt straujāku ekonomiskās izaugsmes atjaunošanos, tajā skaitā Covid-19 vakcīnas un zāļu ātrāka atklāšana, spēcīgāka apjomīgo monetārās un fiskālās stimulēšanas pasākumu ietekme, kā arī straujāka vīrusu ierobežojošo pasākumu atcelšana un uzņēmēju un patērētāju konfidences atjaunošanās.</w:t>
      </w:r>
    </w:p>
    <w:p w14:paraId="09F134C3" w14:textId="0014DB4F" w:rsidR="0037413E" w:rsidRPr="002E768B" w:rsidRDefault="0037413E" w:rsidP="0037413E">
      <w:pPr>
        <w:spacing w:before="60" w:after="60"/>
        <w:rPr>
          <w:szCs w:val="20"/>
        </w:rPr>
      </w:pPr>
      <w:r>
        <w:rPr>
          <w:szCs w:val="20"/>
        </w:rPr>
        <w:br w:type="page"/>
      </w:r>
    </w:p>
    <w:p w14:paraId="3F0DC5CC" w14:textId="2B283A5C" w:rsidR="007933A0" w:rsidRDefault="00377CA0" w:rsidP="00377CA0">
      <w:pPr>
        <w:pStyle w:val="Heading1"/>
        <w:ind w:left="720"/>
      </w:pPr>
      <w:bookmarkStart w:id="1" w:name="_Toc403038743"/>
      <w:bookmarkStart w:id="2" w:name="_Toc48048097"/>
      <w:r w:rsidRPr="0034589E">
        <w:lastRenderedPageBreak/>
        <w:t xml:space="preserve">Kopbudžeta nodokļu un </w:t>
      </w:r>
      <w:r w:rsidRPr="0034589E">
        <w:rPr>
          <w:noProof/>
        </w:rPr>
        <w:t>valsts pamatbudžeta nenodokļu</w:t>
      </w:r>
      <w:r w:rsidRPr="0034589E">
        <w:t xml:space="preserve"> </w:t>
      </w:r>
      <w:r w:rsidRPr="0034589E">
        <w:rPr>
          <w:noProof/>
        </w:rPr>
        <w:t>ieņēmumu prognoze 20</w:t>
      </w:r>
      <w:r>
        <w:rPr>
          <w:noProof/>
        </w:rPr>
        <w:t>20</w:t>
      </w:r>
      <w:r w:rsidRPr="0034589E">
        <w:rPr>
          <w:noProof/>
        </w:rPr>
        <w:t>.-202</w:t>
      </w:r>
      <w:r>
        <w:rPr>
          <w:noProof/>
        </w:rPr>
        <w:t>3</w:t>
      </w:r>
      <w:r w:rsidRPr="0034589E">
        <w:rPr>
          <w:noProof/>
        </w:rPr>
        <w:t>.gadam</w:t>
      </w:r>
      <w:bookmarkEnd w:id="1"/>
      <w:bookmarkEnd w:id="2"/>
    </w:p>
    <w:p w14:paraId="3C28CE19" w14:textId="77777777" w:rsidR="008F2113" w:rsidRPr="00460EDF" w:rsidRDefault="008F2113" w:rsidP="008F2113">
      <w:pPr>
        <w:ind w:right="-1"/>
        <w:rPr>
          <w:highlight w:val="yellow"/>
          <w:lang w:eastAsia="lv-LV"/>
        </w:rPr>
      </w:pPr>
      <w:bookmarkStart w:id="3" w:name="_Toc403038744"/>
      <w:r w:rsidRPr="00851B44">
        <w:rPr>
          <w:lang w:eastAsia="lv-LV"/>
        </w:rPr>
        <w:t>Nodokļu ieņēmumu prognozes ir sagatavotas, pamatojoties uz vidēja termiņa makroekonomisko rādītāju prognozēm, ņemot vērā 20</w:t>
      </w:r>
      <w:r>
        <w:rPr>
          <w:lang w:eastAsia="lv-LV"/>
        </w:rPr>
        <w:t>20</w:t>
      </w:r>
      <w:r w:rsidRPr="00851B44">
        <w:rPr>
          <w:lang w:eastAsia="lv-LV"/>
        </w:rPr>
        <w:t>.gada pirmā pusgada faktisko izpildi, kā arī iepriekš pieņemtās izmaiņas likumdošanā</w:t>
      </w:r>
      <w:r>
        <w:rPr>
          <w:lang w:eastAsia="lv-LV"/>
        </w:rPr>
        <w:t xml:space="preserve"> un Covid-19 krīzes laikā pieņemtos nodokļu atbalsta pasākumus</w:t>
      </w:r>
      <w:r>
        <w:rPr>
          <w:noProof/>
          <w:lang w:eastAsia="lv-LV"/>
        </w:rPr>
        <w:t>.</w:t>
      </w:r>
    </w:p>
    <w:p w14:paraId="04777A64" w14:textId="63E5A94F" w:rsidR="008F2113" w:rsidRPr="00BD044A" w:rsidRDefault="008F2113" w:rsidP="008F2113">
      <w:pPr>
        <w:spacing w:after="0"/>
        <w:ind w:firstLine="567"/>
        <w:rPr>
          <w:noProof/>
          <w:lang w:eastAsia="lv-LV"/>
        </w:rPr>
      </w:pPr>
      <w:r w:rsidRPr="00BD044A">
        <w:rPr>
          <w:rFonts w:eastAsia="Calibri" w:cs="Times New Roman"/>
          <w:szCs w:val="28"/>
          <w:lang w:eastAsia="lv-LV"/>
        </w:rPr>
        <w:t xml:space="preserve">2020.gada pirmajā pusgadā kopbudžeta </w:t>
      </w:r>
      <w:r w:rsidRPr="00BD044A">
        <w:rPr>
          <w:rFonts w:eastAsia="Calibri" w:cs="Times New Roman"/>
          <w:b/>
          <w:szCs w:val="28"/>
          <w:lang w:eastAsia="lv-LV"/>
        </w:rPr>
        <w:t>nodokļu ieņēmumi</w:t>
      </w:r>
      <w:r w:rsidRPr="00696604">
        <w:rPr>
          <w:rStyle w:val="FootnoteReference"/>
          <w:rFonts w:eastAsia="Calibri" w:cs="Times New Roman"/>
          <w:sz w:val="20"/>
          <w:szCs w:val="20"/>
          <w:lang w:eastAsia="lv-LV"/>
        </w:rPr>
        <w:footnoteReference w:id="1"/>
      </w:r>
      <w:r w:rsidRPr="00BD044A">
        <w:rPr>
          <w:rFonts w:eastAsia="Calibri" w:cs="Times New Roman"/>
          <w:szCs w:val="28"/>
          <w:lang w:eastAsia="lv-LV"/>
        </w:rPr>
        <w:t xml:space="preserve"> veidoja 4 171,1</w:t>
      </w:r>
      <w:r w:rsidRPr="00BD044A">
        <w:rPr>
          <w:rFonts w:eastAsia="Calibri" w:cs="Times New Roman"/>
          <w:noProof/>
          <w:szCs w:val="28"/>
          <w:lang w:eastAsia="lv-LV"/>
        </w:rPr>
        <w:t>milj. </w:t>
      </w:r>
      <w:proofErr w:type="spellStart"/>
      <w:r w:rsidRPr="00BD044A">
        <w:rPr>
          <w:rFonts w:eastAsia="Calibri" w:cs="Times New Roman"/>
          <w:i/>
          <w:noProof/>
          <w:szCs w:val="28"/>
          <w:lang w:eastAsia="lv-LV"/>
        </w:rPr>
        <w:t>euro</w:t>
      </w:r>
      <w:proofErr w:type="spellEnd"/>
      <w:r w:rsidRPr="00BD044A">
        <w:rPr>
          <w:rFonts w:eastAsia="Calibri" w:cs="Times New Roman"/>
          <w:noProof/>
          <w:szCs w:val="28"/>
          <w:lang w:eastAsia="lv-LV"/>
        </w:rPr>
        <w:t>, tajā skaitā, valsts budžetā 3 366,9 milj. </w:t>
      </w:r>
      <w:r w:rsidRPr="00BD044A">
        <w:rPr>
          <w:rFonts w:eastAsia="Calibri" w:cs="Times New Roman"/>
          <w:i/>
          <w:noProof/>
          <w:szCs w:val="28"/>
          <w:lang w:eastAsia="lv-LV"/>
        </w:rPr>
        <w:t>euro</w:t>
      </w:r>
      <w:r w:rsidRPr="00BD044A">
        <w:rPr>
          <w:rFonts w:eastAsia="Calibri" w:cs="Times New Roman"/>
          <w:noProof/>
          <w:szCs w:val="28"/>
          <w:lang w:eastAsia="lv-LV"/>
        </w:rPr>
        <w:t xml:space="preserve"> un pašvaldību budžetā 804,3 milj. </w:t>
      </w:r>
      <w:r w:rsidRPr="00BD044A">
        <w:rPr>
          <w:rFonts w:eastAsia="Calibri" w:cs="Times New Roman"/>
          <w:i/>
          <w:noProof/>
          <w:szCs w:val="28"/>
          <w:lang w:eastAsia="lv-LV"/>
        </w:rPr>
        <w:t>euro</w:t>
      </w:r>
      <w:r w:rsidRPr="00BD044A">
        <w:rPr>
          <w:rFonts w:eastAsia="Calibri" w:cs="Times New Roman"/>
          <w:noProof/>
          <w:szCs w:val="28"/>
          <w:lang w:eastAsia="lv-LV"/>
        </w:rPr>
        <w:t xml:space="preserve">. Sākotnēji nodokļu ieņēmumi </w:t>
      </w:r>
      <w:r w:rsidRPr="00BD044A">
        <w:rPr>
          <w:rFonts w:eastAsia="Calibri" w:cs="Times New Roman"/>
          <w:szCs w:val="28"/>
          <w:lang w:eastAsia="lv-LV"/>
        </w:rPr>
        <w:t xml:space="preserve">2020.gada pirmajā pusgadā tika plānoti ar pieaugumu par 7,7%, salīdzinot ar pērnā gada attiecīgo periodu, taču </w:t>
      </w:r>
      <w:r w:rsidRPr="00BD044A">
        <w:rPr>
          <w:rFonts w:eastAsia="Calibri" w:cs="Times New Roman"/>
          <w:i/>
          <w:szCs w:val="28"/>
          <w:lang w:eastAsia="lv-LV"/>
        </w:rPr>
        <w:t>Cov</w:t>
      </w:r>
      <w:r>
        <w:rPr>
          <w:rFonts w:eastAsia="Calibri" w:cs="Times New Roman"/>
          <w:i/>
          <w:szCs w:val="28"/>
          <w:lang w:eastAsia="lv-LV"/>
        </w:rPr>
        <w:t>i</w:t>
      </w:r>
      <w:r w:rsidRPr="00BD044A">
        <w:rPr>
          <w:rFonts w:eastAsia="Calibri" w:cs="Times New Roman"/>
          <w:i/>
          <w:szCs w:val="28"/>
          <w:lang w:eastAsia="lv-LV"/>
        </w:rPr>
        <w:t>d-19</w:t>
      </w:r>
      <w:r w:rsidRPr="00BD044A">
        <w:rPr>
          <w:rFonts w:eastAsia="Calibri" w:cs="Times New Roman"/>
          <w:szCs w:val="28"/>
          <w:lang w:eastAsia="lv-LV"/>
        </w:rPr>
        <w:t xml:space="preserve"> krīzes ietekmē </w:t>
      </w:r>
      <w:r w:rsidRPr="00BD044A">
        <w:rPr>
          <w:rFonts w:eastAsia="Calibri" w:cs="Times New Roman"/>
          <w:noProof/>
          <w:szCs w:val="28"/>
          <w:lang w:eastAsia="lv-LV"/>
        </w:rPr>
        <w:t>nodokļu ieņēmumi tika iekasēti par 98,8 milj. </w:t>
      </w:r>
      <w:r w:rsidRPr="00BD044A">
        <w:rPr>
          <w:rFonts w:eastAsia="Calibri" w:cs="Times New Roman"/>
          <w:i/>
          <w:noProof/>
          <w:szCs w:val="28"/>
          <w:lang w:eastAsia="lv-LV"/>
        </w:rPr>
        <w:t>euro</w:t>
      </w:r>
      <w:r w:rsidRPr="00BD044A">
        <w:rPr>
          <w:rFonts w:eastAsia="Calibri" w:cs="Times New Roman"/>
          <w:noProof/>
          <w:szCs w:val="28"/>
          <w:lang w:eastAsia="lv-LV"/>
        </w:rPr>
        <w:t xml:space="preserve"> jeb 2,3% mazāk nekā 2019.gada pirmajā pusgadā</w:t>
      </w:r>
      <w:r w:rsidRPr="00BD044A">
        <w:rPr>
          <w:noProof/>
          <w:lang w:eastAsia="lv-LV"/>
        </w:rPr>
        <w:t xml:space="preserve">, bet, salīdzinot ar likumā “Par valsts budžetu 2020.gadam” noteikto plānu, samazinājums veido </w:t>
      </w:r>
      <w:r w:rsidRPr="00BD044A">
        <w:rPr>
          <w:rFonts w:eastAsia="Calibri" w:cs="Times New Roman"/>
          <w:noProof/>
          <w:szCs w:val="28"/>
          <w:lang w:eastAsia="lv-LV"/>
        </w:rPr>
        <w:t>426,6 </w:t>
      </w:r>
      <w:r w:rsidRPr="00BD044A">
        <w:rPr>
          <w:noProof/>
          <w:lang w:eastAsia="lv-LV"/>
        </w:rPr>
        <w:t>milj. </w:t>
      </w:r>
      <w:r w:rsidRPr="00BD044A">
        <w:rPr>
          <w:i/>
          <w:noProof/>
          <w:lang w:eastAsia="lv-LV"/>
        </w:rPr>
        <w:t>euro</w:t>
      </w:r>
      <w:r w:rsidRPr="00BD044A">
        <w:rPr>
          <w:noProof/>
          <w:lang w:eastAsia="lv-LV"/>
        </w:rPr>
        <w:t xml:space="preserve"> jeb 9,3 procentus.</w:t>
      </w:r>
      <w:r w:rsidRPr="00BD044A">
        <w:rPr>
          <w:rFonts w:eastAsia="Calibri" w:cs="Times New Roman"/>
          <w:noProof/>
          <w:szCs w:val="28"/>
          <w:lang w:eastAsia="lv-LV"/>
        </w:rPr>
        <w:t xml:space="preserve"> Krīzes ietekmē attiecībā </w:t>
      </w:r>
      <w:r w:rsidRPr="00BD044A">
        <w:rPr>
          <w:noProof/>
          <w:lang w:eastAsia="lv-LV"/>
        </w:rPr>
        <w:t xml:space="preserve">pret </w:t>
      </w:r>
      <w:r w:rsidR="00696604">
        <w:rPr>
          <w:noProof/>
          <w:lang w:eastAsia="lv-LV"/>
        </w:rPr>
        <w:t>2019. </w:t>
      </w:r>
      <w:r w:rsidRPr="00BD044A">
        <w:rPr>
          <w:noProof/>
          <w:lang w:eastAsia="lv-LV"/>
        </w:rPr>
        <w:t xml:space="preserve">gada pirmo pusgadu </w:t>
      </w:r>
      <w:r w:rsidRPr="00BD044A">
        <w:rPr>
          <w:rFonts w:eastAsia="Calibri" w:cs="Times New Roman"/>
          <w:noProof/>
          <w:szCs w:val="28"/>
          <w:lang w:eastAsia="lv-LV"/>
        </w:rPr>
        <w:t xml:space="preserve">nodokļu ieņēmumi </w:t>
      </w:r>
      <w:r w:rsidR="00696604">
        <w:rPr>
          <w:rFonts w:eastAsia="Calibri" w:cs="Times New Roman"/>
          <w:noProof/>
          <w:szCs w:val="28"/>
          <w:lang w:eastAsia="lv-LV"/>
        </w:rPr>
        <w:t xml:space="preserve">samazinājās </w:t>
      </w:r>
      <w:r w:rsidRPr="00BD044A">
        <w:rPr>
          <w:rFonts w:eastAsia="Calibri" w:cs="Times New Roman"/>
          <w:noProof/>
          <w:szCs w:val="28"/>
          <w:lang w:eastAsia="lv-LV"/>
        </w:rPr>
        <w:t>gandrīz visās kategorijās (izņemot uzņēmumu ienākuma nodokli un dabas resursu nodokli)</w:t>
      </w:r>
      <w:r w:rsidRPr="00BD044A">
        <w:rPr>
          <w:noProof/>
          <w:lang w:eastAsia="lv-LV"/>
        </w:rPr>
        <w:t xml:space="preserve">. Lielākais samazinājums vērojams pievienotās vērtības nodoklim, akcīzes nodoklim un sociālās apdrošināšanas iemaksām </w:t>
      </w:r>
      <w:r w:rsidR="00696604">
        <w:rPr>
          <w:noProof/>
          <w:lang w:eastAsia="lv-LV"/>
        </w:rPr>
        <w:t xml:space="preserve">valsts </w:t>
      </w:r>
      <w:r w:rsidRPr="00BD044A">
        <w:rPr>
          <w:noProof/>
          <w:lang w:eastAsia="lv-LV"/>
        </w:rPr>
        <w:t xml:space="preserve">speciālajā budžetā – attiecīgi par 109,6  </w:t>
      </w:r>
      <w:r w:rsidRPr="00BD044A">
        <w:rPr>
          <w:rFonts w:eastAsia="Calibri" w:cs="Times New Roman"/>
          <w:noProof/>
          <w:szCs w:val="28"/>
          <w:lang w:eastAsia="lv-LV"/>
        </w:rPr>
        <w:t>milj. </w:t>
      </w:r>
      <w:r w:rsidRPr="00BD044A">
        <w:rPr>
          <w:rFonts w:eastAsia="Calibri" w:cs="Times New Roman"/>
          <w:i/>
          <w:noProof/>
          <w:szCs w:val="28"/>
          <w:lang w:eastAsia="lv-LV"/>
        </w:rPr>
        <w:t>euro</w:t>
      </w:r>
      <w:r w:rsidRPr="00BD044A">
        <w:rPr>
          <w:rFonts w:eastAsia="Calibri" w:cs="Times New Roman"/>
          <w:noProof/>
          <w:szCs w:val="28"/>
          <w:lang w:eastAsia="lv-LV"/>
        </w:rPr>
        <w:t xml:space="preserve"> jeb 8,8%, </w:t>
      </w:r>
      <w:r w:rsidRPr="00BD044A">
        <w:rPr>
          <w:noProof/>
          <w:lang w:eastAsia="lv-LV"/>
        </w:rPr>
        <w:t xml:space="preserve">31,5  </w:t>
      </w:r>
      <w:r w:rsidRPr="00BD044A">
        <w:rPr>
          <w:rFonts w:eastAsia="Calibri" w:cs="Times New Roman"/>
          <w:noProof/>
          <w:szCs w:val="28"/>
          <w:lang w:eastAsia="lv-LV"/>
        </w:rPr>
        <w:t>milj. </w:t>
      </w:r>
      <w:r w:rsidRPr="00BD044A">
        <w:rPr>
          <w:rFonts w:eastAsia="Calibri" w:cs="Times New Roman"/>
          <w:i/>
          <w:noProof/>
          <w:szCs w:val="28"/>
          <w:lang w:eastAsia="lv-LV"/>
        </w:rPr>
        <w:t>euro</w:t>
      </w:r>
      <w:r w:rsidRPr="00BD044A">
        <w:rPr>
          <w:rFonts w:eastAsia="Calibri" w:cs="Times New Roman"/>
          <w:noProof/>
          <w:szCs w:val="28"/>
          <w:lang w:eastAsia="lv-LV"/>
        </w:rPr>
        <w:t xml:space="preserve"> jeb 6,0% un </w:t>
      </w:r>
      <w:r w:rsidRPr="00BD044A">
        <w:rPr>
          <w:noProof/>
          <w:lang w:eastAsia="lv-LV"/>
        </w:rPr>
        <w:t xml:space="preserve">21,7  </w:t>
      </w:r>
      <w:r w:rsidRPr="00BD044A">
        <w:rPr>
          <w:rFonts w:eastAsia="Calibri" w:cs="Times New Roman"/>
          <w:noProof/>
          <w:szCs w:val="28"/>
          <w:lang w:eastAsia="lv-LV"/>
        </w:rPr>
        <w:t>milj. </w:t>
      </w:r>
      <w:r w:rsidRPr="00BD044A">
        <w:rPr>
          <w:rFonts w:eastAsia="Calibri" w:cs="Times New Roman"/>
          <w:i/>
          <w:noProof/>
          <w:szCs w:val="28"/>
          <w:lang w:eastAsia="lv-LV"/>
        </w:rPr>
        <w:t>euro</w:t>
      </w:r>
      <w:r w:rsidR="00696604">
        <w:rPr>
          <w:rFonts w:eastAsia="Calibri" w:cs="Times New Roman"/>
          <w:noProof/>
          <w:szCs w:val="28"/>
          <w:lang w:eastAsia="lv-LV"/>
        </w:rPr>
        <w:t xml:space="preserve"> jeb 1,6 </w:t>
      </w:r>
      <w:r w:rsidRPr="00BD044A">
        <w:rPr>
          <w:rFonts w:eastAsia="Calibri" w:cs="Times New Roman"/>
          <w:noProof/>
          <w:szCs w:val="28"/>
          <w:lang w:eastAsia="lv-LV"/>
        </w:rPr>
        <w:t>procentiem.</w:t>
      </w:r>
    </w:p>
    <w:p w14:paraId="769EF19E" w14:textId="57C2BC7C" w:rsidR="008F2113" w:rsidRDefault="008F2113" w:rsidP="008F2113">
      <w:pPr>
        <w:rPr>
          <w:rFonts w:eastAsia="Times New Roman"/>
          <w:noProof/>
          <w:lang w:eastAsia="lv-LV"/>
        </w:rPr>
      </w:pPr>
      <w:r w:rsidRPr="00BD044A">
        <w:rPr>
          <w:noProof/>
          <w:lang w:eastAsia="lv-LV"/>
        </w:rPr>
        <w:t xml:space="preserve">Ņemot vērā iepriekš minētās tendences un joprojām jūtamās krīzes sekas, attiecībā pret </w:t>
      </w:r>
      <w:r w:rsidRPr="00BD044A">
        <w:rPr>
          <w:rFonts w:eastAsia="Times New Roman"/>
          <w:noProof/>
          <w:lang w:eastAsia="lv-LV"/>
        </w:rPr>
        <w:t>vidēja termiņa budžeta ietvaru</w:t>
      </w:r>
      <w:r w:rsidR="00540E8C">
        <w:rPr>
          <w:rFonts w:eastAsia="Times New Roman"/>
          <w:noProof/>
          <w:lang w:eastAsia="lv-LV"/>
        </w:rPr>
        <w:t xml:space="preserve"> (VTBIL)</w:t>
      </w:r>
      <w:r w:rsidRPr="00BD044A">
        <w:rPr>
          <w:rFonts w:eastAsia="Times New Roman"/>
          <w:noProof/>
          <w:lang w:eastAsia="lv-LV"/>
        </w:rPr>
        <w:t xml:space="preserve"> prognozes ir samazinātas – 2021.gadā un 2022.gadā a</w:t>
      </w:r>
      <w:r w:rsidR="00C83279">
        <w:rPr>
          <w:rFonts w:eastAsia="Times New Roman"/>
          <w:noProof/>
          <w:lang w:eastAsia="lv-LV"/>
        </w:rPr>
        <w:t>ttiecīgi par 9,9% un 9,0 </w:t>
      </w:r>
      <w:r w:rsidRPr="00BD044A">
        <w:rPr>
          <w:rFonts w:eastAsia="Times New Roman"/>
          <w:noProof/>
          <w:lang w:eastAsia="lv-LV"/>
        </w:rPr>
        <w:t xml:space="preserve">procentiem. </w:t>
      </w:r>
      <w:r w:rsidRPr="00BD044A">
        <w:rPr>
          <w:noProof/>
          <w:lang w:eastAsia="lv-LV"/>
        </w:rPr>
        <w:t xml:space="preserve">2021.gadā kopbudžeta nodokļu ieņēmumi tiek prognozēti </w:t>
      </w:r>
      <w:r w:rsidR="00C83279">
        <w:rPr>
          <w:rFonts w:eastAsia="Calibri" w:cs="Times New Roman"/>
          <w:szCs w:val="28"/>
          <w:lang w:eastAsia="lv-LV"/>
        </w:rPr>
        <w:t>9 205,9 </w:t>
      </w:r>
      <w:r w:rsidRPr="00BD044A">
        <w:rPr>
          <w:rFonts w:eastAsia="Calibri" w:cs="Times New Roman"/>
          <w:noProof/>
          <w:szCs w:val="28"/>
          <w:lang w:eastAsia="lv-LV"/>
        </w:rPr>
        <w:t>milj. </w:t>
      </w:r>
      <w:proofErr w:type="spellStart"/>
      <w:r w:rsidRPr="00BD044A">
        <w:rPr>
          <w:rFonts w:eastAsia="Calibri" w:cs="Times New Roman"/>
          <w:i/>
          <w:noProof/>
          <w:szCs w:val="28"/>
          <w:lang w:eastAsia="lv-LV"/>
        </w:rPr>
        <w:t>euro</w:t>
      </w:r>
      <w:proofErr w:type="spellEnd"/>
      <w:r w:rsidR="00C83279">
        <w:rPr>
          <w:noProof/>
          <w:lang w:eastAsia="lv-LV"/>
        </w:rPr>
        <w:t xml:space="preserve"> </w:t>
      </w:r>
      <w:r w:rsidRPr="00BD044A">
        <w:rPr>
          <w:noProof/>
          <w:lang w:eastAsia="lv-LV"/>
        </w:rPr>
        <w:t>apmērā jeb ar 6,2% pieaugumu salīdzinājumā ar 2020.gadu, savukārt 2022.gadā ar 6,1% un 2023.gadā ar 5,2% pieaugumu, salīdzinot ar iepriekšējo gadu. Nodokļu ieņēmumu pieauguma apmērs vidējā termiņā nedaudz samazinās, ko galvenokārt ietekmē makroekonomisko rādītāju pieauguma tempi, kā arī</w:t>
      </w:r>
      <w:r w:rsidRPr="00BD044A">
        <w:rPr>
          <w:lang w:eastAsia="lv-LV"/>
        </w:rPr>
        <w:t xml:space="preserve"> iepriekš pieņemtās izmaiņas likumdošanā</w:t>
      </w:r>
      <w:r w:rsidRPr="00BD044A">
        <w:rPr>
          <w:noProof/>
          <w:lang w:eastAsia="lv-LV"/>
        </w:rPr>
        <w:t>.</w:t>
      </w:r>
      <w:r w:rsidRPr="004E47B8">
        <w:rPr>
          <w:rFonts w:eastAsia="Times New Roman"/>
          <w:noProof/>
          <w:lang w:eastAsia="lv-LV"/>
        </w:rPr>
        <w:t xml:space="preserve"> </w:t>
      </w:r>
    </w:p>
    <w:p w14:paraId="304AB562" w14:textId="77777777" w:rsidR="008F2113" w:rsidRPr="00460EDF" w:rsidRDefault="008F2113" w:rsidP="008F2113">
      <w:pPr>
        <w:spacing w:before="0"/>
        <w:ind w:firstLine="360"/>
        <w:rPr>
          <w:highlight w:val="yellow"/>
          <w:lang w:eastAsia="lv-LV"/>
        </w:rPr>
      </w:pPr>
      <w:r>
        <w:rPr>
          <w:rFonts w:eastAsia="Calibri" w:cs="Times New Roman"/>
          <w:szCs w:val="28"/>
          <w:lang w:eastAsia="lv-LV"/>
        </w:rPr>
        <w:t>Iepriekš pieņemtās likumdošanas izmaiņas</w:t>
      </w:r>
      <w:r w:rsidRPr="00140554">
        <w:rPr>
          <w:rFonts w:eastAsia="Calibri" w:cs="Times New Roman"/>
          <w:szCs w:val="28"/>
          <w:lang w:eastAsia="lv-LV"/>
        </w:rPr>
        <w:t>, kas ietekmēs nodokļu ieņēmumus 202</w:t>
      </w:r>
      <w:r>
        <w:rPr>
          <w:rFonts w:eastAsia="Calibri" w:cs="Times New Roman"/>
          <w:szCs w:val="28"/>
          <w:lang w:eastAsia="lv-LV"/>
        </w:rPr>
        <w:t>1</w:t>
      </w:r>
      <w:r w:rsidRPr="00140554">
        <w:rPr>
          <w:rFonts w:eastAsia="Calibri" w:cs="Times New Roman"/>
          <w:szCs w:val="28"/>
          <w:lang w:eastAsia="lv-LV"/>
        </w:rPr>
        <w:t>. – 202</w:t>
      </w:r>
      <w:r>
        <w:rPr>
          <w:rFonts w:eastAsia="Calibri" w:cs="Times New Roman"/>
          <w:szCs w:val="28"/>
          <w:lang w:eastAsia="lv-LV"/>
        </w:rPr>
        <w:t>3</w:t>
      </w:r>
      <w:r w:rsidRPr="00140554">
        <w:rPr>
          <w:rFonts w:eastAsia="Calibri" w:cs="Times New Roman"/>
          <w:szCs w:val="28"/>
          <w:lang w:eastAsia="lv-LV"/>
        </w:rPr>
        <w:t>.gadā:</w:t>
      </w:r>
    </w:p>
    <w:p w14:paraId="3D1D4891" w14:textId="77777777" w:rsidR="008F2113" w:rsidRDefault="008F2113" w:rsidP="005D0688">
      <w:pPr>
        <w:pStyle w:val="ListParagraph"/>
        <w:numPr>
          <w:ilvl w:val="0"/>
          <w:numId w:val="4"/>
        </w:numPr>
        <w:spacing w:line="20" w:lineRule="atLeast"/>
        <w:ind w:left="714" w:hanging="357"/>
        <w:contextualSpacing w:val="0"/>
        <w:rPr>
          <w:rFonts w:eastAsia="Calibri" w:cs="Times New Roman"/>
          <w:noProof/>
          <w:szCs w:val="28"/>
          <w:lang w:eastAsia="lv-LV"/>
        </w:rPr>
      </w:pPr>
      <w:r w:rsidRPr="00A370E9">
        <w:t>Saskaņā ar 2018.gada 27.</w:t>
      </w:r>
      <w:r w:rsidRPr="00A370E9">
        <w:rPr>
          <w:noProof/>
        </w:rPr>
        <w:t xml:space="preserve">septembra grozījumiem likumā “Par iedzīvotāju ienākuma nodokli” </w:t>
      </w:r>
      <w:r w:rsidRPr="00A370E9">
        <w:rPr>
          <w:rFonts w:eastAsia="Calibri" w:cs="Times New Roman"/>
          <w:noProof/>
          <w:szCs w:val="28"/>
          <w:lang w:eastAsia="lv-LV"/>
        </w:rPr>
        <w:t xml:space="preserve">paredzēts </w:t>
      </w:r>
      <w:r w:rsidRPr="00A370E9">
        <w:t xml:space="preserve">paaugstināt neapliekamo minimumu pensionāriem 2021.gadā – līdz 330 </w:t>
      </w:r>
      <w:proofErr w:type="spellStart"/>
      <w:r w:rsidRPr="00A370E9">
        <w:rPr>
          <w:i/>
        </w:rPr>
        <w:t>euro</w:t>
      </w:r>
      <w:proofErr w:type="spellEnd"/>
      <w:r w:rsidRPr="00A370E9">
        <w:t xml:space="preserve"> mēnesī</w:t>
      </w:r>
      <w:r>
        <w:rPr>
          <w:rFonts w:eastAsia="Calibri" w:cs="Times New Roman"/>
          <w:noProof/>
          <w:szCs w:val="28"/>
          <w:lang w:eastAsia="lv-LV"/>
        </w:rPr>
        <w:t>.</w:t>
      </w:r>
    </w:p>
    <w:p w14:paraId="2775C5F5" w14:textId="77777777" w:rsidR="008F2113" w:rsidRPr="008D3F80" w:rsidRDefault="008F2113" w:rsidP="005D0688">
      <w:pPr>
        <w:pStyle w:val="ListParagraph"/>
        <w:numPr>
          <w:ilvl w:val="0"/>
          <w:numId w:val="4"/>
        </w:numPr>
        <w:spacing w:line="20" w:lineRule="atLeast"/>
        <w:ind w:left="714" w:hanging="357"/>
        <w:contextualSpacing w:val="0"/>
        <w:rPr>
          <w:rFonts w:eastAsia="Calibri" w:cs="Times New Roman"/>
          <w:noProof/>
          <w:szCs w:val="28"/>
          <w:lang w:eastAsia="lv-LV"/>
        </w:rPr>
      </w:pPr>
      <w:r w:rsidRPr="00C177E8">
        <w:t>Saskaņā ar 2019.gada 13.</w:t>
      </w:r>
      <w:r w:rsidRPr="00C177E8">
        <w:rPr>
          <w:noProof/>
        </w:rPr>
        <w:t>septembrī MK lemto</w:t>
      </w:r>
      <w:r>
        <w:rPr>
          <w:noProof/>
        </w:rPr>
        <w:t xml:space="preserve"> </w:t>
      </w:r>
      <w:r w:rsidRPr="00A370E9">
        <w:rPr>
          <w:rFonts w:eastAsia="Calibri" w:cs="Times New Roman"/>
          <w:noProof/>
          <w:szCs w:val="28"/>
          <w:lang w:eastAsia="lv-LV"/>
        </w:rPr>
        <w:t xml:space="preserve">paredzēts </w:t>
      </w:r>
      <w:r w:rsidRPr="00A370E9">
        <w:t xml:space="preserve">paaugstināt </w:t>
      </w:r>
      <w:r>
        <w:t>minimālo algu</w:t>
      </w:r>
      <w:r w:rsidRPr="00A370E9">
        <w:t xml:space="preserve"> 2021.gadā – līdz </w:t>
      </w:r>
      <w:r>
        <w:t>50</w:t>
      </w:r>
      <w:r w:rsidRPr="00A370E9">
        <w:t xml:space="preserve">0 </w:t>
      </w:r>
      <w:proofErr w:type="spellStart"/>
      <w:r w:rsidRPr="00A370E9">
        <w:rPr>
          <w:i/>
        </w:rPr>
        <w:t>euro</w:t>
      </w:r>
      <w:proofErr w:type="spellEnd"/>
      <w:r w:rsidRPr="00A370E9">
        <w:t xml:space="preserve"> mēnesī</w:t>
      </w:r>
      <w:r>
        <w:rPr>
          <w:rFonts w:eastAsia="Calibri" w:cs="Times New Roman"/>
          <w:noProof/>
          <w:szCs w:val="28"/>
          <w:lang w:eastAsia="lv-LV"/>
        </w:rPr>
        <w:t>.</w:t>
      </w:r>
    </w:p>
    <w:p w14:paraId="6C381554" w14:textId="77777777" w:rsidR="008F2113" w:rsidRDefault="008F2113" w:rsidP="005D0688">
      <w:pPr>
        <w:pStyle w:val="ListParagraph"/>
        <w:numPr>
          <w:ilvl w:val="0"/>
          <w:numId w:val="4"/>
        </w:numPr>
        <w:spacing w:before="0"/>
        <w:ind w:left="714" w:hanging="357"/>
        <w:contextualSpacing w:val="0"/>
        <w:rPr>
          <w:rFonts w:cs="Times New Roman"/>
          <w:szCs w:val="28"/>
          <w:lang w:eastAsia="lv-LV"/>
        </w:rPr>
      </w:pPr>
      <w:r w:rsidRPr="00E2029D">
        <w:rPr>
          <w:rFonts w:cs="Times New Roman"/>
          <w:szCs w:val="28"/>
        </w:rPr>
        <w:t>Saskaņā ar 2019.gada 2</w:t>
      </w:r>
      <w:r>
        <w:rPr>
          <w:rFonts w:cs="Times New Roman"/>
          <w:szCs w:val="28"/>
        </w:rPr>
        <w:t>3</w:t>
      </w:r>
      <w:r w:rsidRPr="00E2029D">
        <w:rPr>
          <w:rFonts w:cs="Times New Roman"/>
          <w:szCs w:val="28"/>
        </w:rPr>
        <w:t>.</w:t>
      </w:r>
      <w:r>
        <w:rPr>
          <w:rFonts w:cs="Times New Roman"/>
          <w:noProof/>
          <w:szCs w:val="28"/>
        </w:rPr>
        <w:t>maija</w:t>
      </w:r>
      <w:r w:rsidRPr="00E2029D">
        <w:rPr>
          <w:rFonts w:cs="Times New Roman"/>
          <w:noProof/>
          <w:szCs w:val="28"/>
        </w:rPr>
        <w:t xml:space="preserve"> grozījumiem likumā “Uzņēmumu ienākuma nodokļa likums” </w:t>
      </w:r>
      <w:r w:rsidRPr="00E2029D">
        <w:rPr>
          <w:rFonts w:eastAsia="Calibri" w:cs="Times New Roman"/>
          <w:noProof/>
          <w:szCs w:val="28"/>
          <w:lang w:eastAsia="lv-LV"/>
        </w:rPr>
        <w:t>paredzēts</w:t>
      </w:r>
      <w:r>
        <w:rPr>
          <w:rFonts w:eastAsia="Calibri" w:cs="Times New Roman"/>
          <w:noProof/>
          <w:szCs w:val="28"/>
          <w:lang w:eastAsia="lv-LV"/>
        </w:rPr>
        <w:t>, ka</w:t>
      </w:r>
      <w:r w:rsidRPr="00E2029D">
        <w:rPr>
          <w:rFonts w:eastAsia="Calibri" w:cs="Times New Roman"/>
          <w:noProof/>
          <w:szCs w:val="28"/>
          <w:lang w:eastAsia="lv-LV"/>
        </w:rPr>
        <w:t xml:space="preserve"> </w:t>
      </w:r>
      <w:r>
        <w:rPr>
          <w:rFonts w:cs="Times New Roman"/>
          <w:szCs w:val="28"/>
        </w:rPr>
        <w:t>laikposmā no 2020. gada 1.</w:t>
      </w:r>
      <w:r w:rsidRPr="00E2029D">
        <w:rPr>
          <w:rFonts w:cs="Times New Roman"/>
          <w:szCs w:val="28"/>
        </w:rPr>
        <w:t xml:space="preserve">janvāra līdz 2022. gada 31. decembrim nodokļa maksātājiem pārskata </w:t>
      </w:r>
      <w:r w:rsidRPr="00E2029D">
        <w:rPr>
          <w:rFonts w:cs="Times New Roman"/>
          <w:szCs w:val="28"/>
        </w:rPr>
        <w:lastRenderedPageBreak/>
        <w:t>gadā, kas sākas 2020., 2021. un 2022. gadā, ir tiesības samazināt taksācijas periodā par pārskata gadā aprēķinātajām dividendēm aprēķināto uzņēmumu ienākuma nodokli par 85 procentiem no ziedotās summas, bet nepārsniedzot 30 procentus no aprēķinātās uzņēmumu ienākuma nodokļa summas par aprēķinātajām dividendēm.</w:t>
      </w:r>
    </w:p>
    <w:p w14:paraId="3E9722BD" w14:textId="77777777" w:rsidR="008F2113" w:rsidRDefault="008F2113" w:rsidP="00382303">
      <w:pPr>
        <w:pStyle w:val="ListParagraph"/>
        <w:numPr>
          <w:ilvl w:val="0"/>
          <w:numId w:val="4"/>
        </w:numPr>
        <w:ind w:left="714" w:hanging="357"/>
        <w:contextualSpacing w:val="0"/>
        <w:rPr>
          <w:rFonts w:eastAsia="Times New Roman" w:cs="Times New Roman"/>
          <w:szCs w:val="28"/>
          <w:lang w:eastAsia="lv-LV"/>
        </w:rPr>
      </w:pPr>
      <w:r w:rsidRPr="006C2107">
        <w:rPr>
          <w:rFonts w:eastAsia="Times New Roman" w:cs="Times New Roman"/>
          <w:szCs w:val="28"/>
          <w:lang w:eastAsia="lv-LV"/>
        </w:rPr>
        <w:t>Saskaņā ar 2020.gada 6.februārī pieņemtajiem grozījumi</w:t>
      </w:r>
      <w:r>
        <w:rPr>
          <w:rFonts w:eastAsia="Times New Roman" w:cs="Times New Roman"/>
          <w:szCs w:val="28"/>
          <w:lang w:eastAsia="lv-LV"/>
        </w:rPr>
        <w:t xml:space="preserve">em likumā “Par akcīzes nodokli” </w:t>
      </w:r>
      <w:r w:rsidRPr="00C20709">
        <w:rPr>
          <w:rFonts w:eastAsia="Times New Roman" w:cs="Times New Roman"/>
          <w:szCs w:val="28"/>
          <w:lang w:eastAsia="lv-LV"/>
        </w:rPr>
        <w:t xml:space="preserve">ar 2022.gada 1.janvāri bezalkoholiskajiem dzērieniem ar cukura saturu no 8 gramiem uz 100 mililitriem tiks noteikta paaugstināta akcīzes nodokļa likme 14,00 </w:t>
      </w:r>
      <w:proofErr w:type="spellStart"/>
      <w:r w:rsidRPr="00C20709">
        <w:rPr>
          <w:rFonts w:eastAsia="Times New Roman" w:cs="Times New Roman"/>
          <w:i/>
          <w:szCs w:val="28"/>
          <w:lang w:eastAsia="lv-LV"/>
        </w:rPr>
        <w:t>euro</w:t>
      </w:r>
      <w:proofErr w:type="spellEnd"/>
      <w:r w:rsidRPr="00C20709">
        <w:rPr>
          <w:rFonts w:eastAsia="Times New Roman" w:cs="Times New Roman"/>
          <w:szCs w:val="28"/>
          <w:lang w:eastAsia="lv-LV"/>
        </w:rPr>
        <w:t xml:space="preserve"> par 100 litriem.</w:t>
      </w:r>
    </w:p>
    <w:p w14:paraId="2BF932D4" w14:textId="3478DBC5" w:rsidR="008F2113" w:rsidRPr="00EF7DEC" w:rsidRDefault="008F2113" w:rsidP="005D0688">
      <w:pPr>
        <w:pStyle w:val="ListParagraph"/>
        <w:numPr>
          <w:ilvl w:val="0"/>
          <w:numId w:val="4"/>
        </w:numPr>
        <w:spacing w:before="0"/>
        <w:ind w:left="714" w:hanging="357"/>
        <w:contextualSpacing w:val="0"/>
        <w:rPr>
          <w:rFonts w:eastAsia="Calibri" w:cs="Times New Roman"/>
          <w:i/>
          <w:sz w:val="22"/>
          <w:szCs w:val="28"/>
          <w:lang w:eastAsia="lv-LV"/>
        </w:rPr>
      </w:pPr>
      <w:r w:rsidRPr="006C2107">
        <w:rPr>
          <w:rFonts w:eastAsia="Calibri" w:cs="Times New Roman"/>
          <w:szCs w:val="28"/>
          <w:lang w:eastAsia="lv-LV"/>
        </w:rPr>
        <w:t>Saskaņā ar</w:t>
      </w:r>
      <w:r w:rsidRPr="006C2107">
        <w:rPr>
          <w:rFonts w:eastAsia="Calibri" w:cs="Times New Roman"/>
          <w:i/>
          <w:szCs w:val="28"/>
          <w:lang w:eastAsia="lv-LV"/>
        </w:rPr>
        <w:t xml:space="preserve"> </w:t>
      </w:r>
      <w:r w:rsidRPr="006C2107">
        <w:rPr>
          <w:szCs w:val="24"/>
        </w:rPr>
        <w:t>2020.gada 20.februār</w:t>
      </w:r>
      <w:r>
        <w:rPr>
          <w:szCs w:val="24"/>
        </w:rPr>
        <w:t xml:space="preserve">a </w:t>
      </w:r>
      <w:r w:rsidRPr="007E051A">
        <w:rPr>
          <w:rFonts w:eastAsia="Calibri" w:cs="Times New Roman"/>
          <w:szCs w:val="28"/>
          <w:lang w:eastAsia="lv-LV"/>
        </w:rPr>
        <w:t>grozījum</w:t>
      </w:r>
      <w:r>
        <w:rPr>
          <w:rFonts w:eastAsia="Calibri" w:cs="Times New Roman"/>
          <w:szCs w:val="28"/>
          <w:lang w:eastAsia="lv-LV"/>
        </w:rPr>
        <w:t>iem</w:t>
      </w:r>
      <w:r w:rsidRPr="007E051A">
        <w:rPr>
          <w:rFonts w:eastAsia="Calibri" w:cs="Times New Roman"/>
          <w:szCs w:val="28"/>
          <w:lang w:eastAsia="lv-LV"/>
        </w:rPr>
        <w:t xml:space="preserve"> likumā “Par akcīzes nodokli”</w:t>
      </w:r>
      <w:r>
        <w:rPr>
          <w:rFonts w:eastAsia="Calibri" w:cs="Times New Roman"/>
          <w:szCs w:val="28"/>
          <w:lang w:eastAsia="lv-LV"/>
        </w:rPr>
        <w:t xml:space="preserve"> </w:t>
      </w:r>
      <w:r w:rsidRPr="006C2107">
        <w:rPr>
          <w:szCs w:val="24"/>
        </w:rPr>
        <w:t xml:space="preserve">iepriekš plānotā </w:t>
      </w:r>
      <w:r>
        <w:rPr>
          <w:szCs w:val="24"/>
        </w:rPr>
        <w:t xml:space="preserve">akcīzes nodokļa alkoholiskajiem dzērieniem </w:t>
      </w:r>
      <w:r w:rsidRPr="006C2107">
        <w:rPr>
          <w:szCs w:val="24"/>
        </w:rPr>
        <w:t xml:space="preserve">likmju paaugstinājuma </w:t>
      </w:r>
      <w:r>
        <w:rPr>
          <w:szCs w:val="24"/>
        </w:rPr>
        <w:t xml:space="preserve">ar </w:t>
      </w:r>
      <w:r w:rsidRPr="00EF7DEC">
        <w:rPr>
          <w:szCs w:val="24"/>
        </w:rPr>
        <w:t xml:space="preserve">2020.gada 1.martu vietā </w:t>
      </w:r>
      <w:r w:rsidRPr="006C2107">
        <w:rPr>
          <w:szCs w:val="24"/>
        </w:rPr>
        <w:t xml:space="preserve">(stiprajam alkoholam par 29,5%, pārējiem alkoholisko dzērienu veidiem un alum </w:t>
      </w:r>
      <w:r>
        <w:rPr>
          <w:szCs w:val="24"/>
        </w:rPr>
        <w:t>–</w:t>
      </w:r>
      <w:r w:rsidRPr="00EF7DEC">
        <w:rPr>
          <w:szCs w:val="24"/>
        </w:rPr>
        <w:t xml:space="preserve"> par aptuveni 10%) tika noteikts pakāpenisks likmju paaugstinājums</w:t>
      </w:r>
      <w:r>
        <w:rPr>
          <w:szCs w:val="24"/>
        </w:rPr>
        <w:t xml:space="preserve"> </w:t>
      </w:r>
      <w:r w:rsidRPr="00EF7DEC">
        <w:rPr>
          <w:szCs w:val="24"/>
        </w:rPr>
        <w:t>– akcīzes nodokļa likmes vi</w:t>
      </w:r>
      <w:r>
        <w:rPr>
          <w:szCs w:val="24"/>
        </w:rPr>
        <w:t>siem alkoholiskajiem dzērieniem (</w:t>
      </w:r>
      <w:r w:rsidRPr="00EF7DEC">
        <w:rPr>
          <w:szCs w:val="24"/>
        </w:rPr>
        <w:t>izņemot raudzētos dzērienus ar absolūtā spirta saturu līdz 6 tilpumprocentiem</w:t>
      </w:r>
      <w:r>
        <w:rPr>
          <w:szCs w:val="24"/>
        </w:rPr>
        <w:t>)</w:t>
      </w:r>
      <w:r w:rsidRPr="00EF7DEC">
        <w:rPr>
          <w:szCs w:val="24"/>
        </w:rPr>
        <w:t xml:space="preserve"> un alum  2020. un 2021.gadā paaugstināt vidēji par 5</w:t>
      </w:r>
      <w:r>
        <w:rPr>
          <w:szCs w:val="24"/>
        </w:rPr>
        <w:t> procentiem</w:t>
      </w:r>
      <w:r w:rsidRPr="00EF7DEC">
        <w:rPr>
          <w:szCs w:val="24"/>
        </w:rPr>
        <w:t>.</w:t>
      </w:r>
      <w:r>
        <w:rPr>
          <w:szCs w:val="24"/>
        </w:rPr>
        <w:t xml:space="preserve"> </w:t>
      </w:r>
      <w:r>
        <w:rPr>
          <w:rFonts w:eastAsia="Times New Roman" w:cs="Times New Roman"/>
          <w:color w:val="000000"/>
          <w:szCs w:val="24"/>
        </w:rPr>
        <w:t>Akcīzes nodokļa likmes</w:t>
      </w:r>
      <w:r w:rsidRPr="00337541">
        <w:rPr>
          <w:rFonts w:eastAsia="Times New Roman" w:cs="Times New Roman"/>
          <w:color w:val="000000"/>
          <w:szCs w:val="24"/>
        </w:rPr>
        <w:t xml:space="preserve"> alkoholiskajiem dzērieniem un alu</w:t>
      </w:r>
      <w:r>
        <w:rPr>
          <w:rFonts w:eastAsia="Times New Roman" w:cs="Times New Roman"/>
          <w:color w:val="000000"/>
          <w:szCs w:val="24"/>
        </w:rPr>
        <w:t>m</w:t>
      </w:r>
      <w:r w:rsidRPr="00337541">
        <w:rPr>
          <w:rFonts w:eastAsia="Times New Roman" w:cs="Times New Roman"/>
          <w:color w:val="000000"/>
          <w:szCs w:val="24"/>
        </w:rPr>
        <w:t xml:space="preserve"> atspoguļot</w:t>
      </w:r>
      <w:r>
        <w:rPr>
          <w:rFonts w:eastAsia="Times New Roman" w:cs="Times New Roman"/>
          <w:color w:val="000000"/>
          <w:szCs w:val="24"/>
        </w:rPr>
        <w:t>a</w:t>
      </w:r>
      <w:r w:rsidRPr="00337541">
        <w:rPr>
          <w:rFonts w:eastAsia="Times New Roman" w:cs="Times New Roman"/>
          <w:color w:val="000000"/>
          <w:szCs w:val="24"/>
        </w:rPr>
        <w:t>s</w:t>
      </w:r>
      <w:r>
        <w:rPr>
          <w:rFonts w:eastAsia="Times New Roman" w:cs="Times New Roman"/>
          <w:color w:val="000000"/>
          <w:szCs w:val="24"/>
        </w:rPr>
        <w:t xml:space="preserve"> </w:t>
      </w:r>
      <w:r w:rsidR="00FE4C87">
        <w:rPr>
          <w:rFonts w:eastAsia="Times New Roman" w:cs="Times New Roman"/>
          <w:color w:val="000000"/>
          <w:szCs w:val="24"/>
        </w:rPr>
        <w:t>2</w:t>
      </w:r>
      <w:r w:rsidR="00591C1E">
        <w:rPr>
          <w:rFonts w:eastAsia="Times New Roman" w:cs="Times New Roman"/>
          <w:color w:val="000000"/>
          <w:szCs w:val="24"/>
        </w:rPr>
        <w:t>. </w:t>
      </w:r>
      <w:r>
        <w:rPr>
          <w:rFonts w:eastAsia="Times New Roman" w:cs="Times New Roman"/>
          <w:color w:val="000000"/>
          <w:szCs w:val="24"/>
        </w:rPr>
        <w:t>tabulā.</w:t>
      </w:r>
    </w:p>
    <w:p w14:paraId="121FC350" w14:textId="2D4EB363" w:rsidR="008F2113" w:rsidRPr="00591C1E" w:rsidRDefault="008852F6" w:rsidP="00591C1E">
      <w:pPr>
        <w:spacing w:before="240" w:after="60"/>
        <w:jc w:val="center"/>
        <w:rPr>
          <w:rFonts w:eastAsia="Calibri" w:cs="Times New Roman"/>
          <w:b/>
          <w:sz w:val="24"/>
          <w:szCs w:val="24"/>
        </w:rPr>
      </w:pPr>
      <w:r>
        <w:rPr>
          <w:rFonts w:eastAsia="Calibri" w:cs="Times New Roman"/>
          <w:b/>
          <w:sz w:val="24"/>
          <w:szCs w:val="24"/>
        </w:rPr>
        <w:t>2</w:t>
      </w:r>
      <w:r w:rsidR="00591C1E" w:rsidRPr="00591C1E">
        <w:rPr>
          <w:rFonts w:eastAsia="Calibri" w:cs="Times New Roman"/>
          <w:b/>
          <w:sz w:val="24"/>
          <w:szCs w:val="24"/>
        </w:rPr>
        <w:t>.</w:t>
      </w:r>
      <w:r w:rsidR="008F2113" w:rsidRPr="00591C1E">
        <w:rPr>
          <w:rFonts w:eastAsia="Calibri" w:cs="Times New Roman"/>
          <w:b/>
          <w:sz w:val="24"/>
          <w:szCs w:val="24"/>
        </w:rPr>
        <w:t>tabula. Akcīzes nodokļa likmes alkoholiskajiem dzērieniem un alum</w:t>
      </w:r>
    </w:p>
    <w:tbl>
      <w:tblPr>
        <w:tblStyle w:val="GridTable6Colorful-Accent11"/>
        <w:tblW w:w="85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6"/>
        <w:gridCol w:w="1130"/>
        <w:gridCol w:w="1130"/>
        <w:gridCol w:w="1100"/>
      </w:tblGrid>
      <w:tr w:rsidR="008F2113" w:rsidRPr="00D66C2E" w14:paraId="622910DF" w14:textId="77777777" w:rsidTr="00D23CB7">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226" w:type="dxa"/>
            <w:vMerge w:val="restart"/>
            <w:tcBorders>
              <w:bottom w:val="none" w:sz="0" w:space="0" w:color="auto"/>
            </w:tcBorders>
            <w:shd w:val="clear" w:color="auto" w:fill="auto"/>
            <w:noWrap/>
            <w:vAlign w:val="center"/>
          </w:tcPr>
          <w:p w14:paraId="679494CC" w14:textId="77777777" w:rsidR="008F2113" w:rsidRPr="00D66C2E" w:rsidRDefault="008F2113" w:rsidP="00D23CB7">
            <w:pPr>
              <w:ind w:firstLine="0"/>
              <w:jc w:val="center"/>
              <w:rPr>
                <w:rFonts w:ascii="Times New Roman" w:eastAsia="Times New Roman" w:hAnsi="Times New Roman" w:cs="Times New Roman"/>
                <w:color w:val="000000"/>
                <w:sz w:val="20"/>
                <w:szCs w:val="24"/>
                <w:lang w:eastAsia="lv-LV"/>
              </w:rPr>
            </w:pPr>
            <w:r w:rsidRPr="00D66C2E">
              <w:rPr>
                <w:rFonts w:ascii="Times New Roman" w:eastAsia="Times New Roman" w:hAnsi="Times New Roman" w:cs="Times New Roman"/>
                <w:color w:val="000000"/>
                <w:sz w:val="20"/>
                <w:szCs w:val="24"/>
                <w:lang w:eastAsia="lv-LV"/>
              </w:rPr>
              <w:t>Alkoholiskā dzēriena veids</w:t>
            </w:r>
          </w:p>
        </w:tc>
        <w:tc>
          <w:tcPr>
            <w:tcW w:w="3360" w:type="dxa"/>
            <w:gridSpan w:val="3"/>
            <w:tcBorders>
              <w:bottom w:val="none" w:sz="0" w:space="0" w:color="auto"/>
            </w:tcBorders>
            <w:shd w:val="clear" w:color="auto" w:fill="auto"/>
            <w:vAlign w:val="center"/>
          </w:tcPr>
          <w:p w14:paraId="4A1D53EA" w14:textId="77777777" w:rsidR="008F2113" w:rsidRPr="00D66C2E" w:rsidRDefault="008F2113" w:rsidP="00D23CB7">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lv-LV"/>
              </w:rPr>
            </w:pPr>
            <w:r w:rsidRPr="00D66C2E">
              <w:rPr>
                <w:rFonts w:ascii="Times New Roman" w:eastAsia="Times New Roman" w:hAnsi="Times New Roman" w:cs="Times New Roman"/>
                <w:color w:val="000000"/>
                <w:sz w:val="20"/>
                <w:szCs w:val="20"/>
                <w:lang w:eastAsia="lv-LV"/>
              </w:rPr>
              <w:t>Likmes spēkā stāšanās datums</w:t>
            </w:r>
          </w:p>
        </w:tc>
      </w:tr>
      <w:tr w:rsidR="008F2113" w:rsidRPr="00D66C2E" w14:paraId="73C9711D" w14:textId="77777777" w:rsidTr="00D23CB7">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226" w:type="dxa"/>
            <w:vMerge/>
            <w:shd w:val="clear" w:color="auto" w:fill="auto"/>
            <w:noWrap/>
            <w:hideMark/>
          </w:tcPr>
          <w:p w14:paraId="5C79252F" w14:textId="77777777" w:rsidR="008F2113" w:rsidRPr="00D66C2E" w:rsidRDefault="008F2113" w:rsidP="00D23CB7">
            <w:pPr>
              <w:rPr>
                <w:rFonts w:ascii="Times New Roman" w:eastAsia="Times New Roman" w:hAnsi="Times New Roman" w:cs="Times New Roman"/>
                <w:b w:val="0"/>
                <w:color w:val="000000"/>
                <w:sz w:val="20"/>
                <w:szCs w:val="24"/>
                <w:lang w:eastAsia="lv-LV"/>
              </w:rPr>
            </w:pPr>
          </w:p>
        </w:tc>
        <w:tc>
          <w:tcPr>
            <w:tcW w:w="1130" w:type="dxa"/>
            <w:shd w:val="clear" w:color="auto" w:fill="auto"/>
            <w:noWrap/>
            <w:hideMark/>
          </w:tcPr>
          <w:p w14:paraId="2E9464AD" w14:textId="77777777" w:rsidR="008F2113" w:rsidRPr="00D66C2E" w:rsidRDefault="008F2113" w:rsidP="00D23CB7">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8"/>
                <w:szCs w:val="24"/>
                <w:lang w:eastAsia="lv-LV"/>
              </w:rPr>
            </w:pPr>
            <w:r w:rsidRPr="00D66C2E">
              <w:rPr>
                <w:rFonts w:ascii="Times New Roman" w:eastAsia="Times New Roman" w:hAnsi="Times New Roman" w:cs="Times New Roman"/>
                <w:b/>
                <w:color w:val="auto"/>
                <w:sz w:val="18"/>
                <w:szCs w:val="24"/>
                <w:lang w:eastAsia="lv-LV"/>
              </w:rPr>
              <w:t>01.03.2019.</w:t>
            </w:r>
          </w:p>
        </w:tc>
        <w:tc>
          <w:tcPr>
            <w:tcW w:w="1130" w:type="dxa"/>
            <w:shd w:val="clear" w:color="auto" w:fill="auto"/>
          </w:tcPr>
          <w:p w14:paraId="0DE70A35" w14:textId="77777777" w:rsidR="008F2113" w:rsidRPr="00D66C2E" w:rsidRDefault="008F2113" w:rsidP="00D23CB7">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18"/>
                <w:szCs w:val="24"/>
                <w:lang w:eastAsia="lv-LV"/>
              </w:rPr>
            </w:pPr>
            <w:r w:rsidRPr="00D66C2E">
              <w:rPr>
                <w:rFonts w:ascii="Times New Roman" w:eastAsia="Times New Roman" w:hAnsi="Times New Roman" w:cs="Times New Roman"/>
                <w:b/>
                <w:color w:val="000000"/>
                <w:sz w:val="18"/>
                <w:szCs w:val="24"/>
                <w:lang w:eastAsia="lv-LV"/>
              </w:rPr>
              <w:t>01.03.2020.</w:t>
            </w:r>
          </w:p>
        </w:tc>
        <w:tc>
          <w:tcPr>
            <w:tcW w:w="1100" w:type="dxa"/>
            <w:shd w:val="clear" w:color="auto" w:fill="auto"/>
          </w:tcPr>
          <w:p w14:paraId="737F400F" w14:textId="77777777" w:rsidR="008F2113" w:rsidRPr="00D66C2E" w:rsidRDefault="008F2113" w:rsidP="00D23CB7">
            <w:pPr>
              <w:ind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24"/>
                <w:lang w:eastAsia="lv-LV"/>
              </w:rPr>
            </w:pPr>
            <w:r>
              <w:rPr>
                <w:rFonts w:ascii="Times New Roman" w:eastAsia="Times New Roman" w:hAnsi="Times New Roman" w:cs="Times New Roman"/>
                <w:b/>
                <w:color w:val="000000"/>
                <w:sz w:val="18"/>
                <w:szCs w:val="24"/>
                <w:lang w:eastAsia="lv-LV"/>
              </w:rPr>
              <w:t>01.03.2021</w:t>
            </w:r>
            <w:r w:rsidRPr="00D66C2E">
              <w:rPr>
                <w:rFonts w:ascii="Times New Roman" w:eastAsia="Times New Roman" w:hAnsi="Times New Roman" w:cs="Times New Roman"/>
                <w:b/>
                <w:color w:val="000000"/>
                <w:sz w:val="18"/>
                <w:szCs w:val="24"/>
                <w:lang w:eastAsia="lv-LV"/>
              </w:rPr>
              <w:t>.</w:t>
            </w:r>
          </w:p>
        </w:tc>
      </w:tr>
      <w:tr w:rsidR="008F2113" w:rsidRPr="00D66C2E" w14:paraId="5F963A68" w14:textId="77777777" w:rsidTr="00D23CB7">
        <w:trPr>
          <w:trHeight w:val="191"/>
        </w:trPr>
        <w:tc>
          <w:tcPr>
            <w:cnfStyle w:val="001000000000" w:firstRow="0" w:lastRow="0" w:firstColumn="1" w:lastColumn="0" w:oddVBand="0" w:evenVBand="0" w:oddHBand="0" w:evenHBand="0" w:firstRowFirstColumn="0" w:firstRowLastColumn="0" w:lastRowFirstColumn="0" w:lastRowLastColumn="0"/>
            <w:tcW w:w="5226" w:type="dxa"/>
            <w:shd w:val="clear" w:color="auto" w:fill="auto"/>
            <w:hideMark/>
          </w:tcPr>
          <w:p w14:paraId="12055482" w14:textId="77777777" w:rsidR="008F2113" w:rsidRPr="00D66C2E" w:rsidRDefault="008F2113" w:rsidP="00D23CB7">
            <w:pPr>
              <w:spacing w:before="0" w:after="0"/>
              <w:ind w:firstLine="0"/>
              <w:jc w:val="left"/>
              <w:rPr>
                <w:rFonts w:ascii="Times New Roman" w:eastAsia="Times New Roman" w:hAnsi="Times New Roman" w:cs="Times New Roman"/>
                <w:b w:val="0"/>
                <w:color w:val="000000"/>
                <w:sz w:val="20"/>
                <w:szCs w:val="24"/>
                <w:lang w:eastAsia="lv-LV"/>
              </w:rPr>
            </w:pPr>
            <w:r w:rsidRPr="00D66C2E">
              <w:rPr>
                <w:rFonts w:ascii="Times New Roman" w:eastAsia="Times New Roman" w:hAnsi="Times New Roman" w:cs="Times New Roman"/>
                <w:b w:val="0"/>
                <w:color w:val="000000"/>
                <w:sz w:val="20"/>
                <w:szCs w:val="24"/>
                <w:lang w:eastAsia="lv-LV"/>
              </w:rPr>
              <w:t xml:space="preserve">Vīns, raudzētie dzērieni ar absolūtā spirta saturu virs 6 tilpumprocentiem un starpprodukti ar absolūtā spirta saturu līdz 15 tilpumprocentiem, </w:t>
            </w:r>
            <w:proofErr w:type="spellStart"/>
            <w:r w:rsidRPr="00D66C2E">
              <w:rPr>
                <w:rFonts w:ascii="Times New Roman" w:eastAsia="Times New Roman" w:hAnsi="Times New Roman" w:cs="Times New Roman"/>
                <w:b w:val="0"/>
                <w:i/>
                <w:color w:val="000000"/>
                <w:sz w:val="20"/>
                <w:szCs w:val="24"/>
                <w:lang w:eastAsia="lv-LV"/>
              </w:rPr>
              <w:t>euro</w:t>
            </w:r>
            <w:proofErr w:type="spellEnd"/>
            <w:r w:rsidRPr="00D66C2E">
              <w:rPr>
                <w:rFonts w:ascii="Times New Roman" w:eastAsia="Times New Roman" w:hAnsi="Times New Roman" w:cs="Times New Roman"/>
                <w:b w:val="0"/>
                <w:color w:val="000000"/>
                <w:sz w:val="20"/>
                <w:szCs w:val="24"/>
                <w:lang w:eastAsia="lv-LV"/>
              </w:rPr>
              <w:t xml:space="preserve"> par 100 litriem</w:t>
            </w:r>
          </w:p>
        </w:tc>
        <w:tc>
          <w:tcPr>
            <w:tcW w:w="1130" w:type="dxa"/>
            <w:shd w:val="clear" w:color="auto" w:fill="auto"/>
            <w:noWrap/>
            <w:vAlign w:val="center"/>
            <w:hideMark/>
          </w:tcPr>
          <w:p w14:paraId="7187B326"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101,</w:t>
            </w:r>
            <w:r>
              <w:rPr>
                <w:rFonts w:ascii="Times New Roman" w:eastAsia="Times New Roman" w:hAnsi="Times New Roman" w:cs="Times New Roman"/>
                <w:b/>
                <w:i/>
                <w:color w:val="000000"/>
                <w:sz w:val="20"/>
                <w:szCs w:val="24"/>
                <w:lang w:eastAsia="lv-LV"/>
              </w:rPr>
              <w:t>0</w:t>
            </w:r>
          </w:p>
        </w:tc>
        <w:tc>
          <w:tcPr>
            <w:tcW w:w="1130" w:type="dxa"/>
            <w:shd w:val="clear" w:color="auto" w:fill="auto"/>
            <w:vAlign w:val="center"/>
          </w:tcPr>
          <w:p w14:paraId="7DF0B448"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106</w:t>
            </w:r>
            <w:r w:rsidRPr="00D66C2E">
              <w:rPr>
                <w:rFonts w:ascii="Times New Roman" w:eastAsia="Times New Roman" w:hAnsi="Times New Roman" w:cs="Times New Roman"/>
                <w:b/>
                <w:i/>
                <w:color w:val="000000"/>
                <w:sz w:val="20"/>
                <w:szCs w:val="24"/>
                <w:lang w:eastAsia="lv-LV"/>
              </w:rPr>
              <w:t>,0</w:t>
            </w:r>
          </w:p>
        </w:tc>
        <w:tc>
          <w:tcPr>
            <w:tcW w:w="1100" w:type="dxa"/>
            <w:shd w:val="clear" w:color="auto" w:fill="auto"/>
            <w:vAlign w:val="center"/>
          </w:tcPr>
          <w:p w14:paraId="16413B8C"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111,0</w:t>
            </w:r>
          </w:p>
        </w:tc>
      </w:tr>
      <w:tr w:rsidR="008F2113" w:rsidRPr="00D66C2E" w14:paraId="1A51AD53" w14:textId="77777777" w:rsidTr="00D23CB7">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5226" w:type="dxa"/>
            <w:shd w:val="clear" w:color="auto" w:fill="auto"/>
            <w:hideMark/>
          </w:tcPr>
          <w:p w14:paraId="214B8BBD" w14:textId="77777777" w:rsidR="008F2113" w:rsidRPr="00D66C2E" w:rsidRDefault="008F2113" w:rsidP="00D23CB7">
            <w:pPr>
              <w:spacing w:before="0" w:after="0"/>
              <w:ind w:firstLine="0"/>
              <w:jc w:val="left"/>
              <w:rPr>
                <w:rFonts w:ascii="Times New Roman" w:eastAsia="Times New Roman" w:hAnsi="Times New Roman" w:cs="Times New Roman"/>
                <w:b w:val="0"/>
                <w:color w:val="000000"/>
                <w:sz w:val="20"/>
                <w:szCs w:val="24"/>
                <w:lang w:eastAsia="lv-LV"/>
              </w:rPr>
            </w:pPr>
            <w:r w:rsidRPr="00D66C2E">
              <w:rPr>
                <w:rFonts w:ascii="Times New Roman" w:eastAsia="Times New Roman" w:hAnsi="Times New Roman" w:cs="Times New Roman"/>
                <w:b w:val="0"/>
                <w:color w:val="000000"/>
                <w:sz w:val="20"/>
                <w:szCs w:val="24"/>
                <w:lang w:eastAsia="lv-LV"/>
              </w:rPr>
              <w:t xml:space="preserve">Raudzētie dzērieni ar absolūtā spirta saturu līdz 6 tilpumprocentiem, </w:t>
            </w:r>
            <w:proofErr w:type="spellStart"/>
            <w:r w:rsidRPr="00D66C2E">
              <w:rPr>
                <w:rFonts w:ascii="Times New Roman" w:eastAsia="Times New Roman" w:hAnsi="Times New Roman" w:cs="Times New Roman"/>
                <w:b w:val="0"/>
                <w:i/>
                <w:color w:val="000000"/>
                <w:sz w:val="20"/>
                <w:szCs w:val="24"/>
                <w:lang w:eastAsia="lv-LV"/>
              </w:rPr>
              <w:t>euro</w:t>
            </w:r>
            <w:proofErr w:type="spellEnd"/>
            <w:r w:rsidRPr="00D66C2E">
              <w:rPr>
                <w:rFonts w:ascii="Times New Roman" w:eastAsia="Times New Roman" w:hAnsi="Times New Roman" w:cs="Times New Roman"/>
                <w:b w:val="0"/>
                <w:color w:val="000000"/>
                <w:sz w:val="20"/>
                <w:szCs w:val="24"/>
                <w:lang w:eastAsia="lv-LV"/>
              </w:rPr>
              <w:t xml:space="preserve"> par 100 litriem</w:t>
            </w:r>
          </w:p>
        </w:tc>
        <w:tc>
          <w:tcPr>
            <w:tcW w:w="1130" w:type="dxa"/>
            <w:shd w:val="clear" w:color="auto" w:fill="auto"/>
            <w:noWrap/>
            <w:vAlign w:val="center"/>
            <w:hideMark/>
          </w:tcPr>
          <w:p w14:paraId="6A3C90F9" w14:textId="77777777" w:rsidR="008F2113" w:rsidRPr="00D66C2E" w:rsidRDefault="008F2113" w:rsidP="00D23CB7">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64,0</w:t>
            </w:r>
          </w:p>
        </w:tc>
        <w:tc>
          <w:tcPr>
            <w:tcW w:w="1130" w:type="dxa"/>
            <w:shd w:val="clear" w:color="auto" w:fill="auto"/>
            <w:vAlign w:val="center"/>
          </w:tcPr>
          <w:p w14:paraId="30928CF4" w14:textId="77777777" w:rsidR="008F2113" w:rsidRPr="00D66C2E" w:rsidRDefault="008F2113" w:rsidP="00D23CB7">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64,0</w:t>
            </w:r>
          </w:p>
        </w:tc>
        <w:tc>
          <w:tcPr>
            <w:tcW w:w="1100" w:type="dxa"/>
            <w:shd w:val="clear" w:color="auto" w:fill="auto"/>
            <w:vAlign w:val="center"/>
          </w:tcPr>
          <w:p w14:paraId="01364715" w14:textId="77777777" w:rsidR="008F2113" w:rsidRPr="00D66C2E" w:rsidRDefault="008F2113" w:rsidP="00D23CB7">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64,0</w:t>
            </w:r>
          </w:p>
        </w:tc>
      </w:tr>
      <w:tr w:rsidR="008F2113" w:rsidRPr="00D66C2E" w14:paraId="610FBDAC" w14:textId="77777777" w:rsidTr="00D23CB7">
        <w:trPr>
          <w:trHeight w:val="127"/>
        </w:trPr>
        <w:tc>
          <w:tcPr>
            <w:cnfStyle w:val="001000000000" w:firstRow="0" w:lastRow="0" w:firstColumn="1" w:lastColumn="0" w:oddVBand="0" w:evenVBand="0" w:oddHBand="0" w:evenHBand="0" w:firstRowFirstColumn="0" w:firstRowLastColumn="0" w:lastRowFirstColumn="0" w:lastRowLastColumn="0"/>
            <w:tcW w:w="5226" w:type="dxa"/>
            <w:shd w:val="clear" w:color="auto" w:fill="auto"/>
            <w:hideMark/>
          </w:tcPr>
          <w:p w14:paraId="4A730193" w14:textId="77777777" w:rsidR="008F2113" w:rsidRPr="00D66C2E" w:rsidRDefault="008F2113" w:rsidP="00D23CB7">
            <w:pPr>
              <w:spacing w:before="0" w:after="0"/>
              <w:ind w:firstLine="0"/>
              <w:jc w:val="left"/>
              <w:rPr>
                <w:rFonts w:ascii="Times New Roman" w:eastAsia="Times New Roman" w:hAnsi="Times New Roman" w:cs="Times New Roman"/>
                <w:b w:val="0"/>
                <w:color w:val="000000"/>
                <w:sz w:val="20"/>
                <w:szCs w:val="24"/>
                <w:lang w:eastAsia="lv-LV"/>
              </w:rPr>
            </w:pPr>
            <w:r w:rsidRPr="00D66C2E">
              <w:rPr>
                <w:rFonts w:ascii="Times New Roman" w:eastAsia="Times New Roman" w:hAnsi="Times New Roman" w:cs="Times New Roman"/>
                <w:b w:val="0"/>
                <w:color w:val="000000"/>
                <w:sz w:val="20"/>
                <w:szCs w:val="24"/>
                <w:lang w:eastAsia="lv-LV"/>
              </w:rPr>
              <w:t xml:space="preserve">Starpprodukti ar absolūtā spirta saturu no 15 tilpumprocentiem līdz 22 tilpumprocentiem, </w:t>
            </w:r>
            <w:proofErr w:type="spellStart"/>
            <w:r w:rsidRPr="00D66C2E">
              <w:rPr>
                <w:rFonts w:ascii="Times New Roman" w:eastAsia="Times New Roman" w:hAnsi="Times New Roman" w:cs="Times New Roman"/>
                <w:b w:val="0"/>
                <w:i/>
                <w:color w:val="000000"/>
                <w:sz w:val="20"/>
                <w:szCs w:val="24"/>
                <w:lang w:eastAsia="lv-LV"/>
              </w:rPr>
              <w:t>euro</w:t>
            </w:r>
            <w:proofErr w:type="spellEnd"/>
            <w:r w:rsidRPr="00D66C2E">
              <w:rPr>
                <w:rFonts w:ascii="Times New Roman" w:eastAsia="Times New Roman" w:hAnsi="Times New Roman" w:cs="Times New Roman"/>
                <w:b w:val="0"/>
                <w:color w:val="000000"/>
                <w:sz w:val="20"/>
                <w:szCs w:val="24"/>
                <w:lang w:eastAsia="lv-LV"/>
              </w:rPr>
              <w:t xml:space="preserve"> par 100 litriem</w:t>
            </w:r>
          </w:p>
        </w:tc>
        <w:tc>
          <w:tcPr>
            <w:tcW w:w="1130" w:type="dxa"/>
            <w:shd w:val="clear" w:color="auto" w:fill="auto"/>
            <w:noWrap/>
            <w:vAlign w:val="center"/>
            <w:hideMark/>
          </w:tcPr>
          <w:p w14:paraId="39104120"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168,0</w:t>
            </w:r>
          </w:p>
        </w:tc>
        <w:tc>
          <w:tcPr>
            <w:tcW w:w="1130" w:type="dxa"/>
            <w:shd w:val="clear" w:color="auto" w:fill="auto"/>
            <w:vAlign w:val="center"/>
          </w:tcPr>
          <w:p w14:paraId="3F9F4D2E"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176,0</w:t>
            </w:r>
          </w:p>
        </w:tc>
        <w:tc>
          <w:tcPr>
            <w:tcW w:w="1100" w:type="dxa"/>
            <w:shd w:val="clear" w:color="auto" w:fill="auto"/>
            <w:vAlign w:val="center"/>
          </w:tcPr>
          <w:p w14:paraId="5D60AE68"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185,0</w:t>
            </w:r>
          </w:p>
        </w:tc>
      </w:tr>
      <w:tr w:rsidR="008F2113" w:rsidRPr="00D66C2E" w14:paraId="718B565A" w14:textId="77777777" w:rsidTr="00D23CB7">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226" w:type="dxa"/>
            <w:shd w:val="clear" w:color="auto" w:fill="auto"/>
            <w:hideMark/>
          </w:tcPr>
          <w:p w14:paraId="33EC4CEC" w14:textId="77777777" w:rsidR="008F2113" w:rsidRPr="00D66C2E" w:rsidRDefault="008F2113" w:rsidP="00D23CB7">
            <w:pPr>
              <w:spacing w:before="0" w:after="0"/>
              <w:ind w:firstLine="0"/>
              <w:jc w:val="left"/>
              <w:rPr>
                <w:rFonts w:ascii="Times New Roman" w:eastAsia="Times New Roman" w:hAnsi="Times New Roman" w:cs="Times New Roman"/>
                <w:b w:val="0"/>
                <w:color w:val="000000"/>
                <w:sz w:val="20"/>
                <w:szCs w:val="24"/>
                <w:lang w:eastAsia="lv-LV"/>
              </w:rPr>
            </w:pPr>
            <w:r w:rsidRPr="00D66C2E">
              <w:rPr>
                <w:rFonts w:ascii="Times New Roman" w:eastAsia="Times New Roman" w:hAnsi="Times New Roman" w:cs="Times New Roman"/>
                <w:b w:val="0"/>
                <w:color w:val="000000"/>
                <w:sz w:val="20"/>
                <w:szCs w:val="24"/>
                <w:lang w:eastAsia="lv-LV"/>
              </w:rPr>
              <w:t xml:space="preserve">Pārējie alkoholiskie dzērieni, </w:t>
            </w:r>
            <w:proofErr w:type="spellStart"/>
            <w:r w:rsidRPr="00D66C2E">
              <w:rPr>
                <w:rFonts w:ascii="Times New Roman" w:eastAsia="Times New Roman" w:hAnsi="Times New Roman" w:cs="Times New Roman"/>
                <w:b w:val="0"/>
                <w:i/>
                <w:color w:val="000000"/>
                <w:sz w:val="20"/>
                <w:szCs w:val="24"/>
                <w:lang w:eastAsia="lv-LV"/>
              </w:rPr>
              <w:t>euro</w:t>
            </w:r>
            <w:proofErr w:type="spellEnd"/>
            <w:r w:rsidRPr="00D66C2E">
              <w:rPr>
                <w:rFonts w:ascii="Times New Roman" w:eastAsia="Times New Roman" w:hAnsi="Times New Roman" w:cs="Times New Roman"/>
                <w:b w:val="0"/>
                <w:color w:val="000000"/>
                <w:sz w:val="20"/>
                <w:szCs w:val="24"/>
                <w:lang w:eastAsia="lv-LV"/>
              </w:rPr>
              <w:t xml:space="preserve"> par 100 litriem absolūta spirta</w:t>
            </w:r>
          </w:p>
        </w:tc>
        <w:tc>
          <w:tcPr>
            <w:tcW w:w="1130" w:type="dxa"/>
            <w:shd w:val="clear" w:color="auto" w:fill="auto"/>
            <w:noWrap/>
            <w:vAlign w:val="center"/>
            <w:hideMark/>
          </w:tcPr>
          <w:p w14:paraId="0B4FC09F" w14:textId="77777777" w:rsidR="008F2113" w:rsidRDefault="008F2113" w:rsidP="00D23CB7">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1 </w:t>
            </w:r>
            <w:r>
              <w:rPr>
                <w:rFonts w:ascii="Times New Roman" w:eastAsia="Times New Roman" w:hAnsi="Times New Roman" w:cs="Times New Roman"/>
                <w:b/>
                <w:i/>
                <w:color w:val="000000"/>
                <w:sz w:val="20"/>
                <w:szCs w:val="24"/>
                <w:lang w:eastAsia="lv-LV"/>
              </w:rPr>
              <w:t>84</w:t>
            </w:r>
            <w:r w:rsidRPr="00D66C2E">
              <w:rPr>
                <w:rFonts w:ascii="Times New Roman" w:eastAsia="Times New Roman" w:hAnsi="Times New Roman" w:cs="Times New Roman"/>
                <w:b/>
                <w:i/>
                <w:color w:val="000000"/>
                <w:sz w:val="20"/>
                <w:szCs w:val="24"/>
                <w:lang w:eastAsia="lv-LV"/>
              </w:rPr>
              <w:t>0,0</w:t>
            </w:r>
            <w:r>
              <w:rPr>
                <w:rFonts w:ascii="Times New Roman" w:eastAsia="Times New Roman" w:hAnsi="Times New Roman" w:cs="Times New Roman"/>
                <w:b/>
                <w:i/>
                <w:color w:val="000000"/>
                <w:sz w:val="20"/>
                <w:szCs w:val="24"/>
                <w:lang w:eastAsia="lv-LV"/>
              </w:rPr>
              <w:t>/</w:t>
            </w:r>
          </w:p>
          <w:p w14:paraId="0D9D40CC" w14:textId="77777777" w:rsidR="008F2113" w:rsidRPr="00D66C2E" w:rsidRDefault="008F2113" w:rsidP="00D23CB7">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1564,0*</w:t>
            </w:r>
          </w:p>
        </w:tc>
        <w:tc>
          <w:tcPr>
            <w:tcW w:w="1130" w:type="dxa"/>
            <w:shd w:val="clear" w:color="auto" w:fill="auto"/>
            <w:vAlign w:val="center"/>
          </w:tcPr>
          <w:p w14:paraId="64CB8BF4" w14:textId="77777777" w:rsidR="008F2113" w:rsidRPr="00D66C2E" w:rsidRDefault="008F2113" w:rsidP="00D23CB7">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1642,0</w:t>
            </w:r>
          </w:p>
        </w:tc>
        <w:tc>
          <w:tcPr>
            <w:tcW w:w="1100" w:type="dxa"/>
            <w:shd w:val="clear" w:color="auto" w:fill="auto"/>
            <w:vAlign w:val="center"/>
          </w:tcPr>
          <w:p w14:paraId="6FC4F22B" w14:textId="77777777" w:rsidR="008F2113" w:rsidRPr="00D66C2E" w:rsidRDefault="008F2113" w:rsidP="00D23CB7">
            <w:pPr>
              <w:spacing w:before="0" w:after="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1 724,0</w:t>
            </w:r>
          </w:p>
        </w:tc>
      </w:tr>
      <w:tr w:rsidR="008F2113" w:rsidRPr="00D66C2E" w14:paraId="3A9DD631" w14:textId="77777777" w:rsidTr="00D23CB7">
        <w:trPr>
          <w:trHeight w:val="63"/>
        </w:trPr>
        <w:tc>
          <w:tcPr>
            <w:cnfStyle w:val="001000000000" w:firstRow="0" w:lastRow="0" w:firstColumn="1" w:lastColumn="0" w:oddVBand="0" w:evenVBand="0" w:oddHBand="0" w:evenHBand="0" w:firstRowFirstColumn="0" w:firstRowLastColumn="0" w:lastRowFirstColumn="0" w:lastRowLastColumn="0"/>
            <w:tcW w:w="5226" w:type="dxa"/>
            <w:shd w:val="clear" w:color="auto" w:fill="auto"/>
            <w:hideMark/>
          </w:tcPr>
          <w:p w14:paraId="097CA8EB" w14:textId="77777777" w:rsidR="008F2113" w:rsidRPr="00D66C2E" w:rsidRDefault="008F2113" w:rsidP="00D23CB7">
            <w:pPr>
              <w:spacing w:before="0" w:after="0"/>
              <w:ind w:firstLine="0"/>
              <w:jc w:val="left"/>
              <w:rPr>
                <w:rFonts w:ascii="Times New Roman" w:eastAsia="Times New Roman" w:hAnsi="Times New Roman" w:cs="Times New Roman"/>
                <w:b w:val="0"/>
                <w:color w:val="000000"/>
                <w:sz w:val="20"/>
                <w:szCs w:val="24"/>
                <w:lang w:eastAsia="lv-LV"/>
              </w:rPr>
            </w:pPr>
            <w:r w:rsidRPr="00D66C2E">
              <w:rPr>
                <w:rFonts w:ascii="Times New Roman" w:eastAsia="Times New Roman" w:hAnsi="Times New Roman" w:cs="Times New Roman"/>
                <w:b w:val="0"/>
                <w:color w:val="000000"/>
                <w:sz w:val="20"/>
                <w:szCs w:val="24"/>
                <w:lang w:eastAsia="lv-LV"/>
              </w:rPr>
              <w:t xml:space="preserve">Alus,  </w:t>
            </w:r>
            <w:proofErr w:type="spellStart"/>
            <w:r w:rsidRPr="00D66C2E">
              <w:rPr>
                <w:rFonts w:ascii="Times New Roman" w:eastAsia="Times New Roman" w:hAnsi="Times New Roman" w:cs="Times New Roman"/>
                <w:b w:val="0"/>
                <w:i/>
                <w:color w:val="000000"/>
                <w:sz w:val="20"/>
                <w:szCs w:val="24"/>
                <w:lang w:eastAsia="lv-LV"/>
              </w:rPr>
              <w:t>euro</w:t>
            </w:r>
            <w:proofErr w:type="spellEnd"/>
            <w:r w:rsidRPr="00D66C2E">
              <w:rPr>
                <w:rFonts w:ascii="Times New Roman" w:eastAsia="Times New Roman" w:hAnsi="Times New Roman" w:cs="Times New Roman"/>
                <w:b w:val="0"/>
                <w:color w:val="000000"/>
                <w:sz w:val="20"/>
                <w:szCs w:val="24"/>
                <w:lang w:eastAsia="lv-LV"/>
              </w:rPr>
              <w:t xml:space="preserve"> par katru absolūtā spirta tilpumprocentu par 100 litriem</w:t>
            </w:r>
          </w:p>
        </w:tc>
        <w:tc>
          <w:tcPr>
            <w:tcW w:w="1130" w:type="dxa"/>
            <w:shd w:val="clear" w:color="auto" w:fill="auto"/>
            <w:noWrap/>
            <w:vAlign w:val="center"/>
          </w:tcPr>
          <w:p w14:paraId="0E68FA58"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7,4</w:t>
            </w:r>
          </w:p>
        </w:tc>
        <w:tc>
          <w:tcPr>
            <w:tcW w:w="1130" w:type="dxa"/>
            <w:shd w:val="clear" w:color="auto" w:fill="auto"/>
            <w:vAlign w:val="center"/>
          </w:tcPr>
          <w:p w14:paraId="6C58B392"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7,8</w:t>
            </w:r>
          </w:p>
        </w:tc>
        <w:tc>
          <w:tcPr>
            <w:tcW w:w="1100" w:type="dxa"/>
            <w:shd w:val="clear" w:color="auto" w:fill="auto"/>
            <w:vAlign w:val="center"/>
          </w:tcPr>
          <w:p w14:paraId="21EDCB52" w14:textId="77777777" w:rsidR="008F2113" w:rsidRPr="00D66C2E" w:rsidRDefault="008F2113" w:rsidP="00D23CB7">
            <w:pPr>
              <w:spacing w:before="0" w:after="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8,2</w:t>
            </w:r>
          </w:p>
        </w:tc>
      </w:tr>
      <w:tr w:rsidR="008F2113" w:rsidRPr="00C40546" w14:paraId="0C139D97" w14:textId="77777777" w:rsidTr="00D23CB7">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5226" w:type="dxa"/>
            <w:shd w:val="clear" w:color="auto" w:fill="auto"/>
            <w:hideMark/>
          </w:tcPr>
          <w:p w14:paraId="542EE1A1" w14:textId="77777777" w:rsidR="008F2113" w:rsidRPr="00D66C2E" w:rsidRDefault="008F2113" w:rsidP="00D23CB7">
            <w:pPr>
              <w:spacing w:before="0" w:after="0"/>
              <w:ind w:firstLine="0"/>
              <w:contextualSpacing/>
              <w:jc w:val="left"/>
              <w:rPr>
                <w:rFonts w:ascii="Times New Roman" w:eastAsia="Times New Roman" w:hAnsi="Times New Roman" w:cs="Times New Roman"/>
                <w:b w:val="0"/>
                <w:color w:val="000000"/>
                <w:sz w:val="20"/>
                <w:szCs w:val="24"/>
                <w:lang w:eastAsia="lv-LV"/>
              </w:rPr>
            </w:pPr>
            <w:r w:rsidRPr="00D66C2E">
              <w:rPr>
                <w:rFonts w:ascii="Times New Roman" w:eastAsia="Times New Roman" w:hAnsi="Times New Roman" w:cs="Times New Roman"/>
                <w:b w:val="0"/>
                <w:color w:val="000000"/>
                <w:sz w:val="20"/>
                <w:szCs w:val="24"/>
                <w:lang w:eastAsia="lv-LV"/>
              </w:rPr>
              <w:t xml:space="preserve">Akcīzes nodokļa minimālais līmenis, </w:t>
            </w:r>
            <w:proofErr w:type="spellStart"/>
            <w:r w:rsidRPr="00D66C2E">
              <w:rPr>
                <w:rFonts w:ascii="Times New Roman" w:eastAsia="Times New Roman" w:hAnsi="Times New Roman" w:cs="Times New Roman"/>
                <w:b w:val="0"/>
                <w:i/>
                <w:color w:val="000000"/>
                <w:sz w:val="20"/>
                <w:szCs w:val="24"/>
                <w:lang w:eastAsia="lv-LV"/>
              </w:rPr>
              <w:t>euro</w:t>
            </w:r>
            <w:proofErr w:type="spellEnd"/>
            <w:r w:rsidRPr="00D66C2E">
              <w:rPr>
                <w:rFonts w:ascii="Times New Roman" w:eastAsia="Times New Roman" w:hAnsi="Times New Roman" w:cs="Times New Roman"/>
                <w:b w:val="0"/>
                <w:color w:val="000000"/>
                <w:sz w:val="20"/>
                <w:szCs w:val="24"/>
                <w:lang w:eastAsia="lv-LV"/>
              </w:rPr>
              <w:t xml:space="preserve"> par 100 litriem alus</w:t>
            </w:r>
          </w:p>
        </w:tc>
        <w:tc>
          <w:tcPr>
            <w:tcW w:w="1130" w:type="dxa"/>
            <w:shd w:val="clear" w:color="auto" w:fill="auto"/>
            <w:noWrap/>
            <w:vAlign w:val="center"/>
          </w:tcPr>
          <w:p w14:paraId="2592B070" w14:textId="77777777" w:rsidR="008F2113" w:rsidRPr="00D66C2E" w:rsidRDefault="008F2113" w:rsidP="00D23CB7">
            <w:pPr>
              <w:spacing w:before="0" w:after="0"/>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sidRPr="00D66C2E">
              <w:rPr>
                <w:rFonts w:ascii="Times New Roman" w:eastAsia="Times New Roman" w:hAnsi="Times New Roman" w:cs="Times New Roman"/>
                <w:b/>
                <w:i/>
                <w:color w:val="000000"/>
                <w:sz w:val="20"/>
                <w:szCs w:val="24"/>
                <w:lang w:eastAsia="lv-LV"/>
              </w:rPr>
              <w:t>13,6</w:t>
            </w:r>
          </w:p>
        </w:tc>
        <w:tc>
          <w:tcPr>
            <w:tcW w:w="1130" w:type="dxa"/>
            <w:shd w:val="clear" w:color="auto" w:fill="auto"/>
            <w:vAlign w:val="center"/>
          </w:tcPr>
          <w:p w14:paraId="07876F17" w14:textId="77777777" w:rsidR="008F2113" w:rsidRPr="00D66C2E" w:rsidRDefault="008F2113" w:rsidP="00D23CB7">
            <w:pPr>
              <w:spacing w:before="0" w:after="0"/>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14,4</w:t>
            </w:r>
          </w:p>
        </w:tc>
        <w:tc>
          <w:tcPr>
            <w:tcW w:w="1100" w:type="dxa"/>
            <w:shd w:val="clear" w:color="auto" w:fill="auto"/>
            <w:vAlign w:val="center"/>
          </w:tcPr>
          <w:p w14:paraId="71BD73E2" w14:textId="77777777" w:rsidR="008F2113" w:rsidRPr="00D66C2E" w:rsidRDefault="008F2113" w:rsidP="00D23CB7">
            <w:pPr>
              <w:spacing w:before="0" w:after="0"/>
              <w:ind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szCs w:val="24"/>
                <w:lang w:eastAsia="lv-LV"/>
              </w:rPr>
            </w:pPr>
            <w:r>
              <w:rPr>
                <w:rFonts w:ascii="Times New Roman" w:eastAsia="Times New Roman" w:hAnsi="Times New Roman" w:cs="Times New Roman"/>
                <w:b/>
                <w:i/>
                <w:color w:val="000000"/>
                <w:sz w:val="20"/>
                <w:szCs w:val="24"/>
                <w:lang w:eastAsia="lv-LV"/>
              </w:rPr>
              <w:t>15,2</w:t>
            </w:r>
          </w:p>
        </w:tc>
      </w:tr>
    </w:tbl>
    <w:p w14:paraId="67916054" w14:textId="77777777" w:rsidR="008F2113" w:rsidRPr="001F7F6A" w:rsidRDefault="008F2113" w:rsidP="001F7F6A">
      <w:pPr>
        <w:spacing w:before="0"/>
        <w:ind w:left="360" w:firstLine="360"/>
        <w:contextualSpacing/>
        <w:rPr>
          <w:rFonts w:eastAsia="Times New Roman" w:cs="Times New Roman"/>
          <w:i/>
          <w:color w:val="000000"/>
          <w:sz w:val="18"/>
          <w:szCs w:val="18"/>
        </w:rPr>
      </w:pPr>
      <w:r w:rsidRPr="001F7F6A">
        <w:rPr>
          <w:rFonts w:eastAsia="Times New Roman" w:cs="Times New Roman"/>
          <w:i/>
          <w:color w:val="000000"/>
          <w:sz w:val="18"/>
          <w:szCs w:val="18"/>
        </w:rPr>
        <w:t>*likme spēkā no 01.08.2019.</w:t>
      </w:r>
    </w:p>
    <w:p w14:paraId="7F4A213C" w14:textId="77777777" w:rsidR="008F2113" w:rsidRPr="006C2107" w:rsidRDefault="008F2113" w:rsidP="005D0688">
      <w:pPr>
        <w:pStyle w:val="ListParagraph"/>
        <w:numPr>
          <w:ilvl w:val="0"/>
          <w:numId w:val="4"/>
        </w:numPr>
        <w:rPr>
          <w:rFonts w:eastAsia="Times New Roman" w:cs="Times New Roman"/>
          <w:szCs w:val="24"/>
        </w:rPr>
      </w:pPr>
      <w:r w:rsidRPr="006C2107">
        <w:rPr>
          <w:rFonts w:eastAsia="Times New Roman" w:cs="Times New Roman"/>
          <w:szCs w:val="20"/>
        </w:rPr>
        <w:t>Saskaņā ar 2019. gada 14. novembrī Saeimā pieņemtaj</w:t>
      </w:r>
      <w:r>
        <w:rPr>
          <w:rFonts w:eastAsia="Times New Roman" w:cs="Times New Roman"/>
          <w:szCs w:val="20"/>
        </w:rPr>
        <w:t>iem grozījumiem</w:t>
      </w:r>
      <w:r w:rsidRPr="006C2107">
        <w:rPr>
          <w:rFonts w:eastAsia="Times New Roman" w:cs="Times New Roman"/>
          <w:szCs w:val="20"/>
        </w:rPr>
        <w:t xml:space="preserve"> </w:t>
      </w:r>
      <w:r>
        <w:rPr>
          <w:rFonts w:eastAsia="Times New Roman" w:cs="Times New Roman"/>
          <w:szCs w:val="20"/>
        </w:rPr>
        <w:t>Dabas resursu nodokļa likumā:</w:t>
      </w:r>
    </w:p>
    <w:p w14:paraId="59E9FE5F" w14:textId="77777777" w:rsidR="008F2113" w:rsidRPr="006C2107" w:rsidRDefault="008F2113" w:rsidP="005D0688">
      <w:pPr>
        <w:numPr>
          <w:ilvl w:val="2"/>
          <w:numId w:val="6"/>
        </w:numPr>
        <w:spacing w:before="0" w:after="0"/>
        <w:ind w:left="1418"/>
        <w:rPr>
          <w:rFonts w:eastAsia="Times New Roman" w:cs="Times New Roman"/>
          <w:szCs w:val="24"/>
        </w:rPr>
      </w:pPr>
      <w:r w:rsidRPr="006C2107">
        <w:rPr>
          <w:rFonts w:eastAsia="Times New Roman" w:cs="Times New Roman"/>
          <w:szCs w:val="20"/>
        </w:rPr>
        <w:t xml:space="preserve">ar 2021.gada 1.janvāri </w:t>
      </w:r>
      <w:r>
        <w:rPr>
          <w:rFonts w:eastAsia="Times New Roman" w:cs="Times New Roman"/>
          <w:szCs w:val="20"/>
        </w:rPr>
        <w:t>tiks</w:t>
      </w:r>
      <w:r w:rsidRPr="006C2107">
        <w:rPr>
          <w:rFonts w:eastAsia="Times New Roman" w:cs="Times New Roman"/>
          <w:szCs w:val="20"/>
        </w:rPr>
        <w:t xml:space="preserve"> paaugstināt</w:t>
      </w:r>
      <w:r>
        <w:rPr>
          <w:rFonts w:eastAsia="Times New Roman" w:cs="Times New Roman"/>
          <w:szCs w:val="20"/>
        </w:rPr>
        <w:t>a</w:t>
      </w:r>
      <w:r w:rsidRPr="006C2107">
        <w:rPr>
          <w:rFonts w:eastAsia="Times New Roman" w:cs="Times New Roman"/>
          <w:szCs w:val="20"/>
        </w:rPr>
        <w:t xml:space="preserve"> dabas resursu nodokļa likm</w:t>
      </w:r>
      <w:r>
        <w:rPr>
          <w:rFonts w:eastAsia="Times New Roman" w:cs="Times New Roman"/>
          <w:szCs w:val="20"/>
        </w:rPr>
        <w:t>e</w:t>
      </w:r>
      <w:r w:rsidRPr="006C2107">
        <w:rPr>
          <w:rFonts w:eastAsia="Times New Roman" w:cs="Times New Roman"/>
          <w:szCs w:val="20"/>
        </w:rPr>
        <w:t xml:space="preserve"> par CO</w:t>
      </w:r>
      <w:r w:rsidRPr="006C2107">
        <w:rPr>
          <w:rFonts w:eastAsia="Times New Roman" w:cs="Times New Roman"/>
          <w:szCs w:val="20"/>
          <w:vertAlign w:val="subscript"/>
        </w:rPr>
        <w:t>2</w:t>
      </w:r>
      <w:r w:rsidRPr="006C2107">
        <w:rPr>
          <w:rFonts w:eastAsia="Times New Roman" w:cs="Times New Roman"/>
          <w:szCs w:val="20"/>
        </w:rPr>
        <w:t xml:space="preserve"> emisiju no 9,00 </w:t>
      </w:r>
      <w:proofErr w:type="spellStart"/>
      <w:r w:rsidRPr="006C2107">
        <w:rPr>
          <w:rFonts w:eastAsia="Times New Roman" w:cs="Times New Roman"/>
          <w:i/>
          <w:szCs w:val="20"/>
        </w:rPr>
        <w:t>euro</w:t>
      </w:r>
      <w:proofErr w:type="spellEnd"/>
      <w:r w:rsidRPr="006C2107">
        <w:rPr>
          <w:rFonts w:eastAsia="Times New Roman" w:cs="Times New Roman"/>
          <w:szCs w:val="20"/>
        </w:rPr>
        <w:t xml:space="preserve"> līdz 12,00 </w:t>
      </w:r>
      <w:proofErr w:type="spellStart"/>
      <w:r w:rsidRPr="006C2107">
        <w:rPr>
          <w:rFonts w:eastAsia="Times New Roman" w:cs="Times New Roman"/>
          <w:i/>
          <w:szCs w:val="20"/>
        </w:rPr>
        <w:t>euro</w:t>
      </w:r>
      <w:proofErr w:type="spellEnd"/>
      <w:r w:rsidRPr="006C2107">
        <w:rPr>
          <w:rFonts w:eastAsia="Times New Roman" w:cs="Times New Roman"/>
          <w:szCs w:val="20"/>
        </w:rPr>
        <w:t xml:space="preserve"> par tonnu. Likmi plānots paaugstināt arī ar 2022.gada 1.janvāri – līdz 15,00 </w:t>
      </w:r>
      <w:proofErr w:type="spellStart"/>
      <w:r w:rsidRPr="006C2107">
        <w:rPr>
          <w:rFonts w:eastAsia="Times New Roman" w:cs="Times New Roman"/>
          <w:i/>
          <w:szCs w:val="20"/>
        </w:rPr>
        <w:t>euro</w:t>
      </w:r>
      <w:proofErr w:type="spellEnd"/>
      <w:r w:rsidRPr="006C2107">
        <w:rPr>
          <w:rFonts w:eastAsia="Times New Roman" w:cs="Times New Roman"/>
          <w:szCs w:val="20"/>
        </w:rPr>
        <w:t xml:space="preserve"> par tonnu;</w:t>
      </w:r>
    </w:p>
    <w:p w14:paraId="00D05ADB" w14:textId="77777777" w:rsidR="008F2113" w:rsidRDefault="008F2113" w:rsidP="005D0688">
      <w:pPr>
        <w:numPr>
          <w:ilvl w:val="2"/>
          <w:numId w:val="6"/>
        </w:numPr>
        <w:spacing w:before="0" w:after="0"/>
        <w:ind w:left="1418"/>
        <w:rPr>
          <w:rFonts w:eastAsia="Times New Roman" w:cs="Times New Roman"/>
          <w:szCs w:val="24"/>
        </w:rPr>
      </w:pPr>
      <w:r w:rsidRPr="006C2107">
        <w:rPr>
          <w:rFonts w:eastAsia="Times New Roman" w:cs="Times New Roman"/>
          <w:szCs w:val="20"/>
        </w:rPr>
        <w:t xml:space="preserve">ar 2021.gada 1.janvāri </w:t>
      </w:r>
      <w:r>
        <w:rPr>
          <w:rFonts w:eastAsia="Times New Roman" w:cs="Times New Roman"/>
          <w:szCs w:val="20"/>
        </w:rPr>
        <w:t xml:space="preserve">dabas resursu </w:t>
      </w:r>
      <w:r w:rsidRPr="006C2107">
        <w:rPr>
          <w:rFonts w:eastAsia="Times New Roman" w:cs="Times New Roman"/>
          <w:szCs w:val="20"/>
        </w:rPr>
        <w:t xml:space="preserve">nodoklis tiks piemērots arī </w:t>
      </w:r>
      <w:r w:rsidRPr="006C2107">
        <w:rPr>
          <w:rFonts w:eastAsia="Times New Roman" w:cs="Times New Roman"/>
          <w:szCs w:val="24"/>
        </w:rPr>
        <w:t xml:space="preserve">par </w:t>
      </w:r>
      <w:r w:rsidRPr="00DF1692">
        <w:rPr>
          <w:rFonts w:eastAsia="Times New Roman" w:cs="Times New Roman"/>
          <w:szCs w:val="24"/>
        </w:rPr>
        <w:t xml:space="preserve">atkritumu sadedzināšanu atkritumu sadedzināšanas vai </w:t>
      </w:r>
      <w:proofErr w:type="spellStart"/>
      <w:r w:rsidRPr="00DF1692">
        <w:rPr>
          <w:rFonts w:eastAsia="Times New Roman" w:cs="Times New Roman"/>
          <w:szCs w:val="24"/>
        </w:rPr>
        <w:t>līdzsadedzināšanas</w:t>
      </w:r>
      <w:proofErr w:type="spellEnd"/>
      <w:r w:rsidRPr="00DF1692">
        <w:rPr>
          <w:rFonts w:eastAsia="Times New Roman" w:cs="Times New Roman"/>
          <w:szCs w:val="24"/>
        </w:rPr>
        <w:t xml:space="preserve"> iekārtā </w:t>
      </w:r>
      <w:r>
        <w:rPr>
          <w:rFonts w:eastAsia="Times New Roman" w:cs="Times New Roman"/>
          <w:szCs w:val="24"/>
        </w:rPr>
        <w:t xml:space="preserve">(likme – </w:t>
      </w:r>
      <w:r w:rsidRPr="00B71A4B">
        <w:rPr>
          <w:rFonts w:eastAsia="Times New Roman" w:cs="Times New Roman"/>
          <w:szCs w:val="24"/>
        </w:rPr>
        <w:t xml:space="preserve">15 </w:t>
      </w:r>
      <w:proofErr w:type="spellStart"/>
      <w:r w:rsidRPr="00B71A4B">
        <w:rPr>
          <w:rFonts w:eastAsia="Times New Roman" w:cs="Times New Roman"/>
          <w:i/>
          <w:szCs w:val="24"/>
        </w:rPr>
        <w:t>euro</w:t>
      </w:r>
      <w:proofErr w:type="spellEnd"/>
      <w:r w:rsidRPr="00B71A4B">
        <w:rPr>
          <w:rFonts w:eastAsia="Times New Roman" w:cs="Times New Roman"/>
          <w:szCs w:val="24"/>
        </w:rPr>
        <w:t xml:space="preserve"> par tonnu).</w:t>
      </w:r>
    </w:p>
    <w:p w14:paraId="543A3CF4" w14:textId="1B93DA7A" w:rsidR="008F2113" w:rsidRDefault="008F2113" w:rsidP="005D0688">
      <w:pPr>
        <w:pStyle w:val="ListParagraph"/>
        <w:numPr>
          <w:ilvl w:val="0"/>
          <w:numId w:val="4"/>
        </w:numPr>
        <w:spacing w:after="0"/>
        <w:ind w:left="714" w:hanging="357"/>
        <w:contextualSpacing w:val="0"/>
        <w:rPr>
          <w:rFonts w:eastAsia="Calibri" w:cs="Times New Roman"/>
          <w:noProof/>
          <w:szCs w:val="28"/>
          <w:lang w:eastAsia="lv-LV"/>
        </w:rPr>
      </w:pPr>
      <w:r>
        <w:rPr>
          <w:rFonts w:eastAsia="Calibri" w:cs="Times New Roman"/>
          <w:noProof/>
          <w:color w:val="000000" w:themeColor="text1"/>
          <w:szCs w:val="28"/>
          <w:lang w:eastAsia="lv-LV"/>
        </w:rPr>
        <w:lastRenderedPageBreak/>
        <w:t xml:space="preserve">Saskaņā </w:t>
      </w:r>
      <w:r w:rsidRPr="00011883">
        <w:rPr>
          <w:rFonts w:eastAsia="Calibri" w:cs="Times New Roman"/>
          <w:noProof/>
          <w:color w:val="000000" w:themeColor="text1"/>
          <w:szCs w:val="28"/>
          <w:lang w:eastAsia="lv-LV"/>
        </w:rPr>
        <w:t xml:space="preserve">ar </w:t>
      </w:r>
      <w:r w:rsidRPr="00011883">
        <w:rPr>
          <w:rFonts w:eastAsia="Calibri" w:cs="Times New Roman"/>
          <w:noProof/>
          <w:szCs w:val="28"/>
          <w:lang w:eastAsia="lv-LV"/>
        </w:rPr>
        <w:t>Pievienotās vērtības nodokļa likuma pārejas noteikumu 30. punktu pievienotās vērt</w:t>
      </w:r>
      <w:r>
        <w:rPr>
          <w:rFonts w:eastAsia="Calibri" w:cs="Times New Roman"/>
          <w:noProof/>
          <w:szCs w:val="28"/>
          <w:lang w:eastAsia="lv-LV"/>
        </w:rPr>
        <w:t xml:space="preserve">ības nodokļa samazināto likmi 5% </w:t>
      </w:r>
      <w:r w:rsidRPr="00011883">
        <w:rPr>
          <w:rFonts w:eastAsia="Calibri" w:cs="Times New Roman"/>
          <w:noProof/>
          <w:szCs w:val="28"/>
          <w:lang w:eastAsia="lv-LV"/>
        </w:rPr>
        <w:t>apmērā Latvijai raksturīgiem svaigiem augļiem, ogām un dārzeņiem piemēro no 2018.gada 1.janvā</w:t>
      </w:r>
      <w:r>
        <w:rPr>
          <w:rFonts w:eastAsia="Calibri" w:cs="Times New Roman"/>
          <w:noProof/>
          <w:szCs w:val="28"/>
          <w:lang w:eastAsia="lv-LV"/>
        </w:rPr>
        <w:t>ra līdz 2020.gada 31.decembrim, līdz ar to 2021.gadā un turpmāk pievienotās vērtības nodokļa ieņēmumu prognozē ņemts vērā, ka minētajiem pārtikas produktiem tiks</w:t>
      </w:r>
      <w:r w:rsidRPr="00011883">
        <w:rPr>
          <w:rFonts w:eastAsia="Calibri" w:cs="Times New Roman"/>
          <w:noProof/>
          <w:szCs w:val="28"/>
          <w:lang w:eastAsia="lv-LV"/>
        </w:rPr>
        <w:t xml:space="preserve"> piemēro</w:t>
      </w:r>
      <w:r>
        <w:rPr>
          <w:rFonts w:eastAsia="Calibri" w:cs="Times New Roman"/>
          <w:noProof/>
          <w:szCs w:val="28"/>
          <w:lang w:eastAsia="lv-LV"/>
        </w:rPr>
        <w:t>ta pievienotās vērtības nodokļa standartlikme 21% apmērā.</w:t>
      </w:r>
    </w:p>
    <w:p w14:paraId="59413BB9" w14:textId="77777777" w:rsidR="008F2113" w:rsidRPr="008240E1" w:rsidRDefault="008F2113" w:rsidP="005D0688">
      <w:pPr>
        <w:pStyle w:val="ListParagraph"/>
        <w:numPr>
          <w:ilvl w:val="0"/>
          <w:numId w:val="4"/>
        </w:numPr>
        <w:spacing w:before="0"/>
        <w:rPr>
          <w:rFonts w:eastAsia="Calibri" w:cs="Times New Roman"/>
          <w:szCs w:val="28"/>
          <w:lang w:eastAsia="lv-LV"/>
        </w:rPr>
      </w:pPr>
      <w:r w:rsidRPr="008240E1">
        <w:rPr>
          <w:rFonts w:eastAsia="Calibri" w:cs="Times New Roman"/>
          <w:szCs w:val="28"/>
          <w:lang w:eastAsia="lv-LV"/>
        </w:rPr>
        <w:t>Līdz 2022.gada 30.jūnijam, pamatojoties uz Direktīvas 2006/112/EK par kopējo pievienotās vērtības nodokļa sistēmu 199.a pantu, ir ie</w:t>
      </w:r>
      <w:r>
        <w:rPr>
          <w:rFonts w:eastAsia="Calibri" w:cs="Times New Roman"/>
          <w:szCs w:val="28"/>
          <w:lang w:eastAsia="lv-LV"/>
        </w:rPr>
        <w:t xml:space="preserve">viesta apgrieztā jeb reversā </w:t>
      </w:r>
      <w:r w:rsidRPr="008240E1">
        <w:rPr>
          <w:rFonts w:eastAsia="Calibri" w:cs="Times New Roman"/>
          <w:szCs w:val="28"/>
          <w:lang w:eastAsia="lv-LV"/>
        </w:rPr>
        <w:t>pievienotās vērtības nodokļa maksāšanas kārtība melno un krāsaino metālu piegādei uz noteiktu laiku.</w:t>
      </w:r>
    </w:p>
    <w:p w14:paraId="44FEE302" w14:textId="77777777" w:rsidR="008F2113" w:rsidRPr="006339A6" w:rsidRDefault="008F2113" w:rsidP="008F2113">
      <w:pPr>
        <w:spacing w:before="0"/>
        <w:ind w:firstLine="360"/>
        <w:rPr>
          <w:rFonts w:eastAsia="Calibri" w:cs="Times New Roman"/>
          <w:szCs w:val="28"/>
          <w:lang w:eastAsia="lv-LV"/>
        </w:rPr>
      </w:pPr>
      <w:r w:rsidRPr="006339A6">
        <w:rPr>
          <w:rFonts w:eastAsia="Calibri" w:cs="Times New Roman"/>
          <w:szCs w:val="28"/>
          <w:lang w:eastAsia="lv-LV"/>
        </w:rPr>
        <w:t xml:space="preserve">Tāpat turpmāko gadu nodokļu ieņēmumus ietekmēs </w:t>
      </w:r>
      <w:r w:rsidRPr="006339A6">
        <w:rPr>
          <w:lang w:eastAsia="lv-LV"/>
        </w:rPr>
        <w:t>Covid-19 krīzes laikā pieņemtie nodokļu atbalsta pasākumi</w:t>
      </w:r>
      <w:r w:rsidRPr="006339A6">
        <w:rPr>
          <w:rFonts w:eastAsia="Calibri" w:cs="Times New Roman"/>
          <w:szCs w:val="28"/>
          <w:lang w:eastAsia="lv-LV"/>
        </w:rPr>
        <w:t>:</w:t>
      </w:r>
    </w:p>
    <w:p w14:paraId="01579B79" w14:textId="77777777" w:rsidR="008F2113" w:rsidRPr="006339A6" w:rsidRDefault="008F2113" w:rsidP="005D0688">
      <w:pPr>
        <w:pStyle w:val="ListParagraph"/>
        <w:numPr>
          <w:ilvl w:val="3"/>
          <w:numId w:val="4"/>
        </w:numPr>
        <w:spacing w:before="0"/>
        <w:ind w:left="851"/>
        <w:rPr>
          <w:rFonts w:eastAsia="Calibri" w:cs="Times New Roman"/>
          <w:szCs w:val="28"/>
          <w:lang w:eastAsia="lv-LV"/>
        </w:rPr>
      </w:pPr>
      <w:r>
        <w:rPr>
          <w:rFonts w:eastAsia="Calibri" w:cs="Times New Roman"/>
          <w:noProof/>
          <w:szCs w:val="28"/>
          <w:lang w:eastAsia="lv-LV"/>
        </w:rPr>
        <w:t>No</w:t>
      </w:r>
      <w:r w:rsidRPr="000E1A7B">
        <w:rPr>
          <w:rFonts w:eastAsia="Calibri" w:cs="Times New Roman"/>
          <w:noProof/>
          <w:szCs w:val="28"/>
          <w:lang w:eastAsia="lv-LV"/>
        </w:rPr>
        <w:t xml:space="preserve"> </w:t>
      </w:r>
      <w:r>
        <w:rPr>
          <w:rFonts w:eastAsia="Calibri" w:cs="Times New Roman"/>
          <w:noProof/>
          <w:szCs w:val="28"/>
          <w:lang w:eastAsia="lv-LV"/>
        </w:rPr>
        <w:t>2020.gada 1.aprīļa p</w:t>
      </w:r>
      <w:r w:rsidRPr="006339A6">
        <w:rPr>
          <w:rFonts w:eastAsia="Calibri" w:cs="Times New Roman"/>
          <w:noProof/>
          <w:szCs w:val="28"/>
          <w:lang w:eastAsia="lv-LV"/>
        </w:rPr>
        <w:t>ārmaksātā pievienotās vērtības nodokļa</w:t>
      </w:r>
      <w:r w:rsidRPr="006339A6">
        <w:rPr>
          <w:rFonts w:eastAsia="Calibri" w:cs="Times New Roman"/>
          <w:szCs w:val="28"/>
          <w:lang w:eastAsia="lv-LV"/>
        </w:rPr>
        <w:t xml:space="preserve"> atmaksa visiem nodokļu maksātajiem 30 dienu laikā, tās neuzkrā</w:t>
      </w:r>
      <w:r>
        <w:rPr>
          <w:rFonts w:eastAsia="Calibri" w:cs="Times New Roman"/>
          <w:szCs w:val="28"/>
          <w:lang w:eastAsia="lv-LV"/>
        </w:rPr>
        <w:t>jot līdz taksācijas gada beigām;</w:t>
      </w:r>
    </w:p>
    <w:p w14:paraId="18F418F9" w14:textId="77777777" w:rsidR="008F2113" w:rsidRPr="006339A6" w:rsidRDefault="008F2113" w:rsidP="005D0688">
      <w:pPr>
        <w:pStyle w:val="ListParagraph"/>
        <w:numPr>
          <w:ilvl w:val="3"/>
          <w:numId w:val="4"/>
        </w:numPr>
        <w:spacing w:before="0"/>
        <w:ind w:left="851"/>
        <w:rPr>
          <w:lang w:eastAsia="lv-LV"/>
        </w:rPr>
      </w:pPr>
      <w:r w:rsidRPr="006339A6">
        <w:rPr>
          <w:lang w:eastAsia="lv-LV"/>
        </w:rPr>
        <w:t>I</w:t>
      </w:r>
      <w:r w:rsidRPr="006339A6">
        <w:rPr>
          <w:noProof/>
        </w:rPr>
        <w:t>edzīvotāju ienākuma nodokļa</w:t>
      </w:r>
      <w:r w:rsidRPr="006339A6">
        <w:rPr>
          <w:lang w:eastAsia="lv-LV"/>
        </w:rPr>
        <w:t xml:space="preserve"> avansa </w:t>
      </w:r>
      <w:r>
        <w:rPr>
          <w:lang w:eastAsia="lv-LV"/>
        </w:rPr>
        <w:t xml:space="preserve">obligāto </w:t>
      </w:r>
      <w:r w:rsidRPr="006339A6">
        <w:rPr>
          <w:lang w:eastAsia="lv-LV"/>
        </w:rPr>
        <w:t>maksājumu atcelšana 2020.gadā</w:t>
      </w:r>
      <w:r>
        <w:rPr>
          <w:lang w:eastAsia="lv-LV"/>
        </w:rPr>
        <w:t xml:space="preserve"> saimnieciskās darbības veicējiem;</w:t>
      </w:r>
    </w:p>
    <w:p w14:paraId="676EBBC8" w14:textId="77777777" w:rsidR="008F2113" w:rsidRPr="006339A6" w:rsidRDefault="008F2113" w:rsidP="005D0688">
      <w:pPr>
        <w:pStyle w:val="ListParagraph"/>
        <w:numPr>
          <w:ilvl w:val="3"/>
          <w:numId w:val="4"/>
        </w:numPr>
        <w:spacing w:before="0"/>
        <w:ind w:left="851"/>
        <w:rPr>
          <w:lang w:eastAsia="lv-LV"/>
        </w:rPr>
      </w:pPr>
      <w:r>
        <w:rPr>
          <w:lang w:eastAsia="lv-LV"/>
        </w:rPr>
        <w:t>Nodokļu maksājumu atlikšana</w:t>
      </w:r>
      <w:r w:rsidRPr="006339A6">
        <w:rPr>
          <w:lang w:eastAsia="lv-LV"/>
        </w:rPr>
        <w:t xml:space="preserve"> krīzes skartaj</w:t>
      </w:r>
      <w:r>
        <w:rPr>
          <w:lang w:eastAsia="lv-LV"/>
        </w:rPr>
        <w:t>iem uzņēmumiem līdz trīs gadiem.</w:t>
      </w:r>
    </w:p>
    <w:p w14:paraId="1E26DD42" w14:textId="77777777" w:rsidR="008F2113" w:rsidRPr="0024371F" w:rsidRDefault="008F2113" w:rsidP="008F2113">
      <w:pPr>
        <w:spacing w:after="0"/>
        <w:rPr>
          <w:lang w:eastAsia="lv-LV"/>
        </w:rPr>
      </w:pPr>
      <w:r w:rsidRPr="0024371F">
        <w:rPr>
          <w:lang w:eastAsia="lv-LV"/>
        </w:rPr>
        <w:t xml:space="preserve">Valsts pamatbudžeta </w:t>
      </w:r>
      <w:r w:rsidRPr="0024371F">
        <w:rPr>
          <w:b/>
          <w:noProof/>
          <w:lang w:eastAsia="lv-LV"/>
        </w:rPr>
        <w:t>nenodokļu ieņēmumi</w:t>
      </w:r>
      <w:r w:rsidRPr="0024371F">
        <w:rPr>
          <w:noProof/>
          <w:lang w:eastAsia="lv-LV"/>
        </w:rPr>
        <w:t xml:space="preserve"> 20</w:t>
      </w:r>
      <w:r>
        <w:rPr>
          <w:noProof/>
          <w:lang w:eastAsia="lv-LV"/>
        </w:rPr>
        <w:t>20</w:t>
      </w:r>
      <w:r w:rsidRPr="0024371F">
        <w:rPr>
          <w:noProof/>
          <w:lang w:eastAsia="lv-LV"/>
        </w:rPr>
        <w:t xml:space="preserve">.gada sešos mēnešos ir </w:t>
      </w:r>
      <w:r>
        <w:rPr>
          <w:noProof/>
          <w:lang w:eastAsia="lv-LV"/>
        </w:rPr>
        <w:t>396,6</w:t>
      </w:r>
      <w:r w:rsidRPr="0024371F">
        <w:rPr>
          <w:noProof/>
          <w:lang w:eastAsia="lv-LV"/>
        </w:rPr>
        <w:t> milj. </w:t>
      </w:r>
      <w:r w:rsidRPr="0024371F">
        <w:rPr>
          <w:i/>
          <w:noProof/>
          <w:lang w:eastAsia="lv-LV"/>
        </w:rPr>
        <w:t>euro</w:t>
      </w:r>
      <w:r w:rsidRPr="0024371F">
        <w:rPr>
          <w:noProof/>
          <w:lang w:eastAsia="lv-LV"/>
        </w:rPr>
        <w:t xml:space="preserve">, kas ir par </w:t>
      </w:r>
      <w:r>
        <w:rPr>
          <w:noProof/>
          <w:lang w:eastAsia="lv-LV"/>
        </w:rPr>
        <w:t>18,1</w:t>
      </w:r>
      <w:r w:rsidRPr="0024371F">
        <w:rPr>
          <w:noProof/>
          <w:lang w:eastAsia="lv-LV"/>
        </w:rPr>
        <w:t> milj. </w:t>
      </w:r>
      <w:r w:rsidRPr="0024371F">
        <w:rPr>
          <w:i/>
          <w:noProof/>
          <w:lang w:eastAsia="lv-LV"/>
        </w:rPr>
        <w:t>euro</w:t>
      </w:r>
      <w:r w:rsidRPr="0024371F">
        <w:rPr>
          <w:noProof/>
          <w:lang w:eastAsia="lv-LV"/>
        </w:rPr>
        <w:t xml:space="preserve"> jeb </w:t>
      </w:r>
      <w:r>
        <w:rPr>
          <w:noProof/>
          <w:lang w:eastAsia="lv-LV"/>
        </w:rPr>
        <w:t>4,8</w:t>
      </w:r>
      <w:r w:rsidRPr="0024371F">
        <w:rPr>
          <w:noProof/>
          <w:lang w:eastAsia="lv-LV"/>
        </w:rPr>
        <w:t xml:space="preserve">% </w:t>
      </w:r>
      <w:r>
        <w:rPr>
          <w:noProof/>
          <w:lang w:eastAsia="lv-LV"/>
        </w:rPr>
        <w:t>vairāk</w:t>
      </w:r>
      <w:r w:rsidRPr="0024371F">
        <w:rPr>
          <w:noProof/>
          <w:lang w:eastAsia="lv-LV"/>
        </w:rPr>
        <w:t xml:space="preserve"> </w:t>
      </w:r>
      <w:r>
        <w:rPr>
          <w:noProof/>
          <w:lang w:eastAsia="lv-LV"/>
        </w:rPr>
        <w:t>nekā 2019</w:t>
      </w:r>
      <w:r w:rsidRPr="0024371F">
        <w:rPr>
          <w:noProof/>
          <w:lang w:eastAsia="lv-LV"/>
        </w:rPr>
        <w:t xml:space="preserve">.gada sešos mēnešos un par </w:t>
      </w:r>
      <w:r>
        <w:rPr>
          <w:noProof/>
          <w:lang w:eastAsia="lv-LV"/>
        </w:rPr>
        <w:t>39,6</w:t>
      </w:r>
      <w:r w:rsidRPr="0024371F">
        <w:rPr>
          <w:noProof/>
          <w:lang w:eastAsia="lv-LV"/>
        </w:rPr>
        <w:t xml:space="preserve"> milj. </w:t>
      </w:r>
      <w:r w:rsidRPr="0024371F">
        <w:rPr>
          <w:i/>
          <w:noProof/>
          <w:szCs w:val="24"/>
          <w:lang w:eastAsia="lv-LV"/>
        </w:rPr>
        <w:t>euro</w:t>
      </w:r>
      <w:r w:rsidRPr="0024371F">
        <w:rPr>
          <w:noProof/>
          <w:lang w:eastAsia="lv-LV"/>
        </w:rPr>
        <w:t xml:space="preserve"> jeb </w:t>
      </w:r>
      <w:r>
        <w:rPr>
          <w:noProof/>
          <w:lang w:eastAsia="lv-LV"/>
        </w:rPr>
        <w:t>11,1</w:t>
      </w:r>
      <w:r w:rsidRPr="0024371F">
        <w:rPr>
          <w:noProof/>
          <w:lang w:eastAsia="lv-LV"/>
        </w:rPr>
        <w:t xml:space="preserve">% vairāk par </w:t>
      </w:r>
      <w:r w:rsidRPr="0024371F">
        <w:rPr>
          <w:rFonts w:eastAsia="Calibri" w:cs="Times New Roman"/>
          <w:noProof/>
          <w:szCs w:val="28"/>
          <w:lang w:eastAsia="lv-LV"/>
        </w:rPr>
        <w:t xml:space="preserve">likumā “Par valsts budžetu </w:t>
      </w:r>
      <w:r>
        <w:rPr>
          <w:rFonts w:eastAsia="Calibri" w:cs="Times New Roman"/>
          <w:noProof/>
          <w:szCs w:val="28"/>
          <w:lang w:eastAsia="lv-LV"/>
        </w:rPr>
        <w:t>2020</w:t>
      </w:r>
      <w:r w:rsidRPr="0024371F">
        <w:rPr>
          <w:rFonts w:eastAsia="Calibri" w:cs="Times New Roman"/>
          <w:noProof/>
          <w:szCs w:val="28"/>
          <w:lang w:eastAsia="lv-LV"/>
        </w:rPr>
        <w:t>.gadam” noteikto plānu</w:t>
      </w:r>
      <w:r w:rsidRPr="0024371F">
        <w:rPr>
          <w:noProof/>
          <w:lang w:eastAsia="lv-LV"/>
        </w:rPr>
        <w:t xml:space="preserve">. </w:t>
      </w:r>
      <w:r>
        <w:rPr>
          <w:noProof/>
          <w:lang w:eastAsia="lv-LV"/>
        </w:rPr>
        <w:t>2020</w:t>
      </w:r>
      <w:r w:rsidRPr="0024371F">
        <w:rPr>
          <w:noProof/>
          <w:lang w:eastAsia="lv-LV"/>
        </w:rPr>
        <w:t>.gadā lielākos valsts pamatbudžeta nenodokļu ieņēmumus sastāda ieņēmumi no dividendēm (maksājumi par valsts kapitāla</w:t>
      </w:r>
      <w:r w:rsidRPr="0024371F">
        <w:rPr>
          <w:lang w:eastAsia="lv-LV"/>
        </w:rPr>
        <w:t xml:space="preserve"> izmantošanu), </w:t>
      </w:r>
      <w:r>
        <w:rPr>
          <w:lang w:eastAsia="lv-LV"/>
        </w:rPr>
        <w:t xml:space="preserve">pārējie </w:t>
      </w:r>
      <w:proofErr w:type="spellStart"/>
      <w:r>
        <w:rPr>
          <w:lang w:eastAsia="lv-LV"/>
        </w:rPr>
        <w:t>nenodokļu</w:t>
      </w:r>
      <w:proofErr w:type="spellEnd"/>
      <w:r>
        <w:rPr>
          <w:lang w:eastAsia="lv-LV"/>
        </w:rPr>
        <w:t xml:space="preserve"> ieņēmumi</w:t>
      </w:r>
      <w:r w:rsidRPr="0024371F">
        <w:rPr>
          <w:lang w:eastAsia="lv-LV"/>
        </w:rPr>
        <w:t xml:space="preserve"> un ieņēmumi no valsts nodevām par valsts sniegto nodrošinājumu un juridiskajiem un citiem pakalpojumiem.</w:t>
      </w:r>
    </w:p>
    <w:p w14:paraId="5402F6DB" w14:textId="1482044A" w:rsidR="008F2113" w:rsidRDefault="00EB7152" w:rsidP="008F2113">
      <w:pPr>
        <w:spacing w:after="0"/>
        <w:rPr>
          <w:noProof/>
          <w:lang w:eastAsia="lv-LV"/>
        </w:rPr>
      </w:pPr>
      <w:r>
        <w:rPr>
          <w:noProof/>
          <w:lang w:eastAsia="lv-LV"/>
        </w:rPr>
        <w:t>2021. </w:t>
      </w:r>
      <w:r w:rsidR="008F2113" w:rsidRPr="00513480">
        <w:rPr>
          <w:noProof/>
          <w:lang w:eastAsia="lv-LV"/>
        </w:rPr>
        <w:t>gadā valsts pamatbudžeta nenodokļu ieņēmumi tiek prognozēti ar 33,4% sama</w:t>
      </w:r>
      <w:r>
        <w:rPr>
          <w:noProof/>
          <w:lang w:eastAsia="lv-LV"/>
        </w:rPr>
        <w:t>zinājumu salīdzinājumā ar 2020. </w:t>
      </w:r>
      <w:r w:rsidR="008F2113" w:rsidRPr="00513480">
        <w:rPr>
          <w:noProof/>
          <w:lang w:eastAsia="lv-LV"/>
        </w:rPr>
        <w:t xml:space="preserve">gadu, ko pamatā ietekmē </w:t>
      </w:r>
      <w:r w:rsidR="008F2113">
        <w:rPr>
          <w:noProof/>
          <w:lang w:eastAsia="lv-LV"/>
        </w:rPr>
        <w:t xml:space="preserve">turpmāko gadu </w:t>
      </w:r>
      <w:r w:rsidR="008F2113" w:rsidRPr="00513480">
        <w:rPr>
          <w:noProof/>
          <w:lang w:eastAsia="lv-LV"/>
        </w:rPr>
        <w:t>prognozēs neiekļauto dividenžu maksājumu no AS “Latvenergo” apmērs.  Tāpat jāmin samazinājums ieņēmum</w:t>
      </w:r>
      <w:r w:rsidR="008F2113">
        <w:rPr>
          <w:noProof/>
          <w:lang w:eastAsia="lv-LV"/>
        </w:rPr>
        <w:t>iem</w:t>
      </w:r>
      <w:r w:rsidR="008F2113" w:rsidRPr="00513480">
        <w:rPr>
          <w:noProof/>
          <w:lang w:eastAsia="lv-LV"/>
        </w:rPr>
        <w:t xml:space="preserve"> no emi</w:t>
      </w:r>
      <w:r w:rsidR="008852F6">
        <w:rPr>
          <w:noProof/>
          <w:lang w:eastAsia="lv-LV"/>
        </w:rPr>
        <w:t>sijas kvotas izsolīšanas. 2022. </w:t>
      </w:r>
      <w:r w:rsidR="008F2113" w:rsidRPr="00513480">
        <w:rPr>
          <w:noProof/>
          <w:lang w:eastAsia="lv-LV"/>
        </w:rPr>
        <w:t>gadā nenodokļu ieņēmumi tiek prognozēti ar 6,2% samazinājumu salīdzinājumā ar iepriekšējo gadu</w:t>
      </w:r>
      <w:r w:rsidR="008852F6">
        <w:rPr>
          <w:noProof/>
          <w:lang w:eastAsia="lv-LV"/>
        </w:rPr>
        <w:t>, savukārt 2023. </w:t>
      </w:r>
      <w:r w:rsidR="008F2113" w:rsidRPr="00C334C9">
        <w:rPr>
          <w:noProof/>
          <w:lang w:eastAsia="lv-LV"/>
        </w:rPr>
        <w:t>gadā valsts pamatbudžeta nenodok</w:t>
      </w:r>
      <w:r w:rsidR="008F2113">
        <w:rPr>
          <w:noProof/>
          <w:lang w:eastAsia="lv-LV"/>
        </w:rPr>
        <w:t>ļu ieņēmumi tiek prognozēti ar 0,6</w:t>
      </w:r>
      <w:r w:rsidR="008F2113" w:rsidRPr="00C334C9">
        <w:rPr>
          <w:noProof/>
          <w:lang w:eastAsia="lv-LV"/>
        </w:rPr>
        <w:t>% palielinājumu salīdzinājumā ar iepriekšējo gadu.</w:t>
      </w:r>
    </w:p>
    <w:p w14:paraId="4557C4CE" w14:textId="77777777" w:rsidR="008F2113" w:rsidRDefault="008F2113" w:rsidP="008F2113">
      <w:pPr>
        <w:spacing w:before="0" w:after="0"/>
        <w:ind w:firstLine="0"/>
        <w:rPr>
          <w:rFonts w:eastAsia="Calibri" w:cs="Times New Roman"/>
          <w:b/>
          <w:szCs w:val="28"/>
          <w:lang w:eastAsia="lv-LV"/>
        </w:rPr>
      </w:pPr>
    </w:p>
    <w:p w14:paraId="2509413C" w14:textId="77777777" w:rsidR="008852F6" w:rsidRDefault="008852F6">
      <w:pPr>
        <w:spacing w:before="0" w:after="0"/>
        <w:ind w:firstLine="0"/>
        <w:jc w:val="left"/>
        <w:rPr>
          <w:rFonts w:eastAsiaTheme="majorEastAsia" w:cstheme="majorBidi"/>
          <w:b/>
          <w:sz w:val="32"/>
          <w:szCs w:val="32"/>
        </w:rPr>
      </w:pPr>
      <w:r>
        <w:br w:type="page"/>
      </w:r>
    </w:p>
    <w:p w14:paraId="2FDA3F73" w14:textId="2C71D8DA" w:rsidR="00F447DB" w:rsidRPr="008852F6" w:rsidRDefault="00377CA0" w:rsidP="00377CA0">
      <w:pPr>
        <w:pStyle w:val="Heading1"/>
        <w:ind w:left="720"/>
      </w:pPr>
      <w:bookmarkStart w:id="4" w:name="_Toc48048098"/>
      <w:r w:rsidRPr="008852F6">
        <w:lastRenderedPageBreak/>
        <w:t>Vispārējās valdības budžeta bilances prognoze</w:t>
      </w:r>
      <w:r w:rsidR="0068270C">
        <w:t xml:space="preserve"> </w:t>
      </w:r>
      <w:r w:rsidRPr="008852F6">
        <w:t>pie nemainīgas valdības politikas 2021.-2023.gadam</w:t>
      </w:r>
      <w:bookmarkEnd w:id="3"/>
      <w:bookmarkEnd w:id="4"/>
    </w:p>
    <w:p w14:paraId="5CE4DC6C" w14:textId="5BACC156" w:rsidR="003238FD" w:rsidRDefault="00D23CB7" w:rsidP="00721B10">
      <w:pPr>
        <w:rPr>
          <w:color w:val="000000" w:themeColor="text1"/>
          <w:szCs w:val="24"/>
        </w:rPr>
      </w:pPr>
      <w:r w:rsidRPr="003923DB">
        <w:rPr>
          <w:color w:val="000000" w:themeColor="text1"/>
          <w:szCs w:val="24"/>
        </w:rPr>
        <w:t xml:space="preserve">Finanšu ministrija ir aktualizējusi vispārējās valdības budžeta bilances prognozi </w:t>
      </w:r>
      <w:r w:rsidR="00BD40B2">
        <w:rPr>
          <w:color w:val="000000" w:themeColor="text1"/>
          <w:szCs w:val="24"/>
        </w:rPr>
        <w:t>vidējam termiņam</w:t>
      </w:r>
      <w:r w:rsidRPr="003923DB">
        <w:rPr>
          <w:color w:val="000000" w:themeColor="text1"/>
          <w:szCs w:val="24"/>
        </w:rPr>
        <w:t xml:space="preserve">, ņemot vērā </w:t>
      </w:r>
      <w:r w:rsidR="00BD40B2" w:rsidRPr="003923DB">
        <w:rPr>
          <w:color w:val="000000" w:themeColor="text1"/>
          <w:szCs w:val="24"/>
        </w:rPr>
        <w:t xml:space="preserve">Valsts kases datus par konsolidētā kopbudžeta izpildi </w:t>
      </w:r>
      <w:r w:rsidR="00BD40B2">
        <w:rPr>
          <w:color w:val="000000" w:themeColor="text1"/>
          <w:szCs w:val="24"/>
        </w:rPr>
        <w:t xml:space="preserve">šā gada pirmajā pusē, </w:t>
      </w:r>
      <w:r w:rsidR="00033E8A" w:rsidRPr="003923DB">
        <w:rPr>
          <w:color w:val="000000" w:themeColor="text1"/>
          <w:szCs w:val="24"/>
        </w:rPr>
        <w:t>aktualizētās nodokļu un ne</w:t>
      </w:r>
      <w:r w:rsidR="00F55C45">
        <w:rPr>
          <w:color w:val="000000" w:themeColor="text1"/>
          <w:szCs w:val="24"/>
        </w:rPr>
        <w:t>-</w:t>
      </w:r>
      <w:r w:rsidR="00033E8A" w:rsidRPr="003923DB">
        <w:rPr>
          <w:color w:val="000000" w:themeColor="text1"/>
          <w:szCs w:val="24"/>
        </w:rPr>
        <w:t>nodokļu ieņēmumu</w:t>
      </w:r>
      <w:r w:rsidR="00721B10">
        <w:rPr>
          <w:color w:val="000000" w:themeColor="text1"/>
          <w:szCs w:val="24"/>
        </w:rPr>
        <w:t xml:space="preserve"> prognozes</w:t>
      </w:r>
      <w:r w:rsidR="00BD40B2">
        <w:rPr>
          <w:color w:val="000000" w:themeColor="text1"/>
          <w:szCs w:val="24"/>
        </w:rPr>
        <w:t xml:space="preserve">, </w:t>
      </w:r>
      <w:r w:rsidR="00033E8A" w:rsidRPr="003923DB">
        <w:rPr>
          <w:color w:val="000000" w:themeColor="text1"/>
          <w:szCs w:val="24"/>
        </w:rPr>
        <w:t>va</w:t>
      </w:r>
      <w:r w:rsidR="00033E8A">
        <w:rPr>
          <w:color w:val="000000" w:themeColor="text1"/>
          <w:szCs w:val="24"/>
        </w:rPr>
        <w:t xml:space="preserve">lsts </w:t>
      </w:r>
      <w:r w:rsidR="00721B10" w:rsidRPr="00B336C3">
        <w:rPr>
          <w:color w:val="000000" w:themeColor="text1"/>
          <w:szCs w:val="24"/>
        </w:rPr>
        <w:t>pamatbudžeta bāzes izdevum</w:t>
      </w:r>
      <w:r w:rsidR="007458A9">
        <w:rPr>
          <w:color w:val="000000" w:themeColor="text1"/>
          <w:szCs w:val="24"/>
        </w:rPr>
        <w:t>us</w:t>
      </w:r>
      <w:r w:rsidR="00721B10" w:rsidRPr="00B336C3">
        <w:rPr>
          <w:color w:val="000000" w:themeColor="text1"/>
          <w:szCs w:val="24"/>
        </w:rPr>
        <w:t xml:space="preserve"> vidējam term</w:t>
      </w:r>
      <w:r w:rsidR="00721B10">
        <w:rPr>
          <w:color w:val="000000" w:themeColor="text1"/>
          <w:szCs w:val="24"/>
        </w:rPr>
        <w:t>iņam atbilstoši datiem uz 2020. gada 31. jūliju, papildus budžeta izdevum</w:t>
      </w:r>
      <w:r w:rsidR="007458A9">
        <w:rPr>
          <w:color w:val="000000" w:themeColor="text1"/>
          <w:szCs w:val="24"/>
        </w:rPr>
        <w:t>us</w:t>
      </w:r>
      <w:r w:rsidR="00BD40B2">
        <w:rPr>
          <w:color w:val="000000" w:themeColor="text1"/>
          <w:szCs w:val="24"/>
        </w:rPr>
        <w:t xml:space="preserve">, ņemot vērā </w:t>
      </w:r>
      <w:r w:rsidRPr="003923DB">
        <w:rPr>
          <w:color w:val="000000" w:themeColor="text1"/>
          <w:szCs w:val="24"/>
        </w:rPr>
        <w:t xml:space="preserve">līdz šā gada 26.jūlijam Ministru kabinetā </w:t>
      </w:r>
      <w:r>
        <w:rPr>
          <w:color w:val="000000" w:themeColor="text1"/>
          <w:szCs w:val="24"/>
        </w:rPr>
        <w:t>un Saeimā apstiprināto</w:t>
      </w:r>
      <w:r w:rsidRPr="003923DB">
        <w:rPr>
          <w:color w:val="000000" w:themeColor="text1"/>
          <w:szCs w:val="24"/>
        </w:rPr>
        <w:t xml:space="preserve"> atbalsta pasākumu Covid-19 seku mazināšanai</w:t>
      </w:r>
      <w:r w:rsidR="00BD40B2" w:rsidRPr="00BD40B2">
        <w:rPr>
          <w:color w:val="000000" w:themeColor="text1"/>
          <w:szCs w:val="24"/>
        </w:rPr>
        <w:t xml:space="preserve"> </w:t>
      </w:r>
      <w:r w:rsidR="00BD40B2">
        <w:rPr>
          <w:color w:val="000000" w:themeColor="text1"/>
          <w:szCs w:val="24"/>
        </w:rPr>
        <w:t>fiskālo ietekmi</w:t>
      </w:r>
      <w:r w:rsidR="00721B10">
        <w:rPr>
          <w:color w:val="000000" w:themeColor="text1"/>
          <w:szCs w:val="24"/>
        </w:rPr>
        <w:t xml:space="preserve"> (skat. </w:t>
      </w:r>
      <w:r w:rsidR="00F44836">
        <w:rPr>
          <w:color w:val="000000" w:themeColor="text1"/>
          <w:szCs w:val="24"/>
        </w:rPr>
        <w:t>4. </w:t>
      </w:r>
      <w:r w:rsidR="00721B10">
        <w:rPr>
          <w:color w:val="000000" w:themeColor="text1"/>
          <w:szCs w:val="24"/>
        </w:rPr>
        <w:t>sada</w:t>
      </w:r>
      <w:r w:rsidR="00F44836">
        <w:rPr>
          <w:color w:val="000000" w:themeColor="text1"/>
          <w:szCs w:val="24"/>
        </w:rPr>
        <w:t>ļu)</w:t>
      </w:r>
      <w:r w:rsidR="00BD40B2">
        <w:rPr>
          <w:color w:val="000000" w:themeColor="text1"/>
          <w:szCs w:val="24"/>
        </w:rPr>
        <w:t xml:space="preserve">, kā arī aktuālākās valsts speciālā budžeta </w:t>
      </w:r>
      <w:r w:rsidR="00F55C45">
        <w:rPr>
          <w:color w:val="000000" w:themeColor="text1"/>
          <w:szCs w:val="24"/>
        </w:rPr>
        <w:t xml:space="preserve">izdevumu </w:t>
      </w:r>
      <w:r w:rsidR="00BD40B2">
        <w:rPr>
          <w:color w:val="000000" w:themeColor="text1"/>
          <w:szCs w:val="24"/>
        </w:rPr>
        <w:t>prognozes.</w:t>
      </w:r>
    </w:p>
    <w:p w14:paraId="17498B4C" w14:textId="32FEB5B8" w:rsidR="00902B01" w:rsidRDefault="00902B01" w:rsidP="00D23CB7">
      <w:pPr>
        <w:rPr>
          <w:color w:val="000000" w:themeColor="text1"/>
          <w:szCs w:val="24"/>
        </w:rPr>
      </w:pPr>
      <w:r>
        <w:rPr>
          <w:color w:val="000000" w:themeColor="text1"/>
          <w:szCs w:val="24"/>
        </w:rPr>
        <w:t>V</w:t>
      </w:r>
      <w:r w:rsidR="00D23CB7" w:rsidRPr="003923DB">
        <w:rPr>
          <w:color w:val="000000" w:themeColor="text1"/>
          <w:szCs w:val="24"/>
        </w:rPr>
        <w:t xml:space="preserve">ispārējās valdības budžeta </w:t>
      </w:r>
      <w:r>
        <w:rPr>
          <w:color w:val="000000" w:themeColor="text1"/>
          <w:szCs w:val="24"/>
        </w:rPr>
        <w:t>deficīts</w:t>
      </w:r>
      <w:r w:rsidR="00D23CB7" w:rsidRPr="003923DB">
        <w:rPr>
          <w:color w:val="000000" w:themeColor="text1"/>
          <w:szCs w:val="24"/>
        </w:rPr>
        <w:t xml:space="preserve"> </w:t>
      </w:r>
      <w:r w:rsidR="00D23CB7" w:rsidRPr="003923DB">
        <w:rPr>
          <w:b/>
          <w:color w:val="000000" w:themeColor="text1"/>
          <w:szCs w:val="24"/>
        </w:rPr>
        <w:t>2020.</w:t>
      </w:r>
      <w:r>
        <w:rPr>
          <w:b/>
          <w:color w:val="000000" w:themeColor="text1"/>
          <w:szCs w:val="24"/>
        </w:rPr>
        <w:t> </w:t>
      </w:r>
      <w:r w:rsidR="00D23CB7" w:rsidRPr="003923DB">
        <w:rPr>
          <w:b/>
          <w:color w:val="000000" w:themeColor="text1"/>
          <w:szCs w:val="24"/>
        </w:rPr>
        <w:t>gadam</w:t>
      </w:r>
      <w:r w:rsidR="00D23CB7" w:rsidRPr="003923DB">
        <w:rPr>
          <w:color w:val="000000" w:themeColor="text1"/>
          <w:szCs w:val="24"/>
        </w:rPr>
        <w:t xml:space="preserve"> </w:t>
      </w:r>
      <w:r>
        <w:rPr>
          <w:color w:val="000000" w:themeColor="text1"/>
          <w:szCs w:val="24"/>
        </w:rPr>
        <w:t>tiek prognozēts 7,6% no IKP, kas ir būtiski augstāks nekā plānots likumā “Par vidēja termiņa budžeta ietvaru 2020., 2021. un 2022. gadam</w:t>
      </w:r>
      <w:r w:rsidR="00BE11FF">
        <w:rPr>
          <w:color w:val="000000" w:themeColor="text1"/>
          <w:szCs w:val="24"/>
        </w:rPr>
        <w:t xml:space="preserve">” (deficīts </w:t>
      </w:r>
      <w:r>
        <w:rPr>
          <w:color w:val="000000" w:themeColor="text1"/>
          <w:szCs w:val="24"/>
        </w:rPr>
        <w:t>0,3% no IKP</w:t>
      </w:r>
      <w:r w:rsidR="00BE11FF">
        <w:rPr>
          <w:color w:val="000000" w:themeColor="text1"/>
          <w:szCs w:val="24"/>
        </w:rPr>
        <w:t>),</w:t>
      </w:r>
      <w:r>
        <w:rPr>
          <w:color w:val="000000" w:themeColor="text1"/>
          <w:szCs w:val="24"/>
        </w:rPr>
        <w:t xml:space="preserve"> taču </w:t>
      </w:r>
      <w:r w:rsidR="003238FD">
        <w:rPr>
          <w:color w:val="000000" w:themeColor="text1"/>
          <w:szCs w:val="24"/>
        </w:rPr>
        <w:t>šobrīd deficīts tiek prognozēts zemāks, salīdzinot ar pavasari</w:t>
      </w:r>
      <w:r w:rsidR="00BE11FF">
        <w:rPr>
          <w:color w:val="000000" w:themeColor="text1"/>
          <w:szCs w:val="24"/>
        </w:rPr>
        <w:t xml:space="preserve"> (deficīts 9,4% no IKP)</w:t>
      </w:r>
      <w:r w:rsidR="003238FD">
        <w:rPr>
          <w:color w:val="000000" w:themeColor="text1"/>
          <w:szCs w:val="24"/>
        </w:rPr>
        <w:t>, k</w:t>
      </w:r>
      <w:r w:rsidR="00256648">
        <w:rPr>
          <w:color w:val="000000" w:themeColor="text1"/>
          <w:szCs w:val="24"/>
        </w:rPr>
        <w:t>ad</w:t>
      </w:r>
      <w:r w:rsidR="003238FD">
        <w:rPr>
          <w:color w:val="000000" w:themeColor="text1"/>
          <w:szCs w:val="24"/>
        </w:rPr>
        <w:t xml:space="preserve">, izstrādājot </w:t>
      </w:r>
      <w:r>
        <w:rPr>
          <w:color w:val="000000" w:themeColor="text1"/>
          <w:szCs w:val="24"/>
        </w:rPr>
        <w:t>Stabilitātes programm</w:t>
      </w:r>
      <w:r w:rsidR="003238FD">
        <w:rPr>
          <w:color w:val="000000" w:themeColor="text1"/>
          <w:szCs w:val="24"/>
        </w:rPr>
        <w:t>u</w:t>
      </w:r>
      <w:r>
        <w:rPr>
          <w:color w:val="000000" w:themeColor="text1"/>
          <w:szCs w:val="24"/>
        </w:rPr>
        <w:t xml:space="preserve"> 2020.-2023. gadam, jau tika ņemt</w:t>
      </w:r>
      <w:r w:rsidR="003238FD">
        <w:rPr>
          <w:color w:val="000000" w:themeColor="text1"/>
          <w:szCs w:val="24"/>
        </w:rPr>
        <w:t>s</w:t>
      </w:r>
      <w:r>
        <w:rPr>
          <w:color w:val="000000" w:themeColor="text1"/>
          <w:szCs w:val="24"/>
        </w:rPr>
        <w:t xml:space="preserve"> vērā iekšzemes kopprodukta kritums</w:t>
      </w:r>
      <w:r w:rsidR="003238FD" w:rsidRPr="003238FD">
        <w:rPr>
          <w:color w:val="000000" w:themeColor="text1"/>
          <w:szCs w:val="24"/>
        </w:rPr>
        <w:t xml:space="preserve"> </w:t>
      </w:r>
      <w:r w:rsidR="003238FD">
        <w:rPr>
          <w:color w:val="000000" w:themeColor="text1"/>
          <w:szCs w:val="24"/>
        </w:rPr>
        <w:t xml:space="preserve">Covid-19 ietekmē.  </w:t>
      </w:r>
    </w:p>
    <w:p w14:paraId="3851317D" w14:textId="3C7C8994" w:rsidR="00D23CB7" w:rsidRPr="008F2113" w:rsidRDefault="00D23CB7" w:rsidP="00D23CB7">
      <w:pPr>
        <w:rPr>
          <w:color w:val="000000" w:themeColor="text1"/>
          <w:szCs w:val="24"/>
          <w:highlight w:val="yellow"/>
        </w:rPr>
      </w:pPr>
      <w:r>
        <w:rPr>
          <w:color w:val="000000" w:themeColor="text1"/>
          <w:szCs w:val="24"/>
        </w:rPr>
        <w:t xml:space="preserve">Salīdzinot ar </w:t>
      </w:r>
      <w:r w:rsidR="00800CBC">
        <w:rPr>
          <w:color w:val="000000" w:themeColor="text1"/>
          <w:szCs w:val="24"/>
        </w:rPr>
        <w:t>pērn plānoto vidēja termiņa budžeta ietvarā</w:t>
      </w:r>
      <w:r w:rsidR="00F44836">
        <w:rPr>
          <w:color w:val="000000" w:themeColor="text1"/>
          <w:szCs w:val="24"/>
        </w:rPr>
        <w:t xml:space="preserve"> (turpmāk – </w:t>
      </w:r>
      <w:r w:rsidR="00A54F38">
        <w:rPr>
          <w:color w:val="000000" w:themeColor="text1"/>
          <w:szCs w:val="24"/>
        </w:rPr>
        <w:t>ietvarā</w:t>
      </w:r>
      <w:r w:rsidR="00F44836">
        <w:rPr>
          <w:color w:val="000000" w:themeColor="text1"/>
          <w:szCs w:val="24"/>
        </w:rPr>
        <w:t>)</w:t>
      </w:r>
      <w:r>
        <w:rPr>
          <w:color w:val="000000" w:themeColor="text1"/>
          <w:szCs w:val="24"/>
        </w:rPr>
        <w:t xml:space="preserve"> būtisks samazinājums vērojams nodokļu ieņēmumu prognozēs. Zemāki ieņēmumi prognozēti faktiski visās lielākajās nodokļu grupās, kas saistīts ar Covid-19 izraisīto plašo ietekmi uz tautsaimniecību un vispārējo ekonomiskās aktivitātes sarukumu valstī. Savukārt</w:t>
      </w:r>
      <w:r w:rsidR="00800CBC">
        <w:rPr>
          <w:color w:val="000000" w:themeColor="text1"/>
          <w:szCs w:val="24"/>
        </w:rPr>
        <w:t>,</w:t>
      </w:r>
      <w:r>
        <w:rPr>
          <w:color w:val="000000" w:themeColor="text1"/>
          <w:szCs w:val="24"/>
        </w:rPr>
        <w:t xml:space="preserve"> ne</w:t>
      </w:r>
      <w:r w:rsidR="0003311F">
        <w:rPr>
          <w:color w:val="000000" w:themeColor="text1"/>
          <w:szCs w:val="24"/>
        </w:rPr>
        <w:t>-</w:t>
      </w:r>
      <w:r>
        <w:rPr>
          <w:color w:val="000000" w:themeColor="text1"/>
          <w:szCs w:val="24"/>
        </w:rPr>
        <w:t xml:space="preserve">nodokļu ieņēmumi, ņemot vērā pieaugumu sagaidāmajos </w:t>
      </w:r>
      <w:r w:rsidR="0003311F">
        <w:rPr>
          <w:color w:val="000000" w:themeColor="text1"/>
          <w:szCs w:val="24"/>
        </w:rPr>
        <w:t>ieņēmumos no dividendēm</w:t>
      </w:r>
      <w:r>
        <w:rPr>
          <w:color w:val="000000" w:themeColor="text1"/>
          <w:szCs w:val="24"/>
        </w:rPr>
        <w:t xml:space="preserve">, tiek sagaidīti lielākā apmērā </w:t>
      </w:r>
      <w:r w:rsidR="00F44836">
        <w:rPr>
          <w:color w:val="000000" w:themeColor="text1"/>
          <w:szCs w:val="24"/>
        </w:rPr>
        <w:t>ne</w:t>
      </w:r>
      <w:r>
        <w:rPr>
          <w:color w:val="000000" w:themeColor="text1"/>
          <w:szCs w:val="24"/>
        </w:rPr>
        <w:t xml:space="preserve">kā </w:t>
      </w:r>
      <w:r w:rsidR="00F44836">
        <w:rPr>
          <w:color w:val="000000" w:themeColor="text1"/>
          <w:szCs w:val="24"/>
        </w:rPr>
        <w:t xml:space="preserve">plānots </w:t>
      </w:r>
      <w:r w:rsidR="00A54F38">
        <w:rPr>
          <w:color w:val="000000" w:themeColor="text1"/>
          <w:szCs w:val="24"/>
        </w:rPr>
        <w:t>ietvarā</w:t>
      </w:r>
      <w:r w:rsidR="00F44836">
        <w:rPr>
          <w:color w:val="000000" w:themeColor="text1"/>
          <w:szCs w:val="24"/>
        </w:rPr>
        <w:t>.</w:t>
      </w:r>
    </w:p>
    <w:p w14:paraId="1DE44DF2" w14:textId="081BEC54" w:rsidR="00D23CB7" w:rsidRDefault="00D23CB7" w:rsidP="00D23CB7">
      <w:pPr>
        <w:rPr>
          <w:color w:val="000000" w:themeColor="text1"/>
          <w:szCs w:val="24"/>
        </w:rPr>
      </w:pPr>
      <w:r>
        <w:rPr>
          <w:color w:val="000000" w:themeColor="text1"/>
          <w:szCs w:val="24"/>
        </w:rPr>
        <w:t>Būtiski augstāki kā p</w:t>
      </w:r>
      <w:r w:rsidR="007841BC">
        <w:rPr>
          <w:color w:val="000000" w:themeColor="text1"/>
          <w:szCs w:val="24"/>
        </w:rPr>
        <w:t>lānots</w:t>
      </w:r>
      <w:r>
        <w:rPr>
          <w:color w:val="000000" w:themeColor="text1"/>
          <w:szCs w:val="24"/>
        </w:rPr>
        <w:t xml:space="preserve"> </w:t>
      </w:r>
      <w:r w:rsidR="00A54F38">
        <w:rPr>
          <w:color w:val="000000" w:themeColor="text1"/>
          <w:szCs w:val="24"/>
        </w:rPr>
        <w:t>ietvarā</w:t>
      </w:r>
      <w:r w:rsidR="00682304">
        <w:rPr>
          <w:color w:val="000000" w:themeColor="text1"/>
          <w:szCs w:val="24"/>
        </w:rPr>
        <w:t xml:space="preserve"> </w:t>
      </w:r>
      <w:r>
        <w:rPr>
          <w:color w:val="000000" w:themeColor="text1"/>
          <w:szCs w:val="24"/>
        </w:rPr>
        <w:t>2020. gadam ir</w:t>
      </w:r>
      <w:r w:rsidRPr="00383BA3">
        <w:rPr>
          <w:color w:val="000000" w:themeColor="text1"/>
          <w:szCs w:val="24"/>
        </w:rPr>
        <w:t xml:space="preserve"> </w:t>
      </w:r>
      <w:r>
        <w:rPr>
          <w:color w:val="000000" w:themeColor="text1"/>
          <w:szCs w:val="24"/>
        </w:rPr>
        <w:t>vispārējās valdības budžeta</w:t>
      </w:r>
      <w:r w:rsidRPr="00383BA3">
        <w:rPr>
          <w:color w:val="000000" w:themeColor="text1"/>
          <w:szCs w:val="24"/>
        </w:rPr>
        <w:t xml:space="preserve"> izdevumi, kas skaidrojams ar </w:t>
      </w:r>
      <w:r w:rsidR="00682304">
        <w:rPr>
          <w:color w:val="000000" w:themeColor="text1"/>
          <w:szCs w:val="24"/>
        </w:rPr>
        <w:t>papildus izdevumiem atbalsta</w:t>
      </w:r>
      <w:r w:rsidRPr="00383BA3">
        <w:rPr>
          <w:color w:val="000000" w:themeColor="text1"/>
          <w:szCs w:val="24"/>
        </w:rPr>
        <w:t xml:space="preserve"> pasākumu</w:t>
      </w:r>
      <w:r w:rsidR="00682304">
        <w:rPr>
          <w:color w:val="000000" w:themeColor="text1"/>
          <w:szCs w:val="24"/>
        </w:rPr>
        <w:t xml:space="preserve"> finansēšanai, lai mazinātu</w:t>
      </w:r>
      <w:r w:rsidRPr="00383BA3">
        <w:rPr>
          <w:color w:val="000000" w:themeColor="text1"/>
          <w:szCs w:val="24"/>
        </w:rPr>
        <w:t xml:space="preserve"> Covid-19 ietekm</w:t>
      </w:r>
      <w:r w:rsidR="00682304">
        <w:rPr>
          <w:color w:val="000000" w:themeColor="text1"/>
          <w:szCs w:val="24"/>
        </w:rPr>
        <w:t xml:space="preserve">i gan uz iedzīvotājiem, gan uzņēmumiem un nozarēm kopumā </w:t>
      </w:r>
      <w:r>
        <w:rPr>
          <w:color w:val="000000" w:themeColor="text1"/>
          <w:szCs w:val="24"/>
        </w:rPr>
        <w:t>(</w:t>
      </w:r>
      <w:r w:rsidR="00F44836">
        <w:rPr>
          <w:color w:val="000000" w:themeColor="text1"/>
          <w:szCs w:val="24"/>
        </w:rPr>
        <w:t>skat.</w:t>
      </w:r>
      <w:r>
        <w:rPr>
          <w:color w:val="000000" w:themeColor="text1"/>
          <w:szCs w:val="24"/>
        </w:rPr>
        <w:t xml:space="preserve"> 4.</w:t>
      </w:r>
      <w:r w:rsidR="00F44836">
        <w:rPr>
          <w:color w:val="000000" w:themeColor="text1"/>
          <w:szCs w:val="24"/>
        </w:rPr>
        <w:t> sadaļu</w:t>
      </w:r>
      <w:r>
        <w:rPr>
          <w:color w:val="000000" w:themeColor="text1"/>
          <w:szCs w:val="24"/>
        </w:rPr>
        <w:t>). Atbalsta pasākumi galvenokārt iet</w:t>
      </w:r>
      <w:r w:rsidR="00682304">
        <w:rPr>
          <w:color w:val="000000" w:themeColor="text1"/>
          <w:szCs w:val="24"/>
        </w:rPr>
        <w:t>ekmē 2020. </w:t>
      </w:r>
      <w:r>
        <w:rPr>
          <w:color w:val="000000" w:themeColor="text1"/>
          <w:szCs w:val="24"/>
        </w:rPr>
        <w:t>gada</w:t>
      </w:r>
      <w:r w:rsidR="00682304">
        <w:rPr>
          <w:color w:val="000000" w:themeColor="text1"/>
          <w:szCs w:val="24"/>
        </w:rPr>
        <w:t xml:space="preserve"> budžeta izdevumu</w:t>
      </w:r>
      <w:r w:rsidR="007458A9">
        <w:rPr>
          <w:color w:val="000000" w:themeColor="text1"/>
          <w:szCs w:val="24"/>
        </w:rPr>
        <w:t>s</w:t>
      </w:r>
      <w:r>
        <w:rPr>
          <w:color w:val="000000" w:themeColor="text1"/>
          <w:szCs w:val="24"/>
        </w:rPr>
        <w:t xml:space="preserve">, </w:t>
      </w:r>
      <w:r w:rsidR="00682304">
        <w:rPr>
          <w:color w:val="000000" w:themeColor="text1"/>
          <w:szCs w:val="24"/>
        </w:rPr>
        <w:t>taču daļēji arī 2021. </w:t>
      </w:r>
      <w:r w:rsidR="007458A9">
        <w:rPr>
          <w:color w:val="000000" w:themeColor="text1"/>
          <w:szCs w:val="24"/>
        </w:rPr>
        <w:t>gada</w:t>
      </w:r>
      <w:r>
        <w:rPr>
          <w:color w:val="000000" w:themeColor="text1"/>
          <w:szCs w:val="24"/>
        </w:rPr>
        <w:t xml:space="preserve"> izdevumu apmēru, īpaši valsts pamatbudžetā</w:t>
      </w:r>
      <w:r w:rsidRPr="00383BA3">
        <w:rPr>
          <w:color w:val="000000" w:themeColor="text1"/>
          <w:szCs w:val="24"/>
        </w:rPr>
        <w:t xml:space="preserve">. </w:t>
      </w:r>
      <w:r>
        <w:rPr>
          <w:color w:val="000000" w:themeColor="text1"/>
          <w:szCs w:val="24"/>
        </w:rPr>
        <w:t>Arī valsts speciālā budžeta izdevumi atjaunotajās prognozēs palielinās</w:t>
      </w:r>
      <w:r w:rsidR="00A54F38">
        <w:rPr>
          <w:color w:val="000000" w:themeColor="text1"/>
          <w:szCs w:val="24"/>
        </w:rPr>
        <w:t xml:space="preserve"> pret plānoto ietvarā</w:t>
      </w:r>
      <w:r>
        <w:rPr>
          <w:color w:val="000000" w:themeColor="text1"/>
          <w:szCs w:val="24"/>
        </w:rPr>
        <w:t>, kas saistīts a</w:t>
      </w:r>
      <w:r w:rsidR="00A54F38">
        <w:rPr>
          <w:color w:val="000000" w:themeColor="text1"/>
          <w:szCs w:val="24"/>
        </w:rPr>
        <w:t>r augstākiem izdevumiem bezdarbnieku</w:t>
      </w:r>
      <w:r>
        <w:rPr>
          <w:color w:val="000000" w:themeColor="text1"/>
          <w:szCs w:val="24"/>
        </w:rPr>
        <w:t xml:space="preserve"> pabalstiem</w:t>
      </w:r>
      <w:r w:rsidR="00A54F38">
        <w:rPr>
          <w:color w:val="000000" w:themeColor="text1"/>
          <w:szCs w:val="24"/>
        </w:rPr>
        <w:t>.</w:t>
      </w:r>
    </w:p>
    <w:p w14:paraId="5A8F05F8" w14:textId="2582A32D" w:rsidR="00D23CB7" w:rsidRDefault="00D24589" w:rsidP="007841BC">
      <w:pPr>
        <w:rPr>
          <w:color w:val="000000" w:themeColor="text1"/>
          <w:szCs w:val="24"/>
        </w:rPr>
      </w:pPr>
      <w:r>
        <w:rPr>
          <w:color w:val="000000" w:themeColor="text1"/>
          <w:szCs w:val="24"/>
        </w:rPr>
        <w:t>Savukārt, pašvaldību budžetā</w:t>
      </w:r>
      <w:r w:rsidR="00B90F50">
        <w:rPr>
          <w:color w:val="000000" w:themeColor="text1"/>
          <w:szCs w:val="24"/>
        </w:rPr>
        <w:t xml:space="preserve"> 2020. gadā </w:t>
      </w:r>
      <w:r>
        <w:rPr>
          <w:color w:val="000000" w:themeColor="text1"/>
          <w:szCs w:val="24"/>
        </w:rPr>
        <w:t xml:space="preserve">ir sagaidāms </w:t>
      </w:r>
      <w:r w:rsidR="00B90F50">
        <w:rPr>
          <w:color w:val="000000" w:themeColor="text1"/>
          <w:szCs w:val="24"/>
        </w:rPr>
        <w:t>z</w:t>
      </w:r>
      <w:r w:rsidR="00D23CB7" w:rsidRPr="00F94334">
        <w:rPr>
          <w:color w:val="000000" w:themeColor="text1"/>
          <w:szCs w:val="24"/>
        </w:rPr>
        <w:t>emāks izdevumu apmērs</w:t>
      </w:r>
      <w:r w:rsidR="00B90F50">
        <w:rPr>
          <w:color w:val="000000" w:themeColor="text1"/>
          <w:szCs w:val="24"/>
        </w:rPr>
        <w:t xml:space="preserve"> nekā plānots ietvarā, </w:t>
      </w:r>
      <w:r w:rsidR="007841BC">
        <w:rPr>
          <w:color w:val="000000" w:themeColor="text1"/>
          <w:szCs w:val="24"/>
        </w:rPr>
        <w:t xml:space="preserve">piemēram, </w:t>
      </w:r>
      <w:r w:rsidR="00B90F50">
        <w:rPr>
          <w:color w:val="000000" w:themeColor="text1"/>
          <w:szCs w:val="24"/>
        </w:rPr>
        <w:t>izdevumi precēm un pakalpojumiem</w:t>
      </w:r>
      <w:r w:rsidR="007841BC">
        <w:rPr>
          <w:color w:val="000000" w:themeColor="text1"/>
          <w:szCs w:val="24"/>
        </w:rPr>
        <w:t xml:space="preserve"> tiek prognozēti mazāki, ņemot vērā faktisko izpildi </w:t>
      </w:r>
      <w:r w:rsidR="00B90F50">
        <w:rPr>
          <w:color w:val="000000" w:themeColor="text1"/>
          <w:szCs w:val="24"/>
        </w:rPr>
        <w:t>šā gada pirmajā pusē</w:t>
      </w:r>
      <w:r w:rsidR="007841BC">
        <w:rPr>
          <w:color w:val="000000" w:themeColor="text1"/>
          <w:szCs w:val="24"/>
        </w:rPr>
        <w:t>, tāpat izdevumi atlīdzībai šogad pieaugs lēnākā tempā nekā plānots pirms gada</w:t>
      </w:r>
      <w:r w:rsidR="00B90F50">
        <w:rPr>
          <w:color w:val="000000" w:themeColor="text1"/>
          <w:szCs w:val="24"/>
        </w:rPr>
        <w:t>,</w:t>
      </w:r>
      <w:r w:rsidR="007841BC">
        <w:rPr>
          <w:color w:val="000000" w:themeColor="text1"/>
          <w:szCs w:val="24"/>
        </w:rPr>
        <w:t xml:space="preserve"> savukārt kapitālie izdevumi tiek prognozēti ar samazinājumu pret 2019. gadu, taču ne tik strauju kā tika plānots iepriekš, ņemot vērā papildus aizņēmumu limita palielināšanu, atbalstot pašvaldību investīcijas Covid-19 krīzē. Atbilstoši šīm izmaiņām </w:t>
      </w:r>
      <w:r w:rsidR="00D23CB7" w:rsidRPr="00F94334">
        <w:rPr>
          <w:color w:val="000000" w:themeColor="text1"/>
          <w:szCs w:val="24"/>
        </w:rPr>
        <w:t>tika koriģēt</w:t>
      </w:r>
      <w:r w:rsidR="007841BC">
        <w:rPr>
          <w:color w:val="000000" w:themeColor="text1"/>
          <w:szCs w:val="24"/>
        </w:rPr>
        <w:t>as pašvaldību budžeta prognozes arī</w:t>
      </w:r>
      <w:r w:rsidR="007841BC" w:rsidRPr="007841BC">
        <w:rPr>
          <w:color w:val="000000" w:themeColor="text1"/>
          <w:szCs w:val="24"/>
        </w:rPr>
        <w:t xml:space="preserve"> </w:t>
      </w:r>
      <w:r w:rsidR="007841BC">
        <w:rPr>
          <w:color w:val="000000" w:themeColor="text1"/>
          <w:szCs w:val="24"/>
        </w:rPr>
        <w:t>vidējā termiņā.</w:t>
      </w:r>
    </w:p>
    <w:p w14:paraId="4756A113" w14:textId="47701242" w:rsidR="0093024E" w:rsidRPr="0063475B" w:rsidRDefault="0093024E" w:rsidP="00AE4C7E">
      <w:pPr>
        <w:rPr>
          <w:color w:val="000000" w:themeColor="text1"/>
          <w:szCs w:val="24"/>
        </w:rPr>
      </w:pPr>
      <w:r w:rsidRPr="0063475B">
        <w:rPr>
          <w:color w:val="000000" w:themeColor="text1"/>
          <w:szCs w:val="24"/>
        </w:rPr>
        <w:t xml:space="preserve">Vidējā termiņā prognozēti lielāki izdevumi nacionālā līdzfinansējuma nodrošināšanai no ārvalstu finanšu palīdzības līdzfinansēto projektu īstenošanai. To ietekmē gan sagaidāmais izdevumu pieaugums </w:t>
      </w:r>
      <w:r w:rsidR="0063475B">
        <w:rPr>
          <w:color w:val="000000" w:themeColor="text1"/>
          <w:szCs w:val="24"/>
        </w:rPr>
        <w:t>“</w:t>
      </w:r>
      <w:r w:rsidRPr="0063475B">
        <w:rPr>
          <w:color w:val="000000" w:themeColor="text1"/>
          <w:szCs w:val="24"/>
        </w:rPr>
        <w:t xml:space="preserve">Rail </w:t>
      </w:r>
      <w:proofErr w:type="spellStart"/>
      <w:r w:rsidRPr="0063475B">
        <w:rPr>
          <w:color w:val="000000" w:themeColor="text1"/>
          <w:szCs w:val="24"/>
        </w:rPr>
        <w:t>Baltica</w:t>
      </w:r>
      <w:proofErr w:type="spellEnd"/>
      <w:r w:rsidR="0063475B">
        <w:rPr>
          <w:color w:val="000000" w:themeColor="text1"/>
          <w:szCs w:val="24"/>
        </w:rPr>
        <w:t>”</w:t>
      </w:r>
      <w:r w:rsidRPr="0063475B">
        <w:rPr>
          <w:color w:val="000000" w:themeColor="text1"/>
          <w:szCs w:val="24"/>
        </w:rPr>
        <w:t xml:space="preserve"> projekta </w:t>
      </w:r>
      <w:r w:rsidRPr="0063475B">
        <w:rPr>
          <w:color w:val="000000" w:themeColor="text1"/>
          <w:szCs w:val="24"/>
        </w:rPr>
        <w:lastRenderedPageBreak/>
        <w:t xml:space="preserve">īstenošanai, gan arī </w:t>
      </w:r>
      <w:proofErr w:type="spellStart"/>
      <w:r w:rsidRPr="0063475B">
        <w:rPr>
          <w:color w:val="000000" w:themeColor="text1"/>
          <w:szCs w:val="24"/>
        </w:rPr>
        <w:t>virssaistību</w:t>
      </w:r>
      <w:proofErr w:type="spellEnd"/>
      <w:r w:rsidRPr="0063475B">
        <w:rPr>
          <w:color w:val="000000" w:themeColor="text1"/>
          <w:szCs w:val="24"/>
        </w:rPr>
        <w:t xml:space="preserve"> finansējuma piešķiršana ES fondu un lauksaimniecības projektu īstenošanas programmās. </w:t>
      </w:r>
    </w:p>
    <w:p w14:paraId="555C3FE6" w14:textId="328B781B" w:rsidR="00D23CB7" w:rsidRPr="00F94334" w:rsidRDefault="00D23CB7" w:rsidP="00D23CB7">
      <w:pPr>
        <w:rPr>
          <w:color w:val="000000" w:themeColor="text1"/>
          <w:szCs w:val="24"/>
        </w:rPr>
      </w:pPr>
      <w:r w:rsidRPr="0063475B">
        <w:rPr>
          <w:b/>
          <w:color w:val="000000" w:themeColor="text1"/>
          <w:szCs w:val="24"/>
        </w:rPr>
        <w:t>2021. -2023. gadā</w:t>
      </w:r>
      <w:r w:rsidRPr="0063475B">
        <w:rPr>
          <w:color w:val="000000" w:themeColor="text1"/>
          <w:szCs w:val="24"/>
        </w:rPr>
        <w:t xml:space="preserve"> vispārējās valdības budžeta deficīts pie nemainīgas valdības politikas scenārija tiek prognozēts attiecīgi 3,9% no IKP 2021. gadā, 2,8% no IKP 2022. gadā un 1,7% no IKP 2023. gadā (skat. </w:t>
      </w:r>
      <w:r w:rsidR="00377CA0" w:rsidRPr="0063475B">
        <w:rPr>
          <w:color w:val="000000" w:themeColor="text1"/>
          <w:szCs w:val="24"/>
        </w:rPr>
        <w:t>3</w:t>
      </w:r>
      <w:r w:rsidRPr="0063475B">
        <w:rPr>
          <w:color w:val="000000" w:themeColor="text1"/>
          <w:szCs w:val="24"/>
        </w:rPr>
        <w:t>. tabulu).</w:t>
      </w:r>
      <w:r w:rsidRPr="00F94334">
        <w:rPr>
          <w:color w:val="000000" w:themeColor="text1"/>
          <w:szCs w:val="24"/>
        </w:rPr>
        <w:t xml:space="preserve"> </w:t>
      </w:r>
    </w:p>
    <w:p w14:paraId="2531169C" w14:textId="3B60A9B1" w:rsidR="00D23CB7" w:rsidRPr="00AE4C7E" w:rsidRDefault="00F55244" w:rsidP="00AE4C7E">
      <w:pPr>
        <w:spacing w:before="240" w:after="60"/>
        <w:jc w:val="center"/>
        <w:rPr>
          <w:rFonts w:eastAsia="Calibri" w:cs="Times New Roman"/>
          <w:b/>
          <w:sz w:val="24"/>
          <w:szCs w:val="24"/>
        </w:rPr>
      </w:pPr>
      <w:r w:rsidRPr="00AE4C7E">
        <w:rPr>
          <w:rFonts w:eastAsia="Calibri" w:cs="Times New Roman"/>
          <w:b/>
          <w:sz w:val="24"/>
          <w:szCs w:val="24"/>
        </w:rPr>
        <w:t>3</w:t>
      </w:r>
      <w:r w:rsidR="00D23CB7" w:rsidRPr="00AE4C7E">
        <w:rPr>
          <w:rFonts w:eastAsia="Calibri" w:cs="Times New Roman"/>
          <w:b/>
          <w:sz w:val="24"/>
          <w:szCs w:val="24"/>
        </w:rPr>
        <w:t>.tabula. Vispārējās valdības budžeta bilance 201</w:t>
      </w:r>
      <w:r w:rsidR="005D0688" w:rsidRPr="00AE4C7E">
        <w:rPr>
          <w:rFonts w:eastAsia="Calibri" w:cs="Times New Roman"/>
          <w:b/>
          <w:sz w:val="24"/>
          <w:szCs w:val="24"/>
        </w:rPr>
        <w:t>7</w:t>
      </w:r>
      <w:r w:rsidR="00AE4C7E">
        <w:rPr>
          <w:rFonts w:eastAsia="Calibri" w:cs="Times New Roman"/>
          <w:b/>
          <w:sz w:val="24"/>
          <w:szCs w:val="24"/>
        </w:rPr>
        <w:t>.-2023.gadā,</w:t>
      </w:r>
      <w:r w:rsidR="00AE4C7E">
        <w:rPr>
          <w:rFonts w:eastAsia="Calibri" w:cs="Times New Roman"/>
          <w:b/>
          <w:sz w:val="24"/>
          <w:szCs w:val="24"/>
        </w:rPr>
        <w:br/>
      </w:r>
      <w:r w:rsidR="00D23CB7" w:rsidRPr="00AE4C7E">
        <w:rPr>
          <w:rFonts w:eastAsia="Calibri" w:cs="Times New Roman"/>
          <w:b/>
          <w:sz w:val="24"/>
          <w:szCs w:val="24"/>
        </w:rPr>
        <w:t xml:space="preserve">% no IKP un milj. </w:t>
      </w:r>
      <w:proofErr w:type="spellStart"/>
      <w:r w:rsidR="00D23CB7" w:rsidRPr="00AE4C7E">
        <w:rPr>
          <w:rFonts w:eastAsia="Calibri" w:cs="Times New Roman"/>
          <w:b/>
          <w:sz w:val="24"/>
          <w:szCs w:val="24"/>
        </w:rPr>
        <w:t>euro</w:t>
      </w:r>
      <w:proofErr w:type="spellEnd"/>
    </w:p>
    <w:p w14:paraId="6A98DE34" w14:textId="2D87C0A5" w:rsidR="00D23CB7" w:rsidRDefault="001571F4" w:rsidP="00D23CB7">
      <w:pPr>
        <w:ind w:firstLine="0"/>
        <w:rPr>
          <w:noProof/>
          <w:color w:val="000000" w:themeColor="text1"/>
          <w:szCs w:val="24"/>
          <w:lang w:eastAsia="lv-LV"/>
        </w:rPr>
      </w:pPr>
      <w:r w:rsidRPr="001571F4">
        <w:rPr>
          <w:noProof/>
          <w:color w:val="000000" w:themeColor="text1"/>
          <w:szCs w:val="24"/>
          <w:lang w:eastAsia="lv-LV"/>
        </w:rPr>
        <w:drawing>
          <wp:inline distT="0" distB="0" distL="0" distR="0" wp14:anchorId="274270E5" wp14:editId="70750DFB">
            <wp:extent cx="5760085" cy="531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5314950"/>
                    </a:xfrm>
                    <a:prstGeom prst="rect">
                      <a:avLst/>
                    </a:prstGeom>
                  </pic:spPr>
                </pic:pic>
              </a:graphicData>
            </a:graphic>
          </wp:inline>
        </w:drawing>
      </w:r>
    </w:p>
    <w:p w14:paraId="38AAB7A1" w14:textId="77777777" w:rsidR="008852F6" w:rsidRDefault="008852F6" w:rsidP="00D23CB7">
      <w:pPr>
        <w:rPr>
          <w:color w:val="000000" w:themeColor="text1"/>
          <w:szCs w:val="24"/>
        </w:rPr>
      </w:pPr>
    </w:p>
    <w:p w14:paraId="39696A30" w14:textId="77777777" w:rsidR="008852F6" w:rsidRDefault="008852F6" w:rsidP="00D23CB7">
      <w:pPr>
        <w:rPr>
          <w:color w:val="000000" w:themeColor="text1"/>
          <w:szCs w:val="24"/>
        </w:rPr>
      </w:pPr>
    </w:p>
    <w:p w14:paraId="6E034BD8" w14:textId="77777777" w:rsidR="008852F6" w:rsidRDefault="008852F6" w:rsidP="00D23CB7">
      <w:pPr>
        <w:rPr>
          <w:color w:val="000000" w:themeColor="text1"/>
          <w:szCs w:val="24"/>
        </w:rPr>
      </w:pPr>
    </w:p>
    <w:p w14:paraId="6A22D018" w14:textId="5FFCA4E6" w:rsidR="00C1151A" w:rsidRPr="00CF7F05" w:rsidRDefault="00C1151A" w:rsidP="0093024E">
      <w:pPr>
        <w:ind w:firstLine="0"/>
        <w:rPr>
          <w:noProof/>
          <w:color w:val="000000" w:themeColor="text1"/>
          <w:szCs w:val="24"/>
        </w:rPr>
      </w:pPr>
    </w:p>
    <w:p w14:paraId="0243D0F2" w14:textId="5200593F" w:rsidR="0063475B" w:rsidRPr="00A3684A" w:rsidRDefault="0063475B" w:rsidP="00BC5A8C">
      <w:pPr>
        <w:pStyle w:val="Heading1"/>
        <w:ind w:left="284"/>
      </w:pPr>
      <w:bookmarkStart w:id="5" w:name="_Toc48048099"/>
      <w:r w:rsidRPr="00A3684A">
        <w:lastRenderedPageBreak/>
        <w:t>Valdības apstiprinātie atbalsta pasākumi</w:t>
      </w:r>
      <w:r w:rsidRPr="00A3684A">
        <w:br/>
        <w:t>Covid-19</w:t>
      </w:r>
      <w:r w:rsidR="004D62CB">
        <w:t xml:space="preserve"> infekcijas</w:t>
      </w:r>
      <w:r w:rsidRPr="00A3684A">
        <w:t xml:space="preserve"> izraisītās krīzes seku mazināšanai tautsaimniecībā un to fiskālā ietekme</w:t>
      </w:r>
      <w:bookmarkEnd w:id="5"/>
    </w:p>
    <w:p w14:paraId="6D36F4BC" w14:textId="2F014FA3" w:rsidR="00D23CB7" w:rsidRDefault="00D23CB7" w:rsidP="00D23CB7">
      <w:pPr>
        <w:rPr>
          <w:color w:val="000000" w:themeColor="text1"/>
          <w:szCs w:val="24"/>
        </w:rPr>
      </w:pPr>
      <w:r>
        <w:rPr>
          <w:color w:val="000000" w:themeColor="text1"/>
          <w:szCs w:val="24"/>
        </w:rPr>
        <w:t xml:space="preserve">Atbilstoši Finanšu ministrijas </w:t>
      </w:r>
      <w:r w:rsidR="00493AD4">
        <w:rPr>
          <w:color w:val="000000" w:themeColor="text1"/>
          <w:szCs w:val="24"/>
        </w:rPr>
        <w:t>novērtējumam</w:t>
      </w:r>
      <w:r>
        <w:rPr>
          <w:color w:val="000000" w:themeColor="text1"/>
          <w:szCs w:val="24"/>
        </w:rPr>
        <w:t xml:space="preserve"> līdz šā gada 26.jūlijam apstiprinātais tautsaimniecības atbalsta pasākumu apmērs sasniedzis 3,2 miljardus </w:t>
      </w:r>
      <w:proofErr w:type="spellStart"/>
      <w:r w:rsidRPr="008523F4">
        <w:rPr>
          <w:i/>
          <w:color w:val="000000" w:themeColor="text1"/>
          <w:szCs w:val="24"/>
        </w:rPr>
        <w:t>e</w:t>
      </w:r>
      <w:r w:rsidR="008523F4" w:rsidRPr="008523F4">
        <w:rPr>
          <w:i/>
          <w:color w:val="000000" w:themeColor="text1"/>
          <w:szCs w:val="24"/>
        </w:rPr>
        <w:t>u</w:t>
      </w:r>
      <w:r w:rsidRPr="008523F4">
        <w:rPr>
          <w:i/>
          <w:color w:val="000000" w:themeColor="text1"/>
          <w:szCs w:val="24"/>
        </w:rPr>
        <w:t>ro</w:t>
      </w:r>
      <w:proofErr w:type="spellEnd"/>
      <w:r>
        <w:rPr>
          <w:color w:val="000000" w:themeColor="text1"/>
          <w:szCs w:val="24"/>
        </w:rPr>
        <w:t xml:space="preserve"> jeb 11,2% no IKP, tostarp par 1 </w:t>
      </w:r>
      <w:r w:rsidR="008523F4">
        <w:rPr>
          <w:color w:val="000000" w:themeColor="text1"/>
          <w:szCs w:val="28"/>
        </w:rPr>
        <w:t xml:space="preserve">266 milj. </w:t>
      </w:r>
      <w:proofErr w:type="spellStart"/>
      <w:r w:rsidR="008523F4" w:rsidRPr="008523F4">
        <w:rPr>
          <w:i/>
          <w:color w:val="000000" w:themeColor="text1"/>
          <w:szCs w:val="28"/>
        </w:rPr>
        <w:t>eu</w:t>
      </w:r>
      <w:r w:rsidRPr="008523F4">
        <w:rPr>
          <w:i/>
          <w:color w:val="000000" w:themeColor="text1"/>
          <w:szCs w:val="28"/>
        </w:rPr>
        <w:t>ro</w:t>
      </w:r>
      <w:proofErr w:type="spellEnd"/>
      <w:r w:rsidRPr="00E97353">
        <w:rPr>
          <w:color w:val="000000" w:themeColor="text1"/>
          <w:szCs w:val="28"/>
        </w:rPr>
        <w:t xml:space="preserve"> </w:t>
      </w:r>
      <w:r w:rsidR="00493AD4">
        <w:rPr>
          <w:color w:val="000000" w:themeColor="text1"/>
          <w:szCs w:val="28"/>
        </w:rPr>
        <w:t>palielinot</w:t>
      </w:r>
      <w:r w:rsidRPr="00E97353">
        <w:rPr>
          <w:color w:val="000000" w:themeColor="text1"/>
          <w:szCs w:val="28"/>
        </w:rPr>
        <w:t xml:space="preserve"> vispārējās valdības budžeta </w:t>
      </w:r>
      <w:r w:rsidR="00493AD4">
        <w:rPr>
          <w:color w:val="000000" w:themeColor="text1"/>
          <w:szCs w:val="28"/>
        </w:rPr>
        <w:t>deficītu</w:t>
      </w:r>
      <w:r w:rsidRPr="00E97353">
        <w:rPr>
          <w:color w:val="000000" w:themeColor="text1"/>
          <w:szCs w:val="28"/>
        </w:rPr>
        <w:t xml:space="preserve"> šoga</w:t>
      </w:r>
      <w:r w:rsidR="008523F4">
        <w:rPr>
          <w:color w:val="000000" w:themeColor="text1"/>
          <w:szCs w:val="28"/>
        </w:rPr>
        <w:t xml:space="preserve">d un par 150,5 milj. </w:t>
      </w:r>
      <w:proofErr w:type="spellStart"/>
      <w:r w:rsidR="008523F4" w:rsidRPr="008523F4">
        <w:rPr>
          <w:i/>
          <w:color w:val="000000" w:themeColor="text1"/>
          <w:szCs w:val="28"/>
        </w:rPr>
        <w:t>eu</w:t>
      </w:r>
      <w:r w:rsidR="00493AD4" w:rsidRPr="008523F4">
        <w:rPr>
          <w:i/>
          <w:color w:val="000000" w:themeColor="text1"/>
          <w:szCs w:val="28"/>
        </w:rPr>
        <w:t>ro</w:t>
      </w:r>
      <w:proofErr w:type="spellEnd"/>
      <w:r w:rsidR="00493AD4">
        <w:rPr>
          <w:color w:val="000000" w:themeColor="text1"/>
          <w:szCs w:val="28"/>
        </w:rPr>
        <w:t xml:space="preserve"> 2021. </w:t>
      </w:r>
      <w:r w:rsidRPr="00E97353">
        <w:rPr>
          <w:color w:val="000000" w:themeColor="text1"/>
          <w:szCs w:val="28"/>
        </w:rPr>
        <w:t xml:space="preserve">gadā. </w:t>
      </w:r>
      <w:r w:rsidRPr="00E97353">
        <w:rPr>
          <w:rFonts w:eastAsia="Times New Roman" w:cs="Times New Roman"/>
          <w:color w:val="000000"/>
          <w:szCs w:val="28"/>
        </w:rPr>
        <w:t xml:space="preserve">Pieņemtos atbalsta pasākumu lēmumus (uz </w:t>
      </w:r>
      <w:r w:rsidR="00540E8C">
        <w:rPr>
          <w:rFonts w:eastAsia="Times New Roman" w:cs="Times New Roman"/>
          <w:color w:val="000000"/>
          <w:szCs w:val="28"/>
        </w:rPr>
        <w:t>2020. gada 26. jūliju</w:t>
      </w:r>
      <w:r w:rsidRPr="00E97353">
        <w:rPr>
          <w:rFonts w:eastAsia="Times New Roman" w:cs="Times New Roman"/>
          <w:color w:val="000000"/>
          <w:szCs w:val="28"/>
        </w:rPr>
        <w:t>) Covid-19 krīzes pārvarēšanai</w:t>
      </w:r>
      <w:r>
        <w:rPr>
          <w:rFonts w:eastAsia="Times New Roman" w:cs="Times New Roman"/>
          <w:color w:val="000000"/>
          <w:szCs w:val="28"/>
        </w:rPr>
        <w:t xml:space="preserve"> </w:t>
      </w:r>
      <w:r w:rsidRPr="00E97353">
        <w:rPr>
          <w:rFonts w:eastAsia="Times New Roman" w:cs="Times New Roman"/>
          <w:color w:val="000000"/>
          <w:szCs w:val="28"/>
        </w:rPr>
        <w:t xml:space="preserve">var sadalīt </w:t>
      </w:r>
      <w:r>
        <w:rPr>
          <w:rFonts w:eastAsia="Times New Roman" w:cs="Times New Roman"/>
          <w:color w:val="000000"/>
          <w:szCs w:val="28"/>
        </w:rPr>
        <w:t>piecās</w:t>
      </w:r>
      <w:r w:rsidRPr="00E97353">
        <w:rPr>
          <w:rFonts w:eastAsia="Times New Roman" w:cs="Times New Roman"/>
          <w:color w:val="000000"/>
          <w:szCs w:val="28"/>
        </w:rPr>
        <w:t xml:space="preserve"> kategorijās – atbalsts nodokļu jomā, atbalsts pabalstu jomā, atbalsts aizdevumu un garantiju jomā, atbalsts nozarēm</w:t>
      </w:r>
      <w:r>
        <w:rPr>
          <w:rFonts w:eastAsia="Times New Roman" w:cs="Times New Roman"/>
          <w:color w:val="000000"/>
          <w:szCs w:val="28"/>
        </w:rPr>
        <w:t>, kā arī ES finansējuma atbalsts</w:t>
      </w:r>
      <w:r w:rsidR="00C64FC9">
        <w:rPr>
          <w:rFonts w:eastAsia="Times New Roman" w:cs="Times New Roman"/>
          <w:color w:val="000000"/>
          <w:szCs w:val="28"/>
        </w:rPr>
        <w:t>. Pasākumi ar lielāko fiskālo ietekmi katrā jomā ir atspoguļoti</w:t>
      </w:r>
      <w:r w:rsidRPr="00493AD4">
        <w:rPr>
          <w:color w:val="000000" w:themeColor="text1"/>
          <w:szCs w:val="24"/>
        </w:rPr>
        <w:t xml:space="preserve"> </w:t>
      </w:r>
      <w:r w:rsidR="00493AD4" w:rsidRPr="00493AD4">
        <w:rPr>
          <w:color w:val="000000" w:themeColor="text1"/>
          <w:szCs w:val="24"/>
        </w:rPr>
        <w:t>4</w:t>
      </w:r>
      <w:r w:rsidR="00C64FC9">
        <w:rPr>
          <w:color w:val="000000" w:themeColor="text1"/>
          <w:szCs w:val="24"/>
        </w:rPr>
        <w:t>. tabulā.</w:t>
      </w:r>
    </w:p>
    <w:p w14:paraId="735C9674" w14:textId="19E8FA6C" w:rsidR="00D23CB7" w:rsidRPr="00493AD4" w:rsidRDefault="00493AD4" w:rsidP="00493AD4">
      <w:pPr>
        <w:spacing w:before="240" w:after="60"/>
        <w:jc w:val="center"/>
        <w:rPr>
          <w:rFonts w:eastAsia="Calibri" w:cs="Times New Roman"/>
          <w:b/>
          <w:sz w:val="24"/>
          <w:szCs w:val="24"/>
        </w:rPr>
      </w:pPr>
      <w:r>
        <w:rPr>
          <w:rFonts w:eastAsia="Calibri" w:cs="Times New Roman"/>
          <w:b/>
          <w:sz w:val="24"/>
          <w:szCs w:val="24"/>
        </w:rPr>
        <w:t>4</w:t>
      </w:r>
      <w:r w:rsidR="00D23CB7" w:rsidRPr="00493AD4">
        <w:rPr>
          <w:rFonts w:eastAsia="Calibri" w:cs="Times New Roman"/>
          <w:b/>
          <w:sz w:val="24"/>
          <w:szCs w:val="24"/>
        </w:rPr>
        <w:t xml:space="preserve">.tabula. </w:t>
      </w:r>
      <w:r>
        <w:rPr>
          <w:rFonts w:eastAsia="Calibri" w:cs="Times New Roman"/>
          <w:b/>
          <w:sz w:val="24"/>
          <w:szCs w:val="24"/>
        </w:rPr>
        <w:t>Valdības apstiprinātie atbalsta pasākumi Covid-19 izraisītās krīzes seku mazināšanai tautsaimniecībā</w:t>
      </w:r>
      <w:r w:rsidR="00D23CB7" w:rsidRPr="00493AD4">
        <w:rPr>
          <w:rFonts w:eastAsia="Calibri" w:cs="Times New Roman"/>
          <w:b/>
          <w:sz w:val="24"/>
          <w:szCs w:val="24"/>
        </w:rPr>
        <w:t xml:space="preserve"> un to fiskālā ietekme, % no IKP un milj. </w:t>
      </w:r>
      <w:proofErr w:type="spellStart"/>
      <w:r w:rsidR="00D23CB7" w:rsidRPr="00493AD4">
        <w:rPr>
          <w:rFonts w:eastAsia="Calibri" w:cs="Times New Roman"/>
          <w:b/>
          <w:sz w:val="24"/>
          <w:szCs w:val="24"/>
        </w:rPr>
        <w:t>euro</w:t>
      </w:r>
      <w:proofErr w:type="spellEnd"/>
    </w:p>
    <w:tbl>
      <w:tblPr>
        <w:tblStyle w:val="TableGrid"/>
        <w:tblW w:w="9168" w:type="dxa"/>
        <w:jc w:val="center"/>
        <w:tblLayout w:type="fixed"/>
        <w:tblLook w:val="04A0" w:firstRow="1" w:lastRow="0" w:firstColumn="1" w:lastColumn="0" w:noHBand="0" w:noVBand="1"/>
      </w:tblPr>
      <w:tblGrid>
        <w:gridCol w:w="3539"/>
        <w:gridCol w:w="1418"/>
        <w:gridCol w:w="850"/>
        <w:gridCol w:w="709"/>
        <w:gridCol w:w="709"/>
        <w:gridCol w:w="708"/>
        <w:gridCol w:w="1235"/>
      </w:tblGrid>
      <w:tr w:rsidR="00553194" w:rsidRPr="00E44C12" w14:paraId="26D07E9D" w14:textId="77777777" w:rsidTr="00E312A3">
        <w:trPr>
          <w:trHeight w:val="250"/>
          <w:jc w:val="center"/>
        </w:trPr>
        <w:tc>
          <w:tcPr>
            <w:tcW w:w="3539" w:type="dxa"/>
            <w:vMerge w:val="restart"/>
            <w:shd w:val="clear" w:color="auto" w:fill="BDD6EE" w:themeFill="accent1" w:themeFillTint="66"/>
            <w:vAlign w:val="center"/>
            <w:hideMark/>
          </w:tcPr>
          <w:p w14:paraId="4C428E34" w14:textId="77777777" w:rsidR="00553194" w:rsidRPr="00E44C12" w:rsidRDefault="00553194" w:rsidP="00D23CB7">
            <w:pPr>
              <w:spacing w:after="0"/>
              <w:rPr>
                <w:b/>
                <w:bCs/>
                <w:color w:val="000000"/>
                <w:sz w:val="19"/>
                <w:szCs w:val="19"/>
              </w:rPr>
            </w:pPr>
          </w:p>
        </w:tc>
        <w:tc>
          <w:tcPr>
            <w:tcW w:w="1418" w:type="dxa"/>
            <w:vMerge w:val="restart"/>
            <w:shd w:val="clear" w:color="auto" w:fill="BDD6EE" w:themeFill="accent1" w:themeFillTint="66"/>
            <w:vAlign w:val="center"/>
            <w:hideMark/>
          </w:tcPr>
          <w:p w14:paraId="7D3276ED" w14:textId="2E73AB18" w:rsidR="00553194" w:rsidRDefault="00553194" w:rsidP="00553194">
            <w:pPr>
              <w:spacing w:before="0" w:after="0"/>
              <w:ind w:left="0" w:firstLine="0"/>
              <w:jc w:val="center"/>
              <w:rPr>
                <w:b/>
                <w:bCs/>
                <w:color w:val="000000"/>
                <w:sz w:val="19"/>
                <w:szCs w:val="19"/>
              </w:rPr>
            </w:pPr>
            <w:r w:rsidRPr="00E44C12">
              <w:rPr>
                <w:b/>
                <w:bCs/>
                <w:color w:val="000000"/>
                <w:sz w:val="19"/>
                <w:szCs w:val="19"/>
              </w:rPr>
              <w:t>A</w:t>
            </w:r>
            <w:r w:rsidR="008523F4">
              <w:rPr>
                <w:b/>
                <w:bCs/>
                <w:color w:val="000000"/>
                <w:sz w:val="19"/>
                <w:szCs w:val="19"/>
              </w:rPr>
              <w:t xml:space="preserve">pstiprinātais atbalsts, milj. </w:t>
            </w:r>
            <w:proofErr w:type="spellStart"/>
            <w:r w:rsidR="008523F4" w:rsidRPr="008523F4">
              <w:rPr>
                <w:b/>
                <w:bCs/>
                <w:i/>
                <w:color w:val="000000"/>
                <w:sz w:val="19"/>
                <w:szCs w:val="19"/>
              </w:rPr>
              <w:t>eu</w:t>
            </w:r>
            <w:r w:rsidRPr="008523F4">
              <w:rPr>
                <w:b/>
                <w:bCs/>
                <w:i/>
                <w:color w:val="000000"/>
                <w:sz w:val="19"/>
                <w:szCs w:val="19"/>
              </w:rPr>
              <w:t>ro</w:t>
            </w:r>
            <w:proofErr w:type="spellEnd"/>
            <w:r>
              <w:rPr>
                <w:b/>
                <w:bCs/>
                <w:color w:val="000000"/>
                <w:sz w:val="19"/>
                <w:szCs w:val="19"/>
              </w:rPr>
              <w:t xml:space="preserve"> </w:t>
            </w:r>
          </w:p>
          <w:p w14:paraId="30563F74" w14:textId="6157B7C9" w:rsidR="00553194" w:rsidRPr="00E44C12" w:rsidRDefault="00553194" w:rsidP="00553194">
            <w:pPr>
              <w:spacing w:before="0" w:after="0"/>
              <w:ind w:left="0" w:firstLine="0"/>
              <w:jc w:val="center"/>
              <w:rPr>
                <w:b/>
                <w:bCs/>
                <w:color w:val="000000"/>
                <w:sz w:val="19"/>
                <w:szCs w:val="19"/>
              </w:rPr>
            </w:pPr>
            <w:r>
              <w:rPr>
                <w:b/>
                <w:bCs/>
                <w:color w:val="000000"/>
                <w:sz w:val="19"/>
                <w:szCs w:val="19"/>
              </w:rPr>
              <w:t>(% no IKP)</w:t>
            </w:r>
          </w:p>
        </w:tc>
        <w:tc>
          <w:tcPr>
            <w:tcW w:w="2976" w:type="dxa"/>
            <w:gridSpan w:val="4"/>
            <w:shd w:val="clear" w:color="auto" w:fill="BDD6EE" w:themeFill="accent1" w:themeFillTint="66"/>
            <w:vAlign w:val="center"/>
            <w:hideMark/>
          </w:tcPr>
          <w:p w14:paraId="0EBDC7D0" w14:textId="5C4BB510" w:rsidR="00553194" w:rsidRPr="00E44C12" w:rsidRDefault="00553194" w:rsidP="00553194">
            <w:pPr>
              <w:spacing w:before="0" w:after="0"/>
              <w:ind w:left="0" w:firstLine="0"/>
              <w:jc w:val="center"/>
              <w:rPr>
                <w:b/>
                <w:bCs/>
                <w:color w:val="000000"/>
                <w:sz w:val="19"/>
                <w:szCs w:val="19"/>
              </w:rPr>
            </w:pPr>
            <w:r w:rsidRPr="00E44C12">
              <w:rPr>
                <w:b/>
                <w:bCs/>
                <w:color w:val="000000"/>
                <w:sz w:val="19"/>
                <w:szCs w:val="19"/>
              </w:rPr>
              <w:t>Ietekme uz vispārējās va</w:t>
            </w:r>
            <w:r w:rsidR="008523F4">
              <w:rPr>
                <w:b/>
                <w:bCs/>
                <w:color w:val="000000"/>
                <w:sz w:val="19"/>
                <w:szCs w:val="19"/>
              </w:rPr>
              <w:t xml:space="preserve">ldības budžeta bilanci, milj. </w:t>
            </w:r>
            <w:proofErr w:type="spellStart"/>
            <w:r w:rsidR="008523F4" w:rsidRPr="008523F4">
              <w:rPr>
                <w:b/>
                <w:bCs/>
                <w:i/>
                <w:color w:val="000000"/>
                <w:sz w:val="19"/>
                <w:szCs w:val="19"/>
              </w:rPr>
              <w:t>eu</w:t>
            </w:r>
            <w:r w:rsidRPr="008523F4">
              <w:rPr>
                <w:b/>
                <w:bCs/>
                <w:i/>
                <w:color w:val="000000"/>
                <w:sz w:val="19"/>
                <w:szCs w:val="19"/>
              </w:rPr>
              <w:t>ro</w:t>
            </w:r>
            <w:proofErr w:type="spellEnd"/>
          </w:p>
        </w:tc>
        <w:tc>
          <w:tcPr>
            <w:tcW w:w="1235" w:type="dxa"/>
            <w:shd w:val="clear" w:color="auto" w:fill="BDD6EE" w:themeFill="accent1" w:themeFillTint="66"/>
            <w:vAlign w:val="center"/>
            <w:hideMark/>
          </w:tcPr>
          <w:p w14:paraId="21A73607" w14:textId="68A0BACA" w:rsidR="00553194" w:rsidRPr="00E44C12" w:rsidRDefault="00553194" w:rsidP="00553194">
            <w:pPr>
              <w:spacing w:before="0" w:after="0"/>
              <w:ind w:left="0" w:firstLine="0"/>
              <w:jc w:val="center"/>
              <w:rPr>
                <w:b/>
                <w:color w:val="000000"/>
                <w:sz w:val="19"/>
                <w:szCs w:val="19"/>
              </w:rPr>
            </w:pPr>
            <w:r w:rsidRPr="00E44C12">
              <w:rPr>
                <w:b/>
                <w:color w:val="000000"/>
                <w:sz w:val="19"/>
                <w:szCs w:val="19"/>
              </w:rPr>
              <w:t>Faktiskā izpi</w:t>
            </w:r>
            <w:r w:rsidR="008523F4">
              <w:rPr>
                <w:b/>
                <w:color w:val="000000"/>
                <w:sz w:val="19"/>
                <w:szCs w:val="19"/>
              </w:rPr>
              <w:t xml:space="preserve">lde līdz 26.07.2020., milj. </w:t>
            </w:r>
            <w:proofErr w:type="spellStart"/>
            <w:r w:rsidR="008523F4" w:rsidRPr="008523F4">
              <w:rPr>
                <w:b/>
                <w:i/>
                <w:color w:val="000000"/>
                <w:sz w:val="19"/>
                <w:szCs w:val="19"/>
              </w:rPr>
              <w:t>eu</w:t>
            </w:r>
            <w:r w:rsidRPr="008523F4">
              <w:rPr>
                <w:b/>
                <w:i/>
                <w:color w:val="000000"/>
                <w:sz w:val="19"/>
                <w:szCs w:val="19"/>
              </w:rPr>
              <w:t>ro</w:t>
            </w:r>
            <w:proofErr w:type="spellEnd"/>
            <w:r>
              <w:rPr>
                <w:b/>
                <w:color w:val="000000"/>
                <w:sz w:val="19"/>
                <w:szCs w:val="19"/>
              </w:rPr>
              <w:t>*</w:t>
            </w:r>
          </w:p>
        </w:tc>
      </w:tr>
      <w:tr w:rsidR="00553194" w:rsidRPr="00E44C12" w14:paraId="7322A7EB" w14:textId="77777777" w:rsidTr="00E312A3">
        <w:trPr>
          <w:trHeight w:val="229"/>
          <w:jc w:val="center"/>
        </w:trPr>
        <w:tc>
          <w:tcPr>
            <w:tcW w:w="3539" w:type="dxa"/>
            <w:vMerge/>
            <w:shd w:val="clear" w:color="auto" w:fill="BDD6EE" w:themeFill="accent1" w:themeFillTint="66"/>
            <w:vAlign w:val="center"/>
            <w:hideMark/>
          </w:tcPr>
          <w:p w14:paraId="27961F3C" w14:textId="77777777" w:rsidR="00553194" w:rsidRPr="00E44C12" w:rsidRDefault="00553194" w:rsidP="00D23CB7">
            <w:pPr>
              <w:spacing w:after="0"/>
              <w:rPr>
                <w:b/>
                <w:bCs/>
                <w:color w:val="000000"/>
                <w:sz w:val="19"/>
                <w:szCs w:val="19"/>
              </w:rPr>
            </w:pPr>
          </w:p>
        </w:tc>
        <w:tc>
          <w:tcPr>
            <w:tcW w:w="1418" w:type="dxa"/>
            <w:vMerge/>
            <w:shd w:val="clear" w:color="auto" w:fill="BDD6EE" w:themeFill="accent1" w:themeFillTint="66"/>
            <w:vAlign w:val="center"/>
            <w:hideMark/>
          </w:tcPr>
          <w:p w14:paraId="4538FE3D" w14:textId="77777777" w:rsidR="00553194" w:rsidRPr="00E44C12" w:rsidRDefault="00553194" w:rsidP="00D23CB7">
            <w:pPr>
              <w:spacing w:after="0"/>
              <w:rPr>
                <w:b/>
                <w:bCs/>
                <w:color w:val="000000"/>
                <w:sz w:val="19"/>
                <w:szCs w:val="19"/>
              </w:rPr>
            </w:pPr>
          </w:p>
        </w:tc>
        <w:tc>
          <w:tcPr>
            <w:tcW w:w="850" w:type="dxa"/>
            <w:shd w:val="clear" w:color="auto" w:fill="BDD6EE" w:themeFill="accent1" w:themeFillTint="66"/>
            <w:vAlign w:val="center"/>
            <w:hideMark/>
          </w:tcPr>
          <w:p w14:paraId="24B3094C" w14:textId="77777777" w:rsidR="00553194" w:rsidRPr="00E44C12" w:rsidRDefault="00553194" w:rsidP="00E312A3">
            <w:pPr>
              <w:spacing w:before="0" w:after="0"/>
              <w:ind w:left="0" w:firstLine="0"/>
              <w:jc w:val="center"/>
              <w:rPr>
                <w:b/>
                <w:bCs/>
                <w:color w:val="000000"/>
                <w:sz w:val="19"/>
                <w:szCs w:val="19"/>
              </w:rPr>
            </w:pPr>
            <w:r w:rsidRPr="00E44C12">
              <w:rPr>
                <w:b/>
                <w:bCs/>
                <w:color w:val="000000"/>
                <w:sz w:val="19"/>
                <w:szCs w:val="19"/>
              </w:rPr>
              <w:t>2020</w:t>
            </w:r>
          </w:p>
        </w:tc>
        <w:tc>
          <w:tcPr>
            <w:tcW w:w="709" w:type="dxa"/>
            <w:shd w:val="clear" w:color="auto" w:fill="BDD6EE" w:themeFill="accent1" w:themeFillTint="66"/>
            <w:vAlign w:val="center"/>
            <w:hideMark/>
          </w:tcPr>
          <w:p w14:paraId="03785BF0" w14:textId="77777777" w:rsidR="00553194" w:rsidRPr="00E44C12" w:rsidRDefault="00553194" w:rsidP="00E312A3">
            <w:pPr>
              <w:spacing w:before="0" w:after="0"/>
              <w:ind w:left="0" w:firstLine="0"/>
              <w:jc w:val="center"/>
              <w:rPr>
                <w:b/>
                <w:bCs/>
                <w:color w:val="000000"/>
                <w:sz w:val="19"/>
                <w:szCs w:val="19"/>
              </w:rPr>
            </w:pPr>
            <w:r w:rsidRPr="00E44C12">
              <w:rPr>
                <w:b/>
                <w:bCs/>
                <w:color w:val="000000"/>
                <w:sz w:val="19"/>
                <w:szCs w:val="19"/>
              </w:rPr>
              <w:t>2021</w:t>
            </w:r>
          </w:p>
        </w:tc>
        <w:tc>
          <w:tcPr>
            <w:tcW w:w="709" w:type="dxa"/>
            <w:shd w:val="clear" w:color="auto" w:fill="BDD6EE" w:themeFill="accent1" w:themeFillTint="66"/>
            <w:vAlign w:val="center"/>
            <w:hideMark/>
          </w:tcPr>
          <w:p w14:paraId="3B6BC9EC" w14:textId="77777777" w:rsidR="00553194" w:rsidRPr="00E44C12" w:rsidRDefault="00553194" w:rsidP="00E312A3">
            <w:pPr>
              <w:spacing w:before="0" w:after="0"/>
              <w:ind w:left="0" w:firstLine="0"/>
              <w:jc w:val="center"/>
              <w:rPr>
                <w:b/>
                <w:bCs/>
                <w:color w:val="000000"/>
                <w:sz w:val="19"/>
                <w:szCs w:val="19"/>
              </w:rPr>
            </w:pPr>
            <w:r w:rsidRPr="00E44C12">
              <w:rPr>
                <w:b/>
                <w:bCs/>
                <w:color w:val="000000"/>
                <w:sz w:val="19"/>
                <w:szCs w:val="19"/>
              </w:rPr>
              <w:t>2022</w:t>
            </w:r>
          </w:p>
        </w:tc>
        <w:tc>
          <w:tcPr>
            <w:tcW w:w="708" w:type="dxa"/>
            <w:shd w:val="clear" w:color="auto" w:fill="BDD6EE" w:themeFill="accent1" w:themeFillTint="66"/>
            <w:vAlign w:val="center"/>
            <w:hideMark/>
          </w:tcPr>
          <w:p w14:paraId="312E445E" w14:textId="77777777" w:rsidR="00553194" w:rsidRPr="00E44C12" w:rsidRDefault="00553194" w:rsidP="00E312A3">
            <w:pPr>
              <w:spacing w:before="0" w:after="0"/>
              <w:ind w:left="0" w:firstLine="0"/>
              <w:jc w:val="center"/>
              <w:rPr>
                <w:b/>
                <w:bCs/>
                <w:color w:val="000000"/>
                <w:sz w:val="19"/>
                <w:szCs w:val="19"/>
              </w:rPr>
            </w:pPr>
            <w:r w:rsidRPr="00E44C12">
              <w:rPr>
                <w:b/>
                <w:bCs/>
                <w:color w:val="000000"/>
                <w:sz w:val="19"/>
                <w:szCs w:val="19"/>
              </w:rPr>
              <w:t>2023</w:t>
            </w:r>
          </w:p>
        </w:tc>
        <w:tc>
          <w:tcPr>
            <w:tcW w:w="1235" w:type="dxa"/>
            <w:shd w:val="clear" w:color="auto" w:fill="BDD6EE" w:themeFill="accent1" w:themeFillTint="66"/>
            <w:vAlign w:val="center"/>
            <w:hideMark/>
          </w:tcPr>
          <w:p w14:paraId="570197A0" w14:textId="77777777" w:rsidR="00553194" w:rsidRPr="00E44C12" w:rsidRDefault="00553194" w:rsidP="00E312A3">
            <w:pPr>
              <w:spacing w:before="0" w:after="0"/>
              <w:ind w:left="0" w:firstLine="0"/>
              <w:jc w:val="center"/>
              <w:rPr>
                <w:b/>
                <w:bCs/>
                <w:color w:val="000000"/>
                <w:sz w:val="19"/>
                <w:szCs w:val="19"/>
              </w:rPr>
            </w:pPr>
            <w:r w:rsidRPr="00E44C12">
              <w:rPr>
                <w:b/>
                <w:bCs/>
                <w:color w:val="000000"/>
                <w:sz w:val="19"/>
                <w:szCs w:val="19"/>
              </w:rPr>
              <w:t>2020</w:t>
            </w:r>
          </w:p>
        </w:tc>
      </w:tr>
      <w:tr w:rsidR="00553194" w:rsidRPr="00E44C12" w14:paraId="7E5EC0A1" w14:textId="77777777" w:rsidTr="00E312A3">
        <w:trPr>
          <w:trHeight w:val="229"/>
          <w:jc w:val="center"/>
        </w:trPr>
        <w:tc>
          <w:tcPr>
            <w:tcW w:w="3539" w:type="dxa"/>
            <w:shd w:val="clear" w:color="auto" w:fill="BDD6EE" w:themeFill="accent1" w:themeFillTint="66"/>
            <w:vAlign w:val="center"/>
            <w:hideMark/>
          </w:tcPr>
          <w:p w14:paraId="1390D790" w14:textId="77777777" w:rsidR="00553194" w:rsidRPr="00E44C12" w:rsidRDefault="00553194" w:rsidP="00553194">
            <w:pPr>
              <w:spacing w:before="0" w:after="0"/>
              <w:ind w:left="0" w:firstLine="0"/>
              <w:jc w:val="right"/>
              <w:rPr>
                <w:b/>
                <w:bCs/>
                <w:color w:val="000000"/>
                <w:sz w:val="19"/>
                <w:szCs w:val="19"/>
              </w:rPr>
            </w:pPr>
            <w:r w:rsidRPr="00E44C12">
              <w:rPr>
                <w:b/>
                <w:bCs/>
                <w:color w:val="000000"/>
                <w:sz w:val="19"/>
                <w:szCs w:val="19"/>
              </w:rPr>
              <w:t>Atbalsts kopā</w:t>
            </w:r>
          </w:p>
        </w:tc>
        <w:tc>
          <w:tcPr>
            <w:tcW w:w="1418" w:type="dxa"/>
            <w:shd w:val="clear" w:color="auto" w:fill="BDD6EE" w:themeFill="accent1" w:themeFillTint="66"/>
            <w:vAlign w:val="center"/>
            <w:hideMark/>
          </w:tcPr>
          <w:p w14:paraId="67A389EC" w14:textId="77777777" w:rsidR="00553194" w:rsidRDefault="00553194" w:rsidP="00553194">
            <w:pPr>
              <w:spacing w:before="0" w:after="0"/>
              <w:ind w:left="0" w:firstLine="0"/>
              <w:jc w:val="center"/>
              <w:rPr>
                <w:b/>
                <w:bCs/>
                <w:color w:val="000000"/>
                <w:sz w:val="19"/>
                <w:szCs w:val="19"/>
              </w:rPr>
            </w:pPr>
            <w:r w:rsidRPr="00F173A3">
              <w:rPr>
                <w:b/>
                <w:bCs/>
                <w:color w:val="000000"/>
                <w:sz w:val="19"/>
                <w:szCs w:val="19"/>
              </w:rPr>
              <w:t>3 156,8</w:t>
            </w:r>
            <w:r>
              <w:rPr>
                <w:b/>
                <w:bCs/>
                <w:color w:val="000000"/>
                <w:sz w:val="19"/>
                <w:szCs w:val="19"/>
              </w:rPr>
              <w:t xml:space="preserve"> </w:t>
            </w:r>
          </w:p>
          <w:p w14:paraId="36AA6616" w14:textId="1AB9DEC2" w:rsidR="00553194" w:rsidRPr="00F173A3" w:rsidRDefault="00553194" w:rsidP="00553194">
            <w:pPr>
              <w:spacing w:before="0" w:after="0"/>
              <w:ind w:left="0" w:firstLine="0"/>
              <w:jc w:val="center"/>
              <w:rPr>
                <w:b/>
                <w:bCs/>
                <w:color w:val="000000"/>
                <w:sz w:val="19"/>
                <w:szCs w:val="19"/>
              </w:rPr>
            </w:pPr>
            <w:r>
              <w:rPr>
                <w:b/>
                <w:bCs/>
                <w:color w:val="000000"/>
                <w:sz w:val="19"/>
                <w:szCs w:val="19"/>
              </w:rPr>
              <w:t>(11,2)</w:t>
            </w:r>
          </w:p>
        </w:tc>
        <w:tc>
          <w:tcPr>
            <w:tcW w:w="850" w:type="dxa"/>
            <w:shd w:val="clear" w:color="auto" w:fill="BDD6EE" w:themeFill="accent1" w:themeFillTint="66"/>
            <w:vAlign w:val="center"/>
            <w:hideMark/>
          </w:tcPr>
          <w:p w14:paraId="275B72AB" w14:textId="77777777" w:rsidR="00553194" w:rsidRPr="00F173A3" w:rsidRDefault="00553194" w:rsidP="00553194">
            <w:pPr>
              <w:spacing w:before="0" w:after="0"/>
              <w:ind w:left="0" w:firstLine="0"/>
              <w:jc w:val="center"/>
              <w:rPr>
                <w:b/>
                <w:bCs/>
                <w:color w:val="000000"/>
                <w:sz w:val="19"/>
                <w:szCs w:val="19"/>
              </w:rPr>
            </w:pPr>
            <w:r w:rsidRPr="00F173A3">
              <w:rPr>
                <w:b/>
                <w:bCs/>
                <w:color w:val="000000"/>
                <w:sz w:val="19"/>
                <w:szCs w:val="19"/>
              </w:rPr>
              <w:t>-1 266,0</w:t>
            </w:r>
          </w:p>
        </w:tc>
        <w:tc>
          <w:tcPr>
            <w:tcW w:w="709" w:type="dxa"/>
            <w:shd w:val="clear" w:color="auto" w:fill="BDD6EE" w:themeFill="accent1" w:themeFillTint="66"/>
            <w:vAlign w:val="center"/>
            <w:hideMark/>
          </w:tcPr>
          <w:p w14:paraId="7A4AC277" w14:textId="77777777" w:rsidR="00553194" w:rsidRPr="00F173A3" w:rsidRDefault="00553194" w:rsidP="00553194">
            <w:pPr>
              <w:spacing w:before="0" w:after="0"/>
              <w:ind w:left="0" w:firstLine="0"/>
              <w:jc w:val="center"/>
              <w:rPr>
                <w:b/>
                <w:bCs/>
                <w:color w:val="000000"/>
                <w:sz w:val="19"/>
                <w:szCs w:val="19"/>
              </w:rPr>
            </w:pPr>
            <w:r w:rsidRPr="00F173A3">
              <w:rPr>
                <w:b/>
                <w:bCs/>
                <w:color w:val="000000"/>
                <w:sz w:val="19"/>
                <w:szCs w:val="19"/>
              </w:rPr>
              <w:t>-150,5</w:t>
            </w:r>
          </w:p>
        </w:tc>
        <w:tc>
          <w:tcPr>
            <w:tcW w:w="709" w:type="dxa"/>
            <w:shd w:val="clear" w:color="auto" w:fill="BDD6EE" w:themeFill="accent1" w:themeFillTint="66"/>
            <w:vAlign w:val="center"/>
            <w:hideMark/>
          </w:tcPr>
          <w:p w14:paraId="21133FDA" w14:textId="77777777" w:rsidR="00553194" w:rsidRPr="00F173A3" w:rsidRDefault="00553194" w:rsidP="00553194">
            <w:pPr>
              <w:spacing w:before="0" w:after="0"/>
              <w:ind w:left="0" w:firstLine="0"/>
              <w:jc w:val="center"/>
              <w:rPr>
                <w:b/>
                <w:bCs/>
                <w:color w:val="000000"/>
                <w:sz w:val="19"/>
                <w:szCs w:val="19"/>
              </w:rPr>
            </w:pPr>
            <w:r w:rsidRPr="00F173A3">
              <w:rPr>
                <w:b/>
                <w:bCs/>
                <w:color w:val="000000"/>
                <w:sz w:val="19"/>
                <w:szCs w:val="19"/>
              </w:rPr>
              <w:t>-6,0</w:t>
            </w:r>
          </w:p>
        </w:tc>
        <w:tc>
          <w:tcPr>
            <w:tcW w:w="708" w:type="dxa"/>
            <w:shd w:val="clear" w:color="auto" w:fill="BDD6EE" w:themeFill="accent1" w:themeFillTint="66"/>
            <w:vAlign w:val="center"/>
            <w:hideMark/>
          </w:tcPr>
          <w:p w14:paraId="7A8541F8" w14:textId="77777777" w:rsidR="00553194" w:rsidRPr="00F173A3" w:rsidRDefault="00553194" w:rsidP="00553194">
            <w:pPr>
              <w:spacing w:before="0" w:after="0"/>
              <w:ind w:left="0" w:firstLine="0"/>
              <w:jc w:val="center"/>
              <w:rPr>
                <w:b/>
                <w:bCs/>
                <w:color w:val="000000"/>
                <w:sz w:val="19"/>
                <w:szCs w:val="19"/>
              </w:rPr>
            </w:pPr>
            <w:r w:rsidRPr="00F173A3">
              <w:rPr>
                <w:b/>
                <w:bCs/>
                <w:color w:val="000000"/>
                <w:sz w:val="19"/>
                <w:szCs w:val="19"/>
              </w:rPr>
              <w:t>0,2</w:t>
            </w:r>
          </w:p>
        </w:tc>
        <w:tc>
          <w:tcPr>
            <w:tcW w:w="1235" w:type="dxa"/>
            <w:shd w:val="clear" w:color="auto" w:fill="BDD6EE" w:themeFill="accent1" w:themeFillTint="66"/>
            <w:vAlign w:val="center"/>
            <w:hideMark/>
          </w:tcPr>
          <w:p w14:paraId="6540B4A3" w14:textId="77777777" w:rsidR="00553194" w:rsidRPr="00F173A3" w:rsidRDefault="00553194" w:rsidP="00553194">
            <w:pPr>
              <w:spacing w:before="0" w:after="0"/>
              <w:ind w:left="0" w:firstLine="0"/>
              <w:jc w:val="center"/>
              <w:rPr>
                <w:b/>
                <w:color w:val="000000"/>
                <w:sz w:val="19"/>
                <w:szCs w:val="19"/>
              </w:rPr>
            </w:pPr>
            <w:r w:rsidRPr="00F173A3">
              <w:rPr>
                <w:b/>
                <w:color w:val="000000"/>
                <w:sz w:val="19"/>
                <w:szCs w:val="19"/>
              </w:rPr>
              <w:t>-608,6</w:t>
            </w:r>
          </w:p>
        </w:tc>
      </w:tr>
      <w:tr w:rsidR="00553194" w:rsidRPr="00E44C12" w14:paraId="476D4D04" w14:textId="77777777" w:rsidTr="00E312A3">
        <w:trPr>
          <w:trHeight w:val="229"/>
          <w:jc w:val="center"/>
        </w:trPr>
        <w:tc>
          <w:tcPr>
            <w:tcW w:w="3539" w:type="dxa"/>
            <w:shd w:val="clear" w:color="auto" w:fill="DEEAF6" w:themeFill="accent1" w:themeFillTint="33"/>
            <w:noWrap/>
            <w:vAlign w:val="center"/>
            <w:hideMark/>
          </w:tcPr>
          <w:p w14:paraId="1410E484" w14:textId="61F6854D" w:rsidR="00553194" w:rsidRPr="00553194" w:rsidRDefault="00553194" w:rsidP="00553194">
            <w:pPr>
              <w:spacing w:before="0" w:after="0"/>
              <w:ind w:left="0" w:firstLine="0"/>
              <w:rPr>
                <w:b/>
                <w:bCs/>
                <w:color w:val="000000"/>
                <w:sz w:val="19"/>
                <w:szCs w:val="19"/>
              </w:rPr>
            </w:pPr>
            <w:r w:rsidRPr="00553194">
              <w:rPr>
                <w:b/>
                <w:bCs/>
                <w:color w:val="000000"/>
                <w:sz w:val="19"/>
                <w:szCs w:val="19"/>
              </w:rPr>
              <w:t>Atbalsts nodokļu jomā</w:t>
            </w:r>
          </w:p>
        </w:tc>
        <w:tc>
          <w:tcPr>
            <w:tcW w:w="1418" w:type="dxa"/>
            <w:shd w:val="clear" w:color="auto" w:fill="DEEAF6" w:themeFill="accent1" w:themeFillTint="33"/>
            <w:vAlign w:val="center"/>
            <w:hideMark/>
          </w:tcPr>
          <w:p w14:paraId="789C931E"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 xml:space="preserve">234,2 </w:t>
            </w:r>
          </w:p>
          <w:p w14:paraId="671B5186" w14:textId="7C0F78DC"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(0,8)</w:t>
            </w:r>
          </w:p>
        </w:tc>
        <w:tc>
          <w:tcPr>
            <w:tcW w:w="850" w:type="dxa"/>
            <w:shd w:val="clear" w:color="auto" w:fill="DEEAF6" w:themeFill="accent1" w:themeFillTint="33"/>
            <w:vAlign w:val="center"/>
            <w:hideMark/>
          </w:tcPr>
          <w:p w14:paraId="6CAFB52D"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-139,9</w:t>
            </w:r>
          </w:p>
        </w:tc>
        <w:tc>
          <w:tcPr>
            <w:tcW w:w="709" w:type="dxa"/>
            <w:shd w:val="clear" w:color="auto" w:fill="DEEAF6" w:themeFill="accent1" w:themeFillTint="33"/>
            <w:vAlign w:val="center"/>
            <w:hideMark/>
          </w:tcPr>
          <w:p w14:paraId="2BC67E6D"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35,5</w:t>
            </w:r>
          </w:p>
        </w:tc>
        <w:tc>
          <w:tcPr>
            <w:tcW w:w="709" w:type="dxa"/>
            <w:shd w:val="clear" w:color="auto" w:fill="DEEAF6" w:themeFill="accent1" w:themeFillTint="33"/>
            <w:vAlign w:val="center"/>
            <w:hideMark/>
          </w:tcPr>
          <w:p w14:paraId="78ECF7D5"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1,0</w:t>
            </w:r>
          </w:p>
        </w:tc>
        <w:tc>
          <w:tcPr>
            <w:tcW w:w="708" w:type="dxa"/>
            <w:shd w:val="clear" w:color="auto" w:fill="DEEAF6" w:themeFill="accent1" w:themeFillTint="33"/>
            <w:vAlign w:val="center"/>
            <w:hideMark/>
          </w:tcPr>
          <w:p w14:paraId="35EC9739"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1,9</w:t>
            </w:r>
          </w:p>
        </w:tc>
        <w:tc>
          <w:tcPr>
            <w:tcW w:w="1235" w:type="dxa"/>
            <w:shd w:val="clear" w:color="auto" w:fill="DEEAF6" w:themeFill="accent1" w:themeFillTint="33"/>
            <w:vAlign w:val="center"/>
            <w:hideMark/>
          </w:tcPr>
          <w:p w14:paraId="50722E76"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-124,8</w:t>
            </w:r>
          </w:p>
        </w:tc>
      </w:tr>
      <w:tr w:rsidR="00553194" w:rsidRPr="00E44C12" w14:paraId="5F67DBC4" w14:textId="77777777" w:rsidTr="00E312A3">
        <w:trPr>
          <w:trHeight w:val="229"/>
          <w:jc w:val="center"/>
        </w:trPr>
        <w:tc>
          <w:tcPr>
            <w:tcW w:w="3539" w:type="dxa"/>
            <w:noWrap/>
            <w:vAlign w:val="center"/>
          </w:tcPr>
          <w:p w14:paraId="6DE0AC39" w14:textId="77030067" w:rsidR="00553194" w:rsidRPr="00F173A3" w:rsidRDefault="002F2BDC" w:rsidP="002F2BDC">
            <w:pPr>
              <w:spacing w:before="0" w:after="0"/>
              <w:ind w:left="0" w:firstLine="0"/>
              <w:jc w:val="right"/>
              <w:rPr>
                <w:bCs/>
                <w:color w:val="000000"/>
                <w:sz w:val="19"/>
                <w:szCs w:val="19"/>
              </w:rPr>
            </w:pPr>
            <w:r w:rsidRPr="002F2BDC">
              <w:rPr>
                <w:bCs/>
                <w:color w:val="000000"/>
                <w:sz w:val="19"/>
                <w:szCs w:val="19"/>
              </w:rPr>
              <w:t>Nodokļu samaksas termiņa pagarinājumi</w:t>
            </w:r>
          </w:p>
        </w:tc>
        <w:tc>
          <w:tcPr>
            <w:tcW w:w="1418" w:type="dxa"/>
            <w:vAlign w:val="center"/>
          </w:tcPr>
          <w:p w14:paraId="5F3BFEF7" w14:textId="1498D53D" w:rsidR="00553194" w:rsidRPr="00F173A3" w:rsidRDefault="002F2BDC" w:rsidP="002F2BDC">
            <w:pPr>
              <w:spacing w:before="0" w:after="0"/>
              <w:ind w:left="0" w:firstLine="0"/>
              <w:jc w:val="center"/>
              <w:rPr>
                <w:bCs/>
                <w:color w:val="000000"/>
                <w:sz w:val="19"/>
                <w:szCs w:val="19"/>
              </w:rPr>
            </w:pPr>
            <w:r>
              <w:rPr>
                <w:bCs/>
                <w:color w:val="000000"/>
                <w:sz w:val="19"/>
                <w:szCs w:val="19"/>
              </w:rPr>
              <w:t>139,2</w:t>
            </w:r>
          </w:p>
        </w:tc>
        <w:tc>
          <w:tcPr>
            <w:tcW w:w="850" w:type="dxa"/>
            <w:vAlign w:val="center"/>
          </w:tcPr>
          <w:p w14:paraId="78C20646" w14:textId="6659201A" w:rsidR="00553194" w:rsidRPr="00F173A3" w:rsidRDefault="002F2BDC" w:rsidP="002F2BDC">
            <w:pPr>
              <w:spacing w:before="0" w:after="0"/>
              <w:ind w:left="0" w:firstLine="0"/>
              <w:jc w:val="center"/>
              <w:rPr>
                <w:bCs/>
                <w:color w:val="000000"/>
                <w:sz w:val="19"/>
                <w:szCs w:val="19"/>
              </w:rPr>
            </w:pPr>
            <w:r>
              <w:rPr>
                <w:bCs/>
                <w:color w:val="000000"/>
                <w:sz w:val="19"/>
                <w:szCs w:val="19"/>
              </w:rPr>
              <w:t>-44,9</w:t>
            </w:r>
          </w:p>
        </w:tc>
        <w:tc>
          <w:tcPr>
            <w:tcW w:w="709" w:type="dxa"/>
            <w:vAlign w:val="center"/>
          </w:tcPr>
          <w:p w14:paraId="46779A8C" w14:textId="524AFC05" w:rsidR="00553194" w:rsidRPr="00F173A3" w:rsidRDefault="002F2BDC" w:rsidP="002F2BDC">
            <w:pPr>
              <w:spacing w:before="0" w:after="0"/>
              <w:ind w:left="0" w:firstLine="0"/>
              <w:jc w:val="center"/>
              <w:rPr>
                <w:bCs/>
                <w:color w:val="000000"/>
                <w:sz w:val="19"/>
                <w:szCs w:val="19"/>
              </w:rPr>
            </w:pPr>
            <w:r>
              <w:rPr>
                <w:bCs/>
                <w:color w:val="000000"/>
                <w:sz w:val="19"/>
                <w:szCs w:val="19"/>
              </w:rPr>
              <w:t>0,5</w:t>
            </w:r>
          </w:p>
        </w:tc>
        <w:tc>
          <w:tcPr>
            <w:tcW w:w="709" w:type="dxa"/>
            <w:vAlign w:val="center"/>
          </w:tcPr>
          <w:p w14:paraId="7570D515" w14:textId="604F7623" w:rsidR="00553194" w:rsidRPr="00F173A3" w:rsidRDefault="002F2BDC" w:rsidP="002F2BDC">
            <w:pPr>
              <w:spacing w:before="0" w:after="0"/>
              <w:ind w:left="0" w:firstLine="0"/>
              <w:jc w:val="center"/>
              <w:rPr>
                <w:bCs/>
                <w:color w:val="000000"/>
                <w:sz w:val="19"/>
                <w:szCs w:val="19"/>
              </w:rPr>
            </w:pPr>
            <w:r>
              <w:rPr>
                <w:bCs/>
                <w:color w:val="000000"/>
                <w:sz w:val="19"/>
                <w:szCs w:val="19"/>
              </w:rPr>
              <w:t>1,0</w:t>
            </w:r>
          </w:p>
        </w:tc>
        <w:tc>
          <w:tcPr>
            <w:tcW w:w="708" w:type="dxa"/>
            <w:vAlign w:val="center"/>
          </w:tcPr>
          <w:p w14:paraId="04AB79DF" w14:textId="43936D72" w:rsidR="00553194" w:rsidRPr="00F173A3" w:rsidRDefault="002F2BDC" w:rsidP="002F2BDC">
            <w:pPr>
              <w:spacing w:before="0" w:after="0"/>
              <w:ind w:left="0" w:firstLine="0"/>
              <w:jc w:val="center"/>
              <w:rPr>
                <w:bCs/>
                <w:color w:val="000000"/>
                <w:sz w:val="19"/>
                <w:szCs w:val="19"/>
              </w:rPr>
            </w:pPr>
            <w:r>
              <w:rPr>
                <w:bCs/>
                <w:color w:val="000000"/>
                <w:sz w:val="19"/>
                <w:szCs w:val="19"/>
              </w:rPr>
              <w:t>1,9</w:t>
            </w:r>
          </w:p>
        </w:tc>
        <w:tc>
          <w:tcPr>
            <w:tcW w:w="1235" w:type="dxa"/>
            <w:vAlign w:val="center"/>
          </w:tcPr>
          <w:p w14:paraId="416F2193" w14:textId="24D3564E" w:rsidR="00553194" w:rsidRPr="00F173A3" w:rsidRDefault="002F2BDC" w:rsidP="002F2BDC">
            <w:pPr>
              <w:spacing w:before="0" w:after="0"/>
              <w:ind w:left="0" w:firstLine="0"/>
              <w:jc w:val="center"/>
              <w:rPr>
                <w:bCs/>
                <w:color w:val="000000"/>
                <w:sz w:val="19"/>
                <w:szCs w:val="19"/>
              </w:rPr>
            </w:pPr>
            <w:r>
              <w:rPr>
                <w:bCs/>
                <w:color w:val="000000"/>
                <w:sz w:val="19"/>
                <w:szCs w:val="19"/>
              </w:rPr>
              <w:t>-124,8</w:t>
            </w:r>
          </w:p>
        </w:tc>
      </w:tr>
      <w:tr w:rsidR="00553194" w:rsidRPr="00E44C12" w14:paraId="36824A10" w14:textId="77777777" w:rsidTr="00E312A3">
        <w:trPr>
          <w:trHeight w:val="229"/>
          <w:jc w:val="center"/>
        </w:trPr>
        <w:tc>
          <w:tcPr>
            <w:tcW w:w="3539" w:type="dxa"/>
            <w:shd w:val="clear" w:color="auto" w:fill="DEEAF6" w:themeFill="accent1" w:themeFillTint="33"/>
            <w:noWrap/>
            <w:vAlign w:val="center"/>
            <w:hideMark/>
          </w:tcPr>
          <w:p w14:paraId="47307EB9" w14:textId="6F22168F" w:rsidR="00553194" w:rsidRPr="00553194" w:rsidRDefault="00553194" w:rsidP="00553194">
            <w:pPr>
              <w:spacing w:before="0" w:after="0"/>
              <w:ind w:left="0" w:firstLine="0"/>
              <w:rPr>
                <w:b/>
                <w:bCs/>
                <w:color w:val="000000"/>
                <w:sz w:val="19"/>
                <w:szCs w:val="19"/>
              </w:rPr>
            </w:pPr>
            <w:r w:rsidRPr="00553194">
              <w:rPr>
                <w:b/>
                <w:bCs/>
                <w:color w:val="000000"/>
                <w:sz w:val="19"/>
                <w:szCs w:val="19"/>
              </w:rPr>
              <w:t>Atbalsts pabalstu jomā</w:t>
            </w:r>
          </w:p>
        </w:tc>
        <w:tc>
          <w:tcPr>
            <w:tcW w:w="1418" w:type="dxa"/>
            <w:shd w:val="clear" w:color="auto" w:fill="DEEAF6" w:themeFill="accent1" w:themeFillTint="33"/>
            <w:vAlign w:val="center"/>
            <w:hideMark/>
          </w:tcPr>
          <w:p w14:paraId="514E6517"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 xml:space="preserve">154,0 </w:t>
            </w:r>
          </w:p>
          <w:p w14:paraId="2A7A6B1B" w14:textId="01EF3845"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(0,5)</w:t>
            </w:r>
          </w:p>
        </w:tc>
        <w:tc>
          <w:tcPr>
            <w:tcW w:w="850" w:type="dxa"/>
            <w:shd w:val="clear" w:color="auto" w:fill="DEEAF6" w:themeFill="accent1" w:themeFillTint="33"/>
            <w:vAlign w:val="center"/>
            <w:hideMark/>
          </w:tcPr>
          <w:p w14:paraId="7FE002F1"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-154,0</w:t>
            </w:r>
          </w:p>
        </w:tc>
        <w:tc>
          <w:tcPr>
            <w:tcW w:w="709" w:type="dxa"/>
            <w:shd w:val="clear" w:color="auto" w:fill="DEEAF6" w:themeFill="accent1" w:themeFillTint="33"/>
            <w:vAlign w:val="center"/>
            <w:hideMark/>
          </w:tcPr>
          <w:p w14:paraId="4FDDD9B3"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0,0</w:t>
            </w:r>
          </w:p>
        </w:tc>
        <w:tc>
          <w:tcPr>
            <w:tcW w:w="709" w:type="dxa"/>
            <w:shd w:val="clear" w:color="auto" w:fill="DEEAF6" w:themeFill="accent1" w:themeFillTint="33"/>
            <w:vAlign w:val="center"/>
            <w:hideMark/>
          </w:tcPr>
          <w:p w14:paraId="0CF59580"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0,0</w:t>
            </w:r>
          </w:p>
        </w:tc>
        <w:tc>
          <w:tcPr>
            <w:tcW w:w="708" w:type="dxa"/>
            <w:shd w:val="clear" w:color="auto" w:fill="DEEAF6" w:themeFill="accent1" w:themeFillTint="33"/>
            <w:vAlign w:val="center"/>
            <w:hideMark/>
          </w:tcPr>
          <w:p w14:paraId="44751170"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0,0</w:t>
            </w:r>
          </w:p>
        </w:tc>
        <w:tc>
          <w:tcPr>
            <w:tcW w:w="1235" w:type="dxa"/>
            <w:shd w:val="clear" w:color="auto" w:fill="DEEAF6" w:themeFill="accent1" w:themeFillTint="33"/>
            <w:vAlign w:val="center"/>
            <w:hideMark/>
          </w:tcPr>
          <w:p w14:paraId="5A2AC988"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-65,7</w:t>
            </w:r>
          </w:p>
        </w:tc>
      </w:tr>
      <w:tr w:rsidR="002F2BDC" w:rsidRPr="00E44C12" w14:paraId="7902A82D" w14:textId="77777777" w:rsidTr="00E312A3">
        <w:trPr>
          <w:trHeight w:val="229"/>
          <w:jc w:val="center"/>
        </w:trPr>
        <w:tc>
          <w:tcPr>
            <w:tcW w:w="3539" w:type="dxa"/>
            <w:shd w:val="clear" w:color="auto" w:fill="auto"/>
            <w:noWrap/>
            <w:vAlign w:val="center"/>
          </w:tcPr>
          <w:p w14:paraId="4D5FFFEE" w14:textId="36A681F6" w:rsidR="002F2BDC" w:rsidRPr="002F2BDC" w:rsidRDefault="002F2BDC" w:rsidP="002F2BDC">
            <w:pPr>
              <w:spacing w:before="0" w:after="0"/>
              <w:ind w:left="0" w:firstLine="0"/>
              <w:jc w:val="right"/>
              <w:rPr>
                <w:bCs/>
                <w:color w:val="000000"/>
                <w:sz w:val="19"/>
                <w:szCs w:val="19"/>
              </w:rPr>
            </w:pPr>
            <w:r w:rsidRPr="002F2BDC">
              <w:rPr>
                <w:bCs/>
                <w:color w:val="000000"/>
                <w:sz w:val="19"/>
                <w:szCs w:val="19"/>
              </w:rPr>
              <w:t>Dīkstāves pabalsti</w:t>
            </w:r>
          </w:p>
        </w:tc>
        <w:tc>
          <w:tcPr>
            <w:tcW w:w="1418" w:type="dxa"/>
            <w:shd w:val="clear" w:color="auto" w:fill="auto"/>
            <w:vAlign w:val="center"/>
          </w:tcPr>
          <w:p w14:paraId="76EA2C9E" w14:textId="484D07EC" w:rsidR="002F2BDC" w:rsidRPr="002F2BDC" w:rsidRDefault="002F2BDC" w:rsidP="002F2BDC">
            <w:pPr>
              <w:spacing w:before="0" w:after="0"/>
              <w:ind w:left="0" w:firstLine="0"/>
              <w:jc w:val="center"/>
              <w:rPr>
                <w:bCs/>
                <w:color w:val="000000"/>
                <w:sz w:val="19"/>
                <w:szCs w:val="19"/>
              </w:rPr>
            </w:pPr>
            <w:r w:rsidRPr="002F2BDC">
              <w:rPr>
                <w:bCs/>
                <w:color w:val="000000"/>
                <w:sz w:val="19"/>
                <w:szCs w:val="19"/>
              </w:rPr>
              <w:t>53,7</w:t>
            </w:r>
          </w:p>
        </w:tc>
        <w:tc>
          <w:tcPr>
            <w:tcW w:w="850" w:type="dxa"/>
            <w:shd w:val="clear" w:color="auto" w:fill="auto"/>
            <w:vAlign w:val="center"/>
          </w:tcPr>
          <w:p w14:paraId="10BE9D77" w14:textId="622CC0FB" w:rsidR="002F2BDC" w:rsidRPr="002F2BDC" w:rsidRDefault="002F2BDC" w:rsidP="002F2BDC">
            <w:pPr>
              <w:spacing w:before="0" w:after="0"/>
              <w:ind w:left="0" w:firstLine="0"/>
              <w:jc w:val="center"/>
              <w:rPr>
                <w:bCs/>
                <w:color w:val="000000"/>
                <w:sz w:val="19"/>
                <w:szCs w:val="19"/>
              </w:rPr>
            </w:pPr>
            <w:r>
              <w:rPr>
                <w:bCs/>
                <w:color w:val="000000"/>
                <w:sz w:val="19"/>
                <w:szCs w:val="19"/>
              </w:rPr>
              <w:t>-53,7</w:t>
            </w:r>
          </w:p>
        </w:tc>
        <w:tc>
          <w:tcPr>
            <w:tcW w:w="709" w:type="dxa"/>
            <w:shd w:val="clear" w:color="auto" w:fill="auto"/>
            <w:vAlign w:val="center"/>
          </w:tcPr>
          <w:p w14:paraId="7BAB9FA4" w14:textId="64C93B1F" w:rsidR="002F2BDC" w:rsidRPr="002F2BDC" w:rsidRDefault="002F2BDC" w:rsidP="002F2BDC">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02184660" w14:textId="3C710306" w:rsidR="002F2BDC" w:rsidRPr="002F2BDC" w:rsidRDefault="002F2BDC" w:rsidP="002F2BDC">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785084A6" w14:textId="35A61CFF" w:rsidR="002F2BDC" w:rsidRPr="002F2BDC" w:rsidRDefault="002F2BDC" w:rsidP="002F2BDC">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43FDC1DA" w14:textId="735C9812" w:rsidR="002F2BDC" w:rsidRPr="002F2BDC" w:rsidRDefault="002F2BDC" w:rsidP="002F2BDC">
            <w:pPr>
              <w:spacing w:before="0" w:after="0"/>
              <w:ind w:left="0" w:firstLine="0"/>
              <w:jc w:val="center"/>
              <w:rPr>
                <w:bCs/>
                <w:color w:val="000000"/>
                <w:sz w:val="19"/>
                <w:szCs w:val="19"/>
              </w:rPr>
            </w:pPr>
            <w:r>
              <w:rPr>
                <w:bCs/>
                <w:color w:val="000000"/>
                <w:sz w:val="19"/>
                <w:szCs w:val="19"/>
              </w:rPr>
              <w:t>-53,7</w:t>
            </w:r>
          </w:p>
        </w:tc>
      </w:tr>
      <w:tr w:rsidR="002F2BDC" w:rsidRPr="00E44C12" w14:paraId="18C4CFA9" w14:textId="77777777" w:rsidTr="00E312A3">
        <w:trPr>
          <w:trHeight w:val="229"/>
          <w:jc w:val="center"/>
        </w:trPr>
        <w:tc>
          <w:tcPr>
            <w:tcW w:w="3539" w:type="dxa"/>
            <w:shd w:val="clear" w:color="auto" w:fill="auto"/>
            <w:noWrap/>
            <w:vAlign w:val="center"/>
          </w:tcPr>
          <w:p w14:paraId="37AD33E8" w14:textId="7FD9192A" w:rsidR="002F2BDC" w:rsidRPr="002F2BDC" w:rsidRDefault="002F2BDC" w:rsidP="002F2BDC">
            <w:pPr>
              <w:spacing w:before="0" w:after="0"/>
              <w:ind w:left="0" w:firstLine="0"/>
              <w:jc w:val="right"/>
              <w:rPr>
                <w:bCs/>
                <w:color w:val="000000"/>
                <w:sz w:val="19"/>
                <w:szCs w:val="19"/>
              </w:rPr>
            </w:pPr>
            <w:r>
              <w:rPr>
                <w:bCs/>
                <w:color w:val="000000"/>
                <w:sz w:val="19"/>
                <w:szCs w:val="19"/>
              </w:rPr>
              <w:t>Subsidētās darba vietas eksportējošiem uzņēmumiem</w:t>
            </w:r>
          </w:p>
        </w:tc>
        <w:tc>
          <w:tcPr>
            <w:tcW w:w="1418" w:type="dxa"/>
            <w:shd w:val="clear" w:color="auto" w:fill="auto"/>
            <w:vAlign w:val="center"/>
          </w:tcPr>
          <w:p w14:paraId="0AAD0C9F" w14:textId="5D63F16C" w:rsidR="002F2BDC" w:rsidRPr="002F2BDC" w:rsidRDefault="002F2BDC" w:rsidP="002F2BDC">
            <w:pPr>
              <w:spacing w:before="0" w:after="0"/>
              <w:ind w:left="0" w:firstLine="0"/>
              <w:jc w:val="center"/>
              <w:rPr>
                <w:bCs/>
                <w:color w:val="000000"/>
                <w:sz w:val="19"/>
                <w:szCs w:val="19"/>
              </w:rPr>
            </w:pPr>
            <w:r>
              <w:rPr>
                <w:bCs/>
                <w:color w:val="000000"/>
                <w:sz w:val="19"/>
                <w:szCs w:val="19"/>
              </w:rPr>
              <w:t>51,0</w:t>
            </w:r>
          </w:p>
        </w:tc>
        <w:tc>
          <w:tcPr>
            <w:tcW w:w="850" w:type="dxa"/>
            <w:shd w:val="clear" w:color="auto" w:fill="auto"/>
            <w:vAlign w:val="center"/>
          </w:tcPr>
          <w:p w14:paraId="2BC9F23A" w14:textId="45F01C71" w:rsidR="002F2BDC" w:rsidRDefault="001C1820" w:rsidP="002F2BDC">
            <w:pPr>
              <w:spacing w:before="0" w:after="0"/>
              <w:ind w:left="0" w:firstLine="0"/>
              <w:jc w:val="center"/>
              <w:rPr>
                <w:bCs/>
                <w:color w:val="000000"/>
                <w:sz w:val="19"/>
                <w:szCs w:val="19"/>
              </w:rPr>
            </w:pPr>
            <w:r>
              <w:rPr>
                <w:bCs/>
                <w:color w:val="000000"/>
                <w:sz w:val="19"/>
                <w:szCs w:val="19"/>
              </w:rPr>
              <w:t>-51,0</w:t>
            </w:r>
          </w:p>
        </w:tc>
        <w:tc>
          <w:tcPr>
            <w:tcW w:w="709" w:type="dxa"/>
            <w:shd w:val="clear" w:color="auto" w:fill="auto"/>
            <w:vAlign w:val="center"/>
          </w:tcPr>
          <w:p w14:paraId="7D5E52F7" w14:textId="2A4AD347" w:rsidR="002F2BDC" w:rsidRDefault="002F2BDC" w:rsidP="002F2BDC">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26A1BAE7" w14:textId="77F0BDE8" w:rsidR="002F2BDC" w:rsidRDefault="002F2BDC" w:rsidP="002F2BDC">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258BFC6C" w14:textId="5D8712E5" w:rsidR="002F2BDC" w:rsidRDefault="002F2BDC" w:rsidP="002F2BDC">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065F802C" w14:textId="303568E6" w:rsidR="002F2BDC" w:rsidRDefault="002F2BDC" w:rsidP="002F2BDC">
            <w:pPr>
              <w:spacing w:before="0" w:after="0"/>
              <w:ind w:left="0" w:firstLine="0"/>
              <w:jc w:val="center"/>
              <w:rPr>
                <w:bCs/>
                <w:color w:val="000000"/>
                <w:sz w:val="19"/>
                <w:szCs w:val="19"/>
              </w:rPr>
            </w:pPr>
            <w:r>
              <w:rPr>
                <w:bCs/>
                <w:color w:val="000000"/>
                <w:sz w:val="19"/>
                <w:szCs w:val="19"/>
              </w:rPr>
              <w:t>0,0</w:t>
            </w:r>
          </w:p>
        </w:tc>
      </w:tr>
      <w:tr w:rsidR="002F2BDC" w:rsidRPr="00E44C12" w14:paraId="0D748E60" w14:textId="77777777" w:rsidTr="00E312A3">
        <w:trPr>
          <w:trHeight w:val="229"/>
          <w:jc w:val="center"/>
        </w:trPr>
        <w:tc>
          <w:tcPr>
            <w:tcW w:w="3539" w:type="dxa"/>
            <w:shd w:val="clear" w:color="auto" w:fill="auto"/>
            <w:noWrap/>
            <w:vAlign w:val="center"/>
          </w:tcPr>
          <w:p w14:paraId="3DF87BAB" w14:textId="4826376D" w:rsidR="002F2BDC" w:rsidRPr="002F2BDC" w:rsidRDefault="002F2BDC" w:rsidP="002F2BDC">
            <w:pPr>
              <w:spacing w:before="0" w:after="0"/>
              <w:ind w:left="0" w:firstLine="0"/>
              <w:jc w:val="right"/>
              <w:rPr>
                <w:bCs/>
                <w:color w:val="000000"/>
                <w:sz w:val="19"/>
                <w:szCs w:val="19"/>
              </w:rPr>
            </w:pPr>
            <w:r>
              <w:rPr>
                <w:bCs/>
                <w:color w:val="000000"/>
                <w:sz w:val="19"/>
                <w:szCs w:val="19"/>
              </w:rPr>
              <w:t>Subsidētās darba vietas tūrisma nozarei</w:t>
            </w:r>
          </w:p>
        </w:tc>
        <w:tc>
          <w:tcPr>
            <w:tcW w:w="1418" w:type="dxa"/>
            <w:shd w:val="clear" w:color="auto" w:fill="auto"/>
            <w:vAlign w:val="center"/>
          </w:tcPr>
          <w:p w14:paraId="00AD11D0" w14:textId="1C2C68A3" w:rsidR="002F2BDC" w:rsidRPr="002F2BDC" w:rsidRDefault="002F2BDC" w:rsidP="002F2BDC">
            <w:pPr>
              <w:spacing w:before="0" w:after="0"/>
              <w:ind w:left="0" w:firstLine="0"/>
              <w:jc w:val="center"/>
              <w:rPr>
                <w:bCs/>
                <w:color w:val="000000"/>
                <w:sz w:val="19"/>
                <w:szCs w:val="19"/>
              </w:rPr>
            </w:pPr>
            <w:r>
              <w:rPr>
                <w:bCs/>
                <w:color w:val="000000"/>
                <w:sz w:val="19"/>
                <w:szCs w:val="19"/>
              </w:rPr>
              <w:t>19,2</w:t>
            </w:r>
          </w:p>
        </w:tc>
        <w:tc>
          <w:tcPr>
            <w:tcW w:w="850" w:type="dxa"/>
            <w:shd w:val="clear" w:color="auto" w:fill="auto"/>
            <w:vAlign w:val="center"/>
          </w:tcPr>
          <w:p w14:paraId="0A90FF01" w14:textId="19CA0331" w:rsidR="002F2BDC" w:rsidRDefault="001C1820" w:rsidP="002F2BDC">
            <w:pPr>
              <w:spacing w:before="0" w:after="0"/>
              <w:ind w:left="0" w:firstLine="0"/>
              <w:jc w:val="center"/>
              <w:rPr>
                <w:bCs/>
                <w:color w:val="000000"/>
                <w:sz w:val="19"/>
                <w:szCs w:val="19"/>
              </w:rPr>
            </w:pPr>
            <w:r>
              <w:rPr>
                <w:bCs/>
                <w:color w:val="000000"/>
                <w:sz w:val="19"/>
                <w:szCs w:val="19"/>
              </w:rPr>
              <w:t>-19,2</w:t>
            </w:r>
          </w:p>
        </w:tc>
        <w:tc>
          <w:tcPr>
            <w:tcW w:w="709" w:type="dxa"/>
            <w:shd w:val="clear" w:color="auto" w:fill="auto"/>
            <w:vAlign w:val="center"/>
          </w:tcPr>
          <w:p w14:paraId="779383CE" w14:textId="3A0357C6" w:rsidR="002F2BDC" w:rsidRDefault="002F2BDC" w:rsidP="002F2BDC">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71347540" w14:textId="25952313" w:rsidR="002F2BDC" w:rsidRDefault="002F2BDC" w:rsidP="002F2BDC">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048300C7" w14:textId="70577EB1" w:rsidR="002F2BDC" w:rsidRDefault="002F2BDC" w:rsidP="002F2BDC">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30C194C1" w14:textId="1F928000" w:rsidR="002F2BDC" w:rsidRDefault="002F2BDC" w:rsidP="002F2BDC">
            <w:pPr>
              <w:spacing w:before="0" w:after="0"/>
              <w:ind w:left="0" w:firstLine="0"/>
              <w:jc w:val="center"/>
              <w:rPr>
                <w:bCs/>
                <w:color w:val="000000"/>
                <w:sz w:val="19"/>
                <w:szCs w:val="19"/>
              </w:rPr>
            </w:pPr>
            <w:r>
              <w:rPr>
                <w:bCs/>
                <w:color w:val="000000"/>
                <w:sz w:val="19"/>
                <w:szCs w:val="19"/>
              </w:rPr>
              <w:t>0,0</w:t>
            </w:r>
          </w:p>
        </w:tc>
      </w:tr>
      <w:tr w:rsidR="00553194" w:rsidRPr="00E44C12" w14:paraId="77980DEA" w14:textId="77777777" w:rsidTr="00E312A3">
        <w:trPr>
          <w:trHeight w:val="229"/>
          <w:jc w:val="center"/>
        </w:trPr>
        <w:tc>
          <w:tcPr>
            <w:tcW w:w="3539" w:type="dxa"/>
            <w:shd w:val="clear" w:color="auto" w:fill="DEEAF6" w:themeFill="accent1" w:themeFillTint="33"/>
            <w:noWrap/>
            <w:vAlign w:val="center"/>
            <w:hideMark/>
          </w:tcPr>
          <w:p w14:paraId="3F60119E" w14:textId="3F3D82C2" w:rsidR="00553194" w:rsidRPr="00553194" w:rsidRDefault="00553194" w:rsidP="00553194">
            <w:pPr>
              <w:spacing w:before="0" w:after="0"/>
              <w:ind w:left="0" w:firstLine="0"/>
              <w:rPr>
                <w:b/>
                <w:bCs/>
                <w:color w:val="000000"/>
                <w:sz w:val="19"/>
                <w:szCs w:val="19"/>
              </w:rPr>
            </w:pPr>
            <w:r w:rsidRPr="00553194">
              <w:rPr>
                <w:b/>
                <w:bCs/>
                <w:color w:val="000000"/>
                <w:sz w:val="19"/>
                <w:szCs w:val="19"/>
              </w:rPr>
              <w:t>Atbalsts aizdevumu un garantiju jomā</w:t>
            </w:r>
          </w:p>
        </w:tc>
        <w:tc>
          <w:tcPr>
            <w:tcW w:w="1418" w:type="dxa"/>
            <w:shd w:val="clear" w:color="auto" w:fill="DEEAF6" w:themeFill="accent1" w:themeFillTint="33"/>
            <w:vAlign w:val="center"/>
            <w:hideMark/>
          </w:tcPr>
          <w:p w14:paraId="52A5F978"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 xml:space="preserve">1 205,0 </w:t>
            </w:r>
          </w:p>
          <w:p w14:paraId="6390B104" w14:textId="7060F50D"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(4,3)</w:t>
            </w:r>
          </w:p>
        </w:tc>
        <w:tc>
          <w:tcPr>
            <w:tcW w:w="850" w:type="dxa"/>
            <w:shd w:val="clear" w:color="auto" w:fill="DEEAF6" w:themeFill="accent1" w:themeFillTint="33"/>
            <w:vAlign w:val="center"/>
            <w:hideMark/>
          </w:tcPr>
          <w:p w14:paraId="7C325077"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-290,0</w:t>
            </w:r>
          </w:p>
        </w:tc>
        <w:tc>
          <w:tcPr>
            <w:tcW w:w="709" w:type="dxa"/>
            <w:shd w:val="clear" w:color="auto" w:fill="DEEAF6" w:themeFill="accent1" w:themeFillTint="33"/>
            <w:vAlign w:val="center"/>
            <w:hideMark/>
          </w:tcPr>
          <w:p w14:paraId="3145F013"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-72,0</w:t>
            </w:r>
          </w:p>
        </w:tc>
        <w:tc>
          <w:tcPr>
            <w:tcW w:w="709" w:type="dxa"/>
            <w:shd w:val="clear" w:color="auto" w:fill="DEEAF6" w:themeFill="accent1" w:themeFillTint="33"/>
            <w:vAlign w:val="center"/>
            <w:hideMark/>
          </w:tcPr>
          <w:p w14:paraId="6317D2B4"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0,0</w:t>
            </w:r>
          </w:p>
        </w:tc>
        <w:tc>
          <w:tcPr>
            <w:tcW w:w="708" w:type="dxa"/>
            <w:shd w:val="clear" w:color="auto" w:fill="DEEAF6" w:themeFill="accent1" w:themeFillTint="33"/>
            <w:vAlign w:val="center"/>
            <w:hideMark/>
          </w:tcPr>
          <w:p w14:paraId="23FB4060"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0,0</w:t>
            </w:r>
          </w:p>
        </w:tc>
        <w:tc>
          <w:tcPr>
            <w:tcW w:w="1235" w:type="dxa"/>
            <w:shd w:val="clear" w:color="auto" w:fill="DEEAF6" w:themeFill="accent1" w:themeFillTint="33"/>
            <w:vAlign w:val="center"/>
            <w:hideMark/>
          </w:tcPr>
          <w:p w14:paraId="78E15573"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-100,0</w:t>
            </w:r>
          </w:p>
        </w:tc>
      </w:tr>
      <w:tr w:rsidR="002F2BDC" w:rsidRPr="00E44C12" w14:paraId="6EB02104" w14:textId="77777777" w:rsidTr="00E312A3">
        <w:trPr>
          <w:trHeight w:val="229"/>
          <w:jc w:val="center"/>
        </w:trPr>
        <w:tc>
          <w:tcPr>
            <w:tcW w:w="3539" w:type="dxa"/>
            <w:shd w:val="clear" w:color="auto" w:fill="auto"/>
            <w:noWrap/>
            <w:vAlign w:val="center"/>
          </w:tcPr>
          <w:p w14:paraId="2760AE9D" w14:textId="2689652F" w:rsidR="002F2BDC" w:rsidRPr="002F2BDC" w:rsidRDefault="002F2BDC" w:rsidP="002F2BDC">
            <w:pPr>
              <w:spacing w:before="0" w:after="0"/>
              <w:ind w:left="0" w:firstLine="0"/>
              <w:jc w:val="right"/>
              <w:rPr>
                <w:bCs/>
                <w:color w:val="000000"/>
                <w:sz w:val="19"/>
                <w:szCs w:val="19"/>
              </w:rPr>
            </w:pPr>
            <w:r w:rsidRPr="002F2BDC">
              <w:rPr>
                <w:bCs/>
                <w:color w:val="000000"/>
                <w:sz w:val="19"/>
                <w:szCs w:val="19"/>
              </w:rPr>
              <w:t>Kredītu garantijas</w:t>
            </w:r>
          </w:p>
        </w:tc>
        <w:tc>
          <w:tcPr>
            <w:tcW w:w="1418" w:type="dxa"/>
            <w:shd w:val="clear" w:color="auto" w:fill="auto"/>
            <w:vAlign w:val="center"/>
          </w:tcPr>
          <w:p w14:paraId="43178E8F" w14:textId="7ED71D37" w:rsidR="002F2BDC" w:rsidRPr="002F2BDC" w:rsidRDefault="002F2BDC" w:rsidP="00FE4826">
            <w:pPr>
              <w:spacing w:before="0" w:after="0"/>
              <w:ind w:left="0" w:firstLine="0"/>
              <w:jc w:val="center"/>
              <w:rPr>
                <w:bCs/>
                <w:color w:val="000000"/>
                <w:sz w:val="19"/>
                <w:szCs w:val="19"/>
              </w:rPr>
            </w:pPr>
            <w:r>
              <w:rPr>
                <w:bCs/>
                <w:color w:val="000000"/>
                <w:sz w:val="19"/>
                <w:szCs w:val="19"/>
              </w:rPr>
              <w:t>415,0</w:t>
            </w:r>
          </w:p>
        </w:tc>
        <w:tc>
          <w:tcPr>
            <w:tcW w:w="850" w:type="dxa"/>
            <w:shd w:val="clear" w:color="auto" w:fill="auto"/>
            <w:vAlign w:val="center"/>
          </w:tcPr>
          <w:p w14:paraId="79C4CF66" w14:textId="70CFEA19" w:rsidR="002F2BDC" w:rsidRPr="002F2BDC" w:rsidRDefault="002F2BDC" w:rsidP="00FE4826">
            <w:pPr>
              <w:spacing w:before="0" w:after="0"/>
              <w:ind w:left="0" w:firstLine="0"/>
              <w:jc w:val="center"/>
              <w:rPr>
                <w:bCs/>
                <w:color w:val="000000"/>
                <w:sz w:val="19"/>
                <w:szCs w:val="19"/>
              </w:rPr>
            </w:pPr>
            <w:r>
              <w:rPr>
                <w:bCs/>
                <w:color w:val="000000"/>
                <w:sz w:val="19"/>
                <w:szCs w:val="19"/>
              </w:rPr>
              <w:t>-25,0</w:t>
            </w:r>
          </w:p>
        </w:tc>
        <w:tc>
          <w:tcPr>
            <w:tcW w:w="709" w:type="dxa"/>
            <w:shd w:val="clear" w:color="auto" w:fill="auto"/>
            <w:vAlign w:val="center"/>
          </w:tcPr>
          <w:p w14:paraId="0E5578E3" w14:textId="1BD4618C"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000B679F" w14:textId="317E9B48"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5092F95B" w14:textId="0FAA1E35"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3174F38C" w14:textId="37047C86" w:rsidR="002F2BDC" w:rsidRPr="002F2BDC" w:rsidRDefault="00FE4826" w:rsidP="00FE4826">
            <w:pPr>
              <w:spacing w:before="0" w:after="0"/>
              <w:ind w:left="0" w:firstLine="0"/>
              <w:jc w:val="center"/>
              <w:rPr>
                <w:bCs/>
                <w:color w:val="000000"/>
                <w:sz w:val="19"/>
                <w:szCs w:val="19"/>
              </w:rPr>
            </w:pPr>
            <w:r>
              <w:rPr>
                <w:bCs/>
                <w:color w:val="000000"/>
                <w:sz w:val="19"/>
                <w:szCs w:val="19"/>
              </w:rPr>
              <w:t>-25,0</w:t>
            </w:r>
          </w:p>
        </w:tc>
      </w:tr>
      <w:tr w:rsidR="002F2BDC" w:rsidRPr="00E44C12" w14:paraId="06C4EC96" w14:textId="77777777" w:rsidTr="00E312A3">
        <w:trPr>
          <w:trHeight w:val="229"/>
          <w:jc w:val="center"/>
        </w:trPr>
        <w:tc>
          <w:tcPr>
            <w:tcW w:w="3539" w:type="dxa"/>
            <w:shd w:val="clear" w:color="auto" w:fill="auto"/>
            <w:noWrap/>
            <w:vAlign w:val="center"/>
          </w:tcPr>
          <w:p w14:paraId="7A9D9FD2" w14:textId="0FC67DCE" w:rsidR="002F2BDC" w:rsidRPr="002F2BDC" w:rsidRDefault="002F2BDC" w:rsidP="002F2BDC">
            <w:pPr>
              <w:spacing w:before="0" w:after="0"/>
              <w:ind w:left="0" w:firstLine="0"/>
              <w:jc w:val="right"/>
              <w:rPr>
                <w:bCs/>
                <w:color w:val="000000"/>
                <w:sz w:val="19"/>
                <w:szCs w:val="19"/>
              </w:rPr>
            </w:pPr>
            <w:proofErr w:type="spellStart"/>
            <w:r w:rsidRPr="002F2BDC">
              <w:rPr>
                <w:bCs/>
                <w:color w:val="000000"/>
                <w:sz w:val="19"/>
                <w:szCs w:val="19"/>
              </w:rPr>
              <w:t>Portfeļgarantijas</w:t>
            </w:r>
            <w:proofErr w:type="spellEnd"/>
          </w:p>
        </w:tc>
        <w:tc>
          <w:tcPr>
            <w:tcW w:w="1418" w:type="dxa"/>
            <w:shd w:val="clear" w:color="auto" w:fill="auto"/>
            <w:vAlign w:val="center"/>
          </w:tcPr>
          <w:p w14:paraId="0C09362D" w14:textId="7CD7898B" w:rsidR="002F2BDC" w:rsidRPr="002F2BDC" w:rsidRDefault="002F2BDC" w:rsidP="00FE4826">
            <w:pPr>
              <w:spacing w:before="0" w:after="0"/>
              <w:ind w:left="0" w:firstLine="0"/>
              <w:jc w:val="center"/>
              <w:rPr>
                <w:bCs/>
                <w:color w:val="000000"/>
                <w:sz w:val="19"/>
                <w:szCs w:val="19"/>
              </w:rPr>
            </w:pPr>
            <w:r>
              <w:rPr>
                <w:bCs/>
                <w:color w:val="000000"/>
                <w:sz w:val="19"/>
                <w:szCs w:val="19"/>
              </w:rPr>
              <w:t>300,0</w:t>
            </w:r>
          </w:p>
        </w:tc>
        <w:tc>
          <w:tcPr>
            <w:tcW w:w="850" w:type="dxa"/>
            <w:shd w:val="clear" w:color="auto" w:fill="auto"/>
            <w:vAlign w:val="center"/>
          </w:tcPr>
          <w:p w14:paraId="58700BA0" w14:textId="77AE2CD6" w:rsidR="002F2BDC" w:rsidRPr="002F2BDC" w:rsidRDefault="002F2BDC" w:rsidP="00FE4826">
            <w:pPr>
              <w:spacing w:before="0" w:after="0"/>
              <w:ind w:left="0" w:firstLine="0"/>
              <w:jc w:val="center"/>
              <w:rPr>
                <w:bCs/>
                <w:color w:val="000000"/>
                <w:sz w:val="19"/>
                <w:szCs w:val="19"/>
              </w:rPr>
            </w:pPr>
            <w:r>
              <w:rPr>
                <w:bCs/>
                <w:color w:val="000000"/>
                <w:sz w:val="19"/>
                <w:szCs w:val="19"/>
              </w:rPr>
              <w:t>-25,0</w:t>
            </w:r>
          </w:p>
        </w:tc>
        <w:tc>
          <w:tcPr>
            <w:tcW w:w="709" w:type="dxa"/>
            <w:shd w:val="clear" w:color="auto" w:fill="auto"/>
            <w:vAlign w:val="center"/>
          </w:tcPr>
          <w:p w14:paraId="5D7AEA91" w14:textId="19DF17E3"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4F8596AA" w14:textId="4EC50CC1"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52F1D75E" w14:textId="484F4709"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22E0024C" w14:textId="0F7E23C1" w:rsidR="002F2BDC" w:rsidRPr="002F2BDC" w:rsidRDefault="00FE4826" w:rsidP="00FE4826">
            <w:pPr>
              <w:spacing w:before="0" w:after="0"/>
              <w:ind w:left="0" w:firstLine="0"/>
              <w:jc w:val="center"/>
              <w:rPr>
                <w:bCs/>
                <w:color w:val="000000"/>
                <w:sz w:val="19"/>
                <w:szCs w:val="19"/>
              </w:rPr>
            </w:pPr>
            <w:r>
              <w:rPr>
                <w:bCs/>
                <w:color w:val="000000"/>
                <w:sz w:val="19"/>
                <w:szCs w:val="19"/>
              </w:rPr>
              <w:t>-25,0</w:t>
            </w:r>
          </w:p>
        </w:tc>
      </w:tr>
      <w:tr w:rsidR="002F2BDC" w:rsidRPr="00E44C12" w14:paraId="57DEADD4" w14:textId="77777777" w:rsidTr="00E312A3">
        <w:trPr>
          <w:trHeight w:val="229"/>
          <w:jc w:val="center"/>
        </w:trPr>
        <w:tc>
          <w:tcPr>
            <w:tcW w:w="3539" w:type="dxa"/>
            <w:shd w:val="clear" w:color="auto" w:fill="auto"/>
            <w:noWrap/>
            <w:vAlign w:val="center"/>
          </w:tcPr>
          <w:p w14:paraId="7396A341" w14:textId="35BE955C" w:rsidR="002F2BDC" w:rsidRPr="002F2BDC" w:rsidRDefault="002F2BDC" w:rsidP="002F2BDC">
            <w:pPr>
              <w:spacing w:before="0" w:after="0"/>
              <w:ind w:left="0" w:firstLine="0"/>
              <w:jc w:val="right"/>
              <w:rPr>
                <w:bCs/>
                <w:color w:val="000000"/>
                <w:sz w:val="19"/>
                <w:szCs w:val="19"/>
              </w:rPr>
            </w:pPr>
            <w:r w:rsidRPr="002F2BDC">
              <w:rPr>
                <w:bCs/>
                <w:color w:val="000000"/>
                <w:sz w:val="19"/>
                <w:szCs w:val="19"/>
              </w:rPr>
              <w:t>Aizdevumi apgrozāmiem līdzekļiem </w:t>
            </w:r>
          </w:p>
        </w:tc>
        <w:tc>
          <w:tcPr>
            <w:tcW w:w="1418" w:type="dxa"/>
            <w:shd w:val="clear" w:color="auto" w:fill="auto"/>
            <w:vAlign w:val="center"/>
          </w:tcPr>
          <w:p w14:paraId="7501DEEF" w14:textId="6156688A" w:rsidR="002F2BDC" w:rsidRPr="002F2BDC" w:rsidRDefault="002F2BDC" w:rsidP="00FE4826">
            <w:pPr>
              <w:spacing w:before="0" w:after="0"/>
              <w:ind w:left="0" w:firstLine="0"/>
              <w:jc w:val="center"/>
              <w:rPr>
                <w:bCs/>
                <w:color w:val="000000"/>
                <w:sz w:val="19"/>
                <w:szCs w:val="19"/>
              </w:rPr>
            </w:pPr>
            <w:r>
              <w:rPr>
                <w:bCs/>
                <w:color w:val="000000"/>
                <w:sz w:val="19"/>
                <w:szCs w:val="19"/>
              </w:rPr>
              <w:t>200,0</w:t>
            </w:r>
          </w:p>
        </w:tc>
        <w:tc>
          <w:tcPr>
            <w:tcW w:w="850" w:type="dxa"/>
            <w:shd w:val="clear" w:color="auto" w:fill="auto"/>
            <w:vAlign w:val="center"/>
          </w:tcPr>
          <w:p w14:paraId="63D26D6F" w14:textId="6DCD2DCC" w:rsidR="002F2BDC" w:rsidRPr="002F2BDC" w:rsidRDefault="002F2BDC" w:rsidP="00FE4826">
            <w:pPr>
              <w:spacing w:before="0" w:after="0"/>
              <w:ind w:left="0" w:firstLine="0"/>
              <w:jc w:val="center"/>
              <w:rPr>
                <w:bCs/>
                <w:color w:val="000000"/>
                <w:sz w:val="19"/>
                <w:szCs w:val="19"/>
              </w:rPr>
            </w:pPr>
            <w:r>
              <w:rPr>
                <w:bCs/>
                <w:color w:val="000000"/>
                <w:sz w:val="19"/>
                <w:szCs w:val="19"/>
              </w:rPr>
              <w:t>-50,0</w:t>
            </w:r>
          </w:p>
        </w:tc>
        <w:tc>
          <w:tcPr>
            <w:tcW w:w="709" w:type="dxa"/>
            <w:shd w:val="clear" w:color="auto" w:fill="auto"/>
            <w:vAlign w:val="center"/>
          </w:tcPr>
          <w:p w14:paraId="1ABD29D9" w14:textId="1D79AAF3"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65FB1A3C" w14:textId="4B605FD4"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6D2A56AC" w14:textId="617A9A60" w:rsidR="002F2BDC" w:rsidRPr="002F2BDC" w:rsidRDefault="00FE4826" w:rsidP="00FE4826">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0C4BED63" w14:textId="20B82A28" w:rsidR="002F2BDC" w:rsidRPr="002F2BDC" w:rsidRDefault="00FE4826" w:rsidP="00FE4826">
            <w:pPr>
              <w:spacing w:before="0" w:after="0"/>
              <w:ind w:left="0" w:firstLine="0"/>
              <w:jc w:val="center"/>
              <w:rPr>
                <w:bCs/>
                <w:color w:val="000000"/>
                <w:sz w:val="19"/>
                <w:szCs w:val="19"/>
              </w:rPr>
            </w:pPr>
            <w:r>
              <w:rPr>
                <w:bCs/>
                <w:color w:val="000000"/>
                <w:sz w:val="19"/>
                <w:szCs w:val="19"/>
              </w:rPr>
              <w:t>-50,0</w:t>
            </w:r>
          </w:p>
        </w:tc>
      </w:tr>
      <w:tr w:rsidR="002F2BDC" w:rsidRPr="00E44C12" w14:paraId="3FDA0DB7" w14:textId="77777777" w:rsidTr="00E312A3">
        <w:trPr>
          <w:trHeight w:val="229"/>
          <w:jc w:val="center"/>
        </w:trPr>
        <w:tc>
          <w:tcPr>
            <w:tcW w:w="3539" w:type="dxa"/>
            <w:shd w:val="clear" w:color="auto" w:fill="auto"/>
            <w:noWrap/>
            <w:vAlign w:val="center"/>
          </w:tcPr>
          <w:p w14:paraId="2B72EF4B" w14:textId="7A32F4A0" w:rsidR="002F2BDC" w:rsidRPr="002F2BDC" w:rsidRDefault="002F2BDC" w:rsidP="002F2BDC">
            <w:pPr>
              <w:spacing w:before="0" w:after="0"/>
              <w:ind w:left="0" w:firstLine="0"/>
              <w:jc w:val="right"/>
              <w:rPr>
                <w:bCs/>
                <w:color w:val="000000"/>
                <w:sz w:val="19"/>
                <w:szCs w:val="19"/>
              </w:rPr>
            </w:pPr>
            <w:r w:rsidRPr="002F2BDC">
              <w:rPr>
                <w:bCs/>
                <w:color w:val="000000"/>
                <w:sz w:val="19"/>
                <w:szCs w:val="19"/>
              </w:rPr>
              <w:t>Pašvaldību aizņēmumu limita palielināšana</w:t>
            </w:r>
          </w:p>
        </w:tc>
        <w:tc>
          <w:tcPr>
            <w:tcW w:w="1418" w:type="dxa"/>
            <w:shd w:val="clear" w:color="auto" w:fill="auto"/>
            <w:vAlign w:val="center"/>
          </w:tcPr>
          <w:p w14:paraId="7352CF8F" w14:textId="4E48A08E" w:rsidR="002F2BDC" w:rsidRPr="002F2BDC" w:rsidRDefault="002F2BDC" w:rsidP="002F2BDC">
            <w:pPr>
              <w:spacing w:before="0" w:after="0"/>
              <w:ind w:left="0" w:firstLine="0"/>
              <w:jc w:val="center"/>
              <w:rPr>
                <w:bCs/>
                <w:color w:val="000000"/>
                <w:sz w:val="19"/>
                <w:szCs w:val="19"/>
              </w:rPr>
            </w:pPr>
            <w:r>
              <w:rPr>
                <w:bCs/>
                <w:color w:val="000000"/>
                <w:sz w:val="19"/>
                <w:szCs w:val="19"/>
              </w:rPr>
              <w:t>150,0</w:t>
            </w:r>
          </w:p>
        </w:tc>
        <w:tc>
          <w:tcPr>
            <w:tcW w:w="850" w:type="dxa"/>
            <w:shd w:val="clear" w:color="auto" w:fill="auto"/>
            <w:vAlign w:val="center"/>
          </w:tcPr>
          <w:p w14:paraId="4AF18D72" w14:textId="7DFA9424" w:rsidR="002F2BDC" w:rsidRPr="002F2BDC" w:rsidRDefault="002F2BDC" w:rsidP="002F2BDC">
            <w:pPr>
              <w:spacing w:before="0" w:after="0"/>
              <w:ind w:left="0" w:firstLine="0"/>
              <w:jc w:val="center"/>
              <w:rPr>
                <w:bCs/>
                <w:color w:val="000000"/>
                <w:sz w:val="19"/>
                <w:szCs w:val="19"/>
              </w:rPr>
            </w:pPr>
            <w:r>
              <w:rPr>
                <w:bCs/>
                <w:color w:val="000000"/>
                <w:sz w:val="19"/>
                <w:szCs w:val="19"/>
              </w:rPr>
              <w:t>-50,0</w:t>
            </w:r>
            <w:bookmarkStart w:id="6" w:name="_GoBack"/>
            <w:bookmarkEnd w:id="6"/>
          </w:p>
        </w:tc>
        <w:tc>
          <w:tcPr>
            <w:tcW w:w="709" w:type="dxa"/>
            <w:shd w:val="clear" w:color="auto" w:fill="auto"/>
            <w:vAlign w:val="center"/>
          </w:tcPr>
          <w:p w14:paraId="2FCC28DB" w14:textId="6D6D1AB1" w:rsidR="002F2BDC" w:rsidRPr="002F2BDC" w:rsidRDefault="002F2BDC" w:rsidP="002F2BDC">
            <w:pPr>
              <w:spacing w:before="0" w:after="0"/>
              <w:ind w:left="0" w:firstLine="0"/>
              <w:jc w:val="center"/>
              <w:rPr>
                <w:bCs/>
                <w:color w:val="000000"/>
                <w:sz w:val="19"/>
                <w:szCs w:val="19"/>
              </w:rPr>
            </w:pPr>
            <w:r>
              <w:rPr>
                <w:bCs/>
                <w:color w:val="000000"/>
                <w:sz w:val="19"/>
                <w:szCs w:val="19"/>
              </w:rPr>
              <w:t>-72,0</w:t>
            </w:r>
          </w:p>
        </w:tc>
        <w:tc>
          <w:tcPr>
            <w:tcW w:w="709" w:type="dxa"/>
            <w:shd w:val="clear" w:color="auto" w:fill="auto"/>
            <w:vAlign w:val="center"/>
          </w:tcPr>
          <w:p w14:paraId="46481640" w14:textId="29A6A75D" w:rsidR="002F2BDC" w:rsidRPr="002F2BDC" w:rsidRDefault="002F2BDC" w:rsidP="002F2BDC">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568A7409" w14:textId="6DF7BB08" w:rsidR="002F2BDC" w:rsidRPr="002F2BDC" w:rsidRDefault="002F2BDC" w:rsidP="002F2BDC">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18924E7F" w14:textId="266960EE" w:rsidR="002F2BDC" w:rsidRPr="002F2BDC" w:rsidRDefault="002F2BDC" w:rsidP="002F2BDC">
            <w:pPr>
              <w:spacing w:before="0" w:after="0"/>
              <w:ind w:left="0" w:firstLine="0"/>
              <w:jc w:val="center"/>
              <w:rPr>
                <w:bCs/>
                <w:color w:val="000000"/>
                <w:sz w:val="19"/>
                <w:szCs w:val="19"/>
              </w:rPr>
            </w:pPr>
            <w:r>
              <w:rPr>
                <w:bCs/>
                <w:color w:val="000000"/>
                <w:sz w:val="19"/>
                <w:szCs w:val="19"/>
              </w:rPr>
              <w:t>0,0</w:t>
            </w:r>
          </w:p>
        </w:tc>
      </w:tr>
      <w:tr w:rsidR="00553194" w:rsidRPr="00E44C12" w14:paraId="0AD2A12A" w14:textId="77777777" w:rsidTr="00E312A3">
        <w:trPr>
          <w:trHeight w:val="229"/>
          <w:jc w:val="center"/>
        </w:trPr>
        <w:tc>
          <w:tcPr>
            <w:tcW w:w="3539" w:type="dxa"/>
            <w:shd w:val="clear" w:color="auto" w:fill="DEEAF6" w:themeFill="accent1" w:themeFillTint="33"/>
            <w:noWrap/>
            <w:vAlign w:val="center"/>
            <w:hideMark/>
          </w:tcPr>
          <w:p w14:paraId="1F5AD501" w14:textId="0C7E8C04" w:rsidR="00553194" w:rsidRPr="00553194" w:rsidRDefault="00553194" w:rsidP="00553194">
            <w:pPr>
              <w:spacing w:before="0" w:after="0"/>
              <w:ind w:left="0" w:firstLine="0"/>
              <w:rPr>
                <w:b/>
                <w:bCs/>
                <w:color w:val="000000"/>
                <w:sz w:val="19"/>
                <w:szCs w:val="19"/>
              </w:rPr>
            </w:pPr>
            <w:r w:rsidRPr="00553194">
              <w:rPr>
                <w:b/>
                <w:bCs/>
                <w:color w:val="000000"/>
                <w:sz w:val="19"/>
                <w:szCs w:val="19"/>
              </w:rPr>
              <w:t>Atbalsts nozarēm</w:t>
            </w:r>
          </w:p>
        </w:tc>
        <w:tc>
          <w:tcPr>
            <w:tcW w:w="1418" w:type="dxa"/>
            <w:shd w:val="clear" w:color="auto" w:fill="DEEAF6" w:themeFill="accent1" w:themeFillTint="33"/>
            <w:vAlign w:val="center"/>
            <w:hideMark/>
          </w:tcPr>
          <w:p w14:paraId="64DB0B33"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 xml:space="preserve">798,6 </w:t>
            </w:r>
          </w:p>
          <w:p w14:paraId="7AAA38BD" w14:textId="2E393CB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(2,8)</w:t>
            </w:r>
          </w:p>
        </w:tc>
        <w:tc>
          <w:tcPr>
            <w:tcW w:w="850" w:type="dxa"/>
            <w:shd w:val="clear" w:color="auto" w:fill="DEEAF6" w:themeFill="accent1" w:themeFillTint="33"/>
            <w:vAlign w:val="center"/>
            <w:hideMark/>
          </w:tcPr>
          <w:p w14:paraId="5CA2E5E4"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-679,9</w:t>
            </w:r>
          </w:p>
        </w:tc>
        <w:tc>
          <w:tcPr>
            <w:tcW w:w="709" w:type="dxa"/>
            <w:shd w:val="clear" w:color="auto" w:fill="DEEAF6" w:themeFill="accent1" w:themeFillTint="33"/>
            <w:vAlign w:val="center"/>
            <w:hideMark/>
          </w:tcPr>
          <w:p w14:paraId="705A53F0"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-105,3</w:t>
            </w:r>
          </w:p>
        </w:tc>
        <w:tc>
          <w:tcPr>
            <w:tcW w:w="709" w:type="dxa"/>
            <w:shd w:val="clear" w:color="auto" w:fill="DEEAF6" w:themeFill="accent1" w:themeFillTint="33"/>
            <w:vAlign w:val="center"/>
            <w:hideMark/>
          </w:tcPr>
          <w:p w14:paraId="5452FE8B"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0,0</w:t>
            </w:r>
          </w:p>
        </w:tc>
        <w:tc>
          <w:tcPr>
            <w:tcW w:w="708" w:type="dxa"/>
            <w:shd w:val="clear" w:color="auto" w:fill="DEEAF6" w:themeFill="accent1" w:themeFillTint="33"/>
            <w:vAlign w:val="center"/>
            <w:hideMark/>
          </w:tcPr>
          <w:p w14:paraId="0EFC0B1E"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0,0</w:t>
            </w:r>
          </w:p>
        </w:tc>
        <w:tc>
          <w:tcPr>
            <w:tcW w:w="1235" w:type="dxa"/>
            <w:shd w:val="clear" w:color="auto" w:fill="DEEAF6" w:themeFill="accent1" w:themeFillTint="33"/>
            <w:vAlign w:val="center"/>
            <w:hideMark/>
          </w:tcPr>
          <w:p w14:paraId="76433199" w14:textId="77777777" w:rsidR="00553194" w:rsidRPr="00553194" w:rsidRDefault="00553194" w:rsidP="00553194">
            <w:pPr>
              <w:spacing w:before="0" w:after="0"/>
              <w:ind w:left="0" w:firstLine="0"/>
              <w:jc w:val="center"/>
              <w:rPr>
                <w:b/>
                <w:bCs/>
                <w:color w:val="000000"/>
                <w:sz w:val="19"/>
                <w:szCs w:val="19"/>
              </w:rPr>
            </w:pPr>
            <w:r w:rsidRPr="00553194">
              <w:rPr>
                <w:b/>
                <w:bCs/>
                <w:color w:val="000000"/>
                <w:sz w:val="19"/>
                <w:szCs w:val="19"/>
              </w:rPr>
              <w:t>-318,1</w:t>
            </w:r>
          </w:p>
        </w:tc>
      </w:tr>
      <w:tr w:rsidR="002F2BDC" w:rsidRPr="00E44C12" w14:paraId="00CAFEFF" w14:textId="77777777" w:rsidTr="00E312A3">
        <w:trPr>
          <w:trHeight w:val="229"/>
          <w:jc w:val="center"/>
        </w:trPr>
        <w:tc>
          <w:tcPr>
            <w:tcW w:w="3539" w:type="dxa"/>
            <w:shd w:val="clear" w:color="auto" w:fill="auto"/>
            <w:noWrap/>
            <w:vAlign w:val="center"/>
          </w:tcPr>
          <w:p w14:paraId="3D669D2B" w14:textId="66C204F1" w:rsidR="002F2BDC" w:rsidRPr="0062445A" w:rsidRDefault="0062445A" w:rsidP="0062445A">
            <w:pPr>
              <w:spacing w:before="0" w:after="0"/>
              <w:ind w:left="0" w:firstLine="0"/>
              <w:jc w:val="right"/>
              <w:rPr>
                <w:bCs/>
                <w:color w:val="000000"/>
                <w:sz w:val="19"/>
                <w:szCs w:val="19"/>
              </w:rPr>
            </w:pPr>
            <w:r w:rsidRPr="0062445A">
              <w:rPr>
                <w:bCs/>
                <w:color w:val="000000"/>
                <w:sz w:val="19"/>
                <w:szCs w:val="19"/>
              </w:rPr>
              <w:t>Atbalsts aviopārvadājumu nozarei</w:t>
            </w:r>
          </w:p>
        </w:tc>
        <w:tc>
          <w:tcPr>
            <w:tcW w:w="1418" w:type="dxa"/>
            <w:shd w:val="clear" w:color="auto" w:fill="auto"/>
            <w:vAlign w:val="center"/>
          </w:tcPr>
          <w:p w14:paraId="24A840AE" w14:textId="5492DA81" w:rsidR="002F2BDC" w:rsidRPr="0062445A" w:rsidRDefault="0062445A" w:rsidP="0062445A">
            <w:pPr>
              <w:spacing w:before="0" w:after="0"/>
              <w:ind w:left="0" w:firstLine="0"/>
              <w:jc w:val="center"/>
              <w:rPr>
                <w:bCs/>
                <w:color w:val="000000"/>
                <w:sz w:val="19"/>
                <w:szCs w:val="19"/>
              </w:rPr>
            </w:pPr>
            <w:r>
              <w:rPr>
                <w:bCs/>
                <w:color w:val="000000"/>
                <w:sz w:val="19"/>
                <w:szCs w:val="19"/>
              </w:rPr>
              <w:t>310,4</w:t>
            </w:r>
          </w:p>
        </w:tc>
        <w:tc>
          <w:tcPr>
            <w:tcW w:w="850" w:type="dxa"/>
            <w:shd w:val="clear" w:color="auto" w:fill="auto"/>
            <w:vAlign w:val="center"/>
          </w:tcPr>
          <w:p w14:paraId="65C626AE" w14:textId="7A6E58D7" w:rsidR="002F2BDC" w:rsidRPr="0062445A" w:rsidRDefault="0062445A" w:rsidP="0062445A">
            <w:pPr>
              <w:spacing w:before="0" w:after="0"/>
              <w:ind w:left="0" w:firstLine="0"/>
              <w:jc w:val="center"/>
              <w:rPr>
                <w:bCs/>
                <w:color w:val="000000"/>
                <w:sz w:val="19"/>
                <w:szCs w:val="19"/>
              </w:rPr>
            </w:pPr>
            <w:r>
              <w:rPr>
                <w:bCs/>
                <w:color w:val="000000"/>
                <w:sz w:val="19"/>
                <w:szCs w:val="19"/>
              </w:rPr>
              <w:t>-310,4</w:t>
            </w:r>
          </w:p>
        </w:tc>
        <w:tc>
          <w:tcPr>
            <w:tcW w:w="709" w:type="dxa"/>
            <w:shd w:val="clear" w:color="auto" w:fill="auto"/>
            <w:vAlign w:val="center"/>
          </w:tcPr>
          <w:p w14:paraId="7DC6C862" w14:textId="2D667C42" w:rsidR="002F2BDC"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4E025C60" w14:textId="50647C27" w:rsidR="002F2BDC"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4B9EA39E" w14:textId="5E20067B" w:rsidR="002F2BDC"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1FF7CEF3" w14:textId="1BD15D5C" w:rsidR="002F2BDC" w:rsidRPr="0062445A" w:rsidRDefault="0062445A" w:rsidP="0062445A">
            <w:pPr>
              <w:spacing w:before="0" w:after="0"/>
              <w:ind w:left="0" w:firstLine="0"/>
              <w:jc w:val="center"/>
              <w:rPr>
                <w:bCs/>
                <w:color w:val="000000"/>
                <w:sz w:val="19"/>
                <w:szCs w:val="19"/>
              </w:rPr>
            </w:pPr>
            <w:r>
              <w:rPr>
                <w:bCs/>
                <w:color w:val="000000"/>
                <w:sz w:val="19"/>
                <w:szCs w:val="19"/>
              </w:rPr>
              <w:t>-256,0</w:t>
            </w:r>
          </w:p>
        </w:tc>
      </w:tr>
      <w:tr w:rsidR="0062445A" w:rsidRPr="00E44C12" w14:paraId="5A098D9A" w14:textId="77777777" w:rsidTr="00E312A3">
        <w:trPr>
          <w:trHeight w:val="229"/>
          <w:jc w:val="center"/>
        </w:trPr>
        <w:tc>
          <w:tcPr>
            <w:tcW w:w="3539" w:type="dxa"/>
            <w:shd w:val="clear" w:color="auto" w:fill="auto"/>
            <w:noWrap/>
            <w:vAlign w:val="center"/>
          </w:tcPr>
          <w:p w14:paraId="3D0B1934" w14:textId="3D49E667" w:rsidR="0062445A" w:rsidRPr="0062445A" w:rsidRDefault="0062445A" w:rsidP="0062445A">
            <w:pPr>
              <w:spacing w:before="0" w:after="0"/>
              <w:ind w:left="0" w:firstLine="0"/>
              <w:jc w:val="right"/>
              <w:rPr>
                <w:bCs/>
                <w:color w:val="000000"/>
                <w:sz w:val="19"/>
                <w:szCs w:val="19"/>
              </w:rPr>
            </w:pPr>
            <w:r w:rsidRPr="0062445A">
              <w:rPr>
                <w:bCs/>
                <w:color w:val="000000"/>
                <w:sz w:val="19"/>
                <w:szCs w:val="19"/>
              </w:rPr>
              <w:t>Ar veselības aprūpi saistīts atbalsts</w:t>
            </w:r>
          </w:p>
        </w:tc>
        <w:tc>
          <w:tcPr>
            <w:tcW w:w="1418" w:type="dxa"/>
            <w:shd w:val="clear" w:color="auto" w:fill="auto"/>
            <w:vAlign w:val="center"/>
          </w:tcPr>
          <w:p w14:paraId="6DD2C292" w14:textId="481A1DF3" w:rsidR="0062445A" w:rsidRPr="0062445A" w:rsidRDefault="0062445A" w:rsidP="0062445A">
            <w:pPr>
              <w:spacing w:before="0" w:after="0"/>
              <w:ind w:left="0" w:firstLine="0"/>
              <w:jc w:val="center"/>
              <w:rPr>
                <w:bCs/>
                <w:color w:val="000000"/>
                <w:sz w:val="19"/>
                <w:szCs w:val="19"/>
              </w:rPr>
            </w:pPr>
            <w:r>
              <w:rPr>
                <w:bCs/>
                <w:color w:val="000000"/>
                <w:sz w:val="19"/>
                <w:szCs w:val="19"/>
              </w:rPr>
              <w:t>204,8</w:t>
            </w:r>
          </w:p>
        </w:tc>
        <w:tc>
          <w:tcPr>
            <w:tcW w:w="850" w:type="dxa"/>
            <w:shd w:val="clear" w:color="auto" w:fill="auto"/>
            <w:vAlign w:val="center"/>
          </w:tcPr>
          <w:p w14:paraId="497F3D58" w14:textId="353F7CEE" w:rsidR="0062445A" w:rsidRPr="0062445A" w:rsidRDefault="0062445A" w:rsidP="0062445A">
            <w:pPr>
              <w:spacing w:before="0" w:after="0"/>
              <w:ind w:left="0" w:firstLine="0"/>
              <w:jc w:val="center"/>
              <w:rPr>
                <w:bCs/>
                <w:color w:val="000000"/>
                <w:sz w:val="19"/>
                <w:szCs w:val="19"/>
              </w:rPr>
            </w:pPr>
            <w:r>
              <w:rPr>
                <w:bCs/>
                <w:color w:val="000000"/>
                <w:sz w:val="19"/>
                <w:szCs w:val="19"/>
              </w:rPr>
              <w:t>-136,8</w:t>
            </w:r>
          </w:p>
        </w:tc>
        <w:tc>
          <w:tcPr>
            <w:tcW w:w="709" w:type="dxa"/>
            <w:shd w:val="clear" w:color="auto" w:fill="auto"/>
            <w:vAlign w:val="center"/>
          </w:tcPr>
          <w:p w14:paraId="31613ECC" w14:textId="4B30E10E" w:rsidR="0062445A" w:rsidRPr="0062445A" w:rsidRDefault="0062445A" w:rsidP="0062445A">
            <w:pPr>
              <w:spacing w:before="0" w:after="0"/>
              <w:ind w:left="0" w:firstLine="0"/>
              <w:jc w:val="center"/>
              <w:rPr>
                <w:bCs/>
                <w:color w:val="000000"/>
                <w:sz w:val="19"/>
                <w:szCs w:val="19"/>
              </w:rPr>
            </w:pPr>
            <w:r>
              <w:rPr>
                <w:bCs/>
                <w:color w:val="000000"/>
                <w:sz w:val="19"/>
                <w:szCs w:val="19"/>
              </w:rPr>
              <w:t>-68,0</w:t>
            </w:r>
          </w:p>
        </w:tc>
        <w:tc>
          <w:tcPr>
            <w:tcW w:w="709" w:type="dxa"/>
            <w:shd w:val="clear" w:color="auto" w:fill="auto"/>
            <w:vAlign w:val="center"/>
          </w:tcPr>
          <w:p w14:paraId="7AB2EC2D" w14:textId="70150B96" w:rsidR="0062445A"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3D1B72E8" w14:textId="31AD39D6" w:rsidR="0062445A"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61141229" w14:textId="34B5164B" w:rsidR="0062445A" w:rsidRPr="0062445A" w:rsidRDefault="0062445A" w:rsidP="0062445A">
            <w:pPr>
              <w:spacing w:before="0" w:after="0"/>
              <w:ind w:left="0" w:firstLine="0"/>
              <w:jc w:val="center"/>
              <w:rPr>
                <w:bCs/>
                <w:color w:val="000000"/>
                <w:sz w:val="19"/>
                <w:szCs w:val="19"/>
              </w:rPr>
            </w:pPr>
            <w:r>
              <w:rPr>
                <w:bCs/>
                <w:color w:val="000000"/>
                <w:sz w:val="19"/>
                <w:szCs w:val="19"/>
              </w:rPr>
              <w:t>-51,5</w:t>
            </w:r>
          </w:p>
        </w:tc>
      </w:tr>
      <w:tr w:rsidR="00E312A3" w:rsidRPr="00E44C12" w14:paraId="3AF8EBCE" w14:textId="77777777" w:rsidTr="00E312A3">
        <w:trPr>
          <w:trHeight w:val="229"/>
          <w:jc w:val="center"/>
        </w:trPr>
        <w:tc>
          <w:tcPr>
            <w:tcW w:w="3539" w:type="dxa"/>
            <w:shd w:val="clear" w:color="auto" w:fill="auto"/>
            <w:noWrap/>
            <w:vAlign w:val="center"/>
          </w:tcPr>
          <w:p w14:paraId="7C6AFDA7" w14:textId="1F5E6422" w:rsidR="00E312A3" w:rsidRPr="0062445A" w:rsidRDefault="00E312A3" w:rsidP="00E312A3">
            <w:pPr>
              <w:spacing w:before="0" w:after="0"/>
              <w:ind w:left="0" w:firstLine="0"/>
              <w:jc w:val="right"/>
              <w:rPr>
                <w:bCs/>
                <w:color w:val="000000"/>
                <w:sz w:val="19"/>
                <w:szCs w:val="19"/>
              </w:rPr>
            </w:pPr>
            <w:r w:rsidRPr="0062445A">
              <w:rPr>
                <w:bCs/>
                <w:color w:val="000000"/>
                <w:sz w:val="19"/>
                <w:szCs w:val="19"/>
              </w:rPr>
              <w:t>Valsts autoceļu būvniecībai un tiltu remontiem</w:t>
            </w:r>
          </w:p>
        </w:tc>
        <w:tc>
          <w:tcPr>
            <w:tcW w:w="1418" w:type="dxa"/>
            <w:shd w:val="clear" w:color="auto" w:fill="auto"/>
            <w:vAlign w:val="center"/>
          </w:tcPr>
          <w:p w14:paraId="2F91F4F8" w14:textId="1A2445F1" w:rsidR="00E312A3" w:rsidRPr="0062445A" w:rsidRDefault="00E312A3" w:rsidP="00E312A3">
            <w:pPr>
              <w:spacing w:before="0" w:after="0"/>
              <w:ind w:left="0" w:firstLine="0"/>
              <w:jc w:val="center"/>
              <w:rPr>
                <w:bCs/>
                <w:color w:val="000000"/>
                <w:sz w:val="19"/>
                <w:szCs w:val="19"/>
              </w:rPr>
            </w:pPr>
            <w:r>
              <w:rPr>
                <w:bCs/>
                <w:color w:val="000000"/>
                <w:sz w:val="19"/>
                <w:szCs w:val="19"/>
              </w:rPr>
              <w:t>75,0</w:t>
            </w:r>
          </w:p>
        </w:tc>
        <w:tc>
          <w:tcPr>
            <w:tcW w:w="850" w:type="dxa"/>
            <w:shd w:val="clear" w:color="auto" w:fill="auto"/>
            <w:vAlign w:val="center"/>
          </w:tcPr>
          <w:p w14:paraId="0D6F9DE5" w14:textId="4A7E58D3" w:rsidR="00E312A3" w:rsidRPr="0062445A" w:rsidRDefault="00E312A3" w:rsidP="00E312A3">
            <w:pPr>
              <w:spacing w:before="0" w:after="0"/>
              <w:ind w:left="0" w:firstLine="0"/>
              <w:jc w:val="center"/>
              <w:rPr>
                <w:bCs/>
                <w:color w:val="000000"/>
                <w:sz w:val="19"/>
                <w:szCs w:val="19"/>
              </w:rPr>
            </w:pPr>
            <w:r>
              <w:rPr>
                <w:bCs/>
                <w:color w:val="000000"/>
                <w:sz w:val="19"/>
                <w:szCs w:val="19"/>
              </w:rPr>
              <w:t>-75,0</w:t>
            </w:r>
          </w:p>
        </w:tc>
        <w:tc>
          <w:tcPr>
            <w:tcW w:w="709" w:type="dxa"/>
            <w:shd w:val="clear" w:color="auto" w:fill="auto"/>
            <w:vAlign w:val="center"/>
          </w:tcPr>
          <w:p w14:paraId="0E091ED4" w14:textId="3FB73DD8" w:rsidR="00E312A3" w:rsidRPr="0062445A" w:rsidRDefault="00E312A3" w:rsidP="00E312A3">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0EF06D2E" w14:textId="73CC7071" w:rsidR="00E312A3" w:rsidRPr="0062445A" w:rsidRDefault="00E312A3" w:rsidP="00E312A3">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38994019" w14:textId="05028B40" w:rsidR="00E312A3" w:rsidRPr="0062445A" w:rsidRDefault="00E312A3" w:rsidP="00E312A3">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6A3CD65F" w14:textId="4DA4D4D1" w:rsidR="00E312A3" w:rsidRPr="0062445A" w:rsidRDefault="00E312A3" w:rsidP="00E312A3">
            <w:pPr>
              <w:spacing w:before="0" w:after="0"/>
              <w:ind w:left="0" w:firstLine="0"/>
              <w:jc w:val="center"/>
              <w:rPr>
                <w:bCs/>
                <w:color w:val="000000"/>
                <w:sz w:val="19"/>
                <w:szCs w:val="19"/>
              </w:rPr>
            </w:pPr>
            <w:r>
              <w:rPr>
                <w:bCs/>
                <w:color w:val="000000"/>
                <w:sz w:val="19"/>
                <w:szCs w:val="19"/>
              </w:rPr>
              <w:t>0,0</w:t>
            </w:r>
          </w:p>
        </w:tc>
      </w:tr>
      <w:tr w:rsidR="0062445A" w:rsidRPr="00E44C12" w14:paraId="4C449DCC" w14:textId="77777777" w:rsidTr="00E312A3">
        <w:trPr>
          <w:trHeight w:val="229"/>
          <w:jc w:val="center"/>
        </w:trPr>
        <w:tc>
          <w:tcPr>
            <w:tcW w:w="3539" w:type="dxa"/>
            <w:shd w:val="clear" w:color="auto" w:fill="auto"/>
            <w:noWrap/>
            <w:vAlign w:val="center"/>
          </w:tcPr>
          <w:p w14:paraId="7CE719AA" w14:textId="347DD295" w:rsidR="0062445A" w:rsidRPr="0062445A" w:rsidRDefault="0062445A" w:rsidP="0062445A">
            <w:pPr>
              <w:spacing w:before="0" w:after="0"/>
              <w:ind w:left="0" w:firstLine="0"/>
              <w:jc w:val="right"/>
              <w:rPr>
                <w:bCs/>
                <w:color w:val="000000"/>
                <w:sz w:val="19"/>
                <w:szCs w:val="19"/>
              </w:rPr>
            </w:pPr>
            <w:r w:rsidRPr="0062445A">
              <w:rPr>
                <w:bCs/>
                <w:color w:val="000000"/>
                <w:sz w:val="19"/>
                <w:szCs w:val="19"/>
              </w:rPr>
              <w:t>Atbalsts pasažieru un kravu pārvadātājiem</w:t>
            </w:r>
          </w:p>
        </w:tc>
        <w:tc>
          <w:tcPr>
            <w:tcW w:w="1418" w:type="dxa"/>
            <w:shd w:val="clear" w:color="auto" w:fill="auto"/>
            <w:vAlign w:val="center"/>
          </w:tcPr>
          <w:p w14:paraId="48D0910F" w14:textId="63919F02" w:rsidR="0062445A" w:rsidRPr="0062445A" w:rsidRDefault="0062445A" w:rsidP="0062445A">
            <w:pPr>
              <w:spacing w:before="0" w:after="0"/>
              <w:ind w:left="0" w:firstLine="0"/>
              <w:jc w:val="center"/>
              <w:rPr>
                <w:bCs/>
                <w:color w:val="000000"/>
                <w:sz w:val="19"/>
                <w:szCs w:val="19"/>
              </w:rPr>
            </w:pPr>
            <w:r>
              <w:rPr>
                <w:bCs/>
                <w:color w:val="000000"/>
                <w:sz w:val="19"/>
                <w:szCs w:val="19"/>
              </w:rPr>
              <w:t>66,0</w:t>
            </w:r>
          </w:p>
        </w:tc>
        <w:tc>
          <w:tcPr>
            <w:tcW w:w="850" w:type="dxa"/>
            <w:shd w:val="clear" w:color="auto" w:fill="auto"/>
            <w:vAlign w:val="center"/>
          </w:tcPr>
          <w:p w14:paraId="0459C17F" w14:textId="03E1CFF9" w:rsidR="0062445A" w:rsidRPr="0062445A" w:rsidRDefault="0062445A" w:rsidP="0062445A">
            <w:pPr>
              <w:spacing w:before="0" w:after="0"/>
              <w:ind w:left="0" w:firstLine="0"/>
              <w:jc w:val="center"/>
              <w:rPr>
                <w:bCs/>
                <w:color w:val="000000"/>
                <w:sz w:val="19"/>
                <w:szCs w:val="19"/>
              </w:rPr>
            </w:pPr>
            <w:r>
              <w:rPr>
                <w:bCs/>
                <w:color w:val="000000"/>
                <w:sz w:val="19"/>
                <w:szCs w:val="19"/>
              </w:rPr>
              <w:t>-66,0</w:t>
            </w:r>
          </w:p>
        </w:tc>
        <w:tc>
          <w:tcPr>
            <w:tcW w:w="709" w:type="dxa"/>
            <w:shd w:val="clear" w:color="auto" w:fill="auto"/>
            <w:vAlign w:val="center"/>
          </w:tcPr>
          <w:p w14:paraId="0260DED6" w14:textId="14D43C2E" w:rsidR="0062445A"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595165F9" w14:textId="2D155ECB" w:rsidR="0062445A"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22C1DE13" w14:textId="27E2606C" w:rsidR="0062445A" w:rsidRPr="0062445A" w:rsidRDefault="0062445A" w:rsidP="0062445A">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02713681" w14:textId="6D847A4A" w:rsidR="0062445A" w:rsidRPr="0062445A" w:rsidRDefault="0062445A" w:rsidP="0062445A">
            <w:pPr>
              <w:spacing w:before="0" w:after="0"/>
              <w:ind w:left="0" w:firstLine="0"/>
              <w:jc w:val="center"/>
              <w:rPr>
                <w:bCs/>
                <w:color w:val="000000"/>
                <w:sz w:val="19"/>
                <w:szCs w:val="19"/>
              </w:rPr>
            </w:pPr>
            <w:r>
              <w:rPr>
                <w:bCs/>
                <w:color w:val="000000"/>
                <w:sz w:val="19"/>
                <w:szCs w:val="19"/>
              </w:rPr>
              <w:t>0,0</w:t>
            </w:r>
          </w:p>
        </w:tc>
      </w:tr>
      <w:tr w:rsidR="00E312A3" w:rsidRPr="00E44C12" w14:paraId="3F55A34B" w14:textId="77777777" w:rsidTr="00E312A3">
        <w:trPr>
          <w:trHeight w:val="229"/>
          <w:jc w:val="center"/>
        </w:trPr>
        <w:tc>
          <w:tcPr>
            <w:tcW w:w="3539" w:type="dxa"/>
            <w:shd w:val="clear" w:color="auto" w:fill="auto"/>
            <w:noWrap/>
            <w:vAlign w:val="center"/>
          </w:tcPr>
          <w:p w14:paraId="7A81E12E" w14:textId="68A3B209" w:rsidR="00E312A3" w:rsidRPr="0062445A" w:rsidRDefault="00E312A3" w:rsidP="00E312A3">
            <w:pPr>
              <w:spacing w:before="0" w:after="0"/>
              <w:ind w:left="0" w:firstLine="0"/>
              <w:jc w:val="right"/>
              <w:rPr>
                <w:bCs/>
                <w:color w:val="000000"/>
                <w:sz w:val="19"/>
                <w:szCs w:val="19"/>
              </w:rPr>
            </w:pPr>
            <w:r w:rsidRPr="00E312A3">
              <w:rPr>
                <w:bCs/>
                <w:color w:val="000000"/>
                <w:sz w:val="19"/>
                <w:szCs w:val="19"/>
              </w:rPr>
              <w:t>Finansiālo grūtību mazināšanai lauksaimniecības, mežsaimniecības, zivsaimniecības un pārtikas ražošanas nozarēm</w:t>
            </w:r>
          </w:p>
        </w:tc>
        <w:tc>
          <w:tcPr>
            <w:tcW w:w="1418" w:type="dxa"/>
            <w:shd w:val="clear" w:color="auto" w:fill="auto"/>
            <w:vAlign w:val="center"/>
          </w:tcPr>
          <w:p w14:paraId="63A8965F" w14:textId="149228A8" w:rsidR="00E312A3" w:rsidRPr="0062445A" w:rsidRDefault="00E312A3" w:rsidP="00E312A3">
            <w:pPr>
              <w:spacing w:before="0" w:after="0"/>
              <w:ind w:left="0" w:firstLine="0"/>
              <w:jc w:val="center"/>
              <w:rPr>
                <w:bCs/>
                <w:color w:val="000000"/>
                <w:sz w:val="19"/>
                <w:szCs w:val="19"/>
              </w:rPr>
            </w:pPr>
            <w:r>
              <w:rPr>
                <w:bCs/>
                <w:color w:val="000000"/>
                <w:sz w:val="19"/>
                <w:szCs w:val="19"/>
              </w:rPr>
              <w:t>45,5</w:t>
            </w:r>
          </w:p>
        </w:tc>
        <w:tc>
          <w:tcPr>
            <w:tcW w:w="850" w:type="dxa"/>
            <w:shd w:val="clear" w:color="auto" w:fill="auto"/>
            <w:vAlign w:val="center"/>
          </w:tcPr>
          <w:p w14:paraId="559DB3AB" w14:textId="33EB0138" w:rsidR="00E312A3" w:rsidRPr="0062445A" w:rsidRDefault="00E312A3" w:rsidP="00E312A3">
            <w:pPr>
              <w:spacing w:before="0" w:after="0"/>
              <w:ind w:left="0" w:firstLine="0"/>
              <w:jc w:val="center"/>
              <w:rPr>
                <w:bCs/>
                <w:color w:val="000000"/>
                <w:sz w:val="19"/>
                <w:szCs w:val="19"/>
              </w:rPr>
            </w:pPr>
            <w:r>
              <w:rPr>
                <w:bCs/>
                <w:color w:val="000000"/>
                <w:sz w:val="19"/>
                <w:szCs w:val="19"/>
              </w:rPr>
              <w:t>-45,5</w:t>
            </w:r>
          </w:p>
        </w:tc>
        <w:tc>
          <w:tcPr>
            <w:tcW w:w="709" w:type="dxa"/>
            <w:shd w:val="clear" w:color="auto" w:fill="auto"/>
            <w:vAlign w:val="center"/>
          </w:tcPr>
          <w:p w14:paraId="1E029C50" w14:textId="10F522E3" w:rsidR="00E312A3" w:rsidRPr="0062445A" w:rsidRDefault="00E312A3" w:rsidP="00E312A3">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65335FD5" w14:textId="274814CA" w:rsidR="00E312A3" w:rsidRPr="0062445A" w:rsidRDefault="00E312A3" w:rsidP="00E312A3">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7EF0661C" w14:textId="13525750" w:rsidR="00E312A3" w:rsidRPr="0062445A" w:rsidRDefault="00E312A3" w:rsidP="00E312A3">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678A4A6A" w14:textId="7BDF2694" w:rsidR="00E312A3" w:rsidRPr="0062445A" w:rsidRDefault="00E312A3" w:rsidP="00E312A3">
            <w:pPr>
              <w:spacing w:before="0" w:after="0"/>
              <w:ind w:left="0" w:firstLine="0"/>
              <w:jc w:val="center"/>
              <w:rPr>
                <w:bCs/>
                <w:color w:val="000000"/>
                <w:sz w:val="19"/>
                <w:szCs w:val="19"/>
              </w:rPr>
            </w:pPr>
            <w:r>
              <w:rPr>
                <w:bCs/>
                <w:color w:val="000000"/>
                <w:sz w:val="19"/>
                <w:szCs w:val="19"/>
              </w:rPr>
              <w:t>-0,6</w:t>
            </w:r>
          </w:p>
        </w:tc>
      </w:tr>
      <w:tr w:rsidR="0062445A" w:rsidRPr="00E44C12" w14:paraId="169A6D21" w14:textId="77777777" w:rsidTr="00E312A3">
        <w:trPr>
          <w:trHeight w:val="229"/>
          <w:jc w:val="center"/>
        </w:trPr>
        <w:tc>
          <w:tcPr>
            <w:tcW w:w="3539" w:type="dxa"/>
            <w:shd w:val="clear" w:color="auto" w:fill="DEEAF6" w:themeFill="accent1" w:themeFillTint="33"/>
            <w:noWrap/>
            <w:vAlign w:val="center"/>
            <w:hideMark/>
          </w:tcPr>
          <w:p w14:paraId="4D7D6EFF" w14:textId="494DDF2E" w:rsidR="0062445A" w:rsidRPr="00553194" w:rsidRDefault="0062445A" w:rsidP="0062445A">
            <w:pPr>
              <w:spacing w:before="0" w:after="0"/>
              <w:ind w:left="0" w:firstLine="0"/>
              <w:rPr>
                <w:b/>
                <w:bCs/>
                <w:color w:val="000000"/>
                <w:sz w:val="19"/>
                <w:szCs w:val="19"/>
              </w:rPr>
            </w:pPr>
            <w:r w:rsidRPr="00553194">
              <w:rPr>
                <w:b/>
                <w:bCs/>
                <w:color w:val="000000"/>
                <w:sz w:val="19"/>
                <w:szCs w:val="19"/>
              </w:rPr>
              <w:t>ES fondu finansējuma atbalsts</w:t>
            </w:r>
          </w:p>
        </w:tc>
        <w:tc>
          <w:tcPr>
            <w:tcW w:w="1418" w:type="dxa"/>
            <w:shd w:val="clear" w:color="auto" w:fill="DEEAF6" w:themeFill="accent1" w:themeFillTint="33"/>
            <w:vAlign w:val="center"/>
            <w:hideMark/>
          </w:tcPr>
          <w:p w14:paraId="73E377BB" w14:textId="77777777" w:rsidR="0062445A" w:rsidRPr="00553194" w:rsidRDefault="0062445A" w:rsidP="0062445A">
            <w:pPr>
              <w:spacing w:before="0" w:after="0"/>
              <w:ind w:left="0" w:firstLine="0"/>
              <w:jc w:val="center"/>
              <w:rPr>
                <w:b/>
                <w:bCs/>
                <w:color w:val="000000"/>
                <w:sz w:val="19"/>
                <w:szCs w:val="19"/>
              </w:rPr>
            </w:pPr>
            <w:r w:rsidRPr="00553194">
              <w:rPr>
                <w:b/>
                <w:bCs/>
                <w:color w:val="000000"/>
                <w:sz w:val="19"/>
                <w:szCs w:val="19"/>
              </w:rPr>
              <w:t xml:space="preserve">764,9 </w:t>
            </w:r>
          </w:p>
          <w:p w14:paraId="601802F4" w14:textId="213E738C" w:rsidR="0062445A" w:rsidRPr="00553194" w:rsidRDefault="0062445A" w:rsidP="0062445A">
            <w:pPr>
              <w:spacing w:before="0" w:after="0"/>
              <w:ind w:left="0" w:firstLine="0"/>
              <w:jc w:val="center"/>
              <w:rPr>
                <w:b/>
                <w:bCs/>
                <w:color w:val="000000"/>
                <w:sz w:val="19"/>
                <w:szCs w:val="19"/>
              </w:rPr>
            </w:pPr>
            <w:r w:rsidRPr="00553194">
              <w:rPr>
                <w:b/>
                <w:bCs/>
                <w:color w:val="000000"/>
                <w:sz w:val="19"/>
                <w:szCs w:val="19"/>
              </w:rPr>
              <w:t>(2,7)</w:t>
            </w:r>
          </w:p>
        </w:tc>
        <w:tc>
          <w:tcPr>
            <w:tcW w:w="850" w:type="dxa"/>
            <w:shd w:val="clear" w:color="auto" w:fill="DEEAF6" w:themeFill="accent1" w:themeFillTint="33"/>
            <w:vAlign w:val="center"/>
            <w:hideMark/>
          </w:tcPr>
          <w:p w14:paraId="7D9243CC" w14:textId="77777777" w:rsidR="0062445A" w:rsidRPr="00553194" w:rsidRDefault="0062445A" w:rsidP="0062445A">
            <w:pPr>
              <w:spacing w:before="0" w:after="0"/>
              <w:ind w:left="0" w:firstLine="0"/>
              <w:jc w:val="center"/>
              <w:rPr>
                <w:b/>
                <w:bCs/>
                <w:color w:val="000000"/>
                <w:sz w:val="19"/>
                <w:szCs w:val="19"/>
              </w:rPr>
            </w:pPr>
            <w:r w:rsidRPr="00553194">
              <w:rPr>
                <w:b/>
                <w:bCs/>
                <w:color w:val="000000"/>
                <w:sz w:val="19"/>
                <w:szCs w:val="19"/>
              </w:rPr>
              <w:t>-2,1</w:t>
            </w:r>
          </w:p>
        </w:tc>
        <w:tc>
          <w:tcPr>
            <w:tcW w:w="709" w:type="dxa"/>
            <w:shd w:val="clear" w:color="auto" w:fill="DEEAF6" w:themeFill="accent1" w:themeFillTint="33"/>
            <w:vAlign w:val="center"/>
            <w:hideMark/>
          </w:tcPr>
          <w:p w14:paraId="6F3FF273" w14:textId="77777777" w:rsidR="0062445A" w:rsidRPr="00553194" w:rsidRDefault="0062445A" w:rsidP="0062445A">
            <w:pPr>
              <w:spacing w:before="0" w:after="0"/>
              <w:ind w:left="0" w:firstLine="0"/>
              <w:jc w:val="center"/>
              <w:rPr>
                <w:b/>
                <w:bCs/>
                <w:color w:val="000000"/>
                <w:sz w:val="19"/>
                <w:szCs w:val="19"/>
              </w:rPr>
            </w:pPr>
            <w:r w:rsidRPr="00553194">
              <w:rPr>
                <w:b/>
                <w:bCs/>
                <w:color w:val="000000"/>
                <w:sz w:val="19"/>
                <w:szCs w:val="19"/>
              </w:rPr>
              <w:t>-8,7</w:t>
            </w:r>
          </w:p>
        </w:tc>
        <w:tc>
          <w:tcPr>
            <w:tcW w:w="709" w:type="dxa"/>
            <w:shd w:val="clear" w:color="auto" w:fill="DEEAF6" w:themeFill="accent1" w:themeFillTint="33"/>
            <w:vAlign w:val="center"/>
            <w:hideMark/>
          </w:tcPr>
          <w:p w14:paraId="03452409" w14:textId="77777777" w:rsidR="0062445A" w:rsidRPr="00553194" w:rsidRDefault="0062445A" w:rsidP="0062445A">
            <w:pPr>
              <w:spacing w:before="0" w:after="0"/>
              <w:ind w:left="0" w:firstLine="0"/>
              <w:jc w:val="center"/>
              <w:rPr>
                <w:b/>
                <w:bCs/>
                <w:color w:val="000000"/>
                <w:sz w:val="19"/>
                <w:szCs w:val="19"/>
              </w:rPr>
            </w:pPr>
            <w:r w:rsidRPr="00553194">
              <w:rPr>
                <w:b/>
                <w:bCs/>
                <w:color w:val="000000"/>
                <w:sz w:val="19"/>
                <w:szCs w:val="19"/>
              </w:rPr>
              <w:t>-6,9</w:t>
            </w:r>
          </w:p>
        </w:tc>
        <w:tc>
          <w:tcPr>
            <w:tcW w:w="708" w:type="dxa"/>
            <w:shd w:val="clear" w:color="auto" w:fill="DEEAF6" w:themeFill="accent1" w:themeFillTint="33"/>
            <w:vAlign w:val="center"/>
            <w:hideMark/>
          </w:tcPr>
          <w:p w14:paraId="0E84234C" w14:textId="77777777" w:rsidR="0062445A" w:rsidRPr="00553194" w:rsidRDefault="0062445A" w:rsidP="0062445A">
            <w:pPr>
              <w:spacing w:before="0" w:after="0"/>
              <w:ind w:left="0" w:firstLine="0"/>
              <w:jc w:val="center"/>
              <w:rPr>
                <w:b/>
                <w:bCs/>
                <w:color w:val="000000"/>
                <w:sz w:val="19"/>
                <w:szCs w:val="19"/>
              </w:rPr>
            </w:pPr>
            <w:r w:rsidRPr="00553194">
              <w:rPr>
                <w:b/>
                <w:bCs/>
                <w:color w:val="000000"/>
                <w:sz w:val="19"/>
                <w:szCs w:val="19"/>
              </w:rPr>
              <w:t>-1,7</w:t>
            </w:r>
          </w:p>
        </w:tc>
        <w:tc>
          <w:tcPr>
            <w:tcW w:w="1235" w:type="dxa"/>
            <w:shd w:val="clear" w:color="auto" w:fill="DEEAF6" w:themeFill="accent1" w:themeFillTint="33"/>
            <w:vAlign w:val="center"/>
            <w:hideMark/>
          </w:tcPr>
          <w:p w14:paraId="7E4ACCA9" w14:textId="77777777" w:rsidR="0062445A" w:rsidRPr="00553194" w:rsidRDefault="0062445A" w:rsidP="0062445A">
            <w:pPr>
              <w:spacing w:before="0" w:after="0"/>
              <w:ind w:left="0" w:firstLine="0"/>
              <w:jc w:val="center"/>
              <w:rPr>
                <w:b/>
                <w:bCs/>
                <w:color w:val="000000"/>
                <w:sz w:val="19"/>
                <w:szCs w:val="19"/>
              </w:rPr>
            </w:pPr>
            <w:r w:rsidRPr="00553194">
              <w:rPr>
                <w:b/>
                <w:bCs/>
                <w:color w:val="000000"/>
                <w:sz w:val="19"/>
                <w:szCs w:val="19"/>
              </w:rPr>
              <w:t>0,0</w:t>
            </w:r>
          </w:p>
        </w:tc>
      </w:tr>
      <w:tr w:rsidR="0062445A" w:rsidRPr="00E44C12" w14:paraId="06F30D65" w14:textId="77777777" w:rsidTr="00E312A3">
        <w:trPr>
          <w:trHeight w:val="229"/>
          <w:jc w:val="center"/>
        </w:trPr>
        <w:tc>
          <w:tcPr>
            <w:tcW w:w="3539" w:type="dxa"/>
            <w:shd w:val="clear" w:color="auto" w:fill="auto"/>
            <w:noWrap/>
            <w:vAlign w:val="center"/>
          </w:tcPr>
          <w:p w14:paraId="58FB220D" w14:textId="4262377A" w:rsidR="0062445A" w:rsidRPr="00FE4826" w:rsidRDefault="0062445A" w:rsidP="0062445A">
            <w:pPr>
              <w:spacing w:before="0" w:after="0"/>
              <w:ind w:left="0" w:firstLine="0"/>
              <w:jc w:val="right"/>
              <w:rPr>
                <w:bCs/>
                <w:color w:val="000000"/>
                <w:sz w:val="19"/>
                <w:szCs w:val="19"/>
              </w:rPr>
            </w:pPr>
            <w:r w:rsidRPr="00FE4826">
              <w:rPr>
                <w:bCs/>
                <w:color w:val="000000"/>
                <w:sz w:val="19"/>
                <w:szCs w:val="19"/>
              </w:rPr>
              <w:t>ES fondu finansējuma pārdales</w:t>
            </w:r>
          </w:p>
        </w:tc>
        <w:tc>
          <w:tcPr>
            <w:tcW w:w="1418" w:type="dxa"/>
            <w:shd w:val="clear" w:color="auto" w:fill="auto"/>
            <w:vAlign w:val="center"/>
          </w:tcPr>
          <w:p w14:paraId="35562716" w14:textId="6696C85C" w:rsidR="0062445A" w:rsidRPr="00FE4826" w:rsidRDefault="0062445A" w:rsidP="00E312A3">
            <w:pPr>
              <w:spacing w:before="0" w:after="0"/>
              <w:ind w:left="0" w:firstLine="0"/>
              <w:jc w:val="center"/>
              <w:rPr>
                <w:bCs/>
                <w:color w:val="000000"/>
                <w:sz w:val="19"/>
                <w:szCs w:val="19"/>
              </w:rPr>
            </w:pPr>
            <w:r>
              <w:rPr>
                <w:bCs/>
                <w:color w:val="000000"/>
                <w:sz w:val="19"/>
                <w:szCs w:val="19"/>
              </w:rPr>
              <w:t>496,0</w:t>
            </w:r>
          </w:p>
        </w:tc>
        <w:tc>
          <w:tcPr>
            <w:tcW w:w="850" w:type="dxa"/>
            <w:shd w:val="clear" w:color="auto" w:fill="auto"/>
            <w:vAlign w:val="center"/>
          </w:tcPr>
          <w:p w14:paraId="45265314" w14:textId="02B91DC7"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6A4E092B" w14:textId="518CBAE0"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4EC2ADD5" w14:textId="4538287D"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1D939DD9" w14:textId="51D143FD"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431B3CAA" w14:textId="042DFFCC"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r>
      <w:tr w:rsidR="0062445A" w:rsidRPr="00E44C12" w14:paraId="64469CDE" w14:textId="77777777" w:rsidTr="00E312A3">
        <w:trPr>
          <w:trHeight w:val="229"/>
          <w:jc w:val="center"/>
        </w:trPr>
        <w:tc>
          <w:tcPr>
            <w:tcW w:w="3539" w:type="dxa"/>
            <w:shd w:val="clear" w:color="auto" w:fill="auto"/>
            <w:noWrap/>
            <w:vAlign w:val="center"/>
          </w:tcPr>
          <w:p w14:paraId="1093E223" w14:textId="0D4D74E9" w:rsidR="0062445A" w:rsidRPr="00FE4826" w:rsidRDefault="0062445A" w:rsidP="0062445A">
            <w:pPr>
              <w:spacing w:before="0" w:after="0"/>
              <w:ind w:left="0" w:firstLine="0"/>
              <w:jc w:val="right"/>
              <w:rPr>
                <w:bCs/>
                <w:color w:val="000000"/>
                <w:sz w:val="19"/>
                <w:szCs w:val="19"/>
              </w:rPr>
            </w:pPr>
            <w:r w:rsidRPr="00FE4826">
              <w:rPr>
                <w:bCs/>
                <w:color w:val="000000"/>
                <w:sz w:val="19"/>
                <w:szCs w:val="19"/>
              </w:rPr>
              <w:t xml:space="preserve">ES fondu </w:t>
            </w:r>
            <w:proofErr w:type="spellStart"/>
            <w:r w:rsidRPr="00FE4826">
              <w:rPr>
                <w:bCs/>
                <w:color w:val="000000"/>
                <w:sz w:val="19"/>
                <w:szCs w:val="19"/>
              </w:rPr>
              <w:t>virssaistības</w:t>
            </w:r>
            <w:proofErr w:type="spellEnd"/>
          </w:p>
        </w:tc>
        <w:tc>
          <w:tcPr>
            <w:tcW w:w="1418" w:type="dxa"/>
            <w:shd w:val="clear" w:color="auto" w:fill="auto"/>
            <w:vAlign w:val="center"/>
          </w:tcPr>
          <w:p w14:paraId="14572525" w14:textId="530D21FD" w:rsidR="0062445A" w:rsidRPr="00FE4826" w:rsidRDefault="0062445A" w:rsidP="00E312A3">
            <w:pPr>
              <w:spacing w:before="0" w:after="0"/>
              <w:ind w:left="0" w:firstLine="0"/>
              <w:jc w:val="center"/>
              <w:rPr>
                <w:bCs/>
                <w:color w:val="000000"/>
                <w:sz w:val="19"/>
                <w:szCs w:val="19"/>
              </w:rPr>
            </w:pPr>
            <w:r>
              <w:rPr>
                <w:bCs/>
                <w:color w:val="000000"/>
                <w:sz w:val="19"/>
                <w:szCs w:val="19"/>
              </w:rPr>
              <w:t>144,4</w:t>
            </w:r>
          </w:p>
        </w:tc>
        <w:tc>
          <w:tcPr>
            <w:tcW w:w="850" w:type="dxa"/>
            <w:shd w:val="clear" w:color="auto" w:fill="auto"/>
            <w:vAlign w:val="center"/>
          </w:tcPr>
          <w:p w14:paraId="6E38BA68" w14:textId="659F11A7"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115409F1" w14:textId="076B37CD"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600E143A" w14:textId="7A172989"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708" w:type="dxa"/>
            <w:shd w:val="clear" w:color="auto" w:fill="auto"/>
            <w:vAlign w:val="center"/>
          </w:tcPr>
          <w:p w14:paraId="172ADF52" w14:textId="220C68CE"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1235" w:type="dxa"/>
            <w:shd w:val="clear" w:color="auto" w:fill="auto"/>
            <w:vAlign w:val="center"/>
          </w:tcPr>
          <w:p w14:paraId="62C615FE" w14:textId="4B31058A"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r>
      <w:tr w:rsidR="0062445A" w:rsidRPr="00E44C12" w14:paraId="10B3AA0E" w14:textId="77777777" w:rsidTr="00E312A3">
        <w:trPr>
          <w:trHeight w:val="229"/>
          <w:jc w:val="center"/>
        </w:trPr>
        <w:tc>
          <w:tcPr>
            <w:tcW w:w="3539" w:type="dxa"/>
            <w:shd w:val="clear" w:color="auto" w:fill="auto"/>
            <w:noWrap/>
            <w:vAlign w:val="center"/>
          </w:tcPr>
          <w:p w14:paraId="118D7F68" w14:textId="3DDDC037" w:rsidR="0062445A" w:rsidRPr="00FE4826" w:rsidRDefault="0062445A" w:rsidP="0062445A">
            <w:pPr>
              <w:spacing w:before="0" w:after="0"/>
              <w:ind w:left="0" w:firstLine="0"/>
              <w:jc w:val="right"/>
              <w:rPr>
                <w:bCs/>
                <w:color w:val="000000"/>
                <w:sz w:val="19"/>
                <w:szCs w:val="19"/>
              </w:rPr>
            </w:pPr>
            <w:r w:rsidRPr="00FE4826">
              <w:rPr>
                <w:bCs/>
                <w:color w:val="000000"/>
                <w:sz w:val="19"/>
                <w:szCs w:val="19"/>
              </w:rPr>
              <w:t xml:space="preserve">Lauksaimniecības fondu </w:t>
            </w:r>
            <w:proofErr w:type="spellStart"/>
            <w:r w:rsidRPr="00FE4826">
              <w:rPr>
                <w:bCs/>
                <w:color w:val="000000"/>
                <w:sz w:val="19"/>
                <w:szCs w:val="19"/>
              </w:rPr>
              <w:t>virssaistības</w:t>
            </w:r>
            <w:proofErr w:type="spellEnd"/>
          </w:p>
        </w:tc>
        <w:tc>
          <w:tcPr>
            <w:tcW w:w="1418" w:type="dxa"/>
            <w:shd w:val="clear" w:color="auto" w:fill="auto"/>
            <w:vAlign w:val="center"/>
          </w:tcPr>
          <w:p w14:paraId="7C5D686F" w14:textId="3A4A6B33" w:rsidR="0062445A" w:rsidRPr="00FE4826" w:rsidRDefault="0062445A" w:rsidP="00E312A3">
            <w:pPr>
              <w:spacing w:before="0" w:after="0"/>
              <w:ind w:left="0" w:firstLine="0"/>
              <w:jc w:val="center"/>
              <w:rPr>
                <w:bCs/>
                <w:color w:val="000000"/>
                <w:sz w:val="19"/>
                <w:szCs w:val="19"/>
              </w:rPr>
            </w:pPr>
            <w:r>
              <w:rPr>
                <w:bCs/>
                <w:color w:val="000000"/>
                <w:sz w:val="19"/>
                <w:szCs w:val="19"/>
              </w:rPr>
              <w:t>58,0</w:t>
            </w:r>
          </w:p>
        </w:tc>
        <w:tc>
          <w:tcPr>
            <w:tcW w:w="850" w:type="dxa"/>
            <w:shd w:val="clear" w:color="auto" w:fill="auto"/>
            <w:vAlign w:val="center"/>
          </w:tcPr>
          <w:p w14:paraId="267C583F" w14:textId="273EB285"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c>
          <w:tcPr>
            <w:tcW w:w="709" w:type="dxa"/>
            <w:shd w:val="clear" w:color="auto" w:fill="auto"/>
            <w:vAlign w:val="center"/>
          </w:tcPr>
          <w:p w14:paraId="0B522E59" w14:textId="72FBFA56" w:rsidR="0062445A" w:rsidRPr="00FE4826" w:rsidRDefault="0062445A" w:rsidP="0062445A">
            <w:pPr>
              <w:spacing w:before="0" w:after="0"/>
              <w:ind w:left="0" w:firstLine="0"/>
              <w:jc w:val="center"/>
              <w:rPr>
                <w:bCs/>
                <w:color w:val="000000"/>
                <w:sz w:val="19"/>
                <w:szCs w:val="19"/>
              </w:rPr>
            </w:pPr>
            <w:r>
              <w:rPr>
                <w:bCs/>
                <w:color w:val="000000"/>
                <w:sz w:val="19"/>
                <w:szCs w:val="19"/>
              </w:rPr>
              <w:t>-8,7</w:t>
            </w:r>
          </w:p>
        </w:tc>
        <w:tc>
          <w:tcPr>
            <w:tcW w:w="709" w:type="dxa"/>
            <w:shd w:val="clear" w:color="auto" w:fill="auto"/>
            <w:vAlign w:val="center"/>
          </w:tcPr>
          <w:p w14:paraId="6AC8CE6B" w14:textId="7AD32DE4" w:rsidR="0062445A" w:rsidRPr="00FE4826" w:rsidRDefault="0062445A" w:rsidP="0062445A">
            <w:pPr>
              <w:spacing w:before="0" w:after="0"/>
              <w:ind w:left="0" w:firstLine="0"/>
              <w:jc w:val="center"/>
              <w:rPr>
                <w:bCs/>
                <w:color w:val="000000"/>
                <w:sz w:val="19"/>
                <w:szCs w:val="19"/>
              </w:rPr>
            </w:pPr>
            <w:r>
              <w:rPr>
                <w:bCs/>
                <w:color w:val="000000"/>
                <w:sz w:val="19"/>
                <w:szCs w:val="19"/>
              </w:rPr>
              <w:t>-6,9</w:t>
            </w:r>
          </w:p>
        </w:tc>
        <w:tc>
          <w:tcPr>
            <w:tcW w:w="708" w:type="dxa"/>
            <w:shd w:val="clear" w:color="auto" w:fill="auto"/>
            <w:vAlign w:val="center"/>
          </w:tcPr>
          <w:p w14:paraId="34A3C0A7" w14:textId="14756B22" w:rsidR="0062445A" w:rsidRPr="00FE4826" w:rsidRDefault="0062445A" w:rsidP="0062445A">
            <w:pPr>
              <w:spacing w:before="0" w:after="0"/>
              <w:ind w:left="0" w:firstLine="0"/>
              <w:jc w:val="center"/>
              <w:rPr>
                <w:bCs/>
                <w:color w:val="000000"/>
                <w:sz w:val="19"/>
                <w:szCs w:val="19"/>
              </w:rPr>
            </w:pPr>
            <w:r>
              <w:rPr>
                <w:bCs/>
                <w:color w:val="000000"/>
                <w:sz w:val="19"/>
                <w:szCs w:val="19"/>
              </w:rPr>
              <w:t>-1,7</w:t>
            </w:r>
          </w:p>
        </w:tc>
        <w:tc>
          <w:tcPr>
            <w:tcW w:w="1235" w:type="dxa"/>
            <w:shd w:val="clear" w:color="auto" w:fill="auto"/>
            <w:vAlign w:val="center"/>
          </w:tcPr>
          <w:p w14:paraId="0922A229" w14:textId="147845AC" w:rsidR="0062445A" w:rsidRPr="00FE4826" w:rsidRDefault="0062445A" w:rsidP="0062445A">
            <w:pPr>
              <w:spacing w:before="0" w:after="0"/>
              <w:ind w:left="0" w:firstLine="0"/>
              <w:jc w:val="center"/>
              <w:rPr>
                <w:bCs/>
                <w:color w:val="000000"/>
                <w:sz w:val="19"/>
                <w:szCs w:val="19"/>
              </w:rPr>
            </w:pPr>
            <w:r>
              <w:rPr>
                <w:bCs/>
                <w:color w:val="000000"/>
                <w:sz w:val="19"/>
                <w:szCs w:val="19"/>
              </w:rPr>
              <w:t>0,0</w:t>
            </w:r>
          </w:p>
        </w:tc>
      </w:tr>
    </w:tbl>
    <w:p w14:paraId="3D5936AC" w14:textId="312A752F" w:rsidR="00D23CB7" w:rsidRPr="005B1259" w:rsidRDefault="00D23CB7" w:rsidP="00D23CB7">
      <w:pPr>
        <w:spacing w:after="0"/>
        <w:ind w:firstLine="0"/>
        <w:rPr>
          <w:rFonts w:eastAsia="Times New Roman" w:cs="Times New Roman"/>
          <w:i/>
          <w:color w:val="000000"/>
          <w:sz w:val="18"/>
          <w:szCs w:val="18"/>
        </w:rPr>
      </w:pPr>
      <w:r w:rsidRPr="005B1259">
        <w:rPr>
          <w:rFonts w:eastAsia="Times New Roman" w:cs="Times New Roman"/>
          <w:i/>
          <w:color w:val="000000"/>
          <w:sz w:val="18"/>
          <w:szCs w:val="18"/>
        </w:rPr>
        <w:t>*Valsts kases dati</w:t>
      </w:r>
      <w:r w:rsidR="00493AD4" w:rsidRPr="005B1259">
        <w:rPr>
          <w:rFonts w:eastAsia="Times New Roman" w:cs="Times New Roman"/>
          <w:i/>
          <w:color w:val="000000"/>
          <w:sz w:val="18"/>
          <w:szCs w:val="18"/>
        </w:rPr>
        <w:t>, FM novērtējums</w:t>
      </w:r>
    </w:p>
    <w:p w14:paraId="09821594" w14:textId="79BD0537" w:rsidR="009B5BCA" w:rsidRDefault="009B5BCA" w:rsidP="00A12632">
      <w:pPr>
        <w:rPr>
          <w:color w:val="000000" w:themeColor="text1"/>
          <w:szCs w:val="24"/>
        </w:rPr>
      </w:pPr>
      <w:r>
        <w:rPr>
          <w:color w:val="000000" w:themeColor="text1"/>
          <w:szCs w:val="24"/>
        </w:rPr>
        <w:lastRenderedPageBreak/>
        <w:t xml:space="preserve">Ņemot vērā, ka daļa atbalsta pasākumu veido ietekmi ne tikai </w:t>
      </w:r>
      <w:r w:rsidR="005B1259">
        <w:rPr>
          <w:color w:val="000000" w:themeColor="text1"/>
          <w:szCs w:val="24"/>
        </w:rPr>
        <w:t>2020. gadā,</w:t>
      </w:r>
      <w:r>
        <w:rPr>
          <w:color w:val="000000" w:themeColor="text1"/>
          <w:szCs w:val="24"/>
        </w:rPr>
        <w:t xml:space="preserve"> bet arī atbilstoši Ministru kabinetā šā gada 2.</w:t>
      </w:r>
      <w:r w:rsidR="005B1259">
        <w:rPr>
          <w:color w:val="000000" w:themeColor="text1"/>
          <w:szCs w:val="24"/>
        </w:rPr>
        <w:t> </w:t>
      </w:r>
      <w:r>
        <w:rPr>
          <w:color w:val="000000" w:themeColor="text1"/>
          <w:szCs w:val="24"/>
        </w:rPr>
        <w:t xml:space="preserve">jūnijā lemtajam arī </w:t>
      </w:r>
      <w:r w:rsidR="005B1259">
        <w:rPr>
          <w:color w:val="000000" w:themeColor="text1"/>
          <w:szCs w:val="24"/>
        </w:rPr>
        <w:t>2021. gadā</w:t>
      </w:r>
      <w:r>
        <w:rPr>
          <w:rStyle w:val="FootnoteReference"/>
          <w:color w:val="000000" w:themeColor="text1"/>
          <w:szCs w:val="24"/>
        </w:rPr>
        <w:footnoteReference w:id="2"/>
      </w:r>
      <w:r>
        <w:rPr>
          <w:color w:val="000000" w:themeColor="text1"/>
          <w:szCs w:val="24"/>
        </w:rPr>
        <w:t xml:space="preserve"> attiecīgi 2021. gada vispārējās valdības budžeta bilances prognozēs ņemt</w:t>
      </w:r>
      <w:r w:rsidR="009F53E8">
        <w:rPr>
          <w:color w:val="000000" w:themeColor="text1"/>
          <w:szCs w:val="24"/>
        </w:rPr>
        <w:t>a</w:t>
      </w:r>
      <w:r>
        <w:rPr>
          <w:color w:val="000000" w:themeColor="text1"/>
          <w:szCs w:val="24"/>
        </w:rPr>
        <w:t xml:space="preserve"> vērā papildus </w:t>
      </w:r>
      <w:r w:rsidR="00A12632">
        <w:rPr>
          <w:color w:val="000000" w:themeColor="text1"/>
          <w:szCs w:val="24"/>
        </w:rPr>
        <w:t>105</w:t>
      </w:r>
      <w:r w:rsidR="00874F32">
        <w:rPr>
          <w:color w:val="000000" w:themeColor="text1"/>
          <w:szCs w:val="24"/>
        </w:rPr>
        <w:t>,3 milj.</w:t>
      </w:r>
      <w:r w:rsidR="00A12632">
        <w:rPr>
          <w:color w:val="000000" w:themeColor="text1"/>
          <w:szCs w:val="24"/>
        </w:rPr>
        <w:t xml:space="preserve"> </w:t>
      </w:r>
      <w:proofErr w:type="spellStart"/>
      <w:r w:rsidR="00A12632">
        <w:rPr>
          <w:color w:val="000000" w:themeColor="text1"/>
          <w:szCs w:val="24"/>
        </w:rPr>
        <w:t>euro</w:t>
      </w:r>
      <w:proofErr w:type="spellEnd"/>
      <w:r w:rsidR="00A12632">
        <w:rPr>
          <w:color w:val="000000" w:themeColor="text1"/>
          <w:szCs w:val="24"/>
        </w:rPr>
        <w:t xml:space="preserve"> finansējuma novirzīšana prioritāti atbalstāmajām nozarēm</w:t>
      </w:r>
      <w:r w:rsidR="00A12632">
        <w:rPr>
          <w:rStyle w:val="FootnoteReference"/>
          <w:color w:val="000000" w:themeColor="text1"/>
          <w:szCs w:val="24"/>
        </w:rPr>
        <w:footnoteReference w:id="3"/>
      </w:r>
      <w:r w:rsidR="00A12632">
        <w:rPr>
          <w:color w:val="000000" w:themeColor="text1"/>
          <w:szCs w:val="24"/>
        </w:rPr>
        <w:t>.</w:t>
      </w:r>
    </w:p>
    <w:p w14:paraId="22933A5B" w14:textId="77777777" w:rsidR="00D23CB7" w:rsidRPr="00E97353" w:rsidRDefault="00D23CB7" w:rsidP="002D57A0">
      <w:pPr>
        <w:spacing w:before="240"/>
        <w:rPr>
          <w:rFonts w:eastAsia="Times New Roman" w:cs="Times New Roman"/>
          <w:b/>
          <w:color w:val="000000"/>
          <w:szCs w:val="28"/>
        </w:rPr>
      </w:pPr>
      <w:r w:rsidRPr="00E97353">
        <w:rPr>
          <w:rFonts w:eastAsia="Times New Roman" w:cs="Times New Roman"/>
          <w:b/>
          <w:color w:val="000000"/>
          <w:szCs w:val="28"/>
        </w:rPr>
        <w:t>Atbalsts nodokļu jomā</w:t>
      </w:r>
    </w:p>
    <w:p w14:paraId="05326EAF" w14:textId="780970FB" w:rsidR="00D23CB7" w:rsidRPr="00E97353" w:rsidRDefault="00D23CB7" w:rsidP="00D23CB7">
      <w:pPr>
        <w:spacing w:after="0"/>
        <w:rPr>
          <w:rFonts w:eastAsia="Times New Roman" w:cs="Times New Roman"/>
          <w:color w:val="000000"/>
          <w:szCs w:val="28"/>
        </w:rPr>
      </w:pPr>
      <w:r w:rsidRPr="00E97353">
        <w:rPr>
          <w:rFonts w:eastAsia="Times New Roman" w:cs="Times New Roman"/>
          <w:color w:val="000000"/>
          <w:szCs w:val="28"/>
        </w:rPr>
        <w:t xml:space="preserve">Likumā “Par valsts apdraudējuma un tā seku novēršanas un pārvarēšanas pasākumiem sakarā ar Covid-19 izplatību”, kas tika pieņemts Saeimā šā gada 20.martā, tika noteikti vairāki nodokļu ieņēmumus ietekmējoši atbalsta pasākumi, lai mazinātu krīzes sekas uzņēmējiem un iedzīvotājiem. </w:t>
      </w:r>
      <w:r w:rsidR="000619F5">
        <w:rPr>
          <w:rFonts w:eastAsia="Times New Roman" w:cs="Times New Roman"/>
          <w:color w:val="000000"/>
          <w:szCs w:val="28"/>
        </w:rPr>
        <w:t>Šis likums darbojās līdz šā gada 9.</w:t>
      </w:r>
      <w:r w:rsidR="002D57A0">
        <w:rPr>
          <w:rFonts w:eastAsia="Times New Roman" w:cs="Times New Roman"/>
          <w:color w:val="000000"/>
          <w:szCs w:val="28"/>
        </w:rPr>
        <w:t> </w:t>
      </w:r>
      <w:r w:rsidR="000619F5">
        <w:rPr>
          <w:rFonts w:eastAsia="Times New Roman" w:cs="Times New Roman"/>
          <w:color w:val="000000"/>
          <w:szCs w:val="28"/>
        </w:rPr>
        <w:t>jūnijam, bet 10.</w:t>
      </w:r>
      <w:r w:rsidR="002D57A0">
        <w:rPr>
          <w:rFonts w:eastAsia="Times New Roman" w:cs="Times New Roman"/>
          <w:color w:val="000000"/>
          <w:szCs w:val="28"/>
        </w:rPr>
        <w:t> </w:t>
      </w:r>
      <w:r w:rsidR="000619F5">
        <w:rPr>
          <w:rFonts w:eastAsia="Times New Roman" w:cs="Times New Roman"/>
          <w:color w:val="000000"/>
          <w:szCs w:val="28"/>
        </w:rPr>
        <w:t xml:space="preserve">jūnijā stājās spēkā “Covid-19 infekcijas izplatības seku pārvarēšanas likums”’, kas arī paredz attiecīgu atbalstu. </w:t>
      </w:r>
      <w:r w:rsidRPr="00E97353">
        <w:rPr>
          <w:rFonts w:eastAsia="Times New Roman" w:cs="Times New Roman"/>
          <w:color w:val="000000"/>
          <w:szCs w:val="28"/>
        </w:rPr>
        <w:t>Atbalstā nodokļu jomā ietilpst tādi pasākumi kā:</w:t>
      </w:r>
    </w:p>
    <w:p w14:paraId="7ACCD6D5" w14:textId="77777777" w:rsidR="00D23CB7" w:rsidRPr="00E97353" w:rsidRDefault="00D23CB7" w:rsidP="005D0688">
      <w:pPr>
        <w:numPr>
          <w:ilvl w:val="0"/>
          <w:numId w:val="7"/>
        </w:numPr>
        <w:spacing w:before="0" w:after="0"/>
        <w:ind w:left="1434" w:hanging="357"/>
        <w:rPr>
          <w:rFonts w:eastAsia="Calibri" w:cs="Times New Roman"/>
          <w:color w:val="000000"/>
          <w:szCs w:val="28"/>
        </w:rPr>
      </w:pPr>
      <w:r w:rsidRPr="00E97353">
        <w:rPr>
          <w:rFonts w:eastAsia="Calibri" w:cs="Times New Roman"/>
          <w:color w:val="000000"/>
          <w:szCs w:val="28"/>
        </w:rPr>
        <w:t>nodokļu samaksas termiņa pagarinājumi;</w:t>
      </w:r>
    </w:p>
    <w:p w14:paraId="1F5AB07A" w14:textId="77777777" w:rsidR="00D23CB7" w:rsidRPr="00E97353" w:rsidRDefault="00D23CB7" w:rsidP="005D0688">
      <w:pPr>
        <w:numPr>
          <w:ilvl w:val="0"/>
          <w:numId w:val="7"/>
        </w:numPr>
        <w:spacing w:before="0" w:after="0"/>
        <w:ind w:left="1434" w:hanging="357"/>
        <w:rPr>
          <w:rFonts w:eastAsia="Calibri" w:cs="Times New Roman"/>
          <w:color w:val="000000"/>
          <w:szCs w:val="28"/>
        </w:rPr>
      </w:pPr>
      <w:r w:rsidRPr="00E97353">
        <w:rPr>
          <w:rFonts w:eastAsia="Calibri" w:cs="Times New Roman"/>
          <w:color w:val="000000"/>
          <w:szCs w:val="28"/>
        </w:rPr>
        <w:t>IIN avansa maksājumu atcelšana;</w:t>
      </w:r>
    </w:p>
    <w:p w14:paraId="7530FEFA" w14:textId="77777777" w:rsidR="00D23CB7" w:rsidRPr="00E97353" w:rsidRDefault="00D23CB7" w:rsidP="005D0688">
      <w:pPr>
        <w:numPr>
          <w:ilvl w:val="0"/>
          <w:numId w:val="7"/>
        </w:numPr>
        <w:spacing w:before="0" w:after="0"/>
        <w:ind w:left="1434" w:hanging="357"/>
        <w:rPr>
          <w:rFonts w:eastAsia="Calibri" w:cs="Times New Roman"/>
          <w:color w:val="000000"/>
          <w:szCs w:val="28"/>
        </w:rPr>
      </w:pPr>
      <w:r w:rsidRPr="00E97353">
        <w:rPr>
          <w:rFonts w:eastAsia="Calibri" w:cs="Times New Roman"/>
          <w:color w:val="000000"/>
          <w:szCs w:val="28"/>
        </w:rPr>
        <w:t>pārmaksātā PVN atmaksa 30 dienu laikā;</w:t>
      </w:r>
    </w:p>
    <w:p w14:paraId="73B2A1AC" w14:textId="77777777" w:rsidR="00D23CB7" w:rsidRPr="00E97353" w:rsidRDefault="00D23CB7" w:rsidP="005D0688">
      <w:pPr>
        <w:numPr>
          <w:ilvl w:val="0"/>
          <w:numId w:val="7"/>
        </w:numPr>
        <w:spacing w:before="0" w:after="0"/>
        <w:ind w:left="1434" w:hanging="357"/>
        <w:rPr>
          <w:rFonts w:eastAsia="Calibri" w:cs="Times New Roman"/>
          <w:color w:val="000000"/>
          <w:szCs w:val="28"/>
        </w:rPr>
      </w:pPr>
      <w:r w:rsidRPr="00E97353">
        <w:rPr>
          <w:rFonts w:eastAsia="Calibri" w:cs="Times New Roman"/>
          <w:color w:val="000000"/>
          <w:szCs w:val="28"/>
        </w:rPr>
        <w:t>nekustamā īpašuma nodokļa samaksas termiņu pagarināšana (šim pasākumam nav fiskālās ietekmes, jo termiņu pārcelšana notiek tikai 2020.gada ietvaros).</w:t>
      </w:r>
    </w:p>
    <w:p w14:paraId="26F13035" w14:textId="4AEF31BB" w:rsidR="00D23CB7" w:rsidRPr="00E97353" w:rsidRDefault="00D23CB7" w:rsidP="00D23CB7">
      <w:pPr>
        <w:spacing w:after="0"/>
        <w:rPr>
          <w:rFonts w:eastAsia="Times New Roman" w:cs="Times New Roman"/>
          <w:color w:val="000000"/>
          <w:szCs w:val="28"/>
        </w:rPr>
      </w:pPr>
      <w:r w:rsidRPr="00E97353">
        <w:rPr>
          <w:rFonts w:eastAsia="Times New Roman" w:cs="Times New Roman"/>
          <w:color w:val="000000"/>
          <w:szCs w:val="28"/>
        </w:rPr>
        <w:t xml:space="preserve">Pēc </w:t>
      </w:r>
      <w:r w:rsidR="00C36121">
        <w:rPr>
          <w:rFonts w:eastAsia="Times New Roman" w:cs="Times New Roman"/>
          <w:color w:val="000000"/>
          <w:szCs w:val="28"/>
        </w:rPr>
        <w:t>Valsts ieņēmumu dienesta (</w:t>
      </w:r>
      <w:r w:rsidRPr="00E97353">
        <w:rPr>
          <w:rFonts w:eastAsia="Times New Roman" w:cs="Times New Roman"/>
          <w:color w:val="000000"/>
          <w:szCs w:val="28"/>
        </w:rPr>
        <w:t>VID</w:t>
      </w:r>
      <w:r w:rsidR="00C36121">
        <w:rPr>
          <w:rFonts w:eastAsia="Times New Roman" w:cs="Times New Roman"/>
          <w:color w:val="000000"/>
          <w:szCs w:val="28"/>
        </w:rPr>
        <w:t>)</w:t>
      </w:r>
      <w:r w:rsidRPr="00E97353">
        <w:rPr>
          <w:rFonts w:eastAsia="Times New Roman" w:cs="Times New Roman"/>
          <w:color w:val="000000"/>
          <w:szCs w:val="28"/>
        </w:rPr>
        <w:t xml:space="preserve"> datiem līdz</w:t>
      </w:r>
      <w:r w:rsidR="00146EDF">
        <w:rPr>
          <w:rFonts w:eastAsia="Times New Roman" w:cs="Times New Roman"/>
          <w:color w:val="000000"/>
          <w:szCs w:val="28"/>
        </w:rPr>
        <w:t xml:space="preserve"> 2020.gada</w:t>
      </w:r>
      <w:r w:rsidRPr="00E97353">
        <w:rPr>
          <w:rFonts w:eastAsia="Times New Roman" w:cs="Times New Roman"/>
          <w:color w:val="000000"/>
          <w:szCs w:val="28"/>
        </w:rPr>
        <w:t xml:space="preserve"> </w:t>
      </w:r>
      <w:r w:rsidR="003A1074">
        <w:rPr>
          <w:rFonts w:eastAsia="Times New Roman" w:cs="Times New Roman"/>
          <w:color w:val="000000"/>
          <w:szCs w:val="28"/>
        </w:rPr>
        <w:t>26.jūlijam</w:t>
      </w:r>
      <w:r w:rsidRPr="00E97353">
        <w:rPr>
          <w:rFonts w:eastAsia="Times New Roman" w:cs="Times New Roman"/>
          <w:color w:val="000000"/>
          <w:szCs w:val="28"/>
        </w:rPr>
        <w:t xml:space="preserve"> </w:t>
      </w:r>
      <w:r w:rsidR="000619F5">
        <w:rPr>
          <w:rFonts w:eastAsia="Times New Roman" w:cs="Times New Roman"/>
          <w:color w:val="000000"/>
          <w:szCs w:val="28"/>
        </w:rPr>
        <w:t xml:space="preserve">ar atsauci un īpašo Covid-19 krīzes regulējumu </w:t>
      </w:r>
      <w:r w:rsidRPr="00E97353">
        <w:rPr>
          <w:rFonts w:eastAsia="Times New Roman" w:cs="Times New Roman"/>
          <w:color w:val="000000"/>
          <w:szCs w:val="28"/>
        </w:rPr>
        <w:t xml:space="preserve">nodokļu “brīvdienas” ir piešķirtas </w:t>
      </w:r>
      <w:r w:rsidR="000619F5">
        <w:rPr>
          <w:rFonts w:eastAsia="Times New Roman" w:cs="Times New Roman"/>
          <w:color w:val="000000"/>
          <w:szCs w:val="28"/>
        </w:rPr>
        <w:t>124,8</w:t>
      </w:r>
      <w:r w:rsidRPr="00E97353">
        <w:rPr>
          <w:rFonts w:eastAsia="Times New Roman" w:cs="Times New Roman"/>
          <w:color w:val="000000"/>
          <w:szCs w:val="28"/>
        </w:rPr>
        <w:t> milj. </w:t>
      </w:r>
      <w:proofErr w:type="spellStart"/>
      <w:r w:rsidRPr="00E97353">
        <w:rPr>
          <w:rFonts w:eastAsia="Times New Roman" w:cs="Times New Roman"/>
          <w:i/>
          <w:color w:val="000000"/>
          <w:szCs w:val="28"/>
        </w:rPr>
        <w:t>euro</w:t>
      </w:r>
      <w:proofErr w:type="spellEnd"/>
      <w:r w:rsidRPr="00E97353">
        <w:rPr>
          <w:rFonts w:eastAsia="Times New Roman" w:cs="Times New Roman"/>
          <w:color w:val="000000"/>
          <w:szCs w:val="28"/>
        </w:rPr>
        <w:t xml:space="preserve"> apmērā. </w:t>
      </w:r>
    </w:p>
    <w:p w14:paraId="790AF65B" w14:textId="77777777" w:rsidR="00D23CB7" w:rsidRPr="00E97353" w:rsidRDefault="00D23CB7" w:rsidP="002D57A0">
      <w:pPr>
        <w:spacing w:before="240"/>
        <w:rPr>
          <w:rFonts w:eastAsia="Times New Roman" w:cs="Times New Roman"/>
          <w:b/>
          <w:color w:val="000000"/>
          <w:szCs w:val="28"/>
        </w:rPr>
      </w:pPr>
      <w:r w:rsidRPr="00E97353">
        <w:rPr>
          <w:rFonts w:eastAsia="Times New Roman" w:cs="Times New Roman"/>
          <w:b/>
          <w:color w:val="000000"/>
          <w:szCs w:val="28"/>
        </w:rPr>
        <w:t>Atbalsts pabalstu jomā</w:t>
      </w:r>
    </w:p>
    <w:p w14:paraId="349A0336" w14:textId="75D96D63" w:rsidR="00D23CB7" w:rsidRPr="00E97353" w:rsidRDefault="00D23CB7" w:rsidP="00D23CB7">
      <w:pPr>
        <w:rPr>
          <w:rFonts w:eastAsia="Times New Roman" w:cs="Times New Roman"/>
          <w:color w:val="000000"/>
          <w:szCs w:val="28"/>
        </w:rPr>
      </w:pPr>
      <w:r w:rsidRPr="00E97353">
        <w:rPr>
          <w:rFonts w:eastAsia="Times New Roman" w:cs="Times New Roman"/>
          <w:color w:val="000000"/>
          <w:szCs w:val="28"/>
        </w:rPr>
        <w:t>Laika posmā no</w:t>
      </w:r>
      <w:r w:rsidR="00C36121">
        <w:rPr>
          <w:rFonts w:eastAsia="Times New Roman" w:cs="Times New Roman"/>
          <w:color w:val="000000"/>
          <w:szCs w:val="28"/>
        </w:rPr>
        <w:t xml:space="preserve"> 2020.gada </w:t>
      </w:r>
      <w:r w:rsidRPr="00E97353">
        <w:rPr>
          <w:rFonts w:eastAsia="Times New Roman" w:cs="Times New Roman"/>
          <w:color w:val="000000"/>
          <w:szCs w:val="28"/>
        </w:rPr>
        <w:t xml:space="preserve"> 20.</w:t>
      </w:r>
      <w:r w:rsidR="002D57A0">
        <w:rPr>
          <w:rFonts w:eastAsia="Times New Roman" w:cs="Times New Roman"/>
          <w:color w:val="000000"/>
          <w:szCs w:val="28"/>
        </w:rPr>
        <w:t> </w:t>
      </w:r>
      <w:r w:rsidRPr="00E97353">
        <w:rPr>
          <w:rFonts w:eastAsia="Times New Roman" w:cs="Times New Roman"/>
          <w:color w:val="000000"/>
          <w:szCs w:val="28"/>
        </w:rPr>
        <w:t xml:space="preserve">marta līdz </w:t>
      </w:r>
      <w:r w:rsidR="003A1074">
        <w:rPr>
          <w:rFonts w:eastAsia="Times New Roman" w:cs="Times New Roman"/>
          <w:color w:val="000000"/>
          <w:szCs w:val="28"/>
        </w:rPr>
        <w:t>26</w:t>
      </w:r>
      <w:r w:rsidRPr="00E97353">
        <w:rPr>
          <w:rFonts w:eastAsia="Times New Roman" w:cs="Times New Roman"/>
          <w:color w:val="000000"/>
          <w:szCs w:val="28"/>
        </w:rPr>
        <w:t>.</w:t>
      </w:r>
      <w:r w:rsidR="002D57A0">
        <w:rPr>
          <w:rFonts w:eastAsia="Times New Roman" w:cs="Times New Roman"/>
          <w:color w:val="000000"/>
          <w:szCs w:val="28"/>
        </w:rPr>
        <w:t> </w:t>
      </w:r>
      <w:r w:rsidR="003A1074">
        <w:rPr>
          <w:rFonts w:eastAsia="Times New Roman" w:cs="Times New Roman"/>
          <w:color w:val="000000"/>
          <w:szCs w:val="28"/>
        </w:rPr>
        <w:t>jūlijam</w:t>
      </w:r>
      <w:r w:rsidRPr="00E97353">
        <w:rPr>
          <w:rFonts w:eastAsia="Times New Roman" w:cs="Times New Roman"/>
          <w:color w:val="000000"/>
          <w:szCs w:val="28"/>
        </w:rPr>
        <w:t xml:space="preserve"> tika pieņemti vairāki normatīvie akti, kas nosaka papildus izdevumus pabalstiem iedzīvotāju atbalstam, mazinot Covid-19 izraisītās krīzes sekas.</w:t>
      </w:r>
    </w:p>
    <w:p w14:paraId="1379F5BA" w14:textId="77777777" w:rsidR="00D23CB7" w:rsidRPr="00E97353" w:rsidRDefault="00D23CB7" w:rsidP="00D23CB7">
      <w:pPr>
        <w:rPr>
          <w:rFonts w:eastAsia="Times New Roman" w:cs="Times New Roman"/>
          <w:color w:val="000000"/>
          <w:szCs w:val="28"/>
        </w:rPr>
      </w:pPr>
      <w:r w:rsidRPr="00E97353">
        <w:rPr>
          <w:rFonts w:eastAsia="Times New Roman" w:cs="Times New Roman"/>
          <w:color w:val="000000"/>
          <w:szCs w:val="28"/>
        </w:rPr>
        <w:t>Lielākie izdevumi tiek plānoti šādiem pabalstiem:</w:t>
      </w:r>
    </w:p>
    <w:p w14:paraId="206B2913" w14:textId="5E67099E" w:rsidR="00D23CB7" w:rsidRPr="003A1074" w:rsidRDefault="00D23CB7" w:rsidP="005D0688">
      <w:pPr>
        <w:numPr>
          <w:ilvl w:val="0"/>
          <w:numId w:val="9"/>
        </w:numPr>
        <w:spacing w:before="0" w:after="0"/>
        <w:ind w:left="1077" w:hanging="357"/>
        <w:rPr>
          <w:rFonts w:eastAsia="Calibri" w:cs="Times New Roman"/>
          <w:noProof/>
          <w:color w:val="000000"/>
          <w:szCs w:val="28"/>
        </w:rPr>
      </w:pPr>
      <w:r w:rsidRPr="00E97353">
        <w:rPr>
          <w:rFonts w:eastAsia="Calibri" w:cs="Times New Roman"/>
          <w:color w:val="000000"/>
          <w:szCs w:val="28"/>
        </w:rPr>
        <w:t>Dīkstāves pabalsti.</w:t>
      </w:r>
      <w:r w:rsidRPr="00E97353">
        <w:rPr>
          <w:rFonts w:eastAsia="Calibri" w:cs="Times New Roman"/>
          <w:szCs w:val="28"/>
        </w:rPr>
        <w:t xml:space="preserve"> </w:t>
      </w:r>
      <w:r w:rsidRPr="00E97353">
        <w:rPr>
          <w:rFonts w:eastAsia="Calibri" w:cs="Times New Roman"/>
          <w:color w:val="000000"/>
          <w:szCs w:val="28"/>
        </w:rPr>
        <w:t xml:space="preserve">Darbinieka atlīdzība dīkstāves gadījumā tiek kompensēta no valsts puses 75% apmērā no darbinieka sešu mēnešu vidējās atlīdzības, bet ne vairāk kā 700 </w:t>
      </w:r>
      <w:proofErr w:type="spellStart"/>
      <w:r w:rsidRPr="00E97353">
        <w:rPr>
          <w:rFonts w:eastAsia="Times New Roman" w:cs="Times New Roman"/>
          <w:i/>
          <w:color w:val="000000"/>
          <w:szCs w:val="28"/>
        </w:rPr>
        <w:t>euro</w:t>
      </w:r>
      <w:proofErr w:type="spellEnd"/>
      <w:r w:rsidRPr="00E97353">
        <w:rPr>
          <w:rFonts w:eastAsia="Calibri" w:cs="Times New Roman"/>
          <w:color w:val="000000"/>
          <w:szCs w:val="28"/>
        </w:rPr>
        <w:t xml:space="preserve">. Dīkstāves pabalsts netiek aplikts ar IIN un valsts sociālās apdrošināšanas iemaksām. Laika </w:t>
      </w:r>
      <w:r w:rsidR="003A1074">
        <w:rPr>
          <w:rFonts w:eastAsia="Calibri" w:cs="Times New Roman"/>
          <w:color w:val="000000"/>
          <w:szCs w:val="28"/>
        </w:rPr>
        <w:t>gaitā</w:t>
      </w:r>
      <w:r w:rsidRPr="00E97353">
        <w:rPr>
          <w:rFonts w:eastAsia="Calibri" w:cs="Times New Roman"/>
          <w:color w:val="000000"/>
          <w:szCs w:val="28"/>
        </w:rPr>
        <w:t xml:space="preserve"> tika pieņemti vairāki grozījumi MK noteikumos, kas paplašināja dīkstāves pabalsta saņēmēju </w:t>
      </w:r>
      <w:r w:rsidRPr="00E97353">
        <w:rPr>
          <w:rFonts w:eastAsia="Calibri" w:cs="Times New Roman"/>
          <w:noProof/>
          <w:color w:val="000000"/>
          <w:szCs w:val="28"/>
        </w:rPr>
        <w:t>loku – iekļaujot pašnodarbinātās personas, autoratlīdzības saņēmējus, mikrouzņēmuma</w:t>
      </w:r>
      <w:r w:rsidRPr="00E97353">
        <w:rPr>
          <w:rFonts w:eastAsia="Calibri" w:cs="Times New Roman"/>
          <w:color w:val="000000"/>
          <w:szCs w:val="28"/>
        </w:rPr>
        <w:t xml:space="preserve"> nodokļa maksātājus, valdes locekļus, strādājošos pensionārus u.c. Līdz </w:t>
      </w:r>
      <w:r w:rsidR="00C36121">
        <w:rPr>
          <w:rFonts w:eastAsia="Calibri" w:cs="Times New Roman"/>
          <w:color w:val="000000"/>
          <w:szCs w:val="28"/>
        </w:rPr>
        <w:t xml:space="preserve">2020.gada </w:t>
      </w:r>
      <w:r w:rsidRPr="00E97353">
        <w:rPr>
          <w:rFonts w:eastAsia="Calibri" w:cs="Times New Roman"/>
          <w:color w:val="000000"/>
          <w:szCs w:val="28"/>
        </w:rPr>
        <w:t>2</w:t>
      </w:r>
      <w:r w:rsidR="003A1074">
        <w:rPr>
          <w:rFonts w:eastAsia="Calibri" w:cs="Times New Roman"/>
          <w:color w:val="000000"/>
          <w:szCs w:val="28"/>
        </w:rPr>
        <w:t>6</w:t>
      </w:r>
      <w:r w:rsidRPr="00E97353">
        <w:rPr>
          <w:rFonts w:eastAsia="Calibri" w:cs="Times New Roman"/>
          <w:color w:val="000000"/>
          <w:szCs w:val="28"/>
        </w:rPr>
        <w:t>.</w:t>
      </w:r>
      <w:r w:rsidR="002D57A0">
        <w:rPr>
          <w:rFonts w:eastAsia="Calibri" w:cs="Times New Roman"/>
          <w:color w:val="000000"/>
          <w:szCs w:val="28"/>
        </w:rPr>
        <w:t> </w:t>
      </w:r>
      <w:r w:rsidR="003A1074">
        <w:rPr>
          <w:rFonts w:eastAsia="Calibri" w:cs="Times New Roman"/>
          <w:color w:val="000000"/>
          <w:szCs w:val="28"/>
        </w:rPr>
        <w:t>jūlijam</w:t>
      </w:r>
      <w:r w:rsidRPr="00E97353">
        <w:rPr>
          <w:rFonts w:eastAsia="Calibri" w:cs="Times New Roman"/>
          <w:color w:val="000000"/>
          <w:szCs w:val="28"/>
        </w:rPr>
        <w:t xml:space="preserve"> </w:t>
      </w:r>
      <w:r w:rsidRPr="00E97353">
        <w:rPr>
          <w:rFonts w:eastAsia="Calibri" w:cs="Times New Roman"/>
          <w:color w:val="000000"/>
          <w:szCs w:val="28"/>
        </w:rPr>
        <w:lastRenderedPageBreak/>
        <w:t>saskaņā ar VID datiem dīkstāves pabalsti ir izmaksāti 5</w:t>
      </w:r>
      <w:r w:rsidR="003A1074">
        <w:rPr>
          <w:rFonts w:eastAsia="Calibri" w:cs="Times New Roman"/>
          <w:color w:val="000000"/>
          <w:szCs w:val="28"/>
        </w:rPr>
        <w:t>3</w:t>
      </w:r>
      <w:r w:rsidRPr="00E97353">
        <w:rPr>
          <w:rFonts w:eastAsia="Calibri" w:cs="Times New Roman"/>
          <w:color w:val="000000"/>
          <w:szCs w:val="28"/>
        </w:rPr>
        <w:t>,</w:t>
      </w:r>
      <w:r w:rsidR="003A1074">
        <w:rPr>
          <w:rFonts w:eastAsia="Calibri" w:cs="Times New Roman"/>
          <w:color w:val="000000"/>
          <w:szCs w:val="28"/>
        </w:rPr>
        <w:t>7</w:t>
      </w:r>
      <w:r w:rsidRPr="00E97353">
        <w:rPr>
          <w:rFonts w:eastAsia="Calibri" w:cs="Times New Roman"/>
          <w:color w:val="000000"/>
          <w:szCs w:val="28"/>
        </w:rPr>
        <w:t xml:space="preserve"> milj. </w:t>
      </w:r>
      <w:proofErr w:type="spellStart"/>
      <w:r w:rsidRPr="00E97353">
        <w:rPr>
          <w:rFonts w:eastAsia="Times New Roman" w:cs="Times New Roman"/>
          <w:i/>
          <w:color w:val="000000"/>
          <w:szCs w:val="28"/>
        </w:rPr>
        <w:t>euro</w:t>
      </w:r>
      <w:proofErr w:type="spellEnd"/>
      <w:r w:rsidRPr="00E97353">
        <w:rPr>
          <w:rFonts w:eastAsia="Calibri" w:cs="Times New Roman"/>
          <w:color w:val="000000"/>
          <w:szCs w:val="28"/>
        </w:rPr>
        <w:t xml:space="preserve"> apmērā</w:t>
      </w:r>
      <w:r w:rsidRPr="00E97353">
        <w:rPr>
          <w:rFonts w:eastAsia="Calibri" w:cs="Times New Roman"/>
          <w:noProof/>
          <w:szCs w:val="28"/>
        </w:rPr>
        <w:t>.</w:t>
      </w:r>
    </w:p>
    <w:p w14:paraId="4AF41EDA" w14:textId="394FB390" w:rsidR="003A1074" w:rsidRPr="003A1074" w:rsidRDefault="003A1074" w:rsidP="003A1074">
      <w:pPr>
        <w:numPr>
          <w:ilvl w:val="0"/>
          <w:numId w:val="9"/>
        </w:numPr>
        <w:spacing w:before="0" w:after="0"/>
        <w:rPr>
          <w:rFonts w:eastAsia="Calibri" w:cs="Times New Roman"/>
          <w:noProof/>
          <w:color w:val="000000"/>
          <w:szCs w:val="28"/>
        </w:rPr>
      </w:pPr>
      <w:r>
        <w:rPr>
          <w:rFonts w:eastAsia="Calibri" w:cs="Times New Roman"/>
          <w:noProof/>
          <w:szCs w:val="28"/>
        </w:rPr>
        <w:t xml:space="preserve">Bezdarbnieku palīdzības pabalsts. </w:t>
      </w:r>
      <w:r w:rsidRPr="003A1074">
        <w:rPr>
          <w:rFonts w:eastAsia="Calibri" w:cs="Times New Roman"/>
          <w:noProof/>
          <w:szCs w:val="28"/>
        </w:rPr>
        <w:t>Persona, kurai piešķirtā bezdarbnieka pabalsta periods beidzas 2020.</w:t>
      </w:r>
      <w:r w:rsidR="002D57A0">
        <w:rPr>
          <w:rFonts w:eastAsia="Calibri" w:cs="Times New Roman"/>
          <w:noProof/>
          <w:szCs w:val="28"/>
        </w:rPr>
        <w:t> </w:t>
      </w:r>
      <w:r w:rsidRPr="003A1074">
        <w:rPr>
          <w:rFonts w:eastAsia="Calibri" w:cs="Times New Roman"/>
          <w:noProof/>
          <w:szCs w:val="28"/>
        </w:rPr>
        <w:t>gada 12.</w:t>
      </w:r>
      <w:r w:rsidR="002D57A0">
        <w:rPr>
          <w:rFonts w:eastAsia="Calibri" w:cs="Times New Roman"/>
          <w:noProof/>
          <w:szCs w:val="28"/>
        </w:rPr>
        <w:t> </w:t>
      </w:r>
      <w:r w:rsidRPr="003A1074">
        <w:rPr>
          <w:rFonts w:eastAsia="Calibri" w:cs="Times New Roman"/>
          <w:noProof/>
          <w:szCs w:val="28"/>
        </w:rPr>
        <w:t xml:space="preserve">martā vai vēlāk un kura sakarā ar Covid-19 izsludinātās ārkārtējās situācijas radītajām sekām nav atradusi darbu un neveic saimniecisko darbību, var pieprasīt bezdarbnieka palīdzības pabalstu 180 </w:t>
      </w:r>
      <w:r w:rsidRPr="003A1074">
        <w:rPr>
          <w:rFonts w:eastAsia="Calibri" w:cs="Times New Roman"/>
          <w:i/>
          <w:noProof/>
          <w:szCs w:val="28"/>
        </w:rPr>
        <w:t>euro</w:t>
      </w:r>
      <w:r w:rsidRPr="003A1074">
        <w:rPr>
          <w:rFonts w:eastAsia="Calibri" w:cs="Times New Roman"/>
          <w:noProof/>
          <w:szCs w:val="28"/>
        </w:rPr>
        <w:t>.</w:t>
      </w:r>
    </w:p>
    <w:p w14:paraId="4174AD17" w14:textId="77777777" w:rsidR="009B5BCA" w:rsidRPr="00E97353" w:rsidRDefault="009B5BCA" w:rsidP="009B5BCA">
      <w:pPr>
        <w:numPr>
          <w:ilvl w:val="0"/>
          <w:numId w:val="9"/>
        </w:numPr>
        <w:spacing w:before="0" w:after="0"/>
        <w:rPr>
          <w:rFonts w:eastAsia="Calibri" w:cs="Times New Roman"/>
          <w:noProof/>
          <w:color w:val="000000"/>
          <w:szCs w:val="28"/>
        </w:rPr>
      </w:pPr>
      <w:r w:rsidRPr="003A1074">
        <w:rPr>
          <w:rFonts w:eastAsia="Calibri" w:cs="Times New Roman"/>
          <w:noProof/>
          <w:color w:val="000000"/>
          <w:szCs w:val="28"/>
        </w:rPr>
        <w:t>Atbalsts jaunajiem speciālistiem</w:t>
      </w:r>
      <w:r>
        <w:rPr>
          <w:rFonts w:eastAsia="Calibri" w:cs="Times New Roman"/>
          <w:noProof/>
          <w:color w:val="000000"/>
          <w:szCs w:val="28"/>
        </w:rPr>
        <w:t xml:space="preserve">. </w:t>
      </w:r>
      <w:r w:rsidRPr="003A1074">
        <w:rPr>
          <w:rFonts w:eastAsia="Calibri" w:cs="Times New Roman"/>
          <w:noProof/>
          <w:color w:val="000000"/>
          <w:szCs w:val="28"/>
        </w:rPr>
        <w:t xml:space="preserve">Pabalstu izmaksā pirmos divus mēnešus 500 </w:t>
      </w:r>
      <w:r w:rsidRPr="003A1074">
        <w:rPr>
          <w:rFonts w:eastAsia="Calibri" w:cs="Times New Roman"/>
          <w:i/>
          <w:noProof/>
          <w:color w:val="000000"/>
          <w:szCs w:val="28"/>
        </w:rPr>
        <w:t>euro</w:t>
      </w:r>
      <w:r w:rsidRPr="003A1074">
        <w:rPr>
          <w:rFonts w:eastAsia="Calibri" w:cs="Times New Roman"/>
          <w:noProof/>
          <w:color w:val="000000"/>
          <w:szCs w:val="28"/>
        </w:rPr>
        <w:t xml:space="preserve"> apmērā, trešajā un ceturtajā mēnesī 375 </w:t>
      </w:r>
      <w:r w:rsidRPr="003A1074">
        <w:rPr>
          <w:rFonts w:eastAsia="Calibri" w:cs="Times New Roman"/>
          <w:i/>
          <w:noProof/>
          <w:color w:val="000000"/>
          <w:szCs w:val="28"/>
        </w:rPr>
        <w:t>euro</w:t>
      </w:r>
      <w:r w:rsidRPr="003A1074">
        <w:rPr>
          <w:rFonts w:eastAsia="Calibri" w:cs="Times New Roman"/>
          <w:noProof/>
          <w:color w:val="000000"/>
          <w:szCs w:val="28"/>
        </w:rPr>
        <w:t xml:space="preserve"> apmērā personām, kuras gada laikā pirms ārkārtējās situācijas izsludināšanas ir beigušas mācības augstskolā vai koledžā, kur ir ieguvušas augstāko izglītību, un ir ieguvušas bezdarbnieka statusu ārkārtējās situācijas laikā vai triju mēnešu laikā pēc tās beigām.</w:t>
      </w:r>
    </w:p>
    <w:p w14:paraId="0685A825" w14:textId="4645B673" w:rsidR="003A1074" w:rsidRDefault="003A1074" w:rsidP="003A1074">
      <w:pPr>
        <w:numPr>
          <w:ilvl w:val="0"/>
          <w:numId w:val="9"/>
        </w:numPr>
        <w:spacing w:before="0" w:after="0"/>
        <w:rPr>
          <w:rFonts w:eastAsia="Calibri" w:cs="Times New Roman"/>
          <w:noProof/>
          <w:color w:val="000000"/>
          <w:szCs w:val="28"/>
        </w:rPr>
      </w:pPr>
      <w:r w:rsidRPr="003A1074">
        <w:rPr>
          <w:rFonts w:eastAsia="Calibri" w:cs="Times New Roman"/>
          <w:noProof/>
          <w:color w:val="000000"/>
          <w:szCs w:val="28"/>
        </w:rPr>
        <w:t>Subsidētās darba vietas tūrisma nozarei</w:t>
      </w:r>
      <w:r>
        <w:rPr>
          <w:rFonts w:eastAsia="Calibri" w:cs="Times New Roman"/>
          <w:noProof/>
          <w:color w:val="000000"/>
          <w:szCs w:val="28"/>
        </w:rPr>
        <w:t xml:space="preserve">. </w:t>
      </w:r>
    </w:p>
    <w:p w14:paraId="7B752407" w14:textId="2650CF5A" w:rsidR="003A1074" w:rsidRDefault="003A1074" w:rsidP="003A1074">
      <w:pPr>
        <w:numPr>
          <w:ilvl w:val="0"/>
          <w:numId w:val="9"/>
        </w:numPr>
        <w:spacing w:before="0" w:after="0"/>
        <w:rPr>
          <w:rFonts w:eastAsia="Calibri" w:cs="Times New Roman"/>
          <w:noProof/>
          <w:color w:val="000000"/>
          <w:szCs w:val="28"/>
        </w:rPr>
      </w:pPr>
      <w:r w:rsidRPr="003A1074">
        <w:rPr>
          <w:rFonts w:eastAsia="Calibri" w:cs="Times New Roman"/>
          <w:noProof/>
          <w:color w:val="000000"/>
          <w:szCs w:val="28"/>
        </w:rPr>
        <w:t>Subsidētās darba vietas eksportējošiem uzņēmumiem</w:t>
      </w:r>
      <w:r>
        <w:rPr>
          <w:rFonts w:eastAsia="Calibri" w:cs="Times New Roman"/>
          <w:noProof/>
          <w:color w:val="000000"/>
          <w:szCs w:val="28"/>
        </w:rPr>
        <w:t>.</w:t>
      </w:r>
    </w:p>
    <w:p w14:paraId="100AE64B" w14:textId="77777777" w:rsidR="00D23CB7" w:rsidRPr="00E97353" w:rsidRDefault="00D23CB7" w:rsidP="002D57A0">
      <w:pPr>
        <w:spacing w:before="240"/>
        <w:rPr>
          <w:rFonts w:eastAsia="Times New Roman" w:cs="Times New Roman"/>
          <w:b/>
          <w:color w:val="000000"/>
          <w:szCs w:val="28"/>
        </w:rPr>
      </w:pPr>
      <w:r w:rsidRPr="00E97353">
        <w:rPr>
          <w:rFonts w:eastAsia="Times New Roman" w:cs="Times New Roman"/>
          <w:b/>
          <w:color w:val="000000"/>
          <w:szCs w:val="28"/>
        </w:rPr>
        <w:t>Atbalsts aizdevumu un garantiju jomā</w:t>
      </w:r>
    </w:p>
    <w:p w14:paraId="0D3181F2" w14:textId="1B1CAFA4" w:rsidR="00D23CB7" w:rsidRPr="00E97353" w:rsidRDefault="00D23CB7" w:rsidP="00D23CB7">
      <w:pPr>
        <w:rPr>
          <w:rFonts w:eastAsia="Times New Roman" w:cs="Times New Roman"/>
          <w:color w:val="000000"/>
          <w:szCs w:val="28"/>
        </w:rPr>
      </w:pPr>
      <w:r w:rsidRPr="00E97353">
        <w:rPr>
          <w:rFonts w:eastAsia="Times New Roman" w:cs="Times New Roman"/>
          <w:color w:val="000000"/>
          <w:szCs w:val="28"/>
        </w:rPr>
        <w:t xml:space="preserve">Plānotie atbalsta pasākumi tiek nodrošināti </w:t>
      </w:r>
      <w:r w:rsidR="009B5BCA">
        <w:rPr>
          <w:rFonts w:eastAsia="Times New Roman" w:cs="Times New Roman"/>
          <w:color w:val="000000"/>
          <w:szCs w:val="28"/>
        </w:rPr>
        <w:t xml:space="preserve">galvenokārt </w:t>
      </w:r>
      <w:r w:rsidRPr="00E97353">
        <w:rPr>
          <w:rFonts w:eastAsia="Times New Roman" w:cs="Times New Roman"/>
          <w:color w:val="000000"/>
          <w:szCs w:val="28"/>
        </w:rPr>
        <w:t>ar finanšu institūcijas ALTUM starpniecību un atbalsta veids pamatā ir paredzēts uzņēmumu likviditātes uzlabošanai īstermiņā.</w:t>
      </w:r>
      <w:r w:rsidR="009B5BCA">
        <w:rPr>
          <w:rFonts w:eastAsia="Times New Roman" w:cs="Times New Roman"/>
          <w:color w:val="000000"/>
          <w:szCs w:val="28"/>
        </w:rPr>
        <w:t xml:space="preserve"> Šī atbalsta pasākumu grupa ietver arī p</w:t>
      </w:r>
      <w:r w:rsidR="009B5BCA" w:rsidRPr="009B5BCA">
        <w:rPr>
          <w:rFonts w:eastAsia="Times New Roman" w:cs="Times New Roman"/>
          <w:color w:val="000000"/>
          <w:szCs w:val="28"/>
        </w:rPr>
        <w:t>ašvaldību aizņēmumu limita palielināšan</w:t>
      </w:r>
      <w:r w:rsidR="009B5BCA">
        <w:rPr>
          <w:rFonts w:eastAsia="Times New Roman" w:cs="Times New Roman"/>
          <w:color w:val="000000"/>
          <w:szCs w:val="28"/>
        </w:rPr>
        <w:t xml:space="preserve">u par 150 milj. </w:t>
      </w:r>
      <w:proofErr w:type="spellStart"/>
      <w:r w:rsidR="008523F4">
        <w:rPr>
          <w:rFonts w:eastAsia="Times New Roman" w:cs="Times New Roman"/>
          <w:i/>
          <w:color w:val="000000"/>
          <w:szCs w:val="28"/>
        </w:rPr>
        <w:t>eu</w:t>
      </w:r>
      <w:r w:rsidR="009B5BCA" w:rsidRPr="009B5BCA">
        <w:rPr>
          <w:rFonts w:eastAsia="Times New Roman" w:cs="Times New Roman"/>
          <w:i/>
          <w:color w:val="000000"/>
          <w:szCs w:val="28"/>
        </w:rPr>
        <w:t>ro</w:t>
      </w:r>
      <w:proofErr w:type="spellEnd"/>
      <w:r w:rsidR="009B5BCA">
        <w:rPr>
          <w:rFonts w:eastAsia="Times New Roman" w:cs="Times New Roman"/>
          <w:color w:val="000000"/>
          <w:szCs w:val="28"/>
        </w:rPr>
        <w:t>.</w:t>
      </w:r>
    </w:p>
    <w:p w14:paraId="3F52EB51" w14:textId="77777777" w:rsidR="00D23CB7" w:rsidRPr="00E97353" w:rsidRDefault="00D23CB7" w:rsidP="005D0688">
      <w:pPr>
        <w:numPr>
          <w:ilvl w:val="0"/>
          <w:numId w:val="10"/>
        </w:numPr>
        <w:spacing w:before="0" w:after="0"/>
        <w:ind w:left="1497" w:hanging="357"/>
        <w:rPr>
          <w:rFonts w:eastAsia="Calibri" w:cs="Times New Roman"/>
          <w:color w:val="000000"/>
          <w:szCs w:val="28"/>
        </w:rPr>
      </w:pPr>
      <w:r w:rsidRPr="00E97353">
        <w:rPr>
          <w:rFonts w:eastAsia="Calibri" w:cs="Times New Roman"/>
          <w:color w:val="000000"/>
          <w:szCs w:val="28"/>
        </w:rPr>
        <w:t>Aizdevumi apgrozāmiem līdzekļiem;</w:t>
      </w:r>
    </w:p>
    <w:p w14:paraId="6B1A6A6D" w14:textId="77777777" w:rsidR="00D23CB7" w:rsidRPr="00E97353" w:rsidRDefault="00D23CB7" w:rsidP="005D0688">
      <w:pPr>
        <w:numPr>
          <w:ilvl w:val="0"/>
          <w:numId w:val="10"/>
        </w:numPr>
        <w:spacing w:before="0" w:after="0"/>
        <w:ind w:left="1497" w:hanging="357"/>
        <w:rPr>
          <w:rFonts w:eastAsia="Calibri" w:cs="Times New Roman"/>
          <w:color w:val="000000"/>
          <w:szCs w:val="28"/>
        </w:rPr>
      </w:pPr>
      <w:r w:rsidRPr="00E97353">
        <w:rPr>
          <w:rFonts w:eastAsia="Calibri" w:cs="Times New Roman"/>
          <w:color w:val="000000"/>
          <w:szCs w:val="28"/>
        </w:rPr>
        <w:t>Kredītu garantijas;</w:t>
      </w:r>
    </w:p>
    <w:p w14:paraId="6F71B5EE" w14:textId="2A51EEBA" w:rsidR="00D23CB7" w:rsidRPr="009B5BCA" w:rsidRDefault="009B5BCA" w:rsidP="005D0688">
      <w:pPr>
        <w:numPr>
          <w:ilvl w:val="0"/>
          <w:numId w:val="10"/>
        </w:numPr>
        <w:spacing w:before="0" w:after="0"/>
        <w:ind w:left="1497" w:hanging="357"/>
        <w:rPr>
          <w:rFonts w:eastAsia="Calibri" w:cs="Times New Roman"/>
          <w:noProof/>
          <w:szCs w:val="28"/>
        </w:rPr>
      </w:pPr>
      <w:r>
        <w:rPr>
          <w:rFonts w:eastAsia="Calibri" w:cs="Times New Roman"/>
          <w:noProof/>
          <w:color w:val="000000"/>
          <w:szCs w:val="28"/>
        </w:rPr>
        <w:t>Portfeļgarantijas;</w:t>
      </w:r>
    </w:p>
    <w:p w14:paraId="24402452" w14:textId="5FD67993" w:rsidR="009B5BCA" w:rsidRDefault="009B5BCA" w:rsidP="009B5BCA">
      <w:pPr>
        <w:numPr>
          <w:ilvl w:val="0"/>
          <w:numId w:val="10"/>
        </w:numPr>
        <w:spacing w:before="0" w:after="0"/>
        <w:rPr>
          <w:rFonts w:eastAsia="Calibri" w:cs="Times New Roman"/>
          <w:noProof/>
          <w:szCs w:val="28"/>
        </w:rPr>
      </w:pPr>
      <w:r w:rsidRPr="009B5BCA">
        <w:rPr>
          <w:rFonts w:eastAsia="Calibri" w:cs="Times New Roman"/>
          <w:noProof/>
          <w:szCs w:val="28"/>
        </w:rPr>
        <w:t>ALTUM ieguldījumu fonds modernizācijai</w:t>
      </w:r>
      <w:r>
        <w:rPr>
          <w:rFonts w:eastAsia="Calibri" w:cs="Times New Roman"/>
          <w:noProof/>
          <w:szCs w:val="28"/>
        </w:rPr>
        <w:t>;</w:t>
      </w:r>
    </w:p>
    <w:p w14:paraId="4202F6FC" w14:textId="7975D116" w:rsidR="009B5BCA" w:rsidRDefault="009B5BCA" w:rsidP="009B5BCA">
      <w:pPr>
        <w:numPr>
          <w:ilvl w:val="0"/>
          <w:numId w:val="10"/>
        </w:numPr>
        <w:spacing w:before="0" w:after="0"/>
        <w:rPr>
          <w:rFonts w:eastAsia="Calibri" w:cs="Times New Roman"/>
          <w:noProof/>
          <w:szCs w:val="28"/>
        </w:rPr>
      </w:pPr>
      <w:r>
        <w:rPr>
          <w:rFonts w:eastAsia="Calibri" w:cs="Times New Roman"/>
          <w:noProof/>
          <w:szCs w:val="28"/>
        </w:rPr>
        <w:t xml:space="preserve">Finansējums lielo komersanu atbalstam; </w:t>
      </w:r>
    </w:p>
    <w:p w14:paraId="37E32989" w14:textId="5B21393F" w:rsidR="009B5BCA" w:rsidRPr="00E97353" w:rsidRDefault="009B5BCA" w:rsidP="009B5BCA">
      <w:pPr>
        <w:numPr>
          <w:ilvl w:val="0"/>
          <w:numId w:val="10"/>
        </w:numPr>
        <w:spacing w:before="0" w:after="0"/>
        <w:rPr>
          <w:rFonts w:eastAsia="Calibri" w:cs="Times New Roman"/>
          <w:noProof/>
          <w:szCs w:val="28"/>
        </w:rPr>
      </w:pPr>
      <w:r w:rsidRPr="009B5BCA">
        <w:rPr>
          <w:rFonts w:eastAsia="Calibri" w:cs="Times New Roman"/>
          <w:noProof/>
          <w:szCs w:val="28"/>
        </w:rPr>
        <w:t>Pašvaldību aizņēmumu limita palielināšana</w:t>
      </w:r>
      <w:r>
        <w:rPr>
          <w:rFonts w:eastAsia="Calibri" w:cs="Times New Roman"/>
          <w:noProof/>
          <w:szCs w:val="28"/>
        </w:rPr>
        <w:t>.</w:t>
      </w:r>
    </w:p>
    <w:p w14:paraId="785D5FAC" w14:textId="77777777" w:rsidR="00D23CB7" w:rsidRPr="00E97353" w:rsidRDefault="00D23CB7" w:rsidP="002D57A0">
      <w:pPr>
        <w:spacing w:before="240"/>
        <w:rPr>
          <w:rFonts w:eastAsia="Times New Roman" w:cs="Times New Roman"/>
          <w:b/>
          <w:color w:val="000000"/>
          <w:szCs w:val="28"/>
        </w:rPr>
      </w:pPr>
      <w:r w:rsidRPr="00E97353">
        <w:rPr>
          <w:rFonts w:eastAsia="Times New Roman" w:cs="Times New Roman"/>
          <w:b/>
          <w:color w:val="000000"/>
          <w:szCs w:val="28"/>
        </w:rPr>
        <w:t>Atbalsts nozarēm</w:t>
      </w:r>
    </w:p>
    <w:p w14:paraId="312C3F33" w14:textId="021A9747" w:rsidR="00D23CB7" w:rsidRPr="00E97353" w:rsidRDefault="00D23CB7" w:rsidP="00D23CB7">
      <w:pPr>
        <w:rPr>
          <w:rFonts w:eastAsia="Times New Roman" w:cs="Times New Roman"/>
          <w:color w:val="000000"/>
          <w:szCs w:val="28"/>
        </w:rPr>
      </w:pPr>
      <w:r>
        <w:rPr>
          <w:rFonts w:eastAsia="Times New Roman" w:cs="Times New Roman"/>
          <w:color w:val="000000"/>
          <w:szCs w:val="28"/>
        </w:rPr>
        <w:t>P</w:t>
      </w:r>
      <w:r w:rsidRPr="00E97353">
        <w:rPr>
          <w:rFonts w:eastAsia="Times New Roman" w:cs="Times New Roman"/>
          <w:color w:val="000000"/>
          <w:szCs w:val="28"/>
        </w:rPr>
        <w:t xml:space="preserve">aredzēta nozaru finansiālo grūtību mazināšanai, kā arī medicīnas līdzekļu un attālinātā mācību procesa nodrošināšanai. </w:t>
      </w:r>
      <w:r w:rsidR="006B5F40">
        <w:rPr>
          <w:rFonts w:eastAsia="Times New Roman" w:cs="Times New Roman"/>
          <w:color w:val="000000"/>
          <w:szCs w:val="28"/>
        </w:rPr>
        <w:t>Nozares ar lielāko atbalsta apmēru</w:t>
      </w:r>
      <w:r w:rsidRPr="00E97353">
        <w:rPr>
          <w:rFonts w:eastAsia="Times New Roman" w:cs="Times New Roman"/>
          <w:color w:val="000000"/>
          <w:szCs w:val="28"/>
        </w:rPr>
        <w:t>:</w:t>
      </w:r>
    </w:p>
    <w:p w14:paraId="098148CB" w14:textId="77777777" w:rsidR="00D23CB7" w:rsidRPr="00E97353" w:rsidRDefault="00D23CB7" w:rsidP="005D0688">
      <w:pPr>
        <w:numPr>
          <w:ilvl w:val="0"/>
          <w:numId w:val="12"/>
        </w:numPr>
        <w:spacing w:before="0"/>
        <w:contextualSpacing/>
        <w:rPr>
          <w:rFonts w:eastAsia="Calibri" w:cs="Times New Roman"/>
          <w:color w:val="000000"/>
          <w:szCs w:val="28"/>
        </w:rPr>
      </w:pPr>
      <w:r w:rsidRPr="00E97353">
        <w:rPr>
          <w:rFonts w:eastAsia="Calibri" w:cs="Times New Roman"/>
          <w:color w:val="000000"/>
          <w:szCs w:val="28"/>
        </w:rPr>
        <w:t>Atbalsts aviopārvadājumu nozarei;</w:t>
      </w:r>
    </w:p>
    <w:p w14:paraId="3FD24F3D" w14:textId="1DC75DCD" w:rsidR="00D23CB7" w:rsidRDefault="00D23CB7" w:rsidP="005D0688">
      <w:pPr>
        <w:numPr>
          <w:ilvl w:val="0"/>
          <w:numId w:val="11"/>
        </w:numPr>
        <w:spacing w:before="0"/>
        <w:contextualSpacing/>
        <w:rPr>
          <w:rFonts w:eastAsia="Calibri" w:cs="Times New Roman"/>
          <w:noProof/>
          <w:color w:val="000000"/>
          <w:szCs w:val="28"/>
        </w:rPr>
      </w:pPr>
      <w:r w:rsidRPr="00E97353">
        <w:rPr>
          <w:rFonts w:eastAsia="Calibri" w:cs="Times New Roman"/>
          <w:color w:val="000000"/>
          <w:szCs w:val="28"/>
        </w:rPr>
        <w:t>Ar veselības aprūpi saistīts atbalsts</w:t>
      </w:r>
      <w:r w:rsidRPr="00E97353">
        <w:rPr>
          <w:rFonts w:eastAsia="Calibri" w:cs="Times New Roman"/>
          <w:noProof/>
          <w:color w:val="000000"/>
          <w:szCs w:val="28"/>
        </w:rPr>
        <w:t>;</w:t>
      </w:r>
    </w:p>
    <w:p w14:paraId="04665326" w14:textId="1CF5FFEE" w:rsidR="006B5F40" w:rsidRPr="00E97353" w:rsidRDefault="006B5F40" w:rsidP="006B5F40">
      <w:pPr>
        <w:numPr>
          <w:ilvl w:val="0"/>
          <w:numId w:val="11"/>
        </w:numPr>
        <w:spacing w:before="0"/>
        <w:contextualSpacing/>
        <w:rPr>
          <w:rFonts w:eastAsia="Calibri" w:cs="Times New Roman"/>
          <w:noProof/>
          <w:color w:val="000000"/>
          <w:szCs w:val="28"/>
        </w:rPr>
      </w:pPr>
      <w:r w:rsidRPr="006B5F40">
        <w:rPr>
          <w:rFonts w:eastAsia="Calibri" w:cs="Times New Roman"/>
          <w:noProof/>
          <w:color w:val="000000"/>
          <w:szCs w:val="28"/>
        </w:rPr>
        <w:t>Valsts autoceļu būvniecībai un tiltu remontiem</w:t>
      </w:r>
      <w:r>
        <w:rPr>
          <w:rFonts w:eastAsia="Calibri" w:cs="Times New Roman"/>
          <w:noProof/>
          <w:color w:val="000000"/>
          <w:szCs w:val="28"/>
        </w:rPr>
        <w:t>;</w:t>
      </w:r>
    </w:p>
    <w:p w14:paraId="097C05D9" w14:textId="77777777" w:rsidR="006B5F40" w:rsidRDefault="006B5F40" w:rsidP="006B5F40">
      <w:pPr>
        <w:numPr>
          <w:ilvl w:val="0"/>
          <w:numId w:val="11"/>
        </w:numPr>
        <w:spacing w:before="0"/>
        <w:contextualSpacing/>
        <w:rPr>
          <w:rFonts w:eastAsia="Calibri" w:cs="Times New Roman"/>
          <w:color w:val="000000"/>
          <w:szCs w:val="28"/>
        </w:rPr>
      </w:pPr>
      <w:r w:rsidRPr="006B5F40">
        <w:rPr>
          <w:rFonts w:eastAsia="Calibri" w:cs="Times New Roman"/>
          <w:color w:val="000000"/>
          <w:szCs w:val="28"/>
        </w:rPr>
        <w:t>Atbalsts pasažieru un kravu pārvadātājiem</w:t>
      </w:r>
      <w:r>
        <w:rPr>
          <w:rFonts w:eastAsia="Calibri" w:cs="Times New Roman"/>
          <w:color w:val="000000"/>
          <w:szCs w:val="28"/>
        </w:rPr>
        <w:t>;</w:t>
      </w:r>
    </w:p>
    <w:p w14:paraId="4844625C" w14:textId="15889D65" w:rsidR="006B5F40" w:rsidRDefault="006B5F40" w:rsidP="006B5F40">
      <w:pPr>
        <w:numPr>
          <w:ilvl w:val="0"/>
          <w:numId w:val="11"/>
        </w:numPr>
        <w:spacing w:before="0"/>
        <w:contextualSpacing/>
        <w:rPr>
          <w:rFonts w:eastAsia="Calibri" w:cs="Times New Roman"/>
          <w:color w:val="000000"/>
          <w:szCs w:val="28"/>
        </w:rPr>
      </w:pPr>
      <w:r w:rsidRPr="00E97353">
        <w:rPr>
          <w:rFonts w:eastAsia="Calibri" w:cs="Times New Roman"/>
          <w:color w:val="000000"/>
          <w:szCs w:val="28"/>
        </w:rPr>
        <w:t>Atbalsts lauksaimniecības, mežsaimniecības, zivsaimniecība</w:t>
      </w:r>
      <w:r>
        <w:rPr>
          <w:rFonts w:eastAsia="Calibri" w:cs="Times New Roman"/>
          <w:color w:val="000000"/>
          <w:szCs w:val="28"/>
        </w:rPr>
        <w:t>s un pārtikas ražošanas nozarēm;</w:t>
      </w:r>
    </w:p>
    <w:p w14:paraId="350AE310" w14:textId="2B7083FE" w:rsidR="006B5F40" w:rsidRDefault="006B5F40" w:rsidP="006B5F40">
      <w:pPr>
        <w:numPr>
          <w:ilvl w:val="0"/>
          <w:numId w:val="11"/>
        </w:numPr>
        <w:spacing w:before="0"/>
        <w:contextualSpacing/>
        <w:rPr>
          <w:rFonts w:eastAsia="Calibri" w:cs="Times New Roman"/>
          <w:color w:val="000000"/>
          <w:szCs w:val="28"/>
        </w:rPr>
      </w:pPr>
      <w:r w:rsidRPr="006B5F40">
        <w:rPr>
          <w:rFonts w:eastAsia="Calibri" w:cs="Times New Roman"/>
          <w:color w:val="000000"/>
          <w:szCs w:val="28"/>
        </w:rPr>
        <w:t>Atbalsts kultūras nozarei</w:t>
      </w:r>
      <w:r>
        <w:rPr>
          <w:rFonts w:eastAsia="Calibri" w:cs="Times New Roman"/>
          <w:color w:val="000000"/>
          <w:szCs w:val="28"/>
        </w:rPr>
        <w:t>;</w:t>
      </w:r>
    </w:p>
    <w:p w14:paraId="726C82E1" w14:textId="63CEA770" w:rsidR="006B5F40" w:rsidRPr="00E97353" w:rsidRDefault="006B5F40" w:rsidP="006B5F40">
      <w:pPr>
        <w:numPr>
          <w:ilvl w:val="0"/>
          <w:numId w:val="11"/>
        </w:numPr>
        <w:spacing w:before="0"/>
        <w:contextualSpacing/>
        <w:rPr>
          <w:rFonts w:eastAsia="Calibri" w:cs="Times New Roman"/>
          <w:color w:val="000000"/>
          <w:szCs w:val="28"/>
        </w:rPr>
      </w:pPr>
      <w:r w:rsidRPr="006B5F40">
        <w:rPr>
          <w:rFonts w:eastAsia="Calibri" w:cs="Times New Roman"/>
          <w:color w:val="000000"/>
          <w:szCs w:val="28"/>
        </w:rPr>
        <w:t>Demogrāfija</w:t>
      </w:r>
      <w:r>
        <w:rPr>
          <w:rFonts w:eastAsia="Calibri" w:cs="Times New Roman"/>
          <w:color w:val="000000"/>
          <w:szCs w:val="28"/>
        </w:rPr>
        <w:t>;</w:t>
      </w:r>
    </w:p>
    <w:p w14:paraId="323D5732" w14:textId="2594A221" w:rsidR="006B5F40" w:rsidRDefault="006B5F40" w:rsidP="006B5F40">
      <w:pPr>
        <w:numPr>
          <w:ilvl w:val="0"/>
          <w:numId w:val="11"/>
        </w:numPr>
        <w:spacing w:before="0"/>
        <w:contextualSpacing/>
        <w:rPr>
          <w:rFonts w:eastAsia="Calibri" w:cs="Times New Roman"/>
          <w:color w:val="000000"/>
          <w:szCs w:val="28"/>
        </w:rPr>
      </w:pPr>
      <w:r w:rsidRPr="006B5F40">
        <w:rPr>
          <w:rFonts w:eastAsia="Calibri" w:cs="Times New Roman"/>
          <w:color w:val="000000"/>
          <w:szCs w:val="28"/>
        </w:rPr>
        <w:t>Atbalsts zinātnei un izglītībai</w:t>
      </w:r>
      <w:r>
        <w:rPr>
          <w:rFonts w:eastAsia="Calibri" w:cs="Times New Roman"/>
          <w:color w:val="000000"/>
          <w:szCs w:val="28"/>
        </w:rPr>
        <w:t>;</w:t>
      </w:r>
    </w:p>
    <w:p w14:paraId="521C921F" w14:textId="5371B095" w:rsidR="006B5F40" w:rsidRPr="00E97353" w:rsidRDefault="006B5F40" w:rsidP="006B5F40">
      <w:pPr>
        <w:numPr>
          <w:ilvl w:val="0"/>
          <w:numId w:val="11"/>
        </w:numPr>
        <w:spacing w:before="0"/>
        <w:contextualSpacing/>
        <w:rPr>
          <w:rFonts w:eastAsia="Calibri" w:cs="Times New Roman"/>
          <w:color w:val="000000"/>
          <w:szCs w:val="28"/>
        </w:rPr>
      </w:pPr>
      <w:r w:rsidRPr="006B5F40">
        <w:rPr>
          <w:rFonts w:eastAsia="Calibri" w:cs="Times New Roman"/>
          <w:color w:val="000000"/>
          <w:szCs w:val="28"/>
        </w:rPr>
        <w:t>Atbalsts sporta nozarei</w:t>
      </w:r>
      <w:r>
        <w:rPr>
          <w:rFonts w:eastAsia="Calibri" w:cs="Times New Roman"/>
          <w:color w:val="000000"/>
          <w:szCs w:val="28"/>
        </w:rPr>
        <w:t>;</w:t>
      </w:r>
    </w:p>
    <w:p w14:paraId="0236B98C" w14:textId="77777777" w:rsidR="00D23CB7" w:rsidRPr="00E97353" w:rsidRDefault="00D23CB7" w:rsidP="005D0688">
      <w:pPr>
        <w:numPr>
          <w:ilvl w:val="0"/>
          <w:numId w:val="11"/>
        </w:numPr>
        <w:spacing w:before="0"/>
        <w:contextualSpacing/>
        <w:rPr>
          <w:rFonts w:eastAsia="Calibri" w:cs="Times New Roman"/>
          <w:color w:val="000000"/>
          <w:szCs w:val="28"/>
        </w:rPr>
      </w:pPr>
      <w:r w:rsidRPr="00E97353">
        <w:rPr>
          <w:rFonts w:eastAsia="Calibri" w:cs="Times New Roman"/>
          <w:color w:val="000000"/>
          <w:szCs w:val="28"/>
        </w:rPr>
        <w:t>Atbalsts medijiem un sabiedrības informēšanai;</w:t>
      </w:r>
    </w:p>
    <w:p w14:paraId="0878CFEF" w14:textId="76FDDA93" w:rsidR="00D23CB7" w:rsidRDefault="00D23CB7" w:rsidP="005D0688">
      <w:pPr>
        <w:numPr>
          <w:ilvl w:val="0"/>
          <w:numId w:val="11"/>
        </w:numPr>
        <w:spacing w:before="0"/>
        <w:contextualSpacing/>
        <w:rPr>
          <w:rFonts w:eastAsia="Calibri" w:cs="Times New Roman"/>
          <w:color w:val="000000"/>
          <w:szCs w:val="28"/>
        </w:rPr>
      </w:pPr>
      <w:r w:rsidRPr="00E97353">
        <w:rPr>
          <w:rFonts w:eastAsia="Calibri" w:cs="Times New Roman"/>
          <w:color w:val="000000"/>
          <w:szCs w:val="28"/>
        </w:rPr>
        <w:lastRenderedPageBreak/>
        <w:t>Atbalsts attālinātajam mācību procesam</w:t>
      </w:r>
      <w:r w:rsidR="006B5F40">
        <w:rPr>
          <w:rFonts w:eastAsia="Calibri" w:cs="Times New Roman"/>
          <w:color w:val="000000"/>
          <w:szCs w:val="28"/>
        </w:rPr>
        <w:t>.</w:t>
      </w:r>
    </w:p>
    <w:p w14:paraId="76827EB5" w14:textId="19BB5245" w:rsidR="00D23CB7" w:rsidRPr="00E97353" w:rsidRDefault="00D23CB7" w:rsidP="002D57A0">
      <w:pPr>
        <w:spacing w:before="240"/>
        <w:rPr>
          <w:rFonts w:eastAsia="Times New Roman" w:cs="Times New Roman"/>
          <w:b/>
          <w:color w:val="000000"/>
          <w:szCs w:val="28"/>
        </w:rPr>
      </w:pPr>
      <w:r>
        <w:rPr>
          <w:rFonts w:eastAsia="Times New Roman" w:cs="Times New Roman"/>
          <w:b/>
          <w:color w:val="000000"/>
          <w:szCs w:val="28"/>
        </w:rPr>
        <w:t>ES finansējuma atbalsts</w:t>
      </w:r>
    </w:p>
    <w:p w14:paraId="0743D417" w14:textId="6058DBEE" w:rsidR="00D23CB7" w:rsidRDefault="006B5F40" w:rsidP="006B5F40">
      <w:r w:rsidRPr="006B5F40">
        <w:rPr>
          <w:rFonts w:eastAsia="Times New Roman" w:cs="Times New Roman"/>
          <w:color w:val="000000"/>
          <w:szCs w:val="28"/>
        </w:rPr>
        <w:t xml:space="preserve">Ar mērķi nodrošināt iespēju vieglāk un ātrāk reaģēt, mazinot </w:t>
      </w:r>
      <w:r>
        <w:rPr>
          <w:rFonts w:eastAsia="Times New Roman" w:cs="Times New Roman"/>
          <w:color w:val="000000"/>
          <w:szCs w:val="28"/>
        </w:rPr>
        <w:t>Covid-19</w:t>
      </w:r>
      <w:r w:rsidRPr="006B5F40">
        <w:rPr>
          <w:rFonts w:eastAsia="Times New Roman" w:cs="Times New Roman"/>
          <w:color w:val="000000"/>
          <w:szCs w:val="28"/>
        </w:rPr>
        <w:t xml:space="preserve"> izraisītās sekas dalībvalstu visvairāk skartajām teritorijām un to iedzīvotājiem, ES fondu regulu grozījumi ļauj dalībvalstīm pārstrukturēt investīcijas, paplašinot izdevumu </w:t>
      </w:r>
      <w:proofErr w:type="spellStart"/>
      <w:r w:rsidRPr="006B5F40">
        <w:rPr>
          <w:rFonts w:eastAsia="Times New Roman" w:cs="Times New Roman"/>
          <w:color w:val="000000"/>
          <w:szCs w:val="28"/>
        </w:rPr>
        <w:t>attiecināmības</w:t>
      </w:r>
      <w:proofErr w:type="spellEnd"/>
      <w:r w:rsidRPr="006B5F40">
        <w:rPr>
          <w:rFonts w:eastAsia="Times New Roman" w:cs="Times New Roman"/>
          <w:color w:val="000000"/>
          <w:szCs w:val="28"/>
        </w:rPr>
        <w:t xml:space="preserve"> tvērumu un pieļaujot dalībvalstu ES fondu darbības programmu grozījumus pirms EK oficiāla lēmuma</w:t>
      </w:r>
      <w:r w:rsidR="008523F4">
        <w:rPr>
          <w:rFonts w:eastAsia="Times New Roman" w:cs="Times New Roman"/>
          <w:color w:val="000000"/>
          <w:szCs w:val="28"/>
        </w:rPr>
        <w:t xml:space="preserve"> (rosināts pārdalīt 496 milj. </w:t>
      </w:r>
      <w:proofErr w:type="spellStart"/>
      <w:r w:rsidR="008523F4" w:rsidRPr="008523F4">
        <w:rPr>
          <w:rFonts w:eastAsia="Times New Roman" w:cs="Times New Roman"/>
          <w:i/>
          <w:color w:val="000000"/>
          <w:szCs w:val="28"/>
        </w:rPr>
        <w:t>eu</w:t>
      </w:r>
      <w:r w:rsidRPr="008523F4">
        <w:rPr>
          <w:rFonts w:eastAsia="Times New Roman" w:cs="Times New Roman"/>
          <w:i/>
          <w:color w:val="000000"/>
          <w:szCs w:val="28"/>
        </w:rPr>
        <w:t>ro</w:t>
      </w:r>
      <w:proofErr w:type="spellEnd"/>
      <w:r>
        <w:rPr>
          <w:rFonts w:eastAsia="Times New Roman" w:cs="Times New Roman"/>
          <w:color w:val="000000"/>
          <w:szCs w:val="28"/>
        </w:rPr>
        <w:t>)</w:t>
      </w:r>
      <w:r w:rsidRPr="006B5F40">
        <w:rPr>
          <w:rFonts w:eastAsia="Times New Roman" w:cs="Times New Roman"/>
          <w:color w:val="000000"/>
          <w:szCs w:val="28"/>
        </w:rPr>
        <w:t xml:space="preserve">. </w:t>
      </w:r>
      <w:r>
        <w:rPr>
          <w:rFonts w:eastAsia="Times New Roman" w:cs="Times New Roman"/>
          <w:color w:val="000000"/>
          <w:szCs w:val="28"/>
        </w:rPr>
        <w:t>Tāpat ietver atbalstu, kas valsts budžeta “</w:t>
      </w:r>
      <w:proofErr w:type="spellStart"/>
      <w:r>
        <w:rPr>
          <w:rFonts w:eastAsia="Times New Roman" w:cs="Times New Roman"/>
          <w:color w:val="000000"/>
          <w:szCs w:val="28"/>
        </w:rPr>
        <w:t>virssaistību</w:t>
      </w:r>
      <w:proofErr w:type="spellEnd"/>
      <w:r>
        <w:rPr>
          <w:rFonts w:eastAsia="Times New Roman" w:cs="Times New Roman"/>
          <w:color w:val="000000"/>
          <w:szCs w:val="28"/>
        </w:rPr>
        <w:t>” veidā novirzīts ES fondu projektu investīciju palielināšanai vidējā termiņā un papildus “</w:t>
      </w:r>
      <w:proofErr w:type="spellStart"/>
      <w:r>
        <w:rPr>
          <w:rFonts w:eastAsia="Times New Roman" w:cs="Times New Roman"/>
          <w:color w:val="000000"/>
          <w:szCs w:val="28"/>
        </w:rPr>
        <w:t>virssaistības</w:t>
      </w:r>
      <w:proofErr w:type="spellEnd"/>
      <w:r>
        <w:rPr>
          <w:rFonts w:eastAsia="Times New Roman" w:cs="Times New Roman"/>
          <w:color w:val="000000"/>
          <w:szCs w:val="28"/>
        </w:rPr>
        <w:t xml:space="preserve">” zemkopības nozares atbalstam ļaujot uzņemties papildus saistības projektu īstenošanai, tostarp nodrošinot kopējās ES fondu finansējuma “aploksnes” izlietojumu, </w:t>
      </w:r>
      <w:r w:rsidR="002D57A0">
        <w:rPr>
          <w:rFonts w:eastAsia="Times New Roman" w:cs="Times New Roman"/>
          <w:color w:val="000000"/>
          <w:szCs w:val="28"/>
        </w:rPr>
        <w:t xml:space="preserve">attiecīgi saņemot atmaksas no </w:t>
      </w:r>
      <w:r w:rsidR="00AA4E8A">
        <w:rPr>
          <w:rFonts w:eastAsia="Times New Roman" w:cs="Times New Roman"/>
          <w:color w:val="000000"/>
          <w:szCs w:val="28"/>
        </w:rPr>
        <w:t>EK</w:t>
      </w:r>
      <w:r>
        <w:rPr>
          <w:rFonts w:eastAsia="Times New Roman" w:cs="Times New Roman"/>
          <w:color w:val="000000"/>
          <w:szCs w:val="28"/>
        </w:rPr>
        <w:t xml:space="preserve"> pēcāk.</w:t>
      </w:r>
    </w:p>
    <w:p w14:paraId="64ABA02A" w14:textId="77777777" w:rsidR="006D4E3C" w:rsidRDefault="006D4E3C">
      <w:pPr>
        <w:spacing w:before="0" w:after="0"/>
        <w:ind w:firstLine="0"/>
        <w:jc w:val="left"/>
        <w:rPr>
          <w:rFonts w:eastAsiaTheme="majorEastAsia" w:cstheme="majorBidi"/>
          <w:b/>
          <w:sz w:val="32"/>
          <w:szCs w:val="32"/>
        </w:rPr>
      </w:pPr>
      <w:r>
        <w:br w:type="page"/>
      </w:r>
    </w:p>
    <w:p w14:paraId="3534BC18" w14:textId="29468E83" w:rsidR="00A3684A" w:rsidRPr="000F10E6" w:rsidRDefault="00A3684A" w:rsidP="007949F5">
      <w:pPr>
        <w:pStyle w:val="Heading1"/>
        <w:ind w:left="567"/>
      </w:pPr>
      <w:bookmarkStart w:id="7" w:name="_Toc48048100"/>
      <w:r>
        <w:lastRenderedPageBreak/>
        <w:t>Makroekonomiskās un fiskālās attīstības</w:t>
      </w:r>
      <w:r>
        <w:br/>
        <w:t>“</w:t>
      </w:r>
      <w:r w:rsidRPr="00A3684A">
        <w:rPr>
          <w:i/>
        </w:rPr>
        <w:t>Covid-19</w:t>
      </w:r>
      <w:r>
        <w:t xml:space="preserve">  2.viļņa” scenārijs</w:t>
      </w:r>
      <w:bookmarkEnd w:id="7"/>
      <w:r>
        <w:t xml:space="preserve"> </w:t>
      </w:r>
    </w:p>
    <w:p w14:paraId="41C7E4D5" w14:textId="1E2D3990" w:rsidR="00A3684A" w:rsidRPr="00A3684A" w:rsidRDefault="00A3684A" w:rsidP="00A3684A">
      <w:pPr>
        <w:spacing w:before="240"/>
        <w:rPr>
          <w:rFonts w:eastAsia="Calibri" w:cs="Times New Roman"/>
          <w:b/>
          <w:szCs w:val="20"/>
        </w:rPr>
      </w:pPr>
      <w:r w:rsidRPr="00A3684A">
        <w:rPr>
          <w:rFonts w:eastAsia="Calibri" w:cs="Times New Roman"/>
          <w:b/>
          <w:szCs w:val="20"/>
        </w:rPr>
        <w:t>Makroekonomiskās attīstības “2.viļņa” scenārijs</w:t>
      </w:r>
    </w:p>
    <w:p w14:paraId="1CD0BD00" w14:textId="54D15173" w:rsidR="00A3684A" w:rsidRDefault="002E768B" w:rsidP="00A3684A">
      <w:pPr>
        <w:spacing w:before="60" w:after="60"/>
        <w:rPr>
          <w:rFonts w:eastAsia="Calibri" w:cs="Times New Roman"/>
          <w:szCs w:val="20"/>
        </w:rPr>
      </w:pPr>
      <w:r w:rsidRPr="000D12BE">
        <w:rPr>
          <w:szCs w:val="20"/>
        </w:rPr>
        <w:t xml:space="preserve">Ja makroekonomiskās attīstības scenārija negatīvie riski īstenojas, </w:t>
      </w:r>
      <w:proofErr w:type="spellStart"/>
      <w:r w:rsidRPr="000D12BE">
        <w:rPr>
          <w:szCs w:val="20"/>
        </w:rPr>
        <w:t>koronavīrusa</w:t>
      </w:r>
      <w:proofErr w:type="spellEnd"/>
      <w:r w:rsidRPr="000D12BE">
        <w:rPr>
          <w:szCs w:val="20"/>
        </w:rPr>
        <w:t xml:space="preserve"> izplatības ierobežošana ieilgst vai tiek piedzīvots jauns spēcīgs slimības vilnis,  IKP un nodarbinātības rādītāju kritums būs straujāks, nekā paredzēts makroekonomiskās attīstības scenārijā. Šādam gadījumam Finanšu ministrija papildus </w:t>
      </w:r>
      <w:proofErr w:type="spellStart"/>
      <w:r w:rsidRPr="000D12BE">
        <w:rPr>
          <w:szCs w:val="20"/>
        </w:rPr>
        <w:t>pamatscenārijam</w:t>
      </w:r>
      <w:proofErr w:type="spellEnd"/>
      <w:r w:rsidRPr="000D12BE">
        <w:rPr>
          <w:szCs w:val="20"/>
        </w:rPr>
        <w:t xml:space="preserve"> ir izstrādājusi negatīvo attīstības scenāriju, kurā pieņemts, ka Latvija 2020.gada ceturtajā ceturksnī piedzīvo jaunu, smagu Covid-19 uzliesmojumu, kura apturēšanai nepieciešami jauni ierobežojošie pasākumi, kas var būt arī stingrāki nekā otrajā ceturksnī noteiktie.</w:t>
      </w:r>
    </w:p>
    <w:p w14:paraId="0EEF78CD" w14:textId="7B4EFC78" w:rsidR="00A3684A" w:rsidRPr="00500AAB" w:rsidRDefault="00A3684A" w:rsidP="00A3684A">
      <w:pPr>
        <w:spacing w:before="240" w:after="60"/>
        <w:jc w:val="center"/>
        <w:rPr>
          <w:rFonts w:eastAsia="Calibri" w:cs="Times New Roman"/>
          <w:b/>
          <w:sz w:val="24"/>
          <w:szCs w:val="24"/>
        </w:rPr>
      </w:pPr>
      <w:r>
        <w:rPr>
          <w:rFonts w:eastAsia="Calibri" w:cs="Times New Roman"/>
          <w:b/>
          <w:sz w:val="24"/>
          <w:szCs w:val="24"/>
        </w:rPr>
        <w:t>5</w:t>
      </w:r>
      <w:r w:rsidRPr="00033640">
        <w:rPr>
          <w:rFonts w:eastAsia="Calibri" w:cs="Times New Roman"/>
          <w:b/>
          <w:sz w:val="24"/>
          <w:szCs w:val="24"/>
        </w:rPr>
        <w:t>.tabula. Makroekonomiskie</w:t>
      </w:r>
      <w:r w:rsidRPr="00500AAB">
        <w:rPr>
          <w:rFonts w:eastAsia="Calibri" w:cs="Times New Roman"/>
          <w:b/>
          <w:sz w:val="24"/>
          <w:szCs w:val="24"/>
        </w:rPr>
        <w:t xml:space="preserve"> rādītāji 2019. – 2023.gadā</w:t>
      </w:r>
      <w:r>
        <w:rPr>
          <w:rFonts w:eastAsia="Calibri" w:cs="Times New Roman"/>
          <w:b/>
          <w:sz w:val="24"/>
          <w:szCs w:val="24"/>
        </w:rPr>
        <w:t xml:space="preserve"> (“2.viļņa”</w:t>
      </w:r>
      <w:r w:rsidRPr="00500AAB">
        <w:rPr>
          <w:rFonts w:eastAsia="Calibri" w:cs="Times New Roman"/>
          <w:b/>
          <w:sz w:val="24"/>
          <w:szCs w:val="24"/>
        </w:rPr>
        <w:t xml:space="preserve"> scenārijs</w:t>
      </w:r>
      <w:r>
        <w:rPr>
          <w:rFonts w:eastAsia="Calibri" w:cs="Times New Roman"/>
          <w:b/>
          <w:sz w:val="24"/>
          <w:szCs w:val="24"/>
        </w:rPr>
        <w:t>)</w:t>
      </w:r>
    </w:p>
    <w:tbl>
      <w:tblPr>
        <w:tblW w:w="8500" w:type="dxa"/>
        <w:jc w:val="center"/>
        <w:tblLayout w:type="fixed"/>
        <w:tblLook w:val="04A0" w:firstRow="1" w:lastRow="0" w:firstColumn="1" w:lastColumn="0" w:noHBand="0" w:noVBand="1"/>
      </w:tblPr>
      <w:tblGrid>
        <w:gridCol w:w="3823"/>
        <w:gridCol w:w="935"/>
        <w:gridCol w:w="935"/>
        <w:gridCol w:w="936"/>
        <w:gridCol w:w="935"/>
        <w:gridCol w:w="936"/>
      </w:tblGrid>
      <w:tr w:rsidR="00A3684A" w:rsidRPr="00500AAB" w14:paraId="0220C8A6" w14:textId="77777777" w:rsidTr="006F7F16">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A151C" w14:textId="77777777" w:rsidR="00A3684A" w:rsidRPr="00500AAB" w:rsidRDefault="00A3684A" w:rsidP="006F7F16">
            <w:pPr>
              <w:spacing w:before="0" w:after="0" w:line="259" w:lineRule="auto"/>
              <w:ind w:firstLine="0"/>
              <w:jc w:val="left"/>
              <w:rPr>
                <w:rFonts w:eastAsia="Times New Roman" w:cs="Times New Roman"/>
                <w:b/>
                <w:sz w:val="20"/>
                <w:szCs w:val="20"/>
                <w:lang w:eastAsia="lv-LV"/>
              </w:rPr>
            </w:pP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7C089555" w14:textId="77777777" w:rsidR="00A3684A" w:rsidRPr="00500AAB" w:rsidRDefault="00A3684A" w:rsidP="006F7F16">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2019</w:t>
            </w:r>
          </w:p>
        </w:tc>
        <w:tc>
          <w:tcPr>
            <w:tcW w:w="935" w:type="dxa"/>
            <w:tcBorders>
              <w:top w:val="single" w:sz="4" w:space="0" w:color="auto"/>
              <w:left w:val="nil"/>
              <w:bottom w:val="single" w:sz="4" w:space="0" w:color="auto"/>
              <w:right w:val="single" w:sz="4" w:space="0" w:color="auto"/>
            </w:tcBorders>
            <w:shd w:val="clear" w:color="auto" w:fill="EAF1DD"/>
            <w:noWrap/>
            <w:vAlign w:val="center"/>
          </w:tcPr>
          <w:p w14:paraId="7055C6A0" w14:textId="77777777" w:rsidR="00A3684A" w:rsidRPr="00500AAB" w:rsidRDefault="00A3684A" w:rsidP="006F7F16">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2020</w:t>
            </w:r>
          </w:p>
        </w:tc>
        <w:tc>
          <w:tcPr>
            <w:tcW w:w="936" w:type="dxa"/>
            <w:tcBorders>
              <w:top w:val="single" w:sz="4" w:space="0" w:color="auto"/>
              <w:left w:val="nil"/>
              <w:bottom w:val="single" w:sz="4" w:space="0" w:color="auto"/>
              <w:right w:val="single" w:sz="4" w:space="0" w:color="auto"/>
            </w:tcBorders>
            <w:shd w:val="clear" w:color="auto" w:fill="EAF1DD"/>
            <w:noWrap/>
            <w:vAlign w:val="center"/>
          </w:tcPr>
          <w:p w14:paraId="25B1E5EE" w14:textId="77777777" w:rsidR="00A3684A" w:rsidRPr="00500AAB" w:rsidRDefault="00A3684A" w:rsidP="006F7F16">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2021</w:t>
            </w:r>
          </w:p>
        </w:tc>
        <w:tc>
          <w:tcPr>
            <w:tcW w:w="935" w:type="dxa"/>
            <w:tcBorders>
              <w:top w:val="single" w:sz="4" w:space="0" w:color="auto"/>
              <w:left w:val="nil"/>
              <w:bottom w:val="single" w:sz="4" w:space="0" w:color="auto"/>
              <w:right w:val="single" w:sz="4" w:space="0" w:color="auto"/>
            </w:tcBorders>
            <w:shd w:val="clear" w:color="auto" w:fill="EAF1DD"/>
            <w:noWrap/>
            <w:vAlign w:val="center"/>
          </w:tcPr>
          <w:p w14:paraId="34CEB467" w14:textId="77777777" w:rsidR="00A3684A" w:rsidRPr="00500AAB" w:rsidRDefault="00A3684A" w:rsidP="006F7F16">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2022</w:t>
            </w:r>
          </w:p>
        </w:tc>
        <w:tc>
          <w:tcPr>
            <w:tcW w:w="936" w:type="dxa"/>
            <w:tcBorders>
              <w:top w:val="single" w:sz="4" w:space="0" w:color="auto"/>
              <w:left w:val="nil"/>
              <w:bottom w:val="single" w:sz="4" w:space="0" w:color="auto"/>
              <w:right w:val="single" w:sz="4" w:space="0" w:color="auto"/>
            </w:tcBorders>
            <w:shd w:val="clear" w:color="auto" w:fill="EAF1DD"/>
            <w:noWrap/>
            <w:vAlign w:val="center"/>
          </w:tcPr>
          <w:p w14:paraId="78EB9E31" w14:textId="77777777" w:rsidR="00A3684A" w:rsidRPr="00500AAB" w:rsidRDefault="00A3684A" w:rsidP="006F7F16">
            <w:pPr>
              <w:spacing w:before="0" w:after="0" w:line="259" w:lineRule="auto"/>
              <w:ind w:firstLine="0"/>
              <w:jc w:val="center"/>
              <w:rPr>
                <w:rFonts w:eastAsia="Times New Roman" w:cs="Times New Roman"/>
                <w:b/>
                <w:sz w:val="20"/>
                <w:szCs w:val="20"/>
                <w:lang w:eastAsia="lv-LV"/>
              </w:rPr>
            </w:pPr>
            <w:r w:rsidRPr="00500AAB">
              <w:rPr>
                <w:rFonts w:eastAsia="Times New Roman" w:cs="Times New Roman"/>
                <w:b/>
                <w:sz w:val="20"/>
                <w:szCs w:val="20"/>
                <w:lang w:eastAsia="lv-LV"/>
              </w:rPr>
              <w:t>2023</w:t>
            </w:r>
          </w:p>
        </w:tc>
      </w:tr>
      <w:tr w:rsidR="00A3684A" w:rsidRPr="00500AAB" w14:paraId="1618136A" w14:textId="77777777" w:rsidTr="006F7F16">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2BBF" w14:textId="77777777" w:rsidR="00A3684A" w:rsidRPr="00500AAB" w:rsidRDefault="00A3684A" w:rsidP="006F7F16">
            <w:pPr>
              <w:spacing w:before="0" w:after="0" w:line="259" w:lineRule="auto"/>
              <w:ind w:firstLine="0"/>
              <w:jc w:val="left"/>
              <w:rPr>
                <w:rFonts w:eastAsia="Times New Roman" w:cs="Times New Roman"/>
                <w:sz w:val="20"/>
                <w:szCs w:val="20"/>
                <w:lang w:eastAsia="lv-LV"/>
              </w:rPr>
            </w:pPr>
          </w:p>
        </w:tc>
        <w:tc>
          <w:tcPr>
            <w:tcW w:w="935" w:type="dxa"/>
            <w:tcBorders>
              <w:top w:val="single" w:sz="4" w:space="0" w:color="auto"/>
              <w:left w:val="nil"/>
              <w:bottom w:val="single" w:sz="4" w:space="0" w:color="auto"/>
              <w:right w:val="single" w:sz="4" w:space="0" w:color="auto"/>
            </w:tcBorders>
            <w:shd w:val="clear" w:color="auto" w:fill="auto"/>
            <w:noWrap/>
            <w:vAlign w:val="center"/>
          </w:tcPr>
          <w:p w14:paraId="20A11502" w14:textId="77777777" w:rsidR="00A3684A" w:rsidRPr="00500AAB" w:rsidRDefault="00A3684A" w:rsidP="006F7F16">
            <w:pPr>
              <w:spacing w:before="0" w:after="0" w:line="259" w:lineRule="auto"/>
              <w:ind w:firstLine="0"/>
              <w:jc w:val="center"/>
              <w:rPr>
                <w:rFonts w:eastAsia="Times New Roman" w:cs="Times New Roman"/>
                <w:sz w:val="20"/>
                <w:szCs w:val="20"/>
                <w:lang w:eastAsia="lv-LV"/>
              </w:rPr>
            </w:pPr>
            <w:r w:rsidRPr="00500AAB">
              <w:rPr>
                <w:rFonts w:eastAsia="Times New Roman" w:cs="Times New Roman"/>
                <w:sz w:val="20"/>
                <w:szCs w:val="20"/>
                <w:lang w:eastAsia="lv-LV"/>
              </w:rPr>
              <w:t>fakts</w:t>
            </w:r>
          </w:p>
        </w:tc>
        <w:tc>
          <w:tcPr>
            <w:tcW w:w="3742" w:type="dxa"/>
            <w:gridSpan w:val="4"/>
            <w:tcBorders>
              <w:top w:val="single" w:sz="4" w:space="0" w:color="auto"/>
              <w:left w:val="nil"/>
              <w:bottom w:val="single" w:sz="4" w:space="0" w:color="auto"/>
              <w:right w:val="single" w:sz="4" w:space="0" w:color="auto"/>
            </w:tcBorders>
            <w:shd w:val="clear" w:color="auto" w:fill="EAF1DD"/>
            <w:noWrap/>
            <w:vAlign w:val="center"/>
          </w:tcPr>
          <w:p w14:paraId="5EAFB74E" w14:textId="77777777" w:rsidR="00A3684A" w:rsidRPr="00500AAB" w:rsidRDefault="00A3684A" w:rsidP="006F7F16">
            <w:pPr>
              <w:spacing w:before="0" w:after="0" w:line="259" w:lineRule="auto"/>
              <w:ind w:firstLine="0"/>
              <w:jc w:val="center"/>
              <w:rPr>
                <w:rFonts w:eastAsia="Times New Roman" w:cs="Times New Roman"/>
                <w:sz w:val="20"/>
                <w:szCs w:val="20"/>
                <w:lang w:eastAsia="lv-LV"/>
              </w:rPr>
            </w:pPr>
            <w:r w:rsidRPr="00500AAB">
              <w:rPr>
                <w:rFonts w:eastAsia="Times New Roman" w:cs="Times New Roman"/>
                <w:sz w:val="20"/>
                <w:szCs w:val="20"/>
                <w:lang w:eastAsia="lv-LV"/>
              </w:rPr>
              <w:t>prognoze</w:t>
            </w:r>
          </w:p>
        </w:tc>
      </w:tr>
      <w:tr w:rsidR="00A3684A" w:rsidRPr="00500AAB" w14:paraId="49733F7E" w14:textId="77777777" w:rsidTr="006F7F16">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4AD8873" w14:textId="77777777" w:rsidR="00A3684A" w:rsidRPr="00500AAB" w:rsidRDefault="00A3684A" w:rsidP="006F7F16">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 xml:space="preserve">Iekšzemes kopprodukts (IKP), </w:t>
            </w:r>
            <w:r w:rsidRPr="00500AAB">
              <w:rPr>
                <w:rFonts w:eastAsia="Times New Roman" w:cs="Times New Roman"/>
                <w:b/>
                <w:noProof/>
                <w:sz w:val="20"/>
                <w:szCs w:val="20"/>
                <w:lang w:eastAsia="lv-LV"/>
              </w:rPr>
              <w:br/>
              <w:t xml:space="preserve">milj. </w:t>
            </w:r>
            <w:r w:rsidRPr="00500AAB">
              <w:rPr>
                <w:rFonts w:eastAsia="Times New Roman" w:cs="Times New Roman"/>
                <w:b/>
                <w:i/>
                <w:noProof/>
                <w:sz w:val="20"/>
                <w:szCs w:val="20"/>
                <w:lang w:eastAsia="lv-LV"/>
              </w:rPr>
              <w:t>euro</w:t>
            </w:r>
          </w:p>
        </w:tc>
        <w:tc>
          <w:tcPr>
            <w:tcW w:w="935" w:type="dxa"/>
            <w:tcBorders>
              <w:top w:val="single" w:sz="4" w:space="0" w:color="auto"/>
              <w:left w:val="nil"/>
              <w:bottom w:val="single" w:sz="4" w:space="0" w:color="auto"/>
              <w:right w:val="single" w:sz="4" w:space="0" w:color="auto"/>
            </w:tcBorders>
            <w:shd w:val="clear" w:color="auto" w:fill="auto"/>
            <w:noWrap/>
            <w:tcMar>
              <w:right w:w="170" w:type="dxa"/>
            </w:tcMar>
          </w:tcPr>
          <w:p w14:paraId="00586D70"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30476</w:t>
            </w:r>
          </w:p>
        </w:tc>
        <w:tc>
          <w:tcPr>
            <w:tcW w:w="935" w:type="dxa"/>
            <w:tcBorders>
              <w:top w:val="nil"/>
              <w:left w:val="nil"/>
              <w:bottom w:val="single" w:sz="4" w:space="0" w:color="auto"/>
              <w:right w:val="single" w:sz="4" w:space="0" w:color="auto"/>
            </w:tcBorders>
            <w:shd w:val="clear" w:color="auto" w:fill="EAF1DD"/>
            <w:noWrap/>
            <w:tcMar>
              <w:right w:w="170" w:type="dxa"/>
            </w:tcMar>
          </w:tcPr>
          <w:p w14:paraId="5B6B0401"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27599</w:t>
            </w:r>
          </w:p>
        </w:tc>
        <w:tc>
          <w:tcPr>
            <w:tcW w:w="936" w:type="dxa"/>
            <w:tcBorders>
              <w:top w:val="nil"/>
              <w:left w:val="nil"/>
              <w:bottom w:val="single" w:sz="4" w:space="0" w:color="auto"/>
              <w:right w:val="single" w:sz="4" w:space="0" w:color="auto"/>
            </w:tcBorders>
            <w:shd w:val="clear" w:color="auto" w:fill="EAF1DD"/>
            <w:noWrap/>
            <w:tcMar>
              <w:right w:w="170" w:type="dxa"/>
            </w:tcMar>
          </w:tcPr>
          <w:p w14:paraId="33857B8C"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28402</w:t>
            </w:r>
          </w:p>
        </w:tc>
        <w:tc>
          <w:tcPr>
            <w:tcW w:w="935" w:type="dxa"/>
            <w:tcBorders>
              <w:top w:val="nil"/>
              <w:left w:val="nil"/>
              <w:bottom w:val="single" w:sz="4" w:space="0" w:color="auto"/>
              <w:right w:val="single" w:sz="4" w:space="0" w:color="auto"/>
            </w:tcBorders>
            <w:shd w:val="clear" w:color="auto" w:fill="EAF1DD"/>
            <w:noWrap/>
            <w:tcMar>
              <w:right w:w="170" w:type="dxa"/>
            </w:tcMar>
          </w:tcPr>
          <w:p w14:paraId="22E18247"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30167</w:t>
            </w:r>
          </w:p>
        </w:tc>
        <w:tc>
          <w:tcPr>
            <w:tcW w:w="936" w:type="dxa"/>
            <w:tcBorders>
              <w:top w:val="nil"/>
              <w:left w:val="nil"/>
              <w:bottom w:val="single" w:sz="4" w:space="0" w:color="auto"/>
              <w:right w:val="single" w:sz="4" w:space="0" w:color="auto"/>
            </w:tcBorders>
            <w:shd w:val="clear" w:color="auto" w:fill="EAF1DD"/>
            <w:noWrap/>
            <w:tcMar>
              <w:right w:w="170" w:type="dxa"/>
            </w:tcMar>
          </w:tcPr>
          <w:p w14:paraId="404F9E28"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31747</w:t>
            </w:r>
          </w:p>
        </w:tc>
      </w:tr>
      <w:tr w:rsidR="00A3684A" w:rsidRPr="00500AAB" w14:paraId="405B0E40" w14:textId="77777777" w:rsidTr="006F7F16">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557B23E" w14:textId="77777777" w:rsidR="00A3684A" w:rsidRPr="00500AAB" w:rsidRDefault="00A3684A" w:rsidP="006F7F16">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faktiskajās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705DDCD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4,9</w:t>
            </w:r>
          </w:p>
        </w:tc>
        <w:tc>
          <w:tcPr>
            <w:tcW w:w="935" w:type="dxa"/>
            <w:tcBorders>
              <w:top w:val="nil"/>
              <w:left w:val="nil"/>
              <w:bottom w:val="single" w:sz="4" w:space="0" w:color="auto"/>
              <w:right w:val="single" w:sz="4" w:space="0" w:color="auto"/>
            </w:tcBorders>
            <w:shd w:val="clear" w:color="auto" w:fill="EAF1DD"/>
            <w:noWrap/>
            <w:tcMar>
              <w:right w:w="170" w:type="dxa"/>
            </w:tcMar>
          </w:tcPr>
          <w:p w14:paraId="5BED5E7F"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-9,4</w:t>
            </w:r>
          </w:p>
        </w:tc>
        <w:tc>
          <w:tcPr>
            <w:tcW w:w="936" w:type="dxa"/>
            <w:tcBorders>
              <w:top w:val="nil"/>
              <w:left w:val="nil"/>
              <w:bottom w:val="single" w:sz="4" w:space="0" w:color="auto"/>
              <w:right w:val="single" w:sz="4" w:space="0" w:color="auto"/>
            </w:tcBorders>
            <w:shd w:val="clear" w:color="auto" w:fill="EAF1DD"/>
            <w:noWrap/>
            <w:tcMar>
              <w:right w:w="170" w:type="dxa"/>
            </w:tcMar>
          </w:tcPr>
          <w:p w14:paraId="3C4F11DE"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2,9</w:t>
            </w:r>
          </w:p>
        </w:tc>
        <w:tc>
          <w:tcPr>
            <w:tcW w:w="935" w:type="dxa"/>
            <w:tcBorders>
              <w:top w:val="nil"/>
              <w:left w:val="nil"/>
              <w:bottom w:val="single" w:sz="4" w:space="0" w:color="auto"/>
              <w:right w:val="single" w:sz="4" w:space="0" w:color="auto"/>
            </w:tcBorders>
            <w:shd w:val="clear" w:color="auto" w:fill="EAF1DD"/>
            <w:noWrap/>
            <w:tcMar>
              <w:right w:w="170" w:type="dxa"/>
            </w:tcMar>
          </w:tcPr>
          <w:p w14:paraId="406D426C"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6,2</w:t>
            </w:r>
          </w:p>
        </w:tc>
        <w:tc>
          <w:tcPr>
            <w:tcW w:w="936" w:type="dxa"/>
            <w:tcBorders>
              <w:top w:val="nil"/>
              <w:left w:val="nil"/>
              <w:bottom w:val="single" w:sz="4" w:space="0" w:color="auto"/>
              <w:right w:val="single" w:sz="4" w:space="0" w:color="auto"/>
            </w:tcBorders>
            <w:shd w:val="clear" w:color="auto" w:fill="EAF1DD"/>
            <w:noWrap/>
            <w:tcMar>
              <w:right w:w="170" w:type="dxa"/>
            </w:tcMar>
          </w:tcPr>
          <w:p w14:paraId="3A99FBBB"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5,2</w:t>
            </w:r>
          </w:p>
        </w:tc>
      </w:tr>
      <w:tr w:rsidR="00A3684A" w:rsidRPr="00500AAB" w14:paraId="43123A52" w14:textId="77777777" w:rsidTr="006F7F16">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03E7483" w14:textId="77777777" w:rsidR="00A3684A" w:rsidRPr="00500AAB" w:rsidRDefault="00A3684A" w:rsidP="006F7F16">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salīdzināmās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77086F1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2,2</w:t>
            </w:r>
          </w:p>
        </w:tc>
        <w:tc>
          <w:tcPr>
            <w:tcW w:w="935" w:type="dxa"/>
            <w:tcBorders>
              <w:top w:val="nil"/>
              <w:left w:val="nil"/>
              <w:bottom w:val="single" w:sz="4" w:space="0" w:color="auto"/>
              <w:right w:val="single" w:sz="4" w:space="0" w:color="auto"/>
            </w:tcBorders>
            <w:shd w:val="clear" w:color="auto" w:fill="EAF1DD"/>
            <w:noWrap/>
            <w:tcMar>
              <w:right w:w="170" w:type="dxa"/>
            </w:tcMar>
          </w:tcPr>
          <w:p w14:paraId="199B040D"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-9,0</w:t>
            </w:r>
          </w:p>
        </w:tc>
        <w:tc>
          <w:tcPr>
            <w:tcW w:w="936" w:type="dxa"/>
            <w:tcBorders>
              <w:top w:val="nil"/>
              <w:left w:val="nil"/>
              <w:bottom w:val="single" w:sz="4" w:space="0" w:color="auto"/>
              <w:right w:val="single" w:sz="4" w:space="0" w:color="auto"/>
            </w:tcBorders>
            <w:shd w:val="clear" w:color="auto" w:fill="EAF1DD"/>
            <w:noWrap/>
            <w:tcMar>
              <w:right w:w="170" w:type="dxa"/>
            </w:tcMar>
          </w:tcPr>
          <w:p w14:paraId="6AF7333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2,0</w:t>
            </w:r>
          </w:p>
        </w:tc>
        <w:tc>
          <w:tcPr>
            <w:tcW w:w="935" w:type="dxa"/>
            <w:tcBorders>
              <w:top w:val="nil"/>
              <w:left w:val="nil"/>
              <w:bottom w:val="single" w:sz="4" w:space="0" w:color="auto"/>
              <w:right w:val="single" w:sz="4" w:space="0" w:color="auto"/>
            </w:tcBorders>
            <w:shd w:val="clear" w:color="auto" w:fill="EAF1DD"/>
            <w:noWrap/>
            <w:tcMar>
              <w:right w:w="170" w:type="dxa"/>
            </w:tcMar>
          </w:tcPr>
          <w:p w14:paraId="2874FD0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4,6</w:t>
            </w:r>
          </w:p>
        </w:tc>
        <w:tc>
          <w:tcPr>
            <w:tcW w:w="936" w:type="dxa"/>
            <w:tcBorders>
              <w:top w:val="nil"/>
              <w:left w:val="nil"/>
              <w:bottom w:val="single" w:sz="4" w:space="0" w:color="auto"/>
              <w:right w:val="single" w:sz="4" w:space="0" w:color="auto"/>
            </w:tcBorders>
            <w:shd w:val="clear" w:color="auto" w:fill="EAF1DD"/>
            <w:noWrap/>
            <w:tcMar>
              <w:right w:w="170" w:type="dxa"/>
            </w:tcMar>
          </w:tcPr>
          <w:p w14:paraId="2B1AED66"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3,2</w:t>
            </w:r>
          </w:p>
        </w:tc>
      </w:tr>
      <w:tr w:rsidR="00A3684A" w:rsidRPr="00500AAB" w14:paraId="722192CE" w14:textId="77777777" w:rsidTr="006F7F16">
        <w:trPr>
          <w:trHeight w:val="434"/>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D543495" w14:textId="77777777" w:rsidR="00A3684A" w:rsidRPr="00500AAB" w:rsidRDefault="00A3684A" w:rsidP="006F7F16">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IKP deflators (gads pret gadu), %</w:t>
            </w:r>
          </w:p>
        </w:tc>
        <w:tc>
          <w:tcPr>
            <w:tcW w:w="935" w:type="dxa"/>
            <w:tcBorders>
              <w:top w:val="nil"/>
              <w:left w:val="nil"/>
              <w:bottom w:val="single" w:sz="4" w:space="0" w:color="auto"/>
              <w:right w:val="single" w:sz="4" w:space="0" w:color="auto"/>
            </w:tcBorders>
            <w:shd w:val="clear" w:color="auto" w:fill="auto"/>
            <w:noWrap/>
            <w:tcMar>
              <w:right w:w="170" w:type="dxa"/>
            </w:tcMar>
          </w:tcPr>
          <w:p w14:paraId="1271F4F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2,6</w:t>
            </w:r>
          </w:p>
        </w:tc>
        <w:tc>
          <w:tcPr>
            <w:tcW w:w="935" w:type="dxa"/>
            <w:tcBorders>
              <w:top w:val="nil"/>
              <w:left w:val="nil"/>
              <w:bottom w:val="single" w:sz="4" w:space="0" w:color="auto"/>
              <w:right w:val="single" w:sz="4" w:space="0" w:color="auto"/>
            </w:tcBorders>
            <w:shd w:val="clear" w:color="auto" w:fill="EAF1DD"/>
            <w:noWrap/>
            <w:tcMar>
              <w:right w:w="170" w:type="dxa"/>
            </w:tcMar>
          </w:tcPr>
          <w:p w14:paraId="38CFBAD1"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-0,5</w:t>
            </w:r>
          </w:p>
        </w:tc>
        <w:tc>
          <w:tcPr>
            <w:tcW w:w="936" w:type="dxa"/>
            <w:tcBorders>
              <w:top w:val="nil"/>
              <w:left w:val="nil"/>
              <w:bottom w:val="single" w:sz="4" w:space="0" w:color="auto"/>
              <w:right w:val="single" w:sz="4" w:space="0" w:color="auto"/>
            </w:tcBorders>
            <w:shd w:val="clear" w:color="auto" w:fill="EAF1DD"/>
            <w:noWrap/>
            <w:tcMar>
              <w:right w:w="170" w:type="dxa"/>
            </w:tcMar>
          </w:tcPr>
          <w:p w14:paraId="143EACE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0,9</w:t>
            </w:r>
          </w:p>
        </w:tc>
        <w:tc>
          <w:tcPr>
            <w:tcW w:w="935" w:type="dxa"/>
            <w:tcBorders>
              <w:top w:val="nil"/>
              <w:left w:val="nil"/>
              <w:bottom w:val="single" w:sz="4" w:space="0" w:color="auto"/>
              <w:right w:val="single" w:sz="4" w:space="0" w:color="auto"/>
            </w:tcBorders>
            <w:shd w:val="clear" w:color="auto" w:fill="EAF1DD"/>
            <w:noWrap/>
            <w:tcMar>
              <w:right w:w="170" w:type="dxa"/>
            </w:tcMar>
          </w:tcPr>
          <w:p w14:paraId="437C16F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1,6</w:t>
            </w:r>
          </w:p>
        </w:tc>
        <w:tc>
          <w:tcPr>
            <w:tcW w:w="936" w:type="dxa"/>
            <w:tcBorders>
              <w:top w:val="nil"/>
              <w:left w:val="nil"/>
              <w:bottom w:val="single" w:sz="4" w:space="0" w:color="auto"/>
              <w:right w:val="single" w:sz="4" w:space="0" w:color="auto"/>
            </w:tcBorders>
            <w:shd w:val="clear" w:color="auto" w:fill="EAF1DD"/>
            <w:noWrap/>
            <w:tcMar>
              <w:right w:w="170" w:type="dxa"/>
            </w:tcMar>
          </w:tcPr>
          <w:p w14:paraId="0A8A2E5E"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2,0</w:t>
            </w:r>
          </w:p>
        </w:tc>
      </w:tr>
      <w:tr w:rsidR="00A3684A" w:rsidRPr="00500AAB" w14:paraId="1D8B77BC" w14:textId="77777777" w:rsidTr="006F7F16">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D09CDB1" w14:textId="77777777" w:rsidR="00A3684A" w:rsidRPr="00500AAB" w:rsidRDefault="00A3684A" w:rsidP="006F7F16">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PCI (gads pret gadu), %</w:t>
            </w:r>
          </w:p>
        </w:tc>
        <w:tc>
          <w:tcPr>
            <w:tcW w:w="935" w:type="dxa"/>
            <w:tcBorders>
              <w:top w:val="nil"/>
              <w:left w:val="nil"/>
              <w:bottom w:val="single" w:sz="4" w:space="0" w:color="auto"/>
              <w:right w:val="single" w:sz="4" w:space="0" w:color="auto"/>
            </w:tcBorders>
            <w:shd w:val="clear" w:color="auto" w:fill="auto"/>
            <w:noWrap/>
            <w:tcMar>
              <w:right w:w="170" w:type="dxa"/>
            </w:tcMar>
          </w:tcPr>
          <w:p w14:paraId="4C24C5A8"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2,8</w:t>
            </w:r>
          </w:p>
        </w:tc>
        <w:tc>
          <w:tcPr>
            <w:tcW w:w="935" w:type="dxa"/>
            <w:tcBorders>
              <w:top w:val="nil"/>
              <w:left w:val="nil"/>
              <w:bottom w:val="single" w:sz="4" w:space="0" w:color="auto"/>
              <w:right w:val="single" w:sz="4" w:space="0" w:color="auto"/>
            </w:tcBorders>
            <w:shd w:val="clear" w:color="auto" w:fill="EAF1DD"/>
            <w:noWrap/>
            <w:tcMar>
              <w:right w:w="170" w:type="dxa"/>
            </w:tcMar>
          </w:tcPr>
          <w:p w14:paraId="39BFAD60"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0,1</w:t>
            </w:r>
          </w:p>
        </w:tc>
        <w:tc>
          <w:tcPr>
            <w:tcW w:w="936" w:type="dxa"/>
            <w:tcBorders>
              <w:top w:val="nil"/>
              <w:left w:val="nil"/>
              <w:bottom w:val="single" w:sz="4" w:space="0" w:color="auto"/>
              <w:right w:val="single" w:sz="4" w:space="0" w:color="auto"/>
            </w:tcBorders>
            <w:shd w:val="clear" w:color="auto" w:fill="EAF1DD"/>
            <w:noWrap/>
            <w:tcMar>
              <w:right w:w="170" w:type="dxa"/>
            </w:tcMar>
          </w:tcPr>
          <w:p w14:paraId="096B129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0,5</w:t>
            </w:r>
          </w:p>
        </w:tc>
        <w:tc>
          <w:tcPr>
            <w:tcW w:w="935" w:type="dxa"/>
            <w:tcBorders>
              <w:top w:val="nil"/>
              <w:left w:val="nil"/>
              <w:bottom w:val="single" w:sz="4" w:space="0" w:color="auto"/>
              <w:right w:val="single" w:sz="4" w:space="0" w:color="auto"/>
            </w:tcBorders>
            <w:shd w:val="clear" w:color="auto" w:fill="EAF1DD"/>
            <w:noWrap/>
            <w:tcMar>
              <w:right w:w="170" w:type="dxa"/>
            </w:tcMar>
          </w:tcPr>
          <w:p w14:paraId="6BB42495"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1,2</w:t>
            </w:r>
          </w:p>
        </w:tc>
        <w:tc>
          <w:tcPr>
            <w:tcW w:w="936" w:type="dxa"/>
            <w:tcBorders>
              <w:top w:val="nil"/>
              <w:left w:val="nil"/>
              <w:bottom w:val="single" w:sz="4" w:space="0" w:color="auto"/>
              <w:right w:val="single" w:sz="4" w:space="0" w:color="auto"/>
            </w:tcBorders>
            <w:shd w:val="clear" w:color="auto" w:fill="EAF1DD"/>
            <w:noWrap/>
            <w:tcMar>
              <w:right w:w="170" w:type="dxa"/>
            </w:tcMar>
          </w:tcPr>
          <w:p w14:paraId="78EC5525"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2,0</w:t>
            </w:r>
          </w:p>
        </w:tc>
      </w:tr>
      <w:tr w:rsidR="00A3684A" w:rsidRPr="00500AAB" w14:paraId="215B25B9" w14:textId="77777777" w:rsidTr="006F7F16">
        <w:trPr>
          <w:trHeight w:val="6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A7D348D" w14:textId="77777777" w:rsidR="00A3684A" w:rsidRPr="00500AAB" w:rsidRDefault="00A3684A" w:rsidP="006F7F16">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 xml:space="preserve">Tautsaimniecībā nodarbināto mēn. vid. bruto darba samaksa, </w:t>
            </w:r>
            <w:r w:rsidRPr="00500AAB">
              <w:rPr>
                <w:rFonts w:eastAsia="Times New Roman" w:cs="Times New Roman"/>
                <w:b/>
                <w:i/>
                <w:noProof/>
                <w:sz w:val="20"/>
                <w:szCs w:val="20"/>
                <w:lang w:eastAsia="lv-LV"/>
              </w:rPr>
              <w:t>euro</w:t>
            </w:r>
          </w:p>
        </w:tc>
        <w:tc>
          <w:tcPr>
            <w:tcW w:w="935" w:type="dxa"/>
            <w:tcBorders>
              <w:top w:val="nil"/>
              <w:left w:val="nil"/>
              <w:bottom w:val="single" w:sz="4" w:space="0" w:color="auto"/>
              <w:right w:val="single" w:sz="4" w:space="0" w:color="auto"/>
            </w:tcBorders>
            <w:shd w:val="clear" w:color="auto" w:fill="auto"/>
            <w:noWrap/>
            <w:tcMar>
              <w:right w:w="170" w:type="dxa"/>
            </w:tcMar>
          </w:tcPr>
          <w:p w14:paraId="0055C31E"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1076</w:t>
            </w:r>
          </w:p>
        </w:tc>
        <w:tc>
          <w:tcPr>
            <w:tcW w:w="935" w:type="dxa"/>
            <w:tcBorders>
              <w:top w:val="nil"/>
              <w:left w:val="nil"/>
              <w:bottom w:val="single" w:sz="4" w:space="0" w:color="auto"/>
              <w:right w:val="single" w:sz="4" w:space="0" w:color="auto"/>
            </w:tcBorders>
            <w:shd w:val="clear" w:color="auto" w:fill="EAF1DD"/>
            <w:noWrap/>
            <w:tcMar>
              <w:right w:w="170" w:type="dxa"/>
            </w:tcMar>
          </w:tcPr>
          <w:p w14:paraId="752B0AB8"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1065</w:t>
            </w:r>
          </w:p>
        </w:tc>
        <w:tc>
          <w:tcPr>
            <w:tcW w:w="936" w:type="dxa"/>
            <w:tcBorders>
              <w:top w:val="nil"/>
              <w:left w:val="nil"/>
              <w:bottom w:val="single" w:sz="4" w:space="0" w:color="auto"/>
              <w:right w:val="single" w:sz="4" w:space="0" w:color="auto"/>
            </w:tcBorders>
            <w:shd w:val="clear" w:color="auto" w:fill="EAF1DD"/>
            <w:noWrap/>
            <w:tcMar>
              <w:right w:w="170" w:type="dxa"/>
            </w:tcMar>
          </w:tcPr>
          <w:p w14:paraId="0F47373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1076</w:t>
            </w:r>
          </w:p>
        </w:tc>
        <w:tc>
          <w:tcPr>
            <w:tcW w:w="935" w:type="dxa"/>
            <w:tcBorders>
              <w:top w:val="nil"/>
              <w:left w:val="nil"/>
              <w:bottom w:val="single" w:sz="4" w:space="0" w:color="auto"/>
              <w:right w:val="single" w:sz="4" w:space="0" w:color="auto"/>
            </w:tcBorders>
            <w:shd w:val="clear" w:color="auto" w:fill="EAF1DD"/>
            <w:noWrap/>
            <w:tcMar>
              <w:right w:w="170" w:type="dxa"/>
            </w:tcMar>
          </w:tcPr>
          <w:p w14:paraId="3A1E49AB"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1130</w:t>
            </w:r>
          </w:p>
        </w:tc>
        <w:tc>
          <w:tcPr>
            <w:tcW w:w="936" w:type="dxa"/>
            <w:tcBorders>
              <w:top w:val="nil"/>
              <w:left w:val="nil"/>
              <w:bottom w:val="single" w:sz="4" w:space="0" w:color="auto"/>
              <w:right w:val="single" w:sz="4" w:space="0" w:color="auto"/>
            </w:tcBorders>
            <w:shd w:val="clear" w:color="auto" w:fill="EAF1DD"/>
            <w:noWrap/>
            <w:tcMar>
              <w:right w:w="170" w:type="dxa"/>
            </w:tcMar>
          </w:tcPr>
          <w:p w14:paraId="36FCF54C"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1186</w:t>
            </w:r>
          </w:p>
        </w:tc>
      </w:tr>
      <w:tr w:rsidR="00A3684A" w:rsidRPr="00500AAB" w14:paraId="20FCE138" w14:textId="77777777" w:rsidTr="006F7F16">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0C2FE21" w14:textId="77777777" w:rsidR="00A3684A" w:rsidRPr="00500AAB" w:rsidRDefault="00A3684A" w:rsidP="006F7F16">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faktiskajās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139BFC40"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7,2</w:t>
            </w:r>
          </w:p>
        </w:tc>
        <w:tc>
          <w:tcPr>
            <w:tcW w:w="935" w:type="dxa"/>
            <w:tcBorders>
              <w:top w:val="nil"/>
              <w:left w:val="nil"/>
              <w:bottom w:val="single" w:sz="4" w:space="0" w:color="auto"/>
              <w:right w:val="single" w:sz="4" w:space="0" w:color="auto"/>
            </w:tcBorders>
            <w:shd w:val="clear" w:color="auto" w:fill="EAF1DD"/>
            <w:noWrap/>
            <w:tcMar>
              <w:right w:w="170" w:type="dxa"/>
            </w:tcMar>
          </w:tcPr>
          <w:p w14:paraId="6228E8EE"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-1,0</w:t>
            </w:r>
          </w:p>
        </w:tc>
        <w:tc>
          <w:tcPr>
            <w:tcW w:w="936" w:type="dxa"/>
            <w:tcBorders>
              <w:top w:val="nil"/>
              <w:left w:val="nil"/>
              <w:bottom w:val="single" w:sz="4" w:space="0" w:color="auto"/>
              <w:right w:val="single" w:sz="4" w:space="0" w:color="auto"/>
            </w:tcBorders>
            <w:shd w:val="clear" w:color="auto" w:fill="EAF1DD"/>
            <w:noWrap/>
            <w:tcMar>
              <w:right w:w="170" w:type="dxa"/>
            </w:tcMar>
          </w:tcPr>
          <w:p w14:paraId="567CEFD1"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1,0</w:t>
            </w:r>
          </w:p>
        </w:tc>
        <w:tc>
          <w:tcPr>
            <w:tcW w:w="935" w:type="dxa"/>
            <w:tcBorders>
              <w:top w:val="nil"/>
              <w:left w:val="nil"/>
              <w:bottom w:val="single" w:sz="4" w:space="0" w:color="auto"/>
              <w:right w:val="single" w:sz="4" w:space="0" w:color="auto"/>
            </w:tcBorders>
            <w:shd w:val="clear" w:color="auto" w:fill="EAF1DD"/>
            <w:noWrap/>
            <w:tcMar>
              <w:right w:w="170" w:type="dxa"/>
            </w:tcMar>
          </w:tcPr>
          <w:p w14:paraId="1208FA5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5,0</w:t>
            </w:r>
          </w:p>
        </w:tc>
        <w:tc>
          <w:tcPr>
            <w:tcW w:w="936" w:type="dxa"/>
            <w:tcBorders>
              <w:top w:val="nil"/>
              <w:left w:val="nil"/>
              <w:bottom w:val="single" w:sz="4" w:space="0" w:color="auto"/>
              <w:right w:val="single" w:sz="4" w:space="0" w:color="auto"/>
            </w:tcBorders>
            <w:shd w:val="clear" w:color="auto" w:fill="EAF1DD"/>
            <w:noWrap/>
            <w:tcMar>
              <w:right w:w="170" w:type="dxa"/>
            </w:tcMar>
          </w:tcPr>
          <w:p w14:paraId="7D78DE80"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5,0</w:t>
            </w:r>
          </w:p>
        </w:tc>
      </w:tr>
      <w:tr w:rsidR="00A3684A" w:rsidRPr="00500AAB" w14:paraId="2FB75A83" w14:textId="77777777" w:rsidTr="006F7F16">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058D99E" w14:textId="77777777" w:rsidR="00A3684A" w:rsidRPr="00500AAB" w:rsidRDefault="00A3684A" w:rsidP="006F7F16">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salīdzināmās cenās, %</w:t>
            </w:r>
          </w:p>
        </w:tc>
        <w:tc>
          <w:tcPr>
            <w:tcW w:w="935" w:type="dxa"/>
            <w:tcBorders>
              <w:top w:val="nil"/>
              <w:left w:val="nil"/>
              <w:bottom w:val="single" w:sz="4" w:space="0" w:color="auto"/>
              <w:right w:val="single" w:sz="4" w:space="0" w:color="auto"/>
            </w:tcBorders>
            <w:shd w:val="clear" w:color="auto" w:fill="auto"/>
            <w:noWrap/>
            <w:tcMar>
              <w:right w:w="170" w:type="dxa"/>
            </w:tcMar>
          </w:tcPr>
          <w:p w14:paraId="0BA145B0"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4,2</w:t>
            </w:r>
          </w:p>
        </w:tc>
        <w:tc>
          <w:tcPr>
            <w:tcW w:w="935" w:type="dxa"/>
            <w:tcBorders>
              <w:top w:val="nil"/>
              <w:left w:val="nil"/>
              <w:bottom w:val="single" w:sz="4" w:space="0" w:color="auto"/>
              <w:right w:val="single" w:sz="4" w:space="0" w:color="auto"/>
            </w:tcBorders>
            <w:shd w:val="clear" w:color="auto" w:fill="EAF1DD"/>
            <w:noWrap/>
            <w:tcMar>
              <w:right w:w="170" w:type="dxa"/>
            </w:tcMar>
          </w:tcPr>
          <w:p w14:paraId="44FB28C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-1,1</w:t>
            </w:r>
          </w:p>
        </w:tc>
        <w:tc>
          <w:tcPr>
            <w:tcW w:w="936" w:type="dxa"/>
            <w:tcBorders>
              <w:top w:val="nil"/>
              <w:left w:val="nil"/>
              <w:bottom w:val="single" w:sz="4" w:space="0" w:color="auto"/>
              <w:right w:val="single" w:sz="4" w:space="0" w:color="auto"/>
            </w:tcBorders>
            <w:shd w:val="clear" w:color="auto" w:fill="EAF1DD"/>
            <w:noWrap/>
            <w:tcMar>
              <w:right w:w="170" w:type="dxa"/>
            </w:tcMar>
          </w:tcPr>
          <w:p w14:paraId="725780AD"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0,5</w:t>
            </w:r>
          </w:p>
        </w:tc>
        <w:tc>
          <w:tcPr>
            <w:tcW w:w="935" w:type="dxa"/>
            <w:tcBorders>
              <w:top w:val="nil"/>
              <w:left w:val="nil"/>
              <w:bottom w:val="single" w:sz="4" w:space="0" w:color="auto"/>
              <w:right w:val="single" w:sz="4" w:space="0" w:color="auto"/>
            </w:tcBorders>
            <w:shd w:val="clear" w:color="auto" w:fill="EAF1DD"/>
            <w:noWrap/>
            <w:tcMar>
              <w:right w:w="170" w:type="dxa"/>
            </w:tcMar>
          </w:tcPr>
          <w:p w14:paraId="21F063C3"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3,8</w:t>
            </w:r>
          </w:p>
        </w:tc>
        <w:tc>
          <w:tcPr>
            <w:tcW w:w="936" w:type="dxa"/>
            <w:tcBorders>
              <w:top w:val="nil"/>
              <w:left w:val="nil"/>
              <w:bottom w:val="single" w:sz="4" w:space="0" w:color="auto"/>
              <w:right w:val="single" w:sz="4" w:space="0" w:color="auto"/>
            </w:tcBorders>
            <w:shd w:val="clear" w:color="auto" w:fill="EAF1DD"/>
            <w:noWrap/>
            <w:tcMar>
              <w:right w:w="170" w:type="dxa"/>
            </w:tcMar>
          </w:tcPr>
          <w:p w14:paraId="1E2FED8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2,9</w:t>
            </w:r>
          </w:p>
        </w:tc>
      </w:tr>
      <w:tr w:rsidR="00A3684A" w:rsidRPr="00500AAB" w14:paraId="19783DE0" w14:textId="77777777" w:rsidTr="006F7F16">
        <w:trPr>
          <w:trHeight w:val="6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818159A" w14:textId="77777777" w:rsidR="00A3684A" w:rsidRPr="00500AAB" w:rsidRDefault="00A3684A" w:rsidP="006F7F16">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Nodarbinātība, tūkst. iedzīvotāju (atbilstoši darbaspēka apsekojumiem)</w:t>
            </w:r>
          </w:p>
        </w:tc>
        <w:tc>
          <w:tcPr>
            <w:tcW w:w="935" w:type="dxa"/>
            <w:tcBorders>
              <w:top w:val="nil"/>
              <w:left w:val="nil"/>
              <w:bottom w:val="single" w:sz="4" w:space="0" w:color="auto"/>
              <w:right w:val="single" w:sz="4" w:space="0" w:color="auto"/>
            </w:tcBorders>
            <w:shd w:val="clear" w:color="auto" w:fill="auto"/>
            <w:noWrap/>
            <w:tcMar>
              <w:right w:w="170" w:type="dxa"/>
            </w:tcMar>
          </w:tcPr>
          <w:p w14:paraId="3F018FC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910</w:t>
            </w:r>
          </w:p>
        </w:tc>
        <w:tc>
          <w:tcPr>
            <w:tcW w:w="935" w:type="dxa"/>
            <w:tcBorders>
              <w:top w:val="nil"/>
              <w:left w:val="nil"/>
              <w:bottom w:val="single" w:sz="4" w:space="0" w:color="auto"/>
              <w:right w:val="single" w:sz="4" w:space="0" w:color="auto"/>
            </w:tcBorders>
            <w:shd w:val="clear" w:color="auto" w:fill="EAF1DD"/>
            <w:noWrap/>
            <w:tcMar>
              <w:right w:w="170" w:type="dxa"/>
            </w:tcMar>
          </w:tcPr>
          <w:p w14:paraId="39F4E503"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867</w:t>
            </w:r>
          </w:p>
        </w:tc>
        <w:tc>
          <w:tcPr>
            <w:tcW w:w="936" w:type="dxa"/>
            <w:tcBorders>
              <w:top w:val="nil"/>
              <w:left w:val="nil"/>
              <w:bottom w:val="single" w:sz="4" w:space="0" w:color="auto"/>
              <w:right w:val="single" w:sz="4" w:space="0" w:color="auto"/>
            </w:tcBorders>
            <w:shd w:val="clear" w:color="auto" w:fill="EAF1DD"/>
            <w:noWrap/>
            <w:tcMar>
              <w:right w:w="170" w:type="dxa"/>
            </w:tcMar>
          </w:tcPr>
          <w:p w14:paraId="03026E46"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855</w:t>
            </w:r>
          </w:p>
        </w:tc>
        <w:tc>
          <w:tcPr>
            <w:tcW w:w="935" w:type="dxa"/>
            <w:tcBorders>
              <w:top w:val="nil"/>
              <w:left w:val="nil"/>
              <w:bottom w:val="single" w:sz="4" w:space="0" w:color="auto"/>
              <w:right w:val="single" w:sz="4" w:space="0" w:color="auto"/>
            </w:tcBorders>
            <w:shd w:val="clear" w:color="auto" w:fill="EAF1DD"/>
            <w:noWrap/>
            <w:tcMar>
              <w:right w:w="170" w:type="dxa"/>
            </w:tcMar>
          </w:tcPr>
          <w:p w14:paraId="0F4D202A"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875</w:t>
            </w:r>
          </w:p>
        </w:tc>
        <w:tc>
          <w:tcPr>
            <w:tcW w:w="936" w:type="dxa"/>
            <w:tcBorders>
              <w:top w:val="nil"/>
              <w:left w:val="nil"/>
              <w:bottom w:val="single" w:sz="4" w:space="0" w:color="auto"/>
              <w:right w:val="single" w:sz="4" w:space="0" w:color="auto"/>
            </w:tcBorders>
            <w:shd w:val="clear" w:color="auto" w:fill="EAF1DD"/>
            <w:noWrap/>
            <w:tcMar>
              <w:right w:w="170" w:type="dxa"/>
            </w:tcMar>
          </w:tcPr>
          <w:p w14:paraId="1CD7AF9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883</w:t>
            </w:r>
          </w:p>
        </w:tc>
      </w:tr>
      <w:tr w:rsidR="00A3684A" w:rsidRPr="00500AAB" w14:paraId="60629090" w14:textId="77777777" w:rsidTr="006F7F16">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4EA842E" w14:textId="77777777" w:rsidR="00A3684A" w:rsidRPr="00500AAB" w:rsidRDefault="00A3684A" w:rsidP="006F7F16">
            <w:pPr>
              <w:spacing w:before="0" w:after="0" w:line="259" w:lineRule="auto"/>
              <w:ind w:firstLineChars="100" w:firstLine="200"/>
              <w:jc w:val="left"/>
              <w:rPr>
                <w:rFonts w:eastAsia="Times New Roman" w:cs="Times New Roman"/>
                <w:noProof/>
                <w:sz w:val="20"/>
                <w:szCs w:val="20"/>
                <w:lang w:eastAsia="lv-LV"/>
              </w:rPr>
            </w:pPr>
            <w:r w:rsidRPr="00500AAB">
              <w:rPr>
                <w:rFonts w:eastAsia="Times New Roman" w:cs="Times New Roman"/>
                <w:noProof/>
                <w:sz w:val="20"/>
                <w:szCs w:val="20"/>
                <w:lang w:eastAsia="lv-LV"/>
              </w:rPr>
              <w:t>pieaugums, %</w:t>
            </w:r>
          </w:p>
        </w:tc>
        <w:tc>
          <w:tcPr>
            <w:tcW w:w="935" w:type="dxa"/>
            <w:tcBorders>
              <w:top w:val="nil"/>
              <w:left w:val="nil"/>
              <w:bottom w:val="single" w:sz="4" w:space="0" w:color="auto"/>
              <w:right w:val="single" w:sz="4" w:space="0" w:color="auto"/>
            </w:tcBorders>
            <w:shd w:val="clear" w:color="auto" w:fill="auto"/>
            <w:noWrap/>
            <w:tcMar>
              <w:right w:w="170" w:type="dxa"/>
            </w:tcMar>
          </w:tcPr>
          <w:p w14:paraId="23DDAF55"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0,1</w:t>
            </w:r>
          </w:p>
        </w:tc>
        <w:tc>
          <w:tcPr>
            <w:tcW w:w="935" w:type="dxa"/>
            <w:tcBorders>
              <w:top w:val="nil"/>
              <w:left w:val="nil"/>
              <w:bottom w:val="single" w:sz="4" w:space="0" w:color="auto"/>
              <w:right w:val="single" w:sz="4" w:space="0" w:color="auto"/>
            </w:tcBorders>
            <w:shd w:val="clear" w:color="auto" w:fill="EAF1DD"/>
            <w:noWrap/>
            <w:tcMar>
              <w:right w:w="170" w:type="dxa"/>
            </w:tcMar>
          </w:tcPr>
          <w:p w14:paraId="0A9C0276"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-4,7</w:t>
            </w:r>
          </w:p>
        </w:tc>
        <w:tc>
          <w:tcPr>
            <w:tcW w:w="936" w:type="dxa"/>
            <w:tcBorders>
              <w:top w:val="nil"/>
              <w:left w:val="nil"/>
              <w:bottom w:val="single" w:sz="4" w:space="0" w:color="auto"/>
              <w:right w:val="single" w:sz="4" w:space="0" w:color="auto"/>
            </w:tcBorders>
            <w:shd w:val="clear" w:color="auto" w:fill="EAF1DD"/>
            <w:noWrap/>
            <w:tcMar>
              <w:right w:w="170" w:type="dxa"/>
            </w:tcMar>
          </w:tcPr>
          <w:p w14:paraId="1E170D49"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-1,4</w:t>
            </w:r>
          </w:p>
        </w:tc>
        <w:tc>
          <w:tcPr>
            <w:tcW w:w="935" w:type="dxa"/>
            <w:tcBorders>
              <w:top w:val="nil"/>
              <w:left w:val="nil"/>
              <w:bottom w:val="single" w:sz="4" w:space="0" w:color="auto"/>
              <w:right w:val="single" w:sz="4" w:space="0" w:color="auto"/>
            </w:tcBorders>
            <w:shd w:val="clear" w:color="auto" w:fill="EAF1DD"/>
            <w:noWrap/>
            <w:tcMar>
              <w:right w:w="170" w:type="dxa"/>
            </w:tcMar>
          </w:tcPr>
          <w:p w14:paraId="756567A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2,3</w:t>
            </w:r>
          </w:p>
        </w:tc>
        <w:tc>
          <w:tcPr>
            <w:tcW w:w="936" w:type="dxa"/>
            <w:tcBorders>
              <w:top w:val="nil"/>
              <w:left w:val="nil"/>
              <w:bottom w:val="single" w:sz="4" w:space="0" w:color="auto"/>
              <w:right w:val="single" w:sz="4" w:space="0" w:color="auto"/>
            </w:tcBorders>
            <w:shd w:val="clear" w:color="auto" w:fill="EAF1DD"/>
            <w:noWrap/>
            <w:tcMar>
              <w:right w:w="170" w:type="dxa"/>
            </w:tcMar>
          </w:tcPr>
          <w:p w14:paraId="4E45A1F2"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0,9</w:t>
            </w:r>
          </w:p>
        </w:tc>
      </w:tr>
      <w:tr w:rsidR="00A3684A" w:rsidRPr="00500AAB" w14:paraId="18F490B3" w14:textId="77777777" w:rsidTr="006F7F16">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0C160" w14:textId="77777777" w:rsidR="00A3684A" w:rsidRPr="00500AAB" w:rsidRDefault="00A3684A" w:rsidP="006F7F16">
            <w:pPr>
              <w:spacing w:before="0" w:after="0" w:line="259" w:lineRule="auto"/>
              <w:ind w:firstLine="0"/>
              <w:jc w:val="left"/>
              <w:rPr>
                <w:rFonts w:eastAsia="Times New Roman" w:cs="Times New Roman"/>
                <w:b/>
                <w:noProof/>
                <w:sz w:val="20"/>
                <w:szCs w:val="20"/>
                <w:lang w:eastAsia="lv-LV"/>
              </w:rPr>
            </w:pPr>
            <w:r w:rsidRPr="00500AAB">
              <w:rPr>
                <w:rFonts w:eastAsia="Times New Roman" w:cs="Times New Roman"/>
                <w:b/>
                <w:noProof/>
                <w:sz w:val="20"/>
                <w:szCs w:val="20"/>
                <w:lang w:eastAsia="lv-LV"/>
              </w:rPr>
              <w:t>Bezdarba līmenis (gada vidējais),</w:t>
            </w:r>
            <w:r w:rsidRPr="00500AAB">
              <w:rPr>
                <w:rFonts w:eastAsia="Times New Roman" w:cs="Times New Roman"/>
                <w:b/>
                <w:noProof/>
                <w:sz w:val="20"/>
                <w:szCs w:val="20"/>
                <w:lang w:eastAsia="lv-LV"/>
              </w:rPr>
              <w:br/>
              <w:t>% no ekon. aktīviem iedzīv.</w:t>
            </w:r>
          </w:p>
        </w:tc>
        <w:tc>
          <w:tcPr>
            <w:tcW w:w="935" w:type="dxa"/>
            <w:tcBorders>
              <w:top w:val="single" w:sz="4" w:space="0" w:color="auto"/>
              <w:left w:val="nil"/>
              <w:bottom w:val="single" w:sz="4" w:space="0" w:color="auto"/>
              <w:right w:val="single" w:sz="4" w:space="0" w:color="auto"/>
            </w:tcBorders>
            <w:shd w:val="clear" w:color="auto" w:fill="auto"/>
            <w:noWrap/>
            <w:tcMar>
              <w:right w:w="170" w:type="dxa"/>
            </w:tcMar>
          </w:tcPr>
          <w:p w14:paraId="75174A47"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6,3</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tcPr>
          <w:p w14:paraId="19896DCC"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10,8</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tcPr>
          <w:p w14:paraId="4845E315"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11,9</w:t>
            </w:r>
          </w:p>
        </w:tc>
        <w:tc>
          <w:tcPr>
            <w:tcW w:w="935" w:type="dxa"/>
            <w:tcBorders>
              <w:top w:val="single" w:sz="4" w:space="0" w:color="auto"/>
              <w:left w:val="nil"/>
              <w:bottom w:val="single" w:sz="4" w:space="0" w:color="auto"/>
              <w:right w:val="single" w:sz="4" w:space="0" w:color="auto"/>
            </w:tcBorders>
            <w:shd w:val="clear" w:color="auto" w:fill="EAF1DD"/>
            <w:noWrap/>
            <w:tcMar>
              <w:right w:w="170" w:type="dxa"/>
            </w:tcMar>
          </w:tcPr>
          <w:p w14:paraId="3C256A68"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9,1</w:t>
            </w:r>
          </w:p>
        </w:tc>
        <w:tc>
          <w:tcPr>
            <w:tcW w:w="936" w:type="dxa"/>
            <w:tcBorders>
              <w:top w:val="single" w:sz="4" w:space="0" w:color="auto"/>
              <w:left w:val="nil"/>
              <w:bottom w:val="single" w:sz="4" w:space="0" w:color="auto"/>
              <w:right w:val="single" w:sz="4" w:space="0" w:color="auto"/>
            </w:tcBorders>
            <w:shd w:val="clear" w:color="auto" w:fill="EAF1DD"/>
            <w:noWrap/>
            <w:tcMar>
              <w:right w:w="170" w:type="dxa"/>
            </w:tcMar>
          </w:tcPr>
          <w:p w14:paraId="026FE017" w14:textId="77777777" w:rsidR="00A3684A" w:rsidRPr="00500AAB" w:rsidRDefault="00A3684A" w:rsidP="006F7F16">
            <w:pPr>
              <w:spacing w:before="0" w:after="0" w:line="259" w:lineRule="auto"/>
              <w:ind w:firstLine="0"/>
              <w:jc w:val="right"/>
              <w:rPr>
                <w:rFonts w:eastAsia="Calibri" w:cs="Times New Roman"/>
                <w:sz w:val="20"/>
                <w:szCs w:val="20"/>
              </w:rPr>
            </w:pPr>
            <w:r w:rsidRPr="00500AAB">
              <w:rPr>
                <w:rFonts w:eastAsia="Calibri" w:cs="Times New Roman"/>
                <w:sz w:val="20"/>
                <w:szCs w:val="20"/>
              </w:rPr>
              <w:t>7,4</w:t>
            </w:r>
          </w:p>
        </w:tc>
      </w:tr>
    </w:tbl>
    <w:p w14:paraId="6649E7BF" w14:textId="77777777" w:rsidR="002E768B" w:rsidRPr="000D12BE" w:rsidRDefault="002E768B" w:rsidP="002E768B">
      <w:pPr>
        <w:spacing w:after="60"/>
        <w:rPr>
          <w:szCs w:val="20"/>
        </w:rPr>
      </w:pPr>
      <w:r w:rsidRPr="000D12BE">
        <w:rPr>
          <w:szCs w:val="20"/>
        </w:rPr>
        <w:t>Ekonomikas lejupslīdei 2020.gada ceturtajā ceturksnī gada griezumā uzrādot aptuveni tādu pašu kritumu kā otrajā ceturksnī, strauji sarūkot pakalpojumu nozaru kā izmitināšana un ēdināšana, māksla, izklaide un atpūta, transports pievienotās vērtības apjoma, 2020.gadā kopā iekšzemes kopprodukts var samazināties par 9,0%, kas ir par diviem procentpunktiem straujāks kritums nekā paredzēts pamata scenārijā. Vēl lielāka negatīvā ietekme gaidāma 2021.gadā, kad IKP pieaugums būs par 3,1 procentpunktu zemāks nekā pamata scenārijā, savukārt nākamajos divos gados ekonomiskās izaugsmes tempu atjaunošanās notiks straujāk un IKP palielināsies attiecīgi par 4,6% 2022.gadā un 3,2% 2023.gadā.</w:t>
      </w:r>
    </w:p>
    <w:p w14:paraId="3C4C6E57" w14:textId="77777777" w:rsidR="002E768B" w:rsidRPr="000D12BE" w:rsidRDefault="002E768B" w:rsidP="002E768B">
      <w:pPr>
        <w:spacing w:before="60" w:after="60"/>
        <w:rPr>
          <w:szCs w:val="20"/>
        </w:rPr>
      </w:pPr>
      <w:r w:rsidRPr="000D12BE">
        <w:rPr>
          <w:szCs w:val="20"/>
        </w:rPr>
        <w:t xml:space="preserve">Arī darba tirgū lielākā negatīvā ietekme būs jūtama 2021.gadā, kad bezdarba līmenis negatīvā scenārija īstenošanās gadījumā būs par 2,1 procentpunktu augstāks nekā paredzēts pamata scenārijā – 11,9%, kamēr  2020.gadā ietekme uz bezdarba līmeni prognozēta 0,3 procentpunktu apmērā, </w:t>
      </w:r>
      <w:r w:rsidRPr="000D12BE">
        <w:rPr>
          <w:szCs w:val="20"/>
        </w:rPr>
        <w:lastRenderedPageBreak/>
        <w:t>bezdarba līmenim sasniedzot 10,8%. Līdzīgi tautsaimniecībā nodarbināto iedzīvotāju skaits 2020.gadā prognozēts par trim tūkstošiem zemāks, bet 2021.gadā – par 20 tūkstošiem zemāks nekā pamata scenārijā.</w:t>
      </w:r>
    </w:p>
    <w:p w14:paraId="07BD2689" w14:textId="5B31E548" w:rsidR="00A3684A" w:rsidRDefault="002E768B" w:rsidP="002E768B">
      <w:pPr>
        <w:spacing w:before="60" w:after="60"/>
        <w:rPr>
          <w:rFonts w:eastAsia="Calibri" w:cs="Times New Roman"/>
          <w:szCs w:val="20"/>
        </w:rPr>
      </w:pPr>
      <w:r w:rsidRPr="000D12BE">
        <w:rPr>
          <w:szCs w:val="20"/>
        </w:rPr>
        <w:t>Inflācijas līmenis, Latvijai piedzīvojot Covid-19 otro vilni, 2020.gadā varētu būt par 0,1 procentpunktu un 2021.gadā par 0,7 procentpunktiem zemāks nekā pamata scenārijā, - attiecīgi 0,1% un 0,5%.</w:t>
      </w:r>
    </w:p>
    <w:p w14:paraId="7E7C1D79" w14:textId="25BDD1C3" w:rsidR="00A3684A" w:rsidRPr="00500AAB" w:rsidRDefault="00A3684A" w:rsidP="00A3684A">
      <w:pPr>
        <w:spacing w:before="240"/>
        <w:rPr>
          <w:rFonts w:eastAsia="Calibri" w:cs="Times New Roman"/>
          <w:b/>
          <w:szCs w:val="20"/>
        </w:rPr>
      </w:pPr>
      <w:r w:rsidRPr="00500AAB">
        <w:rPr>
          <w:rFonts w:eastAsia="Calibri" w:cs="Times New Roman"/>
          <w:b/>
          <w:szCs w:val="20"/>
        </w:rPr>
        <w:t xml:space="preserve"> </w:t>
      </w:r>
      <w:r>
        <w:rPr>
          <w:rFonts w:eastAsia="Calibri" w:cs="Times New Roman"/>
          <w:b/>
          <w:szCs w:val="20"/>
        </w:rPr>
        <w:t>“2.viļņa”</w:t>
      </w:r>
      <w:r w:rsidR="003B3630">
        <w:rPr>
          <w:rFonts w:eastAsia="Calibri" w:cs="Times New Roman"/>
          <w:b/>
          <w:szCs w:val="20"/>
        </w:rPr>
        <w:t xml:space="preserve"> scenārija ietekme uz vispārējās valdības budžeta bilanci</w:t>
      </w:r>
    </w:p>
    <w:p w14:paraId="22199069" w14:textId="6780E6BA" w:rsidR="00487989" w:rsidRDefault="003B3630" w:rsidP="00A3684A">
      <w:pPr>
        <w:rPr>
          <w:color w:val="000000" w:themeColor="text1"/>
          <w:szCs w:val="24"/>
        </w:rPr>
      </w:pPr>
      <w:r>
        <w:rPr>
          <w:color w:val="000000" w:themeColor="text1"/>
          <w:szCs w:val="24"/>
        </w:rPr>
        <w:t>Ņemot vērā makroekonomiskās attīstības negatīvo scenāriju, Finanšu ministrija ir veikusi novērtējumu šī scenārija ietekmei uz vispārējās valdības budžeta bilanci, proti, novērtējot izmaiņas nodokļu un ne-nodokļu ieņēmumos</w:t>
      </w:r>
      <w:r w:rsidR="00487989">
        <w:rPr>
          <w:color w:val="000000" w:themeColor="text1"/>
          <w:szCs w:val="24"/>
        </w:rPr>
        <w:t>, procentu izdevumos un sadarbībā ar Labklājības ministriju – izmaiņas valsts speciālā budžeta izdevumos</w:t>
      </w:r>
      <w:r>
        <w:rPr>
          <w:color w:val="000000" w:themeColor="text1"/>
          <w:szCs w:val="24"/>
        </w:rPr>
        <w:t xml:space="preserve"> salīdzinājumā ar </w:t>
      </w:r>
      <w:r w:rsidR="00BD4DAA">
        <w:rPr>
          <w:color w:val="000000" w:themeColor="text1"/>
          <w:szCs w:val="24"/>
        </w:rPr>
        <w:t>bāzes</w:t>
      </w:r>
      <w:r>
        <w:rPr>
          <w:color w:val="000000" w:themeColor="text1"/>
          <w:szCs w:val="24"/>
        </w:rPr>
        <w:t xml:space="preserve"> scenāriju. </w:t>
      </w:r>
    </w:p>
    <w:p w14:paraId="275000D2" w14:textId="21868795" w:rsidR="00A3684A" w:rsidRDefault="00A3684A" w:rsidP="00A3684A">
      <w:pPr>
        <w:rPr>
          <w:color w:val="000000" w:themeColor="text1"/>
          <w:szCs w:val="24"/>
        </w:rPr>
      </w:pPr>
      <w:r w:rsidRPr="00BC5A8C">
        <w:rPr>
          <w:color w:val="000000" w:themeColor="text1"/>
          <w:szCs w:val="24"/>
        </w:rPr>
        <w:t>2020. -2023. gadā</w:t>
      </w:r>
      <w:r w:rsidRPr="00B362AC">
        <w:rPr>
          <w:color w:val="000000" w:themeColor="text1"/>
          <w:szCs w:val="24"/>
        </w:rPr>
        <w:t xml:space="preserve"> vispārējās valdības budžeta deficīts pie otrā viļņa scenārija un nemainīgas valdības politikas tiek prognoz</w:t>
      </w:r>
      <w:r w:rsidR="00BD4DAA">
        <w:rPr>
          <w:color w:val="000000" w:themeColor="text1"/>
          <w:szCs w:val="24"/>
        </w:rPr>
        <w:t>ēts attiecīgi 8,4% no IKP 2020. </w:t>
      </w:r>
      <w:r w:rsidRPr="00B362AC">
        <w:rPr>
          <w:color w:val="000000" w:themeColor="text1"/>
          <w:szCs w:val="24"/>
        </w:rPr>
        <w:t xml:space="preserve">gadā, 6,0% no IKP 2021. gadā, 4,2% no IKP </w:t>
      </w:r>
      <w:r w:rsidR="00BD4DAA">
        <w:rPr>
          <w:color w:val="000000" w:themeColor="text1"/>
          <w:szCs w:val="24"/>
        </w:rPr>
        <w:t>2022. gadā un 2,9% no IKP 2023. </w:t>
      </w:r>
      <w:r w:rsidRPr="00B362AC">
        <w:rPr>
          <w:color w:val="000000" w:themeColor="text1"/>
          <w:szCs w:val="24"/>
        </w:rPr>
        <w:t>gadā.</w:t>
      </w:r>
      <w:r w:rsidRPr="00F94334">
        <w:rPr>
          <w:color w:val="000000" w:themeColor="text1"/>
          <w:szCs w:val="24"/>
        </w:rPr>
        <w:t xml:space="preserve"> </w:t>
      </w:r>
      <w:r>
        <w:rPr>
          <w:color w:val="000000" w:themeColor="text1"/>
          <w:szCs w:val="24"/>
        </w:rPr>
        <w:t>Pie šī scenārija bilances pasliktināšanos galvenokārt nosaka zemāki nodokļu ieņēmumi, kā arī sociālo pabalstu iz</w:t>
      </w:r>
      <w:r w:rsidR="005715AA">
        <w:rPr>
          <w:color w:val="000000" w:themeColor="text1"/>
          <w:szCs w:val="24"/>
        </w:rPr>
        <w:t>devumu pieaugums 2020. un 2021. gadā</w:t>
      </w:r>
      <w:r>
        <w:rPr>
          <w:color w:val="000000" w:themeColor="text1"/>
          <w:szCs w:val="24"/>
        </w:rPr>
        <w:t xml:space="preserve"> (</w:t>
      </w:r>
      <w:r w:rsidRPr="00BD4DAA">
        <w:rPr>
          <w:color w:val="000000" w:themeColor="text1"/>
          <w:szCs w:val="24"/>
        </w:rPr>
        <w:t xml:space="preserve">skat. </w:t>
      </w:r>
      <w:r w:rsidR="00BD4DAA" w:rsidRPr="00BD4DAA">
        <w:rPr>
          <w:color w:val="000000" w:themeColor="text1"/>
          <w:szCs w:val="24"/>
        </w:rPr>
        <w:t>6</w:t>
      </w:r>
      <w:r w:rsidRPr="00BD4DAA">
        <w:rPr>
          <w:color w:val="000000" w:themeColor="text1"/>
          <w:szCs w:val="24"/>
        </w:rPr>
        <w:t>.tabulu).</w:t>
      </w:r>
    </w:p>
    <w:p w14:paraId="62E24CB9" w14:textId="47EA5590" w:rsidR="00D84CB3" w:rsidRDefault="00D84CB3" w:rsidP="00A3684A">
      <w:pPr>
        <w:rPr>
          <w:color w:val="000000" w:themeColor="text1"/>
          <w:szCs w:val="24"/>
        </w:rPr>
      </w:pPr>
      <w:r>
        <w:rPr>
          <w:color w:val="000000" w:themeColor="text1"/>
          <w:szCs w:val="24"/>
        </w:rPr>
        <w:t>Pie šī scenārija vispārējās valdības budž</w:t>
      </w:r>
      <w:r w:rsidR="005715AA">
        <w:rPr>
          <w:color w:val="000000" w:themeColor="text1"/>
          <w:szCs w:val="24"/>
        </w:rPr>
        <w:t>eta bilance pasliktinātos 2020. </w:t>
      </w:r>
      <w:r>
        <w:rPr>
          <w:color w:val="000000" w:themeColor="text1"/>
          <w:szCs w:val="24"/>
        </w:rPr>
        <w:t>gadā par 0,8 procentpunktiem</w:t>
      </w:r>
      <w:r w:rsidRPr="00D84CB3">
        <w:rPr>
          <w:color w:val="000000" w:themeColor="text1"/>
          <w:szCs w:val="24"/>
        </w:rPr>
        <w:t xml:space="preserve"> </w:t>
      </w:r>
      <w:r>
        <w:rPr>
          <w:color w:val="000000" w:themeColor="text1"/>
          <w:szCs w:val="24"/>
        </w:rPr>
        <w:t>(deficīts no 7,6% uz</w:t>
      </w:r>
      <w:r w:rsidR="005715AA">
        <w:rPr>
          <w:color w:val="000000" w:themeColor="text1"/>
          <w:szCs w:val="24"/>
        </w:rPr>
        <w:t xml:space="preserve"> 8,4% no IKP), 2021. gadā par 2 </w:t>
      </w:r>
      <w:r>
        <w:rPr>
          <w:color w:val="000000" w:themeColor="text1"/>
          <w:szCs w:val="24"/>
        </w:rPr>
        <w:t>procentpunktiem (deficīts no 3,9% uz</w:t>
      </w:r>
      <w:r w:rsidR="005715AA">
        <w:rPr>
          <w:color w:val="000000" w:themeColor="text1"/>
          <w:szCs w:val="24"/>
        </w:rPr>
        <w:t xml:space="preserve"> 6% no IKP), 2022. gadā par 1,4 </w:t>
      </w:r>
      <w:r>
        <w:rPr>
          <w:color w:val="000000" w:themeColor="text1"/>
          <w:szCs w:val="24"/>
        </w:rPr>
        <w:t>procentpunktiem (deficīts no 2,8% uz 4,2</w:t>
      </w:r>
      <w:r w:rsidR="005715AA">
        <w:rPr>
          <w:color w:val="000000" w:themeColor="text1"/>
          <w:szCs w:val="24"/>
        </w:rPr>
        <w:t>% no IKP) un 2023. gadā par 1,2 </w:t>
      </w:r>
      <w:r>
        <w:rPr>
          <w:color w:val="000000" w:themeColor="text1"/>
          <w:szCs w:val="24"/>
        </w:rPr>
        <w:t>procentpunktiem (deficīts no 1,7% uz 2,9% no IKP).</w:t>
      </w:r>
    </w:p>
    <w:p w14:paraId="433C38A7" w14:textId="0549E802" w:rsidR="00A3684A" w:rsidRPr="007B6A8C" w:rsidRDefault="007B6A8C" w:rsidP="00BF4369">
      <w:pPr>
        <w:spacing w:before="240" w:after="60"/>
        <w:jc w:val="center"/>
        <w:rPr>
          <w:rFonts w:eastAsia="Calibri" w:cs="Times New Roman"/>
          <w:b/>
          <w:sz w:val="24"/>
          <w:szCs w:val="24"/>
        </w:rPr>
      </w:pPr>
      <w:r w:rsidRPr="007B6A8C">
        <w:rPr>
          <w:rFonts w:eastAsia="Calibri" w:cs="Times New Roman"/>
          <w:b/>
          <w:sz w:val="24"/>
          <w:szCs w:val="24"/>
        </w:rPr>
        <w:t>6</w:t>
      </w:r>
      <w:r w:rsidR="00A3684A" w:rsidRPr="007B6A8C">
        <w:rPr>
          <w:rFonts w:eastAsia="Calibri" w:cs="Times New Roman"/>
          <w:b/>
          <w:sz w:val="24"/>
          <w:szCs w:val="24"/>
        </w:rPr>
        <w:t xml:space="preserve">.tabula. </w:t>
      </w:r>
      <w:r w:rsidR="004414C2">
        <w:rPr>
          <w:rFonts w:eastAsia="Calibri" w:cs="Times New Roman"/>
          <w:b/>
          <w:sz w:val="24"/>
          <w:szCs w:val="24"/>
        </w:rPr>
        <w:t>Visp</w:t>
      </w:r>
      <w:r w:rsidR="00A47392">
        <w:rPr>
          <w:rFonts w:eastAsia="Calibri" w:cs="Times New Roman"/>
          <w:b/>
          <w:sz w:val="24"/>
          <w:szCs w:val="24"/>
        </w:rPr>
        <w:t>ārējās valdības budžeta bilance</w:t>
      </w:r>
      <w:r w:rsidR="008523F4">
        <w:rPr>
          <w:rFonts w:eastAsia="Calibri" w:cs="Times New Roman"/>
          <w:b/>
          <w:sz w:val="24"/>
          <w:szCs w:val="24"/>
        </w:rPr>
        <w:t xml:space="preserve">, </w:t>
      </w:r>
      <w:r w:rsidR="00A47392">
        <w:rPr>
          <w:rFonts w:eastAsia="Calibri" w:cs="Times New Roman"/>
          <w:b/>
          <w:sz w:val="24"/>
          <w:szCs w:val="24"/>
        </w:rPr>
        <w:t xml:space="preserve">% no IKP un </w:t>
      </w:r>
      <w:r w:rsidR="008523F4">
        <w:rPr>
          <w:rFonts w:eastAsia="Calibri" w:cs="Times New Roman"/>
          <w:b/>
          <w:sz w:val="24"/>
          <w:szCs w:val="24"/>
        </w:rPr>
        <w:t xml:space="preserve">milj. </w:t>
      </w:r>
      <w:proofErr w:type="spellStart"/>
      <w:r w:rsidR="008523F4" w:rsidRPr="008523F4">
        <w:rPr>
          <w:rFonts w:eastAsia="Calibri" w:cs="Times New Roman"/>
          <w:b/>
          <w:i/>
          <w:sz w:val="24"/>
          <w:szCs w:val="24"/>
        </w:rPr>
        <w:t>eu</w:t>
      </w:r>
      <w:r w:rsidR="004414C2" w:rsidRPr="008523F4">
        <w:rPr>
          <w:rFonts w:eastAsia="Calibri" w:cs="Times New Roman"/>
          <w:b/>
          <w:i/>
          <w:sz w:val="24"/>
          <w:szCs w:val="24"/>
        </w:rPr>
        <w:t>ro</w:t>
      </w:r>
      <w:proofErr w:type="spellEnd"/>
      <w:r w:rsidR="004414C2">
        <w:rPr>
          <w:rFonts w:eastAsia="Calibri" w:cs="Times New Roman"/>
          <w:b/>
          <w:sz w:val="24"/>
          <w:szCs w:val="24"/>
        </w:rPr>
        <w:t xml:space="preserve"> </w:t>
      </w:r>
      <w:r w:rsidR="00BF4369">
        <w:rPr>
          <w:rFonts w:eastAsia="Calibri" w:cs="Times New Roman"/>
          <w:b/>
          <w:sz w:val="24"/>
          <w:szCs w:val="24"/>
        </w:rPr>
        <w:br/>
      </w:r>
      <w:r w:rsidR="004414C2">
        <w:rPr>
          <w:rFonts w:eastAsia="Calibri" w:cs="Times New Roman"/>
          <w:b/>
          <w:sz w:val="24"/>
          <w:szCs w:val="24"/>
        </w:rPr>
        <w:t>(“2.viļņa”</w:t>
      </w:r>
      <w:r w:rsidR="004414C2" w:rsidRPr="00500AAB">
        <w:rPr>
          <w:rFonts w:eastAsia="Calibri" w:cs="Times New Roman"/>
          <w:b/>
          <w:sz w:val="24"/>
          <w:szCs w:val="24"/>
        </w:rPr>
        <w:t xml:space="preserve"> scenārijs</w:t>
      </w:r>
      <w:r w:rsidR="004414C2">
        <w:rPr>
          <w:rFonts w:eastAsia="Calibri" w:cs="Times New Roman"/>
          <w:b/>
          <w:sz w:val="24"/>
          <w:szCs w:val="24"/>
        </w:rPr>
        <w:t>)</w:t>
      </w:r>
    </w:p>
    <w:tbl>
      <w:tblPr>
        <w:tblW w:w="9072" w:type="dxa"/>
        <w:tblLook w:val="04A0" w:firstRow="1" w:lastRow="0" w:firstColumn="1" w:lastColumn="0" w:noHBand="0" w:noVBand="1"/>
      </w:tblPr>
      <w:tblGrid>
        <w:gridCol w:w="5093"/>
        <w:gridCol w:w="993"/>
        <w:gridCol w:w="992"/>
        <w:gridCol w:w="975"/>
        <w:gridCol w:w="1019"/>
      </w:tblGrid>
      <w:tr w:rsidR="00A3684A" w:rsidRPr="00F258FE" w14:paraId="27AA354E" w14:textId="77777777" w:rsidTr="00A47392">
        <w:trPr>
          <w:trHeight w:val="213"/>
        </w:trPr>
        <w:tc>
          <w:tcPr>
            <w:tcW w:w="5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790D" w14:textId="77777777" w:rsidR="00A3684A" w:rsidRPr="00F258FE" w:rsidRDefault="00A3684A" w:rsidP="006F7F16">
            <w:pPr>
              <w:spacing w:before="0" w:after="0"/>
              <w:ind w:firstLine="0"/>
              <w:jc w:val="left"/>
              <w:rPr>
                <w:rFonts w:ascii="Calibri" w:eastAsia="Times New Roman" w:hAnsi="Calibri" w:cs="Calibri"/>
                <w:color w:val="000000"/>
                <w:sz w:val="22"/>
                <w:lang w:eastAsia="lv-LV"/>
              </w:rPr>
            </w:pPr>
            <w:r w:rsidRPr="00F258FE">
              <w:rPr>
                <w:rFonts w:ascii="Calibri" w:eastAsia="Times New Roman" w:hAnsi="Calibri" w:cs="Calibri"/>
                <w:color w:val="000000"/>
                <w:sz w:val="22"/>
                <w:lang w:eastAsia="lv-L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7C741" w14:textId="77777777" w:rsidR="00A3684A" w:rsidRPr="00F258FE" w:rsidRDefault="00A3684A" w:rsidP="006F7F16">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3F928" w14:textId="77777777" w:rsidR="00A3684A" w:rsidRPr="00F258FE" w:rsidRDefault="00A3684A" w:rsidP="006F7F16">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2021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A46A1" w14:textId="77777777" w:rsidR="00A3684A" w:rsidRPr="00F258FE" w:rsidRDefault="00A3684A" w:rsidP="006F7F16">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2022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452D3" w14:textId="77777777" w:rsidR="00A3684A" w:rsidRPr="00F258FE" w:rsidRDefault="00A3684A" w:rsidP="006F7F16">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2023</w:t>
            </w:r>
          </w:p>
        </w:tc>
      </w:tr>
      <w:tr w:rsidR="00A47392" w:rsidRPr="00F258FE" w14:paraId="0FFA0A95" w14:textId="77777777" w:rsidTr="00A47392">
        <w:trPr>
          <w:trHeight w:val="213"/>
        </w:trPr>
        <w:tc>
          <w:tcPr>
            <w:tcW w:w="5093" w:type="dxa"/>
            <w:tcBorders>
              <w:top w:val="single" w:sz="4" w:space="0" w:color="auto"/>
              <w:left w:val="single" w:sz="8" w:space="0" w:color="auto"/>
              <w:bottom w:val="single" w:sz="8" w:space="0" w:color="auto"/>
              <w:right w:val="single" w:sz="8" w:space="0" w:color="auto"/>
            </w:tcBorders>
            <w:shd w:val="clear" w:color="auto" w:fill="BDD6EE" w:themeFill="accent1" w:themeFillTint="66"/>
            <w:vAlign w:val="center"/>
          </w:tcPr>
          <w:p w14:paraId="2211F493" w14:textId="27F3718B" w:rsidR="00A47392" w:rsidRPr="00F258FE" w:rsidRDefault="00A47392" w:rsidP="00A47392">
            <w:pPr>
              <w:spacing w:before="0" w:after="0"/>
              <w:ind w:firstLine="0"/>
              <w:jc w:val="left"/>
              <w:rPr>
                <w:rFonts w:ascii="Calibri" w:eastAsia="Times New Roman" w:hAnsi="Calibri" w:cs="Calibri"/>
                <w:color w:val="000000"/>
                <w:sz w:val="22"/>
                <w:lang w:eastAsia="lv-LV"/>
              </w:rPr>
            </w:pPr>
            <w:r w:rsidRPr="00F258FE">
              <w:rPr>
                <w:rFonts w:eastAsia="Times New Roman" w:cs="Times New Roman"/>
                <w:b/>
                <w:bCs/>
                <w:color w:val="000000"/>
                <w:sz w:val="20"/>
                <w:szCs w:val="20"/>
                <w:lang w:eastAsia="lv-LV"/>
              </w:rPr>
              <w:t>Vispārējās valdības budžeta bilance, % no IKP</w:t>
            </w:r>
          </w:p>
        </w:tc>
        <w:tc>
          <w:tcPr>
            <w:tcW w:w="993" w:type="dxa"/>
            <w:tcBorders>
              <w:top w:val="single" w:sz="4" w:space="0" w:color="auto"/>
              <w:left w:val="nil"/>
              <w:bottom w:val="single" w:sz="8" w:space="0" w:color="auto"/>
              <w:right w:val="single" w:sz="8" w:space="0" w:color="auto"/>
            </w:tcBorders>
            <w:shd w:val="clear" w:color="auto" w:fill="BDD6EE" w:themeFill="accent1" w:themeFillTint="66"/>
            <w:vAlign w:val="center"/>
          </w:tcPr>
          <w:p w14:paraId="25E062C7" w14:textId="4E19D757"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w:t>
            </w:r>
            <w:r>
              <w:rPr>
                <w:rFonts w:eastAsia="Times New Roman" w:cs="Times New Roman"/>
                <w:b/>
                <w:bCs/>
                <w:color w:val="000000"/>
                <w:sz w:val="20"/>
                <w:szCs w:val="20"/>
                <w:lang w:eastAsia="lv-LV"/>
              </w:rPr>
              <w:t>8,4</w:t>
            </w:r>
          </w:p>
        </w:tc>
        <w:tc>
          <w:tcPr>
            <w:tcW w:w="992" w:type="dxa"/>
            <w:tcBorders>
              <w:top w:val="single" w:sz="4" w:space="0" w:color="auto"/>
              <w:left w:val="nil"/>
              <w:bottom w:val="single" w:sz="8" w:space="0" w:color="auto"/>
              <w:right w:val="single" w:sz="8" w:space="0" w:color="auto"/>
            </w:tcBorders>
            <w:shd w:val="clear" w:color="auto" w:fill="BDD6EE" w:themeFill="accent1" w:themeFillTint="66"/>
            <w:vAlign w:val="center"/>
          </w:tcPr>
          <w:p w14:paraId="2C3A28B0" w14:textId="22BB1451"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w:t>
            </w:r>
            <w:r>
              <w:rPr>
                <w:rFonts w:eastAsia="Times New Roman" w:cs="Times New Roman"/>
                <w:b/>
                <w:bCs/>
                <w:color w:val="000000"/>
                <w:sz w:val="20"/>
                <w:szCs w:val="20"/>
                <w:lang w:eastAsia="lv-LV"/>
              </w:rPr>
              <w:t>6,0</w:t>
            </w:r>
          </w:p>
        </w:tc>
        <w:tc>
          <w:tcPr>
            <w:tcW w:w="975" w:type="dxa"/>
            <w:tcBorders>
              <w:top w:val="single" w:sz="4" w:space="0" w:color="auto"/>
              <w:left w:val="nil"/>
              <w:bottom w:val="single" w:sz="8" w:space="0" w:color="auto"/>
              <w:right w:val="single" w:sz="8" w:space="0" w:color="auto"/>
            </w:tcBorders>
            <w:shd w:val="clear" w:color="auto" w:fill="BDD6EE" w:themeFill="accent1" w:themeFillTint="66"/>
            <w:vAlign w:val="center"/>
          </w:tcPr>
          <w:p w14:paraId="4E37AAD9" w14:textId="0AB43607"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w:t>
            </w:r>
            <w:r>
              <w:rPr>
                <w:rFonts w:eastAsia="Times New Roman" w:cs="Times New Roman"/>
                <w:b/>
                <w:bCs/>
                <w:color w:val="000000"/>
                <w:sz w:val="20"/>
                <w:szCs w:val="20"/>
                <w:lang w:eastAsia="lv-LV"/>
              </w:rPr>
              <w:t>4,2</w:t>
            </w:r>
          </w:p>
        </w:tc>
        <w:tc>
          <w:tcPr>
            <w:tcW w:w="1019" w:type="dxa"/>
            <w:tcBorders>
              <w:top w:val="single" w:sz="4" w:space="0" w:color="auto"/>
              <w:left w:val="nil"/>
              <w:bottom w:val="single" w:sz="8" w:space="0" w:color="auto"/>
              <w:right w:val="single" w:sz="8" w:space="0" w:color="auto"/>
            </w:tcBorders>
            <w:shd w:val="clear" w:color="auto" w:fill="BDD6EE" w:themeFill="accent1" w:themeFillTint="66"/>
            <w:vAlign w:val="center"/>
          </w:tcPr>
          <w:p w14:paraId="48A2288A" w14:textId="18D28201"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w:t>
            </w:r>
            <w:r>
              <w:rPr>
                <w:rFonts w:eastAsia="Times New Roman" w:cs="Times New Roman"/>
                <w:b/>
                <w:bCs/>
                <w:color w:val="000000"/>
                <w:sz w:val="20"/>
                <w:szCs w:val="20"/>
                <w:lang w:eastAsia="lv-LV"/>
              </w:rPr>
              <w:t>2,9</w:t>
            </w:r>
          </w:p>
        </w:tc>
      </w:tr>
      <w:tr w:rsidR="00A47392" w:rsidRPr="00F258FE" w14:paraId="776126AF" w14:textId="77777777" w:rsidTr="00A47392">
        <w:trPr>
          <w:trHeight w:val="213"/>
        </w:trPr>
        <w:tc>
          <w:tcPr>
            <w:tcW w:w="5093" w:type="dxa"/>
            <w:tcBorders>
              <w:top w:val="nil"/>
              <w:left w:val="single" w:sz="8" w:space="0" w:color="auto"/>
              <w:bottom w:val="single" w:sz="8" w:space="0" w:color="auto"/>
              <w:right w:val="single" w:sz="8" w:space="0" w:color="auto"/>
            </w:tcBorders>
            <w:shd w:val="clear" w:color="auto" w:fill="BDD6EE" w:themeFill="accent1" w:themeFillTint="66"/>
            <w:vAlign w:val="center"/>
          </w:tcPr>
          <w:p w14:paraId="08CD191D" w14:textId="66ADE985" w:rsidR="00A47392" w:rsidRPr="00F258FE" w:rsidRDefault="00A47392" w:rsidP="00A47392">
            <w:pPr>
              <w:spacing w:before="0" w:after="0"/>
              <w:ind w:firstLine="0"/>
              <w:jc w:val="left"/>
              <w:rPr>
                <w:rFonts w:ascii="Calibri" w:eastAsia="Times New Roman" w:hAnsi="Calibri" w:cs="Calibri"/>
                <w:color w:val="000000"/>
                <w:sz w:val="22"/>
                <w:lang w:eastAsia="lv-LV"/>
              </w:rPr>
            </w:pPr>
            <w:r w:rsidRPr="00F258FE">
              <w:rPr>
                <w:rFonts w:eastAsia="Times New Roman" w:cs="Times New Roman"/>
                <w:color w:val="000000"/>
                <w:sz w:val="20"/>
                <w:szCs w:val="20"/>
                <w:lang w:eastAsia="lv-LV"/>
              </w:rPr>
              <w:t>Vispārējās valdības budžeta bilance</w:t>
            </w:r>
            <w:r>
              <w:rPr>
                <w:rFonts w:eastAsia="Times New Roman" w:cs="Times New Roman"/>
                <w:color w:val="000000"/>
                <w:sz w:val="20"/>
                <w:szCs w:val="20"/>
                <w:lang w:eastAsia="lv-LV"/>
              </w:rPr>
              <w:t xml:space="preserve">, milj. </w:t>
            </w:r>
            <w:proofErr w:type="spellStart"/>
            <w:r w:rsidRPr="00A47392">
              <w:rPr>
                <w:rFonts w:eastAsia="Times New Roman" w:cs="Times New Roman"/>
                <w:i/>
                <w:color w:val="000000"/>
                <w:sz w:val="20"/>
                <w:szCs w:val="20"/>
                <w:lang w:eastAsia="lv-LV"/>
              </w:rPr>
              <w:t>euro</w:t>
            </w:r>
            <w:proofErr w:type="spellEnd"/>
          </w:p>
        </w:tc>
        <w:tc>
          <w:tcPr>
            <w:tcW w:w="993" w:type="dxa"/>
            <w:tcBorders>
              <w:top w:val="nil"/>
              <w:left w:val="nil"/>
              <w:bottom w:val="single" w:sz="8" w:space="0" w:color="auto"/>
              <w:right w:val="single" w:sz="8" w:space="0" w:color="auto"/>
            </w:tcBorders>
            <w:shd w:val="clear" w:color="auto" w:fill="BDD6EE" w:themeFill="accent1" w:themeFillTint="66"/>
            <w:vAlign w:val="center"/>
          </w:tcPr>
          <w:p w14:paraId="3F4921FC" w14:textId="7E85E87D" w:rsidR="00A47392" w:rsidRPr="00F258FE" w:rsidRDefault="00A47392" w:rsidP="00A47392">
            <w:pPr>
              <w:spacing w:before="0" w:after="0"/>
              <w:ind w:firstLine="0"/>
              <w:jc w:val="center"/>
              <w:rPr>
                <w:rFonts w:eastAsia="Times New Roman" w:cs="Times New Roman"/>
                <w:b/>
                <w:bCs/>
                <w:color w:val="000000"/>
                <w:sz w:val="20"/>
                <w:szCs w:val="20"/>
                <w:lang w:eastAsia="lv-LV"/>
              </w:rPr>
            </w:pPr>
            <w:r>
              <w:rPr>
                <w:color w:val="000000"/>
                <w:sz w:val="20"/>
                <w:szCs w:val="20"/>
              </w:rPr>
              <w:t>-2 317,4</w:t>
            </w:r>
          </w:p>
        </w:tc>
        <w:tc>
          <w:tcPr>
            <w:tcW w:w="992" w:type="dxa"/>
            <w:tcBorders>
              <w:top w:val="nil"/>
              <w:left w:val="nil"/>
              <w:bottom w:val="single" w:sz="8" w:space="0" w:color="auto"/>
              <w:right w:val="single" w:sz="8" w:space="0" w:color="auto"/>
            </w:tcBorders>
            <w:shd w:val="clear" w:color="auto" w:fill="BDD6EE" w:themeFill="accent1" w:themeFillTint="66"/>
            <w:vAlign w:val="center"/>
          </w:tcPr>
          <w:p w14:paraId="73A9A014" w14:textId="4AA3CA3C" w:rsidR="00A47392" w:rsidRPr="00F258FE" w:rsidRDefault="00A47392" w:rsidP="00A47392">
            <w:pPr>
              <w:spacing w:before="0" w:after="0"/>
              <w:ind w:firstLine="0"/>
              <w:jc w:val="center"/>
              <w:rPr>
                <w:rFonts w:eastAsia="Times New Roman" w:cs="Times New Roman"/>
                <w:b/>
                <w:bCs/>
                <w:color w:val="000000"/>
                <w:sz w:val="20"/>
                <w:szCs w:val="20"/>
                <w:lang w:eastAsia="lv-LV"/>
              </w:rPr>
            </w:pPr>
            <w:r>
              <w:rPr>
                <w:color w:val="000000"/>
                <w:sz w:val="20"/>
                <w:szCs w:val="20"/>
              </w:rPr>
              <w:t>-1 690,3</w:t>
            </w:r>
          </w:p>
        </w:tc>
        <w:tc>
          <w:tcPr>
            <w:tcW w:w="975" w:type="dxa"/>
            <w:tcBorders>
              <w:top w:val="nil"/>
              <w:left w:val="nil"/>
              <w:bottom w:val="single" w:sz="8" w:space="0" w:color="auto"/>
              <w:right w:val="single" w:sz="8" w:space="0" w:color="auto"/>
            </w:tcBorders>
            <w:shd w:val="clear" w:color="auto" w:fill="BDD6EE" w:themeFill="accent1" w:themeFillTint="66"/>
            <w:vAlign w:val="center"/>
          </w:tcPr>
          <w:p w14:paraId="4D6F0FCF" w14:textId="485546E7" w:rsidR="00A47392" w:rsidRPr="00F258FE" w:rsidRDefault="00A47392" w:rsidP="00A47392">
            <w:pPr>
              <w:spacing w:before="0" w:after="0"/>
              <w:ind w:firstLine="0"/>
              <w:jc w:val="center"/>
              <w:rPr>
                <w:rFonts w:eastAsia="Times New Roman" w:cs="Times New Roman"/>
                <w:b/>
                <w:bCs/>
                <w:color w:val="000000"/>
                <w:sz w:val="20"/>
                <w:szCs w:val="20"/>
                <w:lang w:eastAsia="lv-LV"/>
              </w:rPr>
            </w:pPr>
            <w:r>
              <w:rPr>
                <w:color w:val="000000"/>
                <w:sz w:val="20"/>
                <w:szCs w:val="20"/>
              </w:rPr>
              <w:t>-1 270,7</w:t>
            </w:r>
          </w:p>
        </w:tc>
        <w:tc>
          <w:tcPr>
            <w:tcW w:w="1019" w:type="dxa"/>
            <w:tcBorders>
              <w:top w:val="nil"/>
              <w:left w:val="nil"/>
              <w:bottom w:val="single" w:sz="8" w:space="0" w:color="auto"/>
              <w:right w:val="single" w:sz="8" w:space="0" w:color="auto"/>
            </w:tcBorders>
            <w:shd w:val="clear" w:color="auto" w:fill="BDD6EE" w:themeFill="accent1" w:themeFillTint="66"/>
            <w:vAlign w:val="center"/>
          </w:tcPr>
          <w:p w14:paraId="38BE4B72" w14:textId="245B06CD" w:rsidR="00A47392" w:rsidRPr="00F258FE" w:rsidRDefault="00A47392" w:rsidP="00A47392">
            <w:pPr>
              <w:spacing w:before="0" w:after="0"/>
              <w:ind w:firstLine="0"/>
              <w:jc w:val="center"/>
              <w:rPr>
                <w:rFonts w:eastAsia="Times New Roman" w:cs="Times New Roman"/>
                <w:b/>
                <w:bCs/>
                <w:color w:val="000000"/>
                <w:sz w:val="20"/>
                <w:szCs w:val="20"/>
                <w:lang w:eastAsia="lv-LV"/>
              </w:rPr>
            </w:pPr>
            <w:r>
              <w:rPr>
                <w:color w:val="000000"/>
                <w:sz w:val="20"/>
                <w:szCs w:val="20"/>
              </w:rPr>
              <w:t>-906,8</w:t>
            </w:r>
          </w:p>
        </w:tc>
      </w:tr>
      <w:tr w:rsidR="00A47392" w:rsidRPr="00F258FE" w14:paraId="3D693D8D" w14:textId="77777777" w:rsidTr="003D6507">
        <w:trPr>
          <w:trHeight w:val="355"/>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77A5A146" w14:textId="703915E6" w:rsidR="00A47392" w:rsidRPr="00F258FE" w:rsidRDefault="00A47392" w:rsidP="003D6507">
            <w:pPr>
              <w:spacing w:before="0" w:after="0"/>
              <w:ind w:firstLine="0"/>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Vispārējās valdības budžeta bilance</w:t>
            </w:r>
            <w:r>
              <w:rPr>
                <w:rFonts w:eastAsia="Times New Roman" w:cs="Times New Roman"/>
                <w:b/>
                <w:bCs/>
                <w:color w:val="000000"/>
                <w:sz w:val="20"/>
                <w:szCs w:val="20"/>
                <w:lang w:eastAsia="lv-LV"/>
              </w:rPr>
              <w:t>s novirze no bāzes scenārija</w:t>
            </w:r>
            <w:r w:rsidRPr="00F258FE">
              <w:rPr>
                <w:rFonts w:eastAsia="Times New Roman" w:cs="Times New Roman"/>
                <w:b/>
                <w:bCs/>
                <w:color w:val="000000"/>
                <w:sz w:val="20"/>
                <w:szCs w:val="20"/>
                <w:lang w:eastAsia="lv-LV"/>
              </w:rPr>
              <w:t>, % no IKP</w:t>
            </w:r>
          </w:p>
        </w:tc>
        <w:tc>
          <w:tcPr>
            <w:tcW w:w="993" w:type="dxa"/>
            <w:tcBorders>
              <w:top w:val="nil"/>
              <w:left w:val="nil"/>
              <w:bottom w:val="single" w:sz="8" w:space="0" w:color="auto"/>
              <w:right w:val="single" w:sz="8" w:space="0" w:color="auto"/>
            </w:tcBorders>
            <w:shd w:val="clear" w:color="auto" w:fill="auto"/>
            <w:vAlign w:val="center"/>
            <w:hideMark/>
          </w:tcPr>
          <w:p w14:paraId="2828E940" w14:textId="77777777"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-0,8</w:t>
            </w:r>
          </w:p>
        </w:tc>
        <w:tc>
          <w:tcPr>
            <w:tcW w:w="992" w:type="dxa"/>
            <w:tcBorders>
              <w:top w:val="nil"/>
              <w:left w:val="nil"/>
              <w:bottom w:val="single" w:sz="8" w:space="0" w:color="auto"/>
              <w:right w:val="single" w:sz="8" w:space="0" w:color="auto"/>
            </w:tcBorders>
            <w:shd w:val="clear" w:color="auto" w:fill="auto"/>
            <w:vAlign w:val="center"/>
            <w:hideMark/>
          </w:tcPr>
          <w:p w14:paraId="4489089A" w14:textId="77777777"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-2,0</w:t>
            </w:r>
          </w:p>
        </w:tc>
        <w:tc>
          <w:tcPr>
            <w:tcW w:w="975" w:type="dxa"/>
            <w:tcBorders>
              <w:top w:val="nil"/>
              <w:left w:val="nil"/>
              <w:bottom w:val="single" w:sz="8" w:space="0" w:color="auto"/>
              <w:right w:val="single" w:sz="8" w:space="0" w:color="auto"/>
            </w:tcBorders>
            <w:shd w:val="clear" w:color="auto" w:fill="auto"/>
            <w:vAlign w:val="center"/>
            <w:hideMark/>
          </w:tcPr>
          <w:p w14:paraId="581BD94E" w14:textId="77777777"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-1,4</w:t>
            </w:r>
          </w:p>
        </w:tc>
        <w:tc>
          <w:tcPr>
            <w:tcW w:w="1019" w:type="dxa"/>
            <w:tcBorders>
              <w:top w:val="nil"/>
              <w:left w:val="nil"/>
              <w:bottom w:val="single" w:sz="8" w:space="0" w:color="auto"/>
              <w:right w:val="single" w:sz="8" w:space="0" w:color="auto"/>
            </w:tcBorders>
            <w:shd w:val="clear" w:color="auto" w:fill="auto"/>
            <w:vAlign w:val="center"/>
            <w:hideMark/>
          </w:tcPr>
          <w:p w14:paraId="3F6C6B9D" w14:textId="77777777" w:rsidR="00A47392" w:rsidRPr="00F258FE" w:rsidRDefault="00A47392" w:rsidP="00A47392">
            <w:pPr>
              <w:spacing w:before="0" w:after="0"/>
              <w:ind w:firstLine="0"/>
              <w:jc w:val="center"/>
              <w:rPr>
                <w:rFonts w:eastAsia="Times New Roman" w:cs="Times New Roman"/>
                <w:b/>
                <w:bCs/>
                <w:color w:val="000000"/>
                <w:sz w:val="20"/>
                <w:szCs w:val="20"/>
                <w:lang w:eastAsia="lv-LV"/>
              </w:rPr>
            </w:pPr>
            <w:r w:rsidRPr="00F258FE">
              <w:rPr>
                <w:rFonts w:eastAsia="Times New Roman" w:cs="Times New Roman"/>
                <w:b/>
                <w:bCs/>
                <w:color w:val="000000"/>
                <w:sz w:val="20"/>
                <w:szCs w:val="20"/>
                <w:lang w:eastAsia="lv-LV"/>
              </w:rPr>
              <w:t>-1,2</w:t>
            </w:r>
          </w:p>
        </w:tc>
      </w:tr>
      <w:tr w:rsidR="00A47392" w:rsidRPr="00F258FE" w14:paraId="65238139" w14:textId="77777777" w:rsidTr="003D6507">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096B2A0F" w14:textId="17744B49" w:rsidR="00A47392" w:rsidRPr="00A47392" w:rsidRDefault="00A47392" w:rsidP="003D6507">
            <w:pPr>
              <w:spacing w:before="0" w:after="0"/>
              <w:ind w:firstLine="0"/>
              <w:rPr>
                <w:rFonts w:eastAsia="Times New Roman" w:cs="Times New Roman"/>
                <w:color w:val="000000"/>
                <w:sz w:val="20"/>
                <w:szCs w:val="20"/>
                <w:lang w:eastAsia="lv-LV"/>
              </w:rPr>
            </w:pPr>
            <w:r w:rsidRPr="00A47392">
              <w:rPr>
                <w:rFonts w:eastAsia="Times New Roman" w:cs="Times New Roman"/>
                <w:bCs/>
                <w:color w:val="000000"/>
                <w:sz w:val="20"/>
                <w:szCs w:val="20"/>
                <w:lang w:eastAsia="lv-LV"/>
              </w:rPr>
              <w:t xml:space="preserve">Vispārējās valdības budžeta bilances novirze no bāzes scenārija, milj. </w:t>
            </w:r>
            <w:proofErr w:type="spellStart"/>
            <w:r w:rsidRPr="00A47392">
              <w:rPr>
                <w:rFonts w:eastAsia="Times New Roman" w:cs="Times New Roman"/>
                <w:bCs/>
                <w:i/>
                <w:color w:val="000000"/>
                <w:sz w:val="20"/>
                <w:szCs w:val="20"/>
                <w:lang w:eastAsia="lv-LV"/>
              </w:rPr>
              <w:t>euro</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6F394123" w14:textId="0D25D658"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-173,6</w:t>
            </w:r>
          </w:p>
        </w:tc>
        <w:tc>
          <w:tcPr>
            <w:tcW w:w="992" w:type="dxa"/>
            <w:tcBorders>
              <w:top w:val="nil"/>
              <w:left w:val="nil"/>
              <w:bottom w:val="single" w:sz="8" w:space="0" w:color="auto"/>
              <w:right w:val="single" w:sz="8" w:space="0" w:color="auto"/>
            </w:tcBorders>
            <w:shd w:val="clear" w:color="auto" w:fill="auto"/>
            <w:vAlign w:val="center"/>
            <w:hideMark/>
          </w:tcPr>
          <w:p w14:paraId="0284C4B2" w14:textId="36C505C5"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-505,4</w:t>
            </w:r>
          </w:p>
        </w:tc>
        <w:tc>
          <w:tcPr>
            <w:tcW w:w="975" w:type="dxa"/>
            <w:tcBorders>
              <w:top w:val="nil"/>
              <w:left w:val="nil"/>
              <w:bottom w:val="single" w:sz="8" w:space="0" w:color="auto"/>
              <w:right w:val="single" w:sz="8" w:space="0" w:color="auto"/>
            </w:tcBorders>
            <w:shd w:val="clear" w:color="auto" w:fill="auto"/>
            <w:vAlign w:val="center"/>
            <w:hideMark/>
          </w:tcPr>
          <w:p w14:paraId="3A7A8036" w14:textId="7076400F"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-393,8</w:t>
            </w:r>
          </w:p>
        </w:tc>
        <w:tc>
          <w:tcPr>
            <w:tcW w:w="1019" w:type="dxa"/>
            <w:tcBorders>
              <w:top w:val="nil"/>
              <w:left w:val="nil"/>
              <w:bottom w:val="single" w:sz="8" w:space="0" w:color="auto"/>
              <w:right w:val="single" w:sz="8" w:space="0" w:color="auto"/>
            </w:tcBorders>
            <w:shd w:val="clear" w:color="auto" w:fill="auto"/>
            <w:vAlign w:val="center"/>
            <w:hideMark/>
          </w:tcPr>
          <w:p w14:paraId="08955D28" w14:textId="0B840E0B"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-343,0</w:t>
            </w:r>
          </w:p>
        </w:tc>
      </w:tr>
      <w:tr w:rsidR="00A47392" w:rsidRPr="00F258FE" w14:paraId="288EA138" w14:textId="77777777" w:rsidTr="006F7F16">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0054EFA0" w14:textId="77777777" w:rsidR="00A47392" w:rsidRPr="00F258FE" w:rsidRDefault="00A47392" w:rsidP="00A47392">
            <w:pPr>
              <w:spacing w:before="0" w:after="0"/>
              <w:ind w:firstLineChars="100" w:firstLine="200"/>
              <w:jc w:val="left"/>
              <w:rPr>
                <w:rFonts w:eastAsia="Times New Roman" w:cs="Times New Roman"/>
                <w:color w:val="000000"/>
                <w:sz w:val="20"/>
                <w:szCs w:val="20"/>
                <w:lang w:eastAsia="lv-LV"/>
              </w:rPr>
            </w:pPr>
            <w:r w:rsidRPr="00F258FE">
              <w:rPr>
                <w:rFonts w:eastAsia="Times New Roman" w:cs="Times New Roman"/>
                <w:color w:val="000000"/>
                <w:sz w:val="20"/>
                <w:szCs w:val="20"/>
                <w:lang w:eastAsia="lv-LV"/>
              </w:rPr>
              <w:t>Nodokļu ieņēmumi</w:t>
            </w:r>
          </w:p>
        </w:tc>
        <w:tc>
          <w:tcPr>
            <w:tcW w:w="993" w:type="dxa"/>
            <w:tcBorders>
              <w:top w:val="nil"/>
              <w:left w:val="nil"/>
              <w:bottom w:val="single" w:sz="8" w:space="0" w:color="auto"/>
              <w:right w:val="single" w:sz="8" w:space="0" w:color="auto"/>
            </w:tcBorders>
            <w:shd w:val="clear" w:color="auto" w:fill="auto"/>
            <w:vAlign w:val="center"/>
            <w:hideMark/>
          </w:tcPr>
          <w:p w14:paraId="55798026" w14:textId="097C7E8F"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-154,2</w:t>
            </w:r>
          </w:p>
        </w:tc>
        <w:tc>
          <w:tcPr>
            <w:tcW w:w="992" w:type="dxa"/>
            <w:tcBorders>
              <w:top w:val="nil"/>
              <w:left w:val="nil"/>
              <w:bottom w:val="single" w:sz="8" w:space="0" w:color="auto"/>
              <w:right w:val="single" w:sz="8" w:space="0" w:color="auto"/>
            </w:tcBorders>
            <w:shd w:val="clear" w:color="auto" w:fill="auto"/>
            <w:vAlign w:val="center"/>
            <w:hideMark/>
          </w:tcPr>
          <w:p w14:paraId="31362665" w14:textId="6461FB73"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-448,7</w:t>
            </w:r>
          </w:p>
        </w:tc>
        <w:tc>
          <w:tcPr>
            <w:tcW w:w="975" w:type="dxa"/>
            <w:tcBorders>
              <w:top w:val="nil"/>
              <w:left w:val="nil"/>
              <w:bottom w:val="single" w:sz="8" w:space="0" w:color="auto"/>
              <w:right w:val="single" w:sz="8" w:space="0" w:color="auto"/>
            </w:tcBorders>
            <w:shd w:val="clear" w:color="auto" w:fill="auto"/>
            <w:vAlign w:val="center"/>
            <w:hideMark/>
          </w:tcPr>
          <w:p w14:paraId="056BCAD6" w14:textId="5BF6AA55"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-385,3</w:t>
            </w:r>
          </w:p>
        </w:tc>
        <w:tc>
          <w:tcPr>
            <w:tcW w:w="1019" w:type="dxa"/>
            <w:tcBorders>
              <w:top w:val="nil"/>
              <w:left w:val="nil"/>
              <w:bottom w:val="single" w:sz="8" w:space="0" w:color="auto"/>
              <w:right w:val="single" w:sz="8" w:space="0" w:color="auto"/>
            </w:tcBorders>
            <w:shd w:val="clear" w:color="auto" w:fill="auto"/>
            <w:vAlign w:val="center"/>
            <w:hideMark/>
          </w:tcPr>
          <w:p w14:paraId="13511490" w14:textId="66C2B28E"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-364,7</w:t>
            </w:r>
          </w:p>
        </w:tc>
      </w:tr>
      <w:tr w:rsidR="00A47392" w:rsidRPr="00F258FE" w14:paraId="4AE47795" w14:textId="77777777" w:rsidTr="006F7F16">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02CBB112" w14:textId="77777777" w:rsidR="00A47392" w:rsidRPr="00F258FE" w:rsidRDefault="00A47392" w:rsidP="00A47392">
            <w:pPr>
              <w:spacing w:before="0" w:after="0"/>
              <w:ind w:firstLine="0"/>
              <w:jc w:val="right"/>
              <w:rPr>
                <w:rFonts w:eastAsia="Times New Roman" w:cs="Times New Roman"/>
                <w:i/>
                <w:iCs/>
                <w:color w:val="000000"/>
                <w:sz w:val="20"/>
                <w:szCs w:val="20"/>
                <w:lang w:eastAsia="lv-LV"/>
              </w:rPr>
            </w:pPr>
            <w:r w:rsidRPr="00F258FE">
              <w:rPr>
                <w:rFonts w:eastAsia="Times New Roman" w:cs="Times New Roman"/>
                <w:i/>
                <w:iCs/>
                <w:color w:val="000000"/>
                <w:sz w:val="20"/>
                <w:szCs w:val="20"/>
                <w:lang w:eastAsia="lv-LV"/>
              </w:rPr>
              <w:t>Iedzīvotāju ienākuma nodoklis</w:t>
            </w:r>
          </w:p>
        </w:tc>
        <w:tc>
          <w:tcPr>
            <w:tcW w:w="993" w:type="dxa"/>
            <w:tcBorders>
              <w:top w:val="nil"/>
              <w:left w:val="nil"/>
              <w:bottom w:val="single" w:sz="8" w:space="0" w:color="auto"/>
              <w:right w:val="single" w:sz="8" w:space="0" w:color="auto"/>
            </w:tcBorders>
            <w:shd w:val="clear" w:color="auto" w:fill="auto"/>
            <w:vAlign w:val="center"/>
            <w:hideMark/>
          </w:tcPr>
          <w:p w14:paraId="5B54BD34" w14:textId="45CFD6CF"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-44,1</w:t>
            </w:r>
          </w:p>
        </w:tc>
        <w:tc>
          <w:tcPr>
            <w:tcW w:w="992" w:type="dxa"/>
            <w:tcBorders>
              <w:top w:val="nil"/>
              <w:left w:val="nil"/>
              <w:bottom w:val="single" w:sz="8" w:space="0" w:color="auto"/>
              <w:right w:val="single" w:sz="8" w:space="0" w:color="auto"/>
            </w:tcBorders>
            <w:shd w:val="clear" w:color="auto" w:fill="auto"/>
            <w:vAlign w:val="center"/>
            <w:hideMark/>
          </w:tcPr>
          <w:p w14:paraId="5CEB608A" w14:textId="65C45724"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-94,4</w:t>
            </w:r>
          </w:p>
        </w:tc>
        <w:tc>
          <w:tcPr>
            <w:tcW w:w="975" w:type="dxa"/>
            <w:tcBorders>
              <w:top w:val="nil"/>
              <w:left w:val="nil"/>
              <w:bottom w:val="single" w:sz="8" w:space="0" w:color="auto"/>
              <w:right w:val="single" w:sz="8" w:space="0" w:color="auto"/>
            </w:tcBorders>
            <w:shd w:val="clear" w:color="auto" w:fill="auto"/>
            <w:vAlign w:val="center"/>
            <w:hideMark/>
          </w:tcPr>
          <w:p w14:paraId="4CE36726" w14:textId="6FD43F93"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-84,6</w:t>
            </w:r>
          </w:p>
        </w:tc>
        <w:tc>
          <w:tcPr>
            <w:tcW w:w="1019" w:type="dxa"/>
            <w:tcBorders>
              <w:top w:val="nil"/>
              <w:left w:val="nil"/>
              <w:bottom w:val="single" w:sz="8" w:space="0" w:color="auto"/>
              <w:right w:val="single" w:sz="8" w:space="0" w:color="auto"/>
            </w:tcBorders>
            <w:shd w:val="clear" w:color="auto" w:fill="auto"/>
            <w:vAlign w:val="center"/>
            <w:hideMark/>
          </w:tcPr>
          <w:p w14:paraId="4AF8EE8D" w14:textId="2BA86721"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-84,1</w:t>
            </w:r>
          </w:p>
        </w:tc>
      </w:tr>
      <w:tr w:rsidR="00A47392" w:rsidRPr="00F258FE" w14:paraId="57A2CA23" w14:textId="77777777" w:rsidTr="006F7F16">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39CC593C" w14:textId="77777777" w:rsidR="00A47392" w:rsidRPr="00F258FE" w:rsidRDefault="00A47392" w:rsidP="00A47392">
            <w:pPr>
              <w:spacing w:before="0" w:after="0"/>
              <w:ind w:firstLine="0"/>
              <w:jc w:val="right"/>
              <w:rPr>
                <w:rFonts w:eastAsia="Times New Roman" w:cs="Times New Roman"/>
                <w:i/>
                <w:iCs/>
                <w:color w:val="000000"/>
                <w:sz w:val="20"/>
                <w:szCs w:val="20"/>
                <w:lang w:eastAsia="lv-LV"/>
              </w:rPr>
            </w:pPr>
            <w:r w:rsidRPr="00F258FE">
              <w:rPr>
                <w:rFonts w:eastAsia="Times New Roman" w:cs="Times New Roman"/>
                <w:i/>
                <w:iCs/>
                <w:color w:val="000000"/>
                <w:sz w:val="20"/>
                <w:szCs w:val="20"/>
                <w:lang w:eastAsia="lv-LV"/>
              </w:rPr>
              <w:t>Uzņēmuma ienākuma nodoklis</w:t>
            </w:r>
          </w:p>
        </w:tc>
        <w:tc>
          <w:tcPr>
            <w:tcW w:w="993" w:type="dxa"/>
            <w:tcBorders>
              <w:top w:val="nil"/>
              <w:left w:val="nil"/>
              <w:bottom w:val="single" w:sz="8" w:space="0" w:color="auto"/>
              <w:right w:val="single" w:sz="8" w:space="0" w:color="auto"/>
            </w:tcBorders>
            <w:shd w:val="clear" w:color="auto" w:fill="auto"/>
            <w:vAlign w:val="center"/>
            <w:hideMark/>
          </w:tcPr>
          <w:p w14:paraId="6F881EEC" w14:textId="04FB8361"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-10,0</w:t>
            </w:r>
          </w:p>
        </w:tc>
        <w:tc>
          <w:tcPr>
            <w:tcW w:w="992" w:type="dxa"/>
            <w:tcBorders>
              <w:top w:val="nil"/>
              <w:left w:val="nil"/>
              <w:bottom w:val="single" w:sz="8" w:space="0" w:color="auto"/>
              <w:right w:val="single" w:sz="8" w:space="0" w:color="auto"/>
            </w:tcBorders>
            <w:shd w:val="clear" w:color="auto" w:fill="auto"/>
            <w:vAlign w:val="center"/>
            <w:hideMark/>
          </w:tcPr>
          <w:p w14:paraId="5417328D" w14:textId="53D2B469"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-10,0</w:t>
            </w:r>
          </w:p>
        </w:tc>
        <w:tc>
          <w:tcPr>
            <w:tcW w:w="975" w:type="dxa"/>
            <w:tcBorders>
              <w:top w:val="nil"/>
              <w:left w:val="nil"/>
              <w:bottom w:val="single" w:sz="8" w:space="0" w:color="auto"/>
              <w:right w:val="single" w:sz="8" w:space="0" w:color="auto"/>
            </w:tcBorders>
            <w:shd w:val="clear" w:color="auto" w:fill="auto"/>
            <w:vAlign w:val="center"/>
            <w:hideMark/>
          </w:tcPr>
          <w:p w14:paraId="18FB3DF1" w14:textId="61D75E3F"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-10,0</w:t>
            </w:r>
          </w:p>
        </w:tc>
        <w:tc>
          <w:tcPr>
            <w:tcW w:w="1019" w:type="dxa"/>
            <w:tcBorders>
              <w:top w:val="nil"/>
              <w:left w:val="nil"/>
              <w:bottom w:val="single" w:sz="8" w:space="0" w:color="auto"/>
              <w:right w:val="single" w:sz="8" w:space="0" w:color="auto"/>
            </w:tcBorders>
            <w:shd w:val="clear" w:color="auto" w:fill="auto"/>
            <w:vAlign w:val="center"/>
            <w:hideMark/>
          </w:tcPr>
          <w:p w14:paraId="7983FD8C" w14:textId="38688277"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-7,0</w:t>
            </w:r>
          </w:p>
        </w:tc>
      </w:tr>
      <w:tr w:rsidR="00A47392" w:rsidRPr="00F258FE" w14:paraId="3EB2E6BD" w14:textId="77777777" w:rsidTr="006F7F16">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1B31784F" w14:textId="77777777" w:rsidR="00A47392" w:rsidRPr="00F258FE" w:rsidRDefault="00A47392" w:rsidP="00A47392">
            <w:pPr>
              <w:spacing w:before="0" w:after="0"/>
              <w:ind w:firstLine="0"/>
              <w:jc w:val="right"/>
              <w:rPr>
                <w:rFonts w:eastAsia="Times New Roman" w:cs="Times New Roman"/>
                <w:i/>
                <w:iCs/>
                <w:color w:val="000000"/>
                <w:sz w:val="20"/>
                <w:szCs w:val="20"/>
                <w:lang w:eastAsia="lv-LV"/>
              </w:rPr>
            </w:pPr>
            <w:r w:rsidRPr="00F258FE">
              <w:rPr>
                <w:rFonts w:eastAsia="Times New Roman" w:cs="Times New Roman"/>
                <w:i/>
                <w:iCs/>
                <w:color w:val="000000"/>
                <w:sz w:val="20"/>
                <w:szCs w:val="20"/>
                <w:lang w:eastAsia="lv-LV"/>
              </w:rPr>
              <w:t>Pievienotās vērtības nodoklis</w:t>
            </w:r>
          </w:p>
        </w:tc>
        <w:tc>
          <w:tcPr>
            <w:tcW w:w="993" w:type="dxa"/>
            <w:tcBorders>
              <w:top w:val="nil"/>
              <w:left w:val="nil"/>
              <w:bottom w:val="single" w:sz="8" w:space="0" w:color="auto"/>
              <w:right w:val="single" w:sz="8" w:space="0" w:color="auto"/>
            </w:tcBorders>
            <w:shd w:val="clear" w:color="auto" w:fill="auto"/>
            <w:vAlign w:val="center"/>
            <w:hideMark/>
          </w:tcPr>
          <w:p w14:paraId="53E12F23" w14:textId="6FE44F7D"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-65,4</w:t>
            </w:r>
          </w:p>
        </w:tc>
        <w:tc>
          <w:tcPr>
            <w:tcW w:w="992" w:type="dxa"/>
            <w:tcBorders>
              <w:top w:val="nil"/>
              <w:left w:val="nil"/>
              <w:bottom w:val="single" w:sz="8" w:space="0" w:color="auto"/>
              <w:right w:val="single" w:sz="8" w:space="0" w:color="auto"/>
            </w:tcBorders>
            <w:shd w:val="clear" w:color="auto" w:fill="auto"/>
            <w:vAlign w:val="center"/>
            <w:hideMark/>
          </w:tcPr>
          <w:p w14:paraId="00DA33A6" w14:textId="03C61D03"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-144,7</w:t>
            </w:r>
          </w:p>
        </w:tc>
        <w:tc>
          <w:tcPr>
            <w:tcW w:w="975" w:type="dxa"/>
            <w:tcBorders>
              <w:top w:val="nil"/>
              <w:left w:val="nil"/>
              <w:bottom w:val="single" w:sz="8" w:space="0" w:color="auto"/>
              <w:right w:val="single" w:sz="8" w:space="0" w:color="auto"/>
            </w:tcBorders>
            <w:shd w:val="clear" w:color="auto" w:fill="auto"/>
            <w:vAlign w:val="center"/>
            <w:hideMark/>
          </w:tcPr>
          <w:p w14:paraId="4DFC2A4A" w14:textId="3F6F0041"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-131,6</w:t>
            </w:r>
          </w:p>
        </w:tc>
        <w:tc>
          <w:tcPr>
            <w:tcW w:w="1019" w:type="dxa"/>
            <w:tcBorders>
              <w:top w:val="nil"/>
              <w:left w:val="nil"/>
              <w:bottom w:val="single" w:sz="8" w:space="0" w:color="auto"/>
              <w:right w:val="single" w:sz="8" w:space="0" w:color="auto"/>
            </w:tcBorders>
            <w:shd w:val="clear" w:color="auto" w:fill="auto"/>
            <w:vAlign w:val="center"/>
            <w:hideMark/>
          </w:tcPr>
          <w:p w14:paraId="5DEF418F" w14:textId="0C65C004"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-139,2</w:t>
            </w:r>
          </w:p>
        </w:tc>
      </w:tr>
      <w:tr w:rsidR="00A47392" w:rsidRPr="00F258FE" w14:paraId="6BCFBE14" w14:textId="77777777" w:rsidTr="007F72CF">
        <w:trPr>
          <w:trHeight w:val="84"/>
        </w:trPr>
        <w:tc>
          <w:tcPr>
            <w:tcW w:w="5093" w:type="dxa"/>
            <w:tcBorders>
              <w:top w:val="nil"/>
              <w:left w:val="single" w:sz="8" w:space="0" w:color="auto"/>
              <w:bottom w:val="single" w:sz="8" w:space="0" w:color="auto"/>
              <w:right w:val="single" w:sz="8" w:space="0" w:color="auto"/>
            </w:tcBorders>
            <w:shd w:val="clear" w:color="auto" w:fill="auto"/>
            <w:vAlign w:val="bottom"/>
            <w:hideMark/>
          </w:tcPr>
          <w:p w14:paraId="704AA7B1" w14:textId="79A56652" w:rsidR="00A47392" w:rsidRPr="00F258FE" w:rsidRDefault="00A47392" w:rsidP="00A47392">
            <w:pPr>
              <w:spacing w:before="0" w:after="0"/>
              <w:ind w:firstLine="0"/>
              <w:jc w:val="right"/>
              <w:rPr>
                <w:rFonts w:eastAsia="Times New Roman" w:cs="Times New Roman"/>
                <w:i/>
                <w:iCs/>
                <w:color w:val="000000"/>
                <w:sz w:val="20"/>
                <w:szCs w:val="20"/>
                <w:lang w:eastAsia="lv-LV"/>
              </w:rPr>
            </w:pPr>
            <w:bookmarkStart w:id="8" w:name="RANGE!A13"/>
            <w:r w:rsidRPr="00F258FE">
              <w:rPr>
                <w:rFonts w:eastAsia="Times New Roman" w:cs="Times New Roman"/>
                <w:i/>
                <w:iCs/>
                <w:color w:val="000000"/>
                <w:sz w:val="20"/>
                <w:szCs w:val="20"/>
                <w:lang w:eastAsia="lv-LV"/>
              </w:rPr>
              <w:t>Valsts sociālās apdrošināšanas obligātās  iemaksas</w:t>
            </w:r>
            <w:bookmarkEnd w:id="8"/>
          </w:p>
        </w:tc>
        <w:tc>
          <w:tcPr>
            <w:tcW w:w="993" w:type="dxa"/>
            <w:tcBorders>
              <w:top w:val="nil"/>
              <w:left w:val="nil"/>
              <w:bottom w:val="single" w:sz="8" w:space="0" w:color="auto"/>
              <w:right w:val="single" w:sz="8" w:space="0" w:color="auto"/>
            </w:tcBorders>
            <w:shd w:val="clear" w:color="auto" w:fill="auto"/>
            <w:vAlign w:val="center"/>
            <w:hideMark/>
          </w:tcPr>
          <w:p w14:paraId="7B1012A1" w14:textId="048625E7"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-2,3</w:t>
            </w:r>
          </w:p>
        </w:tc>
        <w:tc>
          <w:tcPr>
            <w:tcW w:w="992" w:type="dxa"/>
            <w:tcBorders>
              <w:top w:val="nil"/>
              <w:left w:val="nil"/>
              <w:bottom w:val="single" w:sz="8" w:space="0" w:color="auto"/>
              <w:right w:val="single" w:sz="8" w:space="0" w:color="auto"/>
            </w:tcBorders>
            <w:shd w:val="clear" w:color="auto" w:fill="auto"/>
            <w:vAlign w:val="center"/>
            <w:hideMark/>
          </w:tcPr>
          <w:p w14:paraId="32A7A8E5" w14:textId="320D98D7"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-125,0</w:t>
            </w:r>
          </w:p>
        </w:tc>
        <w:tc>
          <w:tcPr>
            <w:tcW w:w="975" w:type="dxa"/>
            <w:tcBorders>
              <w:top w:val="nil"/>
              <w:left w:val="nil"/>
              <w:bottom w:val="single" w:sz="8" w:space="0" w:color="auto"/>
              <w:right w:val="single" w:sz="8" w:space="0" w:color="auto"/>
            </w:tcBorders>
            <w:shd w:val="clear" w:color="auto" w:fill="auto"/>
            <w:vAlign w:val="center"/>
            <w:hideMark/>
          </w:tcPr>
          <w:p w14:paraId="65071D26" w14:textId="67318F26"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-93,8</w:t>
            </w:r>
          </w:p>
        </w:tc>
        <w:tc>
          <w:tcPr>
            <w:tcW w:w="1019" w:type="dxa"/>
            <w:tcBorders>
              <w:top w:val="nil"/>
              <w:left w:val="nil"/>
              <w:bottom w:val="single" w:sz="8" w:space="0" w:color="auto"/>
              <w:right w:val="single" w:sz="8" w:space="0" w:color="auto"/>
            </w:tcBorders>
            <w:shd w:val="clear" w:color="auto" w:fill="auto"/>
            <w:vAlign w:val="center"/>
            <w:hideMark/>
          </w:tcPr>
          <w:p w14:paraId="5CF63157" w14:textId="7F64ED15"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-67,5</w:t>
            </w:r>
          </w:p>
        </w:tc>
      </w:tr>
      <w:tr w:rsidR="00A47392" w:rsidRPr="00F258FE" w14:paraId="76727F7D" w14:textId="77777777" w:rsidTr="006F7F16">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1BBBFF8D" w14:textId="77777777" w:rsidR="00A47392" w:rsidRPr="00F258FE" w:rsidRDefault="00A47392" w:rsidP="00A47392">
            <w:pPr>
              <w:spacing w:before="0" w:after="0"/>
              <w:ind w:firstLine="0"/>
              <w:jc w:val="right"/>
              <w:rPr>
                <w:rFonts w:eastAsia="Times New Roman" w:cs="Times New Roman"/>
                <w:color w:val="000000"/>
                <w:sz w:val="20"/>
                <w:szCs w:val="20"/>
                <w:lang w:eastAsia="lv-LV"/>
              </w:rPr>
            </w:pPr>
            <w:r w:rsidRPr="00F258FE">
              <w:rPr>
                <w:rFonts w:eastAsia="Times New Roman" w:cs="Times New Roman"/>
                <w:color w:val="000000"/>
                <w:sz w:val="20"/>
                <w:szCs w:val="20"/>
                <w:lang w:eastAsia="lv-LV"/>
              </w:rPr>
              <w:t xml:space="preserve">          </w:t>
            </w:r>
            <w:r w:rsidRPr="00F258FE">
              <w:rPr>
                <w:rFonts w:eastAsia="Times New Roman" w:cs="Times New Roman"/>
                <w:i/>
                <w:iCs/>
                <w:color w:val="000000"/>
                <w:sz w:val="20"/>
                <w:szCs w:val="20"/>
                <w:lang w:eastAsia="lv-LV"/>
              </w:rPr>
              <w:t>Akcīzes nodoklis</w:t>
            </w:r>
          </w:p>
        </w:tc>
        <w:tc>
          <w:tcPr>
            <w:tcW w:w="993" w:type="dxa"/>
            <w:tcBorders>
              <w:top w:val="nil"/>
              <w:left w:val="nil"/>
              <w:bottom w:val="single" w:sz="8" w:space="0" w:color="auto"/>
              <w:right w:val="single" w:sz="8" w:space="0" w:color="auto"/>
            </w:tcBorders>
            <w:shd w:val="clear" w:color="auto" w:fill="auto"/>
            <w:vAlign w:val="center"/>
            <w:hideMark/>
          </w:tcPr>
          <w:p w14:paraId="1647887C" w14:textId="331273DE"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-27,1</w:t>
            </w:r>
          </w:p>
        </w:tc>
        <w:tc>
          <w:tcPr>
            <w:tcW w:w="992" w:type="dxa"/>
            <w:tcBorders>
              <w:top w:val="nil"/>
              <w:left w:val="nil"/>
              <w:bottom w:val="single" w:sz="8" w:space="0" w:color="auto"/>
              <w:right w:val="single" w:sz="8" w:space="0" w:color="auto"/>
            </w:tcBorders>
            <w:shd w:val="clear" w:color="auto" w:fill="auto"/>
            <w:vAlign w:val="center"/>
            <w:hideMark/>
          </w:tcPr>
          <w:p w14:paraId="514BC2BB" w14:textId="55CF3F94"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-59,8</w:t>
            </w:r>
          </w:p>
        </w:tc>
        <w:tc>
          <w:tcPr>
            <w:tcW w:w="975" w:type="dxa"/>
            <w:tcBorders>
              <w:top w:val="nil"/>
              <w:left w:val="nil"/>
              <w:bottom w:val="single" w:sz="8" w:space="0" w:color="auto"/>
              <w:right w:val="single" w:sz="8" w:space="0" w:color="auto"/>
            </w:tcBorders>
            <w:shd w:val="clear" w:color="auto" w:fill="auto"/>
            <w:vAlign w:val="center"/>
            <w:hideMark/>
          </w:tcPr>
          <w:p w14:paraId="627A56EC" w14:textId="0B0C3A87"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-52,8</w:t>
            </w:r>
          </w:p>
        </w:tc>
        <w:tc>
          <w:tcPr>
            <w:tcW w:w="1019" w:type="dxa"/>
            <w:tcBorders>
              <w:top w:val="nil"/>
              <w:left w:val="nil"/>
              <w:bottom w:val="single" w:sz="8" w:space="0" w:color="auto"/>
              <w:right w:val="single" w:sz="8" w:space="0" w:color="auto"/>
            </w:tcBorders>
            <w:shd w:val="clear" w:color="auto" w:fill="auto"/>
            <w:vAlign w:val="center"/>
            <w:hideMark/>
          </w:tcPr>
          <w:p w14:paraId="0A659785" w14:textId="552F84F5"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-54,1</w:t>
            </w:r>
          </w:p>
        </w:tc>
      </w:tr>
      <w:tr w:rsidR="00A47392" w:rsidRPr="00F258FE" w14:paraId="14999006" w14:textId="77777777" w:rsidTr="006F7F16">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2191C4C4" w14:textId="77777777" w:rsidR="00A47392" w:rsidRPr="00F258FE" w:rsidRDefault="00A47392" w:rsidP="00A47392">
            <w:pPr>
              <w:spacing w:before="0" w:after="0"/>
              <w:ind w:firstLineChars="100" w:firstLine="200"/>
              <w:jc w:val="left"/>
              <w:rPr>
                <w:rFonts w:eastAsia="Times New Roman" w:cs="Times New Roman"/>
                <w:color w:val="000000"/>
                <w:sz w:val="20"/>
                <w:szCs w:val="20"/>
                <w:lang w:eastAsia="lv-LV"/>
              </w:rPr>
            </w:pPr>
            <w:proofErr w:type="spellStart"/>
            <w:r w:rsidRPr="00F258FE">
              <w:rPr>
                <w:rFonts w:eastAsia="Times New Roman" w:cs="Times New Roman"/>
                <w:color w:val="000000"/>
                <w:sz w:val="20"/>
                <w:szCs w:val="20"/>
                <w:lang w:eastAsia="lv-LV"/>
              </w:rPr>
              <w:t>Nenodokļu</w:t>
            </w:r>
            <w:proofErr w:type="spellEnd"/>
            <w:r w:rsidRPr="00F258FE">
              <w:rPr>
                <w:rFonts w:eastAsia="Times New Roman" w:cs="Times New Roman"/>
                <w:color w:val="000000"/>
                <w:sz w:val="20"/>
                <w:szCs w:val="20"/>
                <w:lang w:eastAsia="lv-LV"/>
              </w:rPr>
              <w:t xml:space="preserve"> ieņēmumi</w:t>
            </w:r>
          </w:p>
        </w:tc>
        <w:tc>
          <w:tcPr>
            <w:tcW w:w="993" w:type="dxa"/>
            <w:tcBorders>
              <w:top w:val="nil"/>
              <w:left w:val="nil"/>
              <w:bottom w:val="single" w:sz="8" w:space="0" w:color="auto"/>
              <w:right w:val="single" w:sz="8" w:space="0" w:color="auto"/>
            </w:tcBorders>
            <w:shd w:val="clear" w:color="auto" w:fill="auto"/>
            <w:vAlign w:val="center"/>
            <w:hideMark/>
          </w:tcPr>
          <w:p w14:paraId="70364B79" w14:textId="4D6A8072"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0,0</w:t>
            </w:r>
          </w:p>
        </w:tc>
        <w:tc>
          <w:tcPr>
            <w:tcW w:w="992" w:type="dxa"/>
            <w:tcBorders>
              <w:top w:val="nil"/>
              <w:left w:val="nil"/>
              <w:bottom w:val="single" w:sz="8" w:space="0" w:color="auto"/>
              <w:right w:val="single" w:sz="8" w:space="0" w:color="auto"/>
            </w:tcBorders>
            <w:shd w:val="clear" w:color="auto" w:fill="auto"/>
            <w:vAlign w:val="center"/>
            <w:hideMark/>
          </w:tcPr>
          <w:p w14:paraId="6DFA4A9A" w14:textId="51830BC8"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-19,8</w:t>
            </w:r>
          </w:p>
        </w:tc>
        <w:tc>
          <w:tcPr>
            <w:tcW w:w="975" w:type="dxa"/>
            <w:tcBorders>
              <w:top w:val="nil"/>
              <w:left w:val="nil"/>
              <w:bottom w:val="single" w:sz="8" w:space="0" w:color="auto"/>
              <w:right w:val="single" w:sz="8" w:space="0" w:color="auto"/>
            </w:tcBorders>
            <w:shd w:val="clear" w:color="auto" w:fill="auto"/>
            <w:vAlign w:val="center"/>
            <w:hideMark/>
          </w:tcPr>
          <w:p w14:paraId="360CFAA5" w14:textId="4A91B327"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-15,6</w:t>
            </w:r>
          </w:p>
        </w:tc>
        <w:tc>
          <w:tcPr>
            <w:tcW w:w="1019" w:type="dxa"/>
            <w:tcBorders>
              <w:top w:val="nil"/>
              <w:left w:val="nil"/>
              <w:bottom w:val="single" w:sz="8" w:space="0" w:color="auto"/>
              <w:right w:val="single" w:sz="8" w:space="0" w:color="auto"/>
            </w:tcBorders>
            <w:shd w:val="clear" w:color="auto" w:fill="auto"/>
            <w:vAlign w:val="center"/>
            <w:hideMark/>
          </w:tcPr>
          <w:p w14:paraId="2AF859CB" w14:textId="5FDC29E6"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-15,7</w:t>
            </w:r>
          </w:p>
        </w:tc>
      </w:tr>
      <w:tr w:rsidR="00A47392" w:rsidRPr="00F258FE" w14:paraId="78339501" w14:textId="77777777" w:rsidTr="00A47392">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6236F066" w14:textId="77777777" w:rsidR="00A47392" w:rsidRPr="00F258FE" w:rsidRDefault="00A47392" w:rsidP="00A47392">
            <w:pPr>
              <w:spacing w:before="0" w:after="0"/>
              <w:ind w:firstLineChars="100" w:firstLine="200"/>
              <w:jc w:val="left"/>
              <w:rPr>
                <w:rFonts w:eastAsia="Times New Roman" w:cs="Times New Roman"/>
                <w:color w:val="000000"/>
                <w:sz w:val="20"/>
                <w:szCs w:val="20"/>
                <w:lang w:eastAsia="lv-LV"/>
              </w:rPr>
            </w:pPr>
            <w:r w:rsidRPr="00F258FE">
              <w:rPr>
                <w:rFonts w:eastAsia="Times New Roman" w:cs="Times New Roman"/>
                <w:color w:val="000000"/>
                <w:sz w:val="20"/>
                <w:szCs w:val="20"/>
                <w:lang w:eastAsia="lv-LV"/>
              </w:rPr>
              <w:t>Valsts speciālā budžeta izdevumi</w:t>
            </w:r>
          </w:p>
        </w:tc>
        <w:tc>
          <w:tcPr>
            <w:tcW w:w="993" w:type="dxa"/>
            <w:tcBorders>
              <w:top w:val="nil"/>
              <w:left w:val="nil"/>
              <w:bottom w:val="single" w:sz="8" w:space="0" w:color="auto"/>
              <w:right w:val="single" w:sz="8" w:space="0" w:color="auto"/>
            </w:tcBorders>
            <w:shd w:val="clear" w:color="auto" w:fill="auto"/>
            <w:vAlign w:val="center"/>
            <w:hideMark/>
          </w:tcPr>
          <w:p w14:paraId="70B15810" w14:textId="7B5AA169"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19,3</w:t>
            </w:r>
          </w:p>
        </w:tc>
        <w:tc>
          <w:tcPr>
            <w:tcW w:w="992" w:type="dxa"/>
            <w:tcBorders>
              <w:top w:val="nil"/>
              <w:left w:val="nil"/>
              <w:bottom w:val="single" w:sz="8" w:space="0" w:color="auto"/>
              <w:right w:val="single" w:sz="8" w:space="0" w:color="auto"/>
            </w:tcBorders>
            <w:shd w:val="clear" w:color="auto" w:fill="auto"/>
            <w:vAlign w:val="center"/>
            <w:hideMark/>
          </w:tcPr>
          <w:p w14:paraId="5E8C43F0" w14:textId="0D5AFF3B"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33,5</w:t>
            </w:r>
          </w:p>
        </w:tc>
        <w:tc>
          <w:tcPr>
            <w:tcW w:w="975" w:type="dxa"/>
            <w:tcBorders>
              <w:top w:val="nil"/>
              <w:left w:val="nil"/>
              <w:bottom w:val="single" w:sz="8" w:space="0" w:color="auto"/>
              <w:right w:val="single" w:sz="8" w:space="0" w:color="auto"/>
            </w:tcBorders>
            <w:shd w:val="clear" w:color="auto" w:fill="auto"/>
            <w:vAlign w:val="center"/>
            <w:hideMark/>
          </w:tcPr>
          <w:p w14:paraId="46173E35" w14:textId="65A15784"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-13,0</w:t>
            </w:r>
          </w:p>
        </w:tc>
        <w:tc>
          <w:tcPr>
            <w:tcW w:w="1019" w:type="dxa"/>
            <w:tcBorders>
              <w:top w:val="nil"/>
              <w:left w:val="nil"/>
              <w:bottom w:val="single" w:sz="8" w:space="0" w:color="auto"/>
              <w:right w:val="single" w:sz="8" w:space="0" w:color="auto"/>
            </w:tcBorders>
            <w:shd w:val="clear" w:color="auto" w:fill="auto"/>
            <w:vAlign w:val="center"/>
            <w:hideMark/>
          </w:tcPr>
          <w:p w14:paraId="04BA3FF0" w14:textId="420B5B31"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-47,5</w:t>
            </w:r>
          </w:p>
        </w:tc>
      </w:tr>
      <w:tr w:rsidR="00A47392" w:rsidRPr="00F258FE" w14:paraId="00408946" w14:textId="77777777" w:rsidTr="00A47392">
        <w:trPr>
          <w:trHeight w:val="213"/>
        </w:trPr>
        <w:tc>
          <w:tcPr>
            <w:tcW w:w="5093" w:type="dxa"/>
            <w:tcBorders>
              <w:top w:val="nil"/>
              <w:left w:val="single" w:sz="8" w:space="0" w:color="auto"/>
              <w:bottom w:val="single" w:sz="8" w:space="0" w:color="auto"/>
              <w:right w:val="single" w:sz="8" w:space="0" w:color="auto"/>
            </w:tcBorders>
            <w:shd w:val="clear" w:color="auto" w:fill="auto"/>
            <w:vAlign w:val="center"/>
            <w:hideMark/>
          </w:tcPr>
          <w:p w14:paraId="6DE837C1" w14:textId="77777777" w:rsidR="00A47392" w:rsidRPr="00F258FE" w:rsidRDefault="00A47392" w:rsidP="00A47392">
            <w:pPr>
              <w:spacing w:before="0" w:after="0"/>
              <w:ind w:firstLineChars="100" w:firstLine="200"/>
              <w:jc w:val="left"/>
              <w:rPr>
                <w:rFonts w:eastAsia="Times New Roman" w:cs="Times New Roman"/>
                <w:color w:val="000000"/>
                <w:sz w:val="20"/>
                <w:szCs w:val="20"/>
                <w:lang w:eastAsia="lv-LV"/>
              </w:rPr>
            </w:pPr>
            <w:r w:rsidRPr="00F258FE">
              <w:rPr>
                <w:rFonts w:eastAsia="Times New Roman" w:cs="Times New Roman"/>
                <w:color w:val="000000"/>
                <w:sz w:val="20"/>
                <w:szCs w:val="20"/>
                <w:lang w:eastAsia="lv-LV"/>
              </w:rPr>
              <w:t>Procentu izdevumi</w:t>
            </w:r>
          </w:p>
        </w:tc>
        <w:tc>
          <w:tcPr>
            <w:tcW w:w="993" w:type="dxa"/>
            <w:tcBorders>
              <w:top w:val="nil"/>
              <w:left w:val="nil"/>
              <w:bottom w:val="single" w:sz="8" w:space="0" w:color="auto"/>
              <w:right w:val="single" w:sz="8" w:space="0" w:color="auto"/>
            </w:tcBorders>
            <w:shd w:val="clear" w:color="auto" w:fill="auto"/>
            <w:vAlign w:val="center"/>
            <w:hideMark/>
          </w:tcPr>
          <w:p w14:paraId="00AFD2A4" w14:textId="48F5C8DF"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0,1</w:t>
            </w:r>
          </w:p>
        </w:tc>
        <w:tc>
          <w:tcPr>
            <w:tcW w:w="992" w:type="dxa"/>
            <w:tcBorders>
              <w:top w:val="nil"/>
              <w:left w:val="nil"/>
              <w:bottom w:val="single" w:sz="8" w:space="0" w:color="auto"/>
              <w:right w:val="single" w:sz="8" w:space="0" w:color="auto"/>
            </w:tcBorders>
            <w:shd w:val="clear" w:color="auto" w:fill="auto"/>
            <w:vAlign w:val="center"/>
            <w:hideMark/>
          </w:tcPr>
          <w:p w14:paraId="743083DD" w14:textId="6FF917D5"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3,4</w:t>
            </w:r>
          </w:p>
        </w:tc>
        <w:tc>
          <w:tcPr>
            <w:tcW w:w="975" w:type="dxa"/>
            <w:tcBorders>
              <w:top w:val="nil"/>
              <w:left w:val="nil"/>
              <w:bottom w:val="single" w:sz="8" w:space="0" w:color="auto"/>
              <w:right w:val="single" w:sz="8" w:space="0" w:color="auto"/>
            </w:tcBorders>
            <w:shd w:val="clear" w:color="auto" w:fill="auto"/>
            <w:vAlign w:val="center"/>
            <w:hideMark/>
          </w:tcPr>
          <w:p w14:paraId="043FAE86" w14:textId="22197476"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5,8</w:t>
            </w:r>
          </w:p>
        </w:tc>
        <w:tc>
          <w:tcPr>
            <w:tcW w:w="1019" w:type="dxa"/>
            <w:tcBorders>
              <w:top w:val="nil"/>
              <w:left w:val="nil"/>
              <w:bottom w:val="single" w:sz="8" w:space="0" w:color="auto"/>
              <w:right w:val="single" w:sz="8" w:space="0" w:color="auto"/>
            </w:tcBorders>
            <w:shd w:val="clear" w:color="auto" w:fill="auto"/>
            <w:vAlign w:val="center"/>
            <w:hideMark/>
          </w:tcPr>
          <w:p w14:paraId="1A1705A7" w14:textId="48C7EB57" w:rsidR="00A47392" w:rsidRPr="00F258FE" w:rsidRDefault="00A47392" w:rsidP="00A47392">
            <w:pPr>
              <w:spacing w:before="0" w:after="0"/>
              <w:ind w:firstLine="0"/>
              <w:jc w:val="center"/>
              <w:rPr>
                <w:rFonts w:eastAsia="Times New Roman" w:cs="Times New Roman"/>
                <w:color w:val="000000"/>
                <w:sz w:val="20"/>
                <w:szCs w:val="20"/>
                <w:lang w:eastAsia="lv-LV"/>
              </w:rPr>
            </w:pPr>
            <w:r>
              <w:rPr>
                <w:color w:val="000000"/>
                <w:sz w:val="20"/>
                <w:szCs w:val="20"/>
              </w:rPr>
              <w:t>10,2</w:t>
            </w:r>
          </w:p>
        </w:tc>
      </w:tr>
    </w:tbl>
    <w:p w14:paraId="4BE37BD2" w14:textId="77777777" w:rsidR="00A3684A" w:rsidRPr="00500AAB" w:rsidRDefault="00A3684A" w:rsidP="00A3684A">
      <w:pPr>
        <w:spacing w:before="60" w:after="60"/>
        <w:rPr>
          <w:rFonts w:eastAsia="Calibri" w:cs="Times New Roman"/>
          <w:szCs w:val="20"/>
        </w:rPr>
      </w:pPr>
    </w:p>
    <w:p w14:paraId="6C7E65C5" w14:textId="532F00E1" w:rsidR="00A3684A" w:rsidRDefault="00A3684A" w:rsidP="00A3684A">
      <w:pPr>
        <w:pStyle w:val="Heading1"/>
      </w:pPr>
      <w:r>
        <w:br w:type="page"/>
      </w:r>
    </w:p>
    <w:p w14:paraId="4C69FF62" w14:textId="4E9DA6CD" w:rsidR="00E73124" w:rsidRPr="007949F5" w:rsidRDefault="000F10E6" w:rsidP="00B861B6">
      <w:pPr>
        <w:pStyle w:val="Heading1"/>
        <w:numPr>
          <w:ilvl w:val="0"/>
          <w:numId w:val="19"/>
        </w:numPr>
        <w:ind w:left="426"/>
      </w:pPr>
      <w:bookmarkStart w:id="9" w:name="_Toc48048101"/>
      <w:r w:rsidRPr="007949F5">
        <w:lastRenderedPageBreak/>
        <w:t>Vispārējās valdības parāda prognoze pie nemainīgas valdības politikas 2021.-2023. gadā</w:t>
      </w:r>
      <w:bookmarkEnd w:id="9"/>
    </w:p>
    <w:p w14:paraId="08AC3DAF" w14:textId="7FBA0EBE" w:rsidR="00500AAB" w:rsidRPr="00500AAB" w:rsidRDefault="00B861B6" w:rsidP="00500AAB">
      <w:pPr>
        <w:rPr>
          <w:rFonts w:eastAsia="Times New Roman" w:cs="Times New Roman"/>
          <w:color w:val="000000"/>
          <w:szCs w:val="28"/>
        </w:rPr>
      </w:pPr>
      <w:bookmarkStart w:id="10" w:name="_Toc403038748"/>
      <w:r>
        <w:rPr>
          <w:rFonts w:eastAsia="Times New Roman" w:cs="Times New Roman"/>
          <w:color w:val="000000"/>
          <w:szCs w:val="28"/>
        </w:rPr>
        <w:t>Valsts kase ir sagatavojusi v</w:t>
      </w:r>
      <w:r w:rsidR="00500AAB" w:rsidRPr="00500AAB">
        <w:rPr>
          <w:rFonts w:eastAsia="Times New Roman" w:cs="Times New Roman"/>
          <w:color w:val="000000"/>
          <w:szCs w:val="28"/>
        </w:rPr>
        <w:t>is</w:t>
      </w:r>
      <w:r>
        <w:rPr>
          <w:rFonts w:eastAsia="Times New Roman" w:cs="Times New Roman"/>
          <w:color w:val="000000"/>
          <w:szCs w:val="28"/>
        </w:rPr>
        <w:t>pārējās valdības parāda prognozi,</w:t>
      </w:r>
      <w:r w:rsidR="00500AAB" w:rsidRPr="00500AAB">
        <w:rPr>
          <w:rFonts w:eastAsia="Times New Roman" w:cs="Times New Roman"/>
          <w:color w:val="000000"/>
          <w:szCs w:val="28"/>
        </w:rPr>
        <w:t xml:space="preserve"> ņemot vērā Finanšu ministrijas aktualizētās valsts budžeta finansiālās bilances prognozes pie</w:t>
      </w:r>
      <w:r>
        <w:rPr>
          <w:rFonts w:eastAsia="Times New Roman" w:cs="Times New Roman"/>
          <w:color w:val="000000"/>
          <w:szCs w:val="28"/>
        </w:rPr>
        <w:t xml:space="preserve"> nemainīgas valdības politikas, </w:t>
      </w:r>
      <w:r w:rsidR="00500AAB" w:rsidRPr="00500AAB">
        <w:rPr>
          <w:rFonts w:eastAsia="Times New Roman" w:cs="Times New Roman"/>
          <w:color w:val="000000"/>
          <w:szCs w:val="28"/>
        </w:rPr>
        <w:t>kā arī aktualizētas iekšzemes kopprodukta</w:t>
      </w:r>
      <w:r>
        <w:rPr>
          <w:rFonts w:eastAsia="Times New Roman" w:cs="Times New Roman"/>
          <w:color w:val="000000"/>
          <w:szCs w:val="28"/>
        </w:rPr>
        <w:t xml:space="preserve"> prognozes </w:t>
      </w:r>
      <w:r w:rsidR="00500AAB" w:rsidRPr="00500AAB">
        <w:rPr>
          <w:rFonts w:eastAsia="Times New Roman" w:cs="Times New Roman"/>
          <w:color w:val="000000"/>
          <w:szCs w:val="28"/>
        </w:rPr>
        <w:t>faktiskajās cenās</w:t>
      </w:r>
      <w:r>
        <w:rPr>
          <w:rFonts w:eastAsia="Times New Roman" w:cs="Times New Roman"/>
          <w:color w:val="000000"/>
          <w:szCs w:val="28"/>
        </w:rPr>
        <w:t xml:space="preserve">. Parāda prognoze ir sagatavota gan bāzes scenārijam, gan “Covid-19 </w:t>
      </w:r>
      <w:r w:rsidR="009C4DD4">
        <w:rPr>
          <w:rFonts w:eastAsia="Times New Roman" w:cs="Times New Roman"/>
          <w:color w:val="000000"/>
          <w:szCs w:val="28"/>
        </w:rPr>
        <w:t>2.</w:t>
      </w:r>
      <w:r>
        <w:rPr>
          <w:rFonts w:eastAsia="Times New Roman" w:cs="Times New Roman"/>
          <w:color w:val="000000"/>
          <w:szCs w:val="28"/>
        </w:rPr>
        <w:t>viļņa” scenārijam. Vispārējās valdības parāda prognožu salīdzinājums ar Stabilitātes programmā 2020.-2023. gadam iekļauto ir atspoguļots 7. tabulā.</w:t>
      </w:r>
      <w:r w:rsidR="00500AAB" w:rsidRPr="00500AAB">
        <w:rPr>
          <w:rFonts w:eastAsia="Times New Roman" w:cs="Times New Roman"/>
          <w:color w:val="000000"/>
          <w:szCs w:val="28"/>
        </w:rPr>
        <w:t xml:space="preserve"> </w:t>
      </w:r>
    </w:p>
    <w:p w14:paraId="52C70604" w14:textId="0084B5A8" w:rsidR="00500AAB" w:rsidRPr="00A3684A" w:rsidRDefault="00B861B6" w:rsidP="00884FC9">
      <w:pPr>
        <w:spacing w:before="240" w:after="60"/>
        <w:ind w:firstLine="0"/>
        <w:jc w:val="center"/>
        <w:rPr>
          <w:rFonts w:eastAsia="Calibri" w:cs="Times New Roman"/>
          <w:b/>
          <w:sz w:val="24"/>
          <w:szCs w:val="24"/>
        </w:rPr>
      </w:pPr>
      <w:r>
        <w:rPr>
          <w:rFonts w:eastAsia="Calibri" w:cs="Times New Roman"/>
          <w:b/>
          <w:sz w:val="24"/>
          <w:szCs w:val="24"/>
        </w:rPr>
        <w:t>7</w:t>
      </w:r>
      <w:r w:rsidR="00500AAB" w:rsidRPr="00A3684A">
        <w:rPr>
          <w:rFonts w:eastAsia="Calibri" w:cs="Times New Roman"/>
          <w:b/>
          <w:sz w:val="24"/>
          <w:szCs w:val="24"/>
        </w:rPr>
        <w:t>.tabula. Vispārējās valdīb</w:t>
      </w:r>
      <w:r w:rsidR="009C4DD4">
        <w:rPr>
          <w:rFonts w:eastAsia="Calibri" w:cs="Times New Roman"/>
          <w:b/>
          <w:sz w:val="24"/>
          <w:szCs w:val="24"/>
        </w:rPr>
        <w:t>as parāds 2019.-2023.gadā, % no IKP</w:t>
      </w:r>
    </w:p>
    <w:tbl>
      <w:tblPr>
        <w:tblW w:w="8738" w:type="dxa"/>
        <w:jc w:val="center"/>
        <w:tblLook w:val="04A0" w:firstRow="1" w:lastRow="0" w:firstColumn="1" w:lastColumn="0" w:noHBand="0" w:noVBand="1"/>
      </w:tblPr>
      <w:tblGrid>
        <w:gridCol w:w="2815"/>
        <w:gridCol w:w="1128"/>
        <w:gridCol w:w="1128"/>
        <w:gridCol w:w="1269"/>
        <w:gridCol w:w="1215"/>
        <w:gridCol w:w="1183"/>
      </w:tblGrid>
      <w:tr w:rsidR="00230A10" w:rsidRPr="009C4DD4" w14:paraId="44688159" w14:textId="77777777" w:rsidTr="00CF4097">
        <w:trPr>
          <w:trHeight w:val="12"/>
          <w:jc w:val="center"/>
        </w:trPr>
        <w:tc>
          <w:tcPr>
            <w:tcW w:w="28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3E9E12" w14:textId="502522AC" w:rsidR="00500AAB" w:rsidRPr="009C4DD4" w:rsidRDefault="00500AAB" w:rsidP="00CF4097">
            <w:pPr>
              <w:spacing w:before="0" w:after="0"/>
              <w:ind w:firstLine="0"/>
              <w:rPr>
                <w:b/>
                <w:bCs/>
                <w:color w:val="000000"/>
                <w:sz w:val="20"/>
                <w:szCs w:val="20"/>
              </w:rPr>
            </w:pPr>
          </w:p>
        </w:tc>
        <w:tc>
          <w:tcPr>
            <w:tcW w:w="1128" w:type="dxa"/>
            <w:tcBorders>
              <w:top w:val="single" w:sz="4" w:space="0" w:color="auto"/>
              <w:left w:val="nil"/>
              <w:bottom w:val="single" w:sz="4" w:space="0" w:color="auto"/>
              <w:right w:val="single" w:sz="4" w:space="0" w:color="auto"/>
            </w:tcBorders>
            <w:shd w:val="clear" w:color="auto" w:fill="auto"/>
            <w:noWrap/>
            <w:hideMark/>
          </w:tcPr>
          <w:p w14:paraId="5542F17A" w14:textId="77777777" w:rsidR="00500AAB" w:rsidRPr="009C4DD4" w:rsidRDefault="00500AAB" w:rsidP="00CF4097">
            <w:pPr>
              <w:spacing w:before="0" w:after="0"/>
              <w:ind w:firstLine="0"/>
              <w:jc w:val="center"/>
              <w:rPr>
                <w:b/>
                <w:bCs/>
                <w:color w:val="000000"/>
                <w:sz w:val="20"/>
                <w:szCs w:val="20"/>
              </w:rPr>
            </w:pPr>
            <w:r w:rsidRPr="009C4DD4">
              <w:rPr>
                <w:b/>
                <w:bCs/>
                <w:color w:val="000000"/>
                <w:sz w:val="20"/>
                <w:szCs w:val="20"/>
              </w:rPr>
              <w:t>fakts</w:t>
            </w:r>
          </w:p>
        </w:tc>
        <w:tc>
          <w:tcPr>
            <w:tcW w:w="4795" w:type="dxa"/>
            <w:gridSpan w:val="4"/>
            <w:tcBorders>
              <w:top w:val="single" w:sz="4" w:space="0" w:color="auto"/>
              <w:left w:val="nil"/>
              <w:bottom w:val="single" w:sz="4" w:space="0" w:color="auto"/>
              <w:right w:val="single" w:sz="4" w:space="0" w:color="auto"/>
            </w:tcBorders>
            <w:shd w:val="clear" w:color="auto" w:fill="auto"/>
            <w:hideMark/>
          </w:tcPr>
          <w:p w14:paraId="0436C677" w14:textId="77777777" w:rsidR="00500AAB" w:rsidRPr="009C4DD4" w:rsidRDefault="00500AAB" w:rsidP="00CF4097">
            <w:pPr>
              <w:spacing w:before="0" w:after="0"/>
              <w:ind w:firstLine="0"/>
              <w:jc w:val="center"/>
              <w:rPr>
                <w:b/>
                <w:bCs/>
                <w:color w:val="000000"/>
                <w:sz w:val="20"/>
                <w:szCs w:val="20"/>
              </w:rPr>
            </w:pPr>
            <w:r w:rsidRPr="009C4DD4">
              <w:rPr>
                <w:b/>
                <w:bCs/>
                <w:color w:val="000000"/>
                <w:sz w:val="20"/>
                <w:szCs w:val="20"/>
              </w:rPr>
              <w:t>prognoze</w:t>
            </w:r>
          </w:p>
        </w:tc>
      </w:tr>
      <w:tr w:rsidR="00230A10" w:rsidRPr="009C4DD4" w14:paraId="258941CC" w14:textId="77777777" w:rsidTr="00CF4097">
        <w:trPr>
          <w:trHeight w:val="12"/>
          <w:jc w:val="center"/>
        </w:trPr>
        <w:tc>
          <w:tcPr>
            <w:tcW w:w="2815" w:type="dxa"/>
            <w:vMerge/>
            <w:tcBorders>
              <w:top w:val="single" w:sz="4" w:space="0" w:color="auto"/>
              <w:left w:val="single" w:sz="4" w:space="0" w:color="auto"/>
              <w:bottom w:val="single" w:sz="4" w:space="0" w:color="000000"/>
              <w:right w:val="single" w:sz="4" w:space="0" w:color="auto"/>
            </w:tcBorders>
            <w:vAlign w:val="center"/>
            <w:hideMark/>
          </w:tcPr>
          <w:p w14:paraId="7836FD0F" w14:textId="77777777" w:rsidR="00500AAB" w:rsidRPr="009C4DD4" w:rsidRDefault="00500AAB" w:rsidP="00CF4097">
            <w:pPr>
              <w:spacing w:before="0" w:after="0"/>
              <w:ind w:left="284"/>
              <w:rPr>
                <w:b/>
                <w:bCs/>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14:paraId="70971E75" w14:textId="77777777" w:rsidR="00500AAB" w:rsidRPr="009C4DD4" w:rsidRDefault="00500AAB" w:rsidP="00CF4097">
            <w:pPr>
              <w:spacing w:before="0" w:after="0"/>
              <w:ind w:firstLine="0"/>
              <w:jc w:val="center"/>
              <w:rPr>
                <w:b/>
                <w:bCs/>
                <w:color w:val="000000"/>
                <w:sz w:val="20"/>
                <w:szCs w:val="20"/>
              </w:rPr>
            </w:pPr>
            <w:r w:rsidRPr="009C4DD4">
              <w:rPr>
                <w:b/>
                <w:bCs/>
                <w:color w:val="000000"/>
                <w:sz w:val="20"/>
                <w:szCs w:val="20"/>
              </w:rPr>
              <w:t>2019</w:t>
            </w:r>
          </w:p>
        </w:tc>
        <w:tc>
          <w:tcPr>
            <w:tcW w:w="1128" w:type="dxa"/>
            <w:tcBorders>
              <w:top w:val="nil"/>
              <w:left w:val="nil"/>
              <w:bottom w:val="single" w:sz="4" w:space="0" w:color="auto"/>
              <w:right w:val="single" w:sz="4" w:space="0" w:color="auto"/>
            </w:tcBorders>
            <w:shd w:val="clear" w:color="auto" w:fill="auto"/>
            <w:noWrap/>
            <w:vAlign w:val="center"/>
            <w:hideMark/>
          </w:tcPr>
          <w:p w14:paraId="70787200" w14:textId="77777777" w:rsidR="00500AAB" w:rsidRPr="009C4DD4" w:rsidRDefault="00500AAB" w:rsidP="00CF4097">
            <w:pPr>
              <w:spacing w:before="0" w:after="0"/>
              <w:ind w:firstLine="0"/>
              <w:jc w:val="center"/>
              <w:rPr>
                <w:b/>
                <w:bCs/>
                <w:color w:val="000000"/>
                <w:sz w:val="20"/>
                <w:szCs w:val="20"/>
              </w:rPr>
            </w:pPr>
            <w:r w:rsidRPr="009C4DD4">
              <w:rPr>
                <w:b/>
                <w:bCs/>
                <w:color w:val="000000"/>
                <w:sz w:val="20"/>
                <w:szCs w:val="20"/>
              </w:rPr>
              <w:t>2020</w:t>
            </w:r>
          </w:p>
        </w:tc>
        <w:tc>
          <w:tcPr>
            <w:tcW w:w="1269" w:type="dxa"/>
            <w:tcBorders>
              <w:top w:val="nil"/>
              <w:left w:val="nil"/>
              <w:bottom w:val="single" w:sz="4" w:space="0" w:color="auto"/>
              <w:right w:val="single" w:sz="4" w:space="0" w:color="auto"/>
            </w:tcBorders>
            <w:shd w:val="clear" w:color="auto" w:fill="auto"/>
            <w:noWrap/>
            <w:vAlign w:val="center"/>
            <w:hideMark/>
          </w:tcPr>
          <w:p w14:paraId="57BA61CF" w14:textId="77777777" w:rsidR="00500AAB" w:rsidRPr="009C4DD4" w:rsidRDefault="00500AAB" w:rsidP="00CF4097">
            <w:pPr>
              <w:spacing w:before="0" w:after="0"/>
              <w:ind w:firstLine="0"/>
              <w:jc w:val="center"/>
              <w:rPr>
                <w:b/>
                <w:bCs/>
                <w:color w:val="000000"/>
                <w:sz w:val="20"/>
                <w:szCs w:val="20"/>
              </w:rPr>
            </w:pPr>
            <w:r w:rsidRPr="009C4DD4">
              <w:rPr>
                <w:b/>
                <w:bCs/>
                <w:color w:val="000000"/>
                <w:sz w:val="20"/>
                <w:szCs w:val="20"/>
              </w:rPr>
              <w:t>2021</w:t>
            </w:r>
          </w:p>
        </w:tc>
        <w:tc>
          <w:tcPr>
            <w:tcW w:w="1215" w:type="dxa"/>
            <w:tcBorders>
              <w:top w:val="nil"/>
              <w:left w:val="nil"/>
              <w:bottom w:val="single" w:sz="4" w:space="0" w:color="auto"/>
              <w:right w:val="single" w:sz="4" w:space="0" w:color="auto"/>
            </w:tcBorders>
            <w:shd w:val="clear" w:color="auto" w:fill="auto"/>
            <w:noWrap/>
            <w:vAlign w:val="center"/>
            <w:hideMark/>
          </w:tcPr>
          <w:p w14:paraId="24472D20" w14:textId="77777777" w:rsidR="00500AAB" w:rsidRPr="009C4DD4" w:rsidRDefault="00500AAB" w:rsidP="00CF4097">
            <w:pPr>
              <w:spacing w:before="0" w:after="0"/>
              <w:ind w:firstLine="0"/>
              <w:jc w:val="center"/>
              <w:rPr>
                <w:b/>
                <w:bCs/>
                <w:color w:val="000000"/>
                <w:sz w:val="20"/>
                <w:szCs w:val="20"/>
              </w:rPr>
            </w:pPr>
            <w:r w:rsidRPr="009C4DD4">
              <w:rPr>
                <w:b/>
                <w:bCs/>
                <w:color w:val="000000"/>
                <w:sz w:val="20"/>
                <w:szCs w:val="20"/>
              </w:rPr>
              <w:t>2022</w:t>
            </w:r>
          </w:p>
        </w:tc>
        <w:tc>
          <w:tcPr>
            <w:tcW w:w="1181" w:type="dxa"/>
            <w:tcBorders>
              <w:top w:val="nil"/>
              <w:left w:val="nil"/>
              <w:bottom w:val="single" w:sz="4" w:space="0" w:color="auto"/>
              <w:right w:val="single" w:sz="4" w:space="0" w:color="auto"/>
            </w:tcBorders>
            <w:shd w:val="clear" w:color="auto" w:fill="auto"/>
            <w:noWrap/>
            <w:vAlign w:val="center"/>
            <w:hideMark/>
          </w:tcPr>
          <w:p w14:paraId="599ADFD1" w14:textId="77777777" w:rsidR="00500AAB" w:rsidRPr="009C4DD4" w:rsidRDefault="00500AAB" w:rsidP="00CF4097">
            <w:pPr>
              <w:spacing w:before="0" w:after="0"/>
              <w:ind w:firstLine="0"/>
              <w:jc w:val="center"/>
              <w:rPr>
                <w:b/>
                <w:bCs/>
                <w:color w:val="000000"/>
                <w:sz w:val="20"/>
                <w:szCs w:val="20"/>
              </w:rPr>
            </w:pPr>
            <w:r w:rsidRPr="009C4DD4">
              <w:rPr>
                <w:b/>
                <w:bCs/>
                <w:color w:val="000000"/>
                <w:sz w:val="20"/>
                <w:szCs w:val="20"/>
              </w:rPr>
              <w:t>2023</w:t>
            </w:r>
          </w:p>
        </w:tc>
      </w:tr>
      <w:tr w:rsidR="00230A10" w:rsidRPr="009C4DD4" w14:paraId="032D11F5" w14:textId="77777777" w:rsidTr="00CF4097">
        <w:trPr>
          <w:trHeight w:val="12"/>
          <w:jc w:val="center"/>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AE0607" w14:textId="7B1F7A76" w:rsidR="00500AAB" w:rsidRPr="009C4DD4" w:rsidRDefault="00500AAB" w:rsidP="00CF4097">
            <w:pPr>
              <w:spacing w:before="0" w:after="0"/>
              <w:ind w:firstLine="0"/>
              <w:rPr>
                <w:bCs/>
                <w:color w:val="000000"/>
                <w:sz w:val="20"/>
                <w:szCs w:val="20"/>
              </w:rPr>
            </w:pPr>
            <w:r w:rsidRPr="00230A10">
              <w:rPr>
                <w:bCs/>
                <w:color w:val="000000"/>
                <w:sz w:val="20"/>
                <w:szCs w:val="20"/>
              </w:rPr>
              <w:t>Stabilitātes programmas</w:t>
            </w:r>
            <w:r w:rsidR="005715AA">
              <w:rPr>
                <w:bCs/>
                <w:color w:val="000000"/>
                <w:sz w:val="20"/>
                <w:szCs w:val="20"/>
              </w:rPr>
              <w:t xml:space="preserve"> </w:t>
            </w:r>
            <w:r w:rsidRPr="009C4DD4">
              <w:rPr>
                <w:bCs/>
                <w:color w:val="000000"/>
                <w:sz w:val="20"/>
                <w:szCs w:val="20"/>
              </w:rPr>
              <w:t>2020</w:t>
            </w:r>
            <w:r w:rsidR="005715AA">
              <w:rPr>
                <w:bCs/>
                <w:color w:val="000000"/>
                <w:sz w:val="20"/>
                <w:szCs w:val="20"/>
              </w:rPr>
              <w:t>.-2023.gadam</w:t>
            </w:r>
            <w:r w:rsidRPr="009C4DD4">
              <w:rPr>
                <w:bCs/>
                <w:color w:val="000000"/>
                <w:sz w:val="20"/>
                <w:szCs w:val="20"/>
              </w:rPr>
              <w:t xml:space="preserve"> Cov</w:t>
            </w:r>
            <w:r w:rsidR="009C4DD4" w:rsidRPr="009C4DD4">
              <w:rPr>
                <w:bCs/>
                <w:color w:val="000000"/>
                <w:sz w:val="20"/>
                <w:szCs w:val="20"/>
              </w:rPr>
              <w:t>id</w:t>
            </w:r>
            <w:r w:rsidRPr="009C4DD4">
              <w:rPr>
                <w:bCs/>
                <w:color w:val="000000"/>
                <w:sz w:val="20"/>
                <w:szCs w:val="20"/>
              </w:rPr>
              <w:t xml:space="preserve">-19 </w:t>
            </w:r>
            <w:r w:rsidR="00230A10">
              <w:rPr>
                <w:bCs/>
                <w:color w:val="000000"/>
                <w:sz w:val="20"/>
                <w:szCs w:val="20"/>
              </w:rPr>
              <w:t xml:space="preserve">ietekmes </w:t>
            </w:r>
            <w:r w:rsidRPr="009C4DD4">
              <w:rPr>
                <w:bCs/>
                <w:color w:val="000000"/>
                <w:sz w:val="20"/>
                <w:szCs w:val="20"/>
              </w:rPr>
              <w:t>scenārijs</w:t>
            </w:r>
          </w:p>
        </w:tc>
        <w:tc>
          <w:tcPr>
            <w:tcW w:w="1128" w:type="dxa"/>
            <w:tcBorders>
              <w:top w:val="nil"/>
              <w:left w:val="nil"/>
              <w:bottom w:val="single" w:sz="4" w:space="0" w:color="auto"/>
              <w:right w:val="single" w:sz="4" w:space="0" w:color="auto"/>
            </w:tcBorders>
            <w:shd w:val="clear" w:color="auto" w:fill="auto"/>
            <w:noWrap/>
            <w:vAlign w:val="center"/>
            <w:hideMark/>
          </w:tcPr>
          <w:p w14:paraId="382A08FE" w14:textId="77777777" w:rsidR="00500AAB" w:rsidRPr="009C4DD4" w:rsidRDefault="00500AAB" w:rsidP="00CF4097">
            <w:pPr>
              <w:spacing w:before="0" w:after="0"/>
              <w:ind w:firstLine="0"/>
              <w:jc w:val="center"/>
              <w:rPr>
                <w:bCs/>
                <w:color w:val="000000"/>
                <w:sz w:val="20"/>
                <w:szCs w:val="20"/>
              </w:rPr>
            </w:pPr>
            <w:r w:rsidRPr="009C4DD4">
              <w:rPr>
                <w:bCs/>
                <w:color w:val="000000"/>
                <w:sz w:val="20"/>
                <w:szCs w:val="20"/>
              </w:rPr>
              <w:t>37%</w:t>
            </w:r>
          </w:p>
        </w:tc>
        <w:tc>
          <w:tcPr>
            <w:tcW w:w="1128" w:type="dxa"/>
            <w:tcBorders>
              <w:top w:val="nil"/>
              <w:left w:val="nil"/>
              <w:bottom w:val="single" w:sz="4" w:space="0" w:color="auto"/>
              <w:right w:val="single" w:sz="4" w:space="0" w:color="auto"/>
            </w:tcBorders>
            <w:shd w:val="clear" w:color="auto" w:fill="auto"/>
            <w:noWrap/>
            <w:vAlign w:val="center"/>
            <w:hideMark/>
          </w:tcPr>
          <w:p w14:paraId="3FA7D8EE"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52%</w:t>
            </w:r>
          </w:p>
        </w:tc>
        <w:tc>
          <w:tcPr>
            <w:tcW w:w="1269" w:type="dxa"/>
            <w:tcBorders>
              <w:top w:val="nil"/>
              <w:left w:val="nil"/>
              <w:bottom w:val="single" w:sz="4" w:space="0" w:color="auto"/>
              <w:right w:val="single" w:sz="4" w:space="0" w:color="auto"/>
            </w:tcBorders>
            <w:shd w:val="clear" w:color="auto" w:fill="auto"/>
            <w:noWrap/>
            <w:vAlign w:val="center"/>
            <w:hideMark/>
          </w:tcPr>
          <w:p w14:paraId="253A0871"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52%</w:t>
            </w:r>
          </w:p>
        </w:tc>
        <w:tc>
          <w:tcPr>
            <w:tcW w:w="1215" w:type="dxa"/>
            <w:tcBorders>
              <w:top w:val="nil"/>
              <w:left w:val="nil"/>
              <w:bottom w:val="single" w:sz="4" w:space="0" w:color="auto"/>
              <w:right w:val="single" w:sz="4" w:space="0" w:color="auto"/>
            </w:tcBorders>
            <w:shd w:val="clear" w:color="auto" w:fill="auto"/>
            <w:noWrap/>
            <w:vAlign w:val="center"/>
            <w:hideMark/>
          </w:tcPr>
          <w:p w14:paraId="3E6292B2"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53%</w:t>
            </w:r>
          </w:p>
        </w:tc>
        <w:tc>
          <w:tcPr>
            <w:tcW w:w="1181" w:type="dxa"/>
            <w:tcBorders>
              <w:top w:val="nil"/>
              <w:left w:val="nil"/>
              <w:bottom w:val="single" w:sz="4" w:space="0" w:color="auto"/>
              <w:right w:val="single" w:sz="4" w:space="0" w:color="auto"/>
            </w:tcBorders>
            <w:shd w:val="clear" w:color="auto" w:fill="auto"/>
            <w:noWrap/>
            <w:vAlign w:val="center"/>
            <w:hideMark/>
          </w:tcPr>
          <w:p w14:paraId="66A2809E"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53%</w:t>
            </w:r>
          </w:p>
        </w:tc>
      </w:tr>
      <w:tr w:rsidR="00230A10" w:rsidRPr="009C4DD4" w14:paraId="4CA24E10" w14:textId="77777777" w:rsidTr="00CF4097">
        <w:trPr>
          <w:trHeight w:val="12"/>
          <w:jc w:val="center"/>
        </w:trPr>
        <w:tc>
          <w:tcPr>
            <w:tcW w:w="2815" w:type="dxa"/>
            <w:tcBorders>
              <w:top w:val="nil"/>
              <w:left w:val="single" w:sz="4" w:space="0" w:color="auto"/>
              <w:bottom w:val="nil"/>
              <w:right w:val="single" w:sz="4" w:space="0" w:color="auto"/>
            </w:tcBorders>
            <w:shd w:val="clear" w:color="auto" w:fill="auto"/>
            <w:noWrap/>
            <w:vAlign w:val="center"/>
            <w:hideMark/>
          </w:tcPr>
          <w:p w14:paraId="73168E56" w14:textId="77777777" w:rsidR="00500AAB" w:rsidRPr="009C4DD4" w:rsidRDefault="00500AAB" w:rsidP="00CF4097">
            <w:pPr>
              <w:spacing w:before="0" w:after="0"/>
              <w:ind w:firstLine="0"/>
              <w:rPr>
                <w:b/>
                <w:bCs/>
                <w:color w:val="000000"/>
                <w:sz w:val="20"/>
                <w:szCs w:val="20"/>
              </w:rPr>
            </w:pPr>
            <w:r w:rsidRPr="009C4DD4">
              <w:rPr>
                <w:b/>
                <w:bCs/>
                <w:color w:val="000000"/>
                <w:sz w:val="20"/>
                <w:szCs w:val="20"/>
              </w:rPr>
              <w:t>Bāzes scenārijs</w:t>
            </w:r>
          </w:p>
        </w:tc>
        <w:tc>
          <w:tcPr>
            <w:tcW w:w="1128" w:type="dxa"/>
            <w:tcBorders>
              <w:top w:val="nil"/>
              <w:left w:val="nil"/>
              <w:bottom w:val="nil"/>
              <w:right w:val="single" w:sz="4" w:space="0" w:color="auto"/>
            </w:tcBorders>
            <w:shd w:val="clear" w:color="auto" w:fill="auto"/>
            <w:noWrap/>
            <w:vAlign w:val="center"/>
            <w:hideMark/>
          </w:tcPr>
          <w:p w14:paraId="435F6B23" w14:textId="77777777" w:rsidR="00500AAB" w:rsidRPr="00230A10" w:rsidRDefault="00500AAB" w:rsidP="00CF4097">
            <w:pPr>
              <w:spacing w:before="0" w:after="0"/>
              <w:ind w:firstLine="0"/>
              <w:jc w:val="center"/>
              <w:rPr>
                <w:b/>
                <w:bCs/>
                <w:color w:val="000000"/>
                <w:sz w:val="20"/>
                <w:szCs w:val="20"/>
              </w:rPr>
            </w:pPr>
            <w:r w:rsidRPr="00230A10">
              <w:rPr>
                <w:b/>
                <w:bCs/>
                <w:color w:val="000000"/>
                <w:sz w:val="20"/>
                <w:szCs w:val="20"/>
              </w:rPr>
              <w:t>37%</w:t>
            </w:r>
          </w:p>
        </w:tc>
        <w:tc>
          <w:tcPr>
            <w:tcW w:w="1128" w:type="dxa"/>
            <w:tcBorders>
              <w:top w:val="nil"/>
              <w:left w:val="nil"/>
              <w:bottom w:val="nil"/>
              <w:right w:val="single" w:sz="4" w:space="0" w:color="auto"/>
            </w:tcBorders>
            <w:shd w:val="clear" w:color="auto" w:fill="auto"/>
            <w:noWrap/>
            <w:vAlign w:val="center"/>
            <w:hideMark/>
          </w:tcPr>
          <w:p w14:paraId="3E9DEBDE"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49%</w:t>
            </w:r>
          </w:p>
        </w:tc>
        <w:tc>
          <w:tcPr>
            <w:tcW w:w="1269" w:type="dxa"/>
            <w:tcBorders>
              <w:top w:val="nil"/>
              <w:left w:val="nil"/>
              <w:bottom w:val="nil"/>
              <w:right w:val="single" w:sz="4" w:space="0" w:color="auto"/>
            </w:tcBorders>
            <w:shd w:val="clear" w:color="auto" w:fill="auto"/>
            <w:noWrap/>
            <w:vAlign w:val="center"/>
            <w:hideMark/>
          </w:tcPr>
          <w:p w14:paraId="4B6E686F"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48%</w:t>
            </w:r>
          </w:p>
        </w:tc>
        <w:tc>
          <w:tcPr>
            <w:tcW w:w="1215" w:type="dxa"/>
            <w:tcBorders>
              <w:top w:val="nil"/>
              <w:left w:val="nil"/>
              <w:bottom w:val="nil"/>
              <w:right w:val="single" w:sz="4" w:space="0" w:color="auto"/>
            </w:tcBorders>
            <w:shd w:val="clear" w:color="auto" w:fill="auto"/>
            <w:noWrap/>
            <w:vAlign w:val="center"/>
            <w:hideMark/>
          </w:tcPr>
          <w:p w14:paraId="65A93A6C"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48%</w:t>
            </w:r>
          </w:p>
        </w:tc>
        <w:tc>
          <w:tcPr>
            <w:tcW w:w="1181" w:type="dxa"/>
            <w:tcBorders>
              <w:top w:val="nil"/>
              <w:left w:val="nil"/>
              <w:bottom w:val="nil"/>
              <w:right w:val="single" w:sz="4" w:space="0" w:color="auto"/>
            </w:tcBorders>
            <w:shd w:val="clear" w:color="auto" w:fill="auto"/>
            <w:noWrap/>
            <w:vAlign w:val="center"/>
            <w:hideMark/>
          </w:tcPr>
          <w:p w14:paraId="283321BE"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47%</w:t>
            </w:r>
          </w:p>
        </w:tc>
      </w:tr>
      <w:tr w:rsidR="00230A10" w:rsidRPr="009C4DD4" w14:paraId="03EDCE63" w14:textId="77777777" w:rsidTr="00CF4097">
        <w:trPr>
          <w:trHeight w:val="12"/>
          <w:jc w:val="center"/>
        </w:trPr>
        <w:tc>
          <w:tcPr>
            <w:tcW w:w="2815" w:type="dxa"/>
            <w:tcBorders>
              <w:top w:val="nil"/>
              <w:left w:val="single" w:sz="4" w:space="0" w:color="auto"/>
              <w:bottom w:val="single" w:sz="4" w:space="0" w:color="auto"/>
              <w:right w:val="single" w:sz="4" w:space="0" w:color="auto"/>
            </w:tcBorders>
            <w:shd w:val="clear" w:color="auto" w:fill="auto"/>
            <w:noWrap/>
            <w:vAlign w:val="center"/>
            <w:hideMark/>
          </w:tcPr>
          <w:p w14:paraId="0999A611" w14:textId="481F32F5" w:rsidR="00500AAB" w:rsidRPr="009C4DD4" w:rsidRDefault="009B1649" w:rsidP="00CF4097">
            <w:pPr>
              <w:spacing w:before="0" w:after="0"/>
              <w:ind w:firstLine="0"/>
              <w:jc w:val="left"/>
              <w:rPr>
                <w:bCs/>
                <w:color w:val="000000"/>
                <w:sz w:val="20"/>
                <w:szCs w:val="20"/>
              </w:rPr>
            </w:pPr>
            <w:r>
              <w:rPr>
                <w:bCs/>
                <w:color w:val="000000"/>
                <w:sz w:val="20"/>
                <w:szCs w:val="20"/>
              </w:rPr>
              <w:t>s</w:t>
            </w:r>
            <w:r w:rsidR="009C4DD4">
              <w:rPr>
                <w:bCs/>
                <w:color w:val="000000"/>
                <w:sz w:val="20"/>
                <w:szCs w:val="20"/>
              </w:rPr>
              <w:t xml:space="preserve">amazinājums </w:t>
            </w:r>
            <w:r w:rsidR="00500AAB" w:rsidRPr="009C4DD4">
              <w:rPr>
                <w:bCs/>
                <w:color w:val="000000"/>
                <w:sz w:val="20"/>
                <w:szCs w:val="20"/>
              </w:rPr>
              <w:t>(-)/</w:t>
            </w:r>
            <w:r w:rsidR="009C4DD4">
              <w:rPr>
                <w:bCs/>
                <w:color w:val="000000"/>
                <w:sz w:val="20"/>
                <w:szCs w:val="20"/>
              </w:rPr>
              <w:br/>
            </w:r>
            <w:r w:rsidR="00500AAB" w:rsidRPr="009C4DD4">
              <w:rPr>
                <w:bCs/>
                <w:color w:val="000000"/>
                <w:sz w:val="20"/>
                <w:szCs w:val="20"/>
              </w:rPr>
              <w:t>pieaugums (+)*</w:t>
            </w:r>
          </w:p>
        </w:tc>
        <w:tc>
          <w:tcPr>
            <w:tcW w:w="1128" w:type="dxa"/>
            <w:tcBorders>
              <w:top w:val="nil"/>
              <w:left w:val="nil"/>
              <w:bottom w:val="single" w:sz="4" w:space="0" w:color="auto"/>
              <w:right w:val="single" w:sz="4" w:space="0" w:color="auto"/>
            </w:tcBorders>
            <w:shd w:val="clear" w:color="auto" w:fill="auto"/>
            <w:noWrap/>
            <w:vAlign w:val="center"/>
            <w:hideMark/>
          </w:tcPr>
          <w:p w14:paraId="66847D04" w14:textId="24F9401A" w:rsidR="00500AAB" w:rsidRPr="009C4DD4" w:rsidRDefault="00500AAB" w:rsidP="00CF4097">
            <w:pPr>
              <w:spacing w:before="0" w:after="0"/>
              <w:ind w:left="284"/>
              <w:jc w:val="center"/>
              <w:rPr>
                <w:bCs/>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14:paraId="03BCEE0E"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-3%</w:t>
            </w:r>
          </w:p>
        </w:tc>
        <w:tc>
          <w:tcPr>
            <w:tcW w:w="1269" w:type="dxa"/>
            <w:tcBorders>
              <w:top w:val="nil"/>
              <w:left w:val="nil"/>
              <w:bottom w:val="single" w:sz="4" w:space="0" w:color="auto"/>
              <w:right w:val="single" w:sz="4" w:space="0" w:color="auto"/>
            </w:tcBorders>
            <w:shd w:val="clear" w:color="auto" w:fill="auto"/>
            <w:noWrap/>
            <w:vAlign w:val="center"/>
            <w:hideMark/>
          </w:tcPr>
          <w:p w14:paraId="02053C46"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-5%</w:t>
            </w:r>
          </w:p>
        </w:tc>
        <w:tc>
          <w:tcPr>
            <w:tcW w:w="1215" w:type="dxa"/>
            <w:tcBorders>
              <w:top w:val="nil"/>
              <w:left w:val="nil"/>
              <w:bottom w:val="single" w:sz="4" w:space="0" w:color="auto"/>
              <w:right w:val="single" w:sz="4" w:space="0" w:color="auto"/>
            </w:tcBorders>
            <w:shd w:val="clear" w:color="auto" w:fill="auto"/>
            <w:noWrap/>
            <w:vAlign w:val="center"/>
            <w:hideMark/>
          </w:tcPr>
          <w:p w14:paraId="1DE5EADA"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-6%</w:t>
            </w:r>
          </w:p>
        </w:tc>
        <w:tc>
          <w:tcPr>
            <w:tcW w:w="1181" w:type="dxa"/>
            <w:tcBorders>
              <w:top w:val="nil"/>
              <w:left w:val="nil"/>
              <w:bottom w:val="single" w:sz="4" w:space="0" w:color="auto"/>
              <w:right w:val="single" w:sz="4" w:space="0" w:color="auto"/>
            </w:tcBorders>
            <w:shd w:val="clear" w:color="auto" w:fill="auto"/>
            <w:noWrap/>
            <w:vAlign w:val="center"/>
            <w:hideMark/>
          </w:tcPr>
          <w:p w14:paraId="186F6120"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-6%</w:t>
            </w:r>
          </w:p>
        </w:tc>
      </w:tr>
      <w:tr w:rsidR="00230A10" w:rsidRPr="009C4DD4" w14:paraId="4B6D72C7" w14:textId="77777777" w:rsidTr="00CF4097">
        <w:trPr>
          <w:trHeight w:val="12"/>
          <w:jc w:val="center"/>
        </w:trPr>
        <w:tc>
          <w:tcPr>
            <w:tcW w:w="2815" w:type="dxa"/>
            <w:tcBorders>
              <w:top w:val="nil"/>
              <w:left w:val="single" w:sz="4" w:space="0" w:color="auto"/>
              <w:bottom w:val="nil"/>
              <w:right w:val="single" w:sz="4" w:space="0" w:color="auto"/>
            </w:tcBorders>
            <w:shd w:val="clear" w:color="auto" w:fill="auto"/>
            <w:noWrap/>
            <w:vAlign w:val="center"/>
            <w:hideMark/>
          </w:tcPr>
          <w:p w14:paraId="55136390" w14:textId="2F599024" w:rsidR="00500AAB" w:rsidRPr="009C4DD4" w:rsidRDefault="009C4DD4" w:rsidP="00CF4097">
            <w:pPr>
              <w:spacing w:before="0" w:after="0"/>
              <w:ind w:firstLine="0"/>
              <w:jc w:val="left"/>
              <w:rPr>
                <w:b/>
                <w:bCs/>
                <w:color w:val="000000"/>
                <w:sz w:val="20"/>
                <w:szCs w:val="20"/>
              </w:rPr>
            </w:pPr>
            <w:r w:rsidRPr="009C4DD4">
              <w:rPr>
                <w:b/>
                <w:bCs/>
                <w:color w:val="000000"/>
                <w:sz w:val="20"/>
                <w:szCs w:val="20"/>
              </w:rPr>
              <w:t xml:space="preserve">“Covid-19 </w:t>
            </w:r>
            <w:r w:rsidR="00500AAB" w:rsidRPr="009C4DD4">
              <w:rPr>
                <w:b/>
                <w:bCs/>
                <w:color w:val="000000"/>
                <w:sz w:val="20"/>
                <w:szCs w:val="20"/>
              </w:rPr>
              <w:t>2.viļņa" scenārijs</w:t>
            </w:r>
          </w:p>
        </w:tc>
        <w:tc>
          <w:tcPr>
            <w:tcW w:w="1128" w:type="dxa"/>
            <w:tcBorders>
              <w:top w:val="nil"/>
              <w:left w:val="nil"/>
              <w:bottom w:val="nil"/>
              <w:right w:val="single" w:sz="4" w:space="0" w:color="auto"/>
            </w:tcBorders>
            <w:shd w:val="clear" w:color="auto" w:fill="auto"/>
            <w:noWrap/>
            <w:vAlign w:val="center"/>
            <w:hideMark/>
          </w:tcPr>
          <w:p w14:paraId="63DF5C9C" w14:textId="77777777" w:rsidR="00500AAB" w:rsidRPr="00230A10" w:rsidRDefault="00500AAB" w:rsidP="00CF4097">
            <w:pPr>
              <w:spacing w:before="0" w:after="0"/>
              <w:ind w:firstLine="0"/>
              <w:jc w:val="center"/>
              <w:rPr>
                <w:b/>
                <w:bCs/>
                <w:color w:val="000000"/>
                <w:sz w:val="20"/>
                <w:szCs w:val="20"/>
              </w:rPr>
            </w:pPr>
            <w:r w:rsidRPr="00230A10">
              <w:rPr>
                <w:b/>
                <w:bCs/>
                <w:color w:val="000000"/>
                <w:sz w:val="20"/>
                <w:szCs w:val="20"/>
              </w:rPr>
              <w:t>37%</w:t>
            </w:r>
          </w:p>
        </w:tc>
        <w:tc>
          <w:tcPr>
            <w:tcW w:w="1128" w:type="dxa"/>
            <w:tcBorders>
              <w:top w:val="nil"/>
              <w:left w:val="nil"/>
              <w:bottom w:val="nil"/>
              <w:right w:val="single" w:sz="4" w:space="0" w:color="auto"/>
            </w:tcBorders>
            <w:shd w:val="clear" w:color="auto" w:fill="auto"/>
            <w:noWrap/>
            <w:vAlign w:val="center"/>
            <w:hideMark/>
          </w:tcPr>
          <w:p w14:paraId="0AF0A996"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50%</w:t>
            </w:r>
          </w:p>
        </w:tc>
        <w:tc>
          <w:tcPr>
            <w:tcW w:w="1269" w:type="dxa"/>
            <w:tcBorders>
              <w:top w:val="nil"/>
              <w:left w:val="nil"/>
              <w:bottom w:val="nil"/>
              <w:right w:val="single" w:sz="4" w:space="0" w:color="auto"/>
            </w:tcBorders>
            <w:shd w:val="clear" w:color="auto" w:fill="auto"/>
            <w:noWrap/>
            <w:vAlign w:val="center"/>
            <w:hideMark/>
          </w:tcPr>
          <w:p w14:paraId="4DA69BF5"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52%</w:t>
            </w:r>
          </w:p>
        </w:tc>
        <w:tc>
          <w:tcPr>
            <w:tcW w:w="1215" w:type="dxa"/>
            <w:tcBorders>
              <w:top w:val="nil"/>
              <w:left w:val="nil"/>
              <w:bottom w:val="nil"/>
              <w:right w:val="single" w:sz="4" w:space="0" w:color="auto"/>
            </w:tcBorders>
            <w:shd w:val="clear" w:color="auto" w:fill="auto"/>
            <w:noWrap/>
            <w:vAlign w:val="center"/>
            <w:hideMark/>
          </w:tcPr>
          <w:p w14:paraId="0BB9F640"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53%</w:t>
            </w:r>
          </w:p>
        </w:tc>
        <w:tc>
          <w:tcPr>
            <w:tcW w:w="1181" w:type="dxa"/>
            <w:tcBorders>
              <w:top w:val="nil"/>
              <w:left w:val="nil"/>
              <w:bottom w:val="nil"/>
              <w:right w:val="single" w:sz="4" w:space="0" w:color="auto"/>
            </w:tcBorders>
            <w:shd w:val="clear" w:color="auto" w:fill="auto"/>
            <w:noWrap/>
            <w:vAlign w:val="center"/>
            <w:hideMark/>
          </w:tcPr>
          <w:p w14:paraId="7828AC78" w14:textId="77777777" w:rsidR="00500AAB" w:rsidRPr="00230A10" w:rsidRDefault="00500AAB" w:rsidP="00CF4097">
            <w:pPr>
              <w:spacing w:before="0" w:after="0"/>
              <w:ind w:left="284" w:firstLine="0"/>
              <w:jc w:val="center"/>
              <w:rPr>
                <w:b/>
                <w:bCs/>
                <w:color w:val="000000"/>
                <w:sz w:val="20"/>
                <w:szCs w:val="20"/>
              </w:rPr>
            </w:pPr>
            <w:r w:rsidRPr="00230A10">
              <w:rPr>
                <w:b/>
                <w:bCs/>
                <w:color w:val="000000"/>
                <w:sz w:val="20"/>
                <w:szCs w:val="20"/>
              </w:rPr>
              <w:t>52%</w:t>
            </w:r>
          </w:p>
        </w:tc>
      </w:tr>
      <w:tr w:rsidR="00230A10" w:rsidRPr="009C4DD4" w14:paraId="3EC8CA4C" w14:textId="77777777" w:rsidTr="00CF4097">
        <w:trPr>
          <w:trHeight w:val="12"/>
          <w:jc w:val="center"/>
        </w:trPr>
        <w:tc>
          <w:tcPr>
            <w:tcW w:w="2815" w:type="dxa"/>
            <w:tcBorders>
              <w:top w:val="nil"/>
              <w:left w:val="single" w:sz="4" w:space="0" w:color="auto"/>
              <w:bottom w:val="single" w:sz="4" w:space="0" w:color="auto"/>
              <w:right w:val="single" w:sz="4" w:space="0" w:color="auto"/>
            </w:tcBorders>
            <w:shd w:val="clear" w:color="auto" w:fill="auto"/>
            <w:noWrap/>
            <w:vAlign w:val="center"/>
            <w:hideMark/>
          </w:tcPr>
          <w:p w14:paraId="40D90772" w14:textId="37A53EFD" w:rsidR="00500AAB" w:rsidRPr="009C4DD4" w:rsidRDefault="00500AAB" w:rsidP="00CF4097">
            <w:pPr>
              <w:spacing w:before="0" w:after="0"/>
              <w:ind w:firstLine="0"/>
              <w:jc w:val="left"/>
              <w:rPr>
                <w:bCs/>
                <w:color w:val="000000"/>
                <w:sz w:val="20"/>
                <w:szCs w:val="20"/>
              </w:rPr>
            </w:pPr>
            <w:r w:rsidRPr="009C4DD4">
              <w:rPr>
                <w:bCs/>
                <w:color w:val="000000"/>
                <w:sz w:val="20"/>
                <w:szCs w:val="20"/>
              </w:rPr>
              <w:t>samazinājums (-)/</w:t>
            </w:r>
            <w:r w:rsidR="009C4DD4">
              <w:rPr>
                <w:bCs/>
                <w:color w:val="000000"/>
                <w:sz w:val="20"/>
                <w:szCs w:val="20"/>
              </w:rPr>
              <w:br/>
            </w:r>
            <w:r w:rsidRPr="009C4DD4">
              <w:rPr>
                <w:bCs/>
                <w:color w:val="000000"/>
                <w:sz w:val="20"/>
                <w:szCs w:val="20"/>
              </w:rPr>
              <w:t>pieaugums (+)*</w:t>
            </w:r>
          </w:p>
        </w:tc>
        <w:tc>
          <w:tcPr>
            <w:tcW w:w="1128" w:type="dxa"/>
            <w:tcBorders>
              <w:top w:val="nil"/>
              <w:left w:val="nil"/>
              <w:bottom w:val="single" w:sz="4" w:space="0" w:color="auto"/>
              <w:right w:val="single" w:sz="4" w:space="0" w:color="auto"/>
            </w:tcBorders>
            <w:shd w:val="clear" w:color="auto" w:fill="auto"/>
            <w:noWrap/>
            <w:vAlign w:val="center"/>
            <w:hideMark/>
          </w:tcPr>
          <w:p w14:paraId="60FF815F" w14:textId="091CF4F3" w:rsidR="00500AAB" w:rsidRPr="009C4DD4" w:rsidRDefault="00500AAB" w:rsidP="00CF4097">
            <w:pPr>
              <w:spacing w:before="0" w:after="0"/>
              <w:ind w:left="284"/>
              <w:jc w:val="center"/>
              <w:rPr>
                <w:bCs/>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14:paraId="4512F500"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-2%</w:t>
            </w:r>
          </w:p>
        </w:tc>
        <w:tc>
          <w:tcPr>
            <w:tcW w:w="1269" w:type="dxa"/>
            <w:tcBorders>
              <w:top w:val="nil"/>
              <w:left w:val="nil"/>
              <w:bottom w:val="single" w:sz="4" w:space="0" w:color="auto"/>
              <w:right w:val="single" w:sz="4" w:space="0" w:color="auto"/>
            </w:tcBorders>
            <w:shd w:val="clear" w:color="auto" w:fill="auto"/>
            <w:noWrap/>
            <w:vAlign w:val="center"/>
            <w:hideMark/>
          </w:tcPr>
          <w:p w14:paraId="034DD287"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0%</w:t>
            </w:r>
          </w:p>
        </w:tc>
        <w:tc>
          <w:tcPr>
            <w:tcW w:w="1215" w:type="dxa"/>
            <w:tcBorders>
              <w:top w:val="nil"/>
              <w:left w:val="nil"/>
              <w:bottom w:val="single" w:sz="4" w:space="0" w:color="auto"/>
              <w:right w:val="single" w:sz="4" w:space="0" w:color="auto"/>
            </w:tcBorders>
            <w:shd w:val="clear" w:color="auto" w:fill="auto"/>
            <w:noWrap/>
            <w:vAlign w:val="center"/>
            <w:hideMark/>
          </w:tcPr>
          <w:p w14:paraId="5B922A22"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0%</w:t>
            </w:r>
          </w:p>
        </w:tc>
        <w:tc>
          <w:tcPr>
            <w:tcW w:w="1181" w:type="dxa"/>
            <w:tcBorders>
              <w:top w:val="nil"/>
              <w:left w:val="nil"/>
              <w:bottom w:val="single" w:sz="4" w:space="0" w:color="auto"/>
              <w:right w:val="single" w:sz="4" w:space="0" w:color="auto"/>
            </w:tcBorders>
            <w:shd w:val="clear" w:color="auto" w:fill="auto"/>
            <w:noWrap/>
            <w:vAlign w:val="center"/>
            <w:hideMark/>
          </w:tcPr>
          <w:p w14:paraId="116730D3" w14:textId="77777777" w:rsidR="00500AAB" w:rsidRPr="009C4DD4" w:rsidRDefault="00500AAB" w:rsidP="00CF4097">
            <w:pPr>
              <w:spacing w:before="0" w:after="0"/>
              <w:ind w:left="284" w:firstLine="0"/>
              <w:jc w:val="center"/>
              <w:rPr>
                <w:bCs/>
                <w:color w:val="000000"/>
                <w:sz w:val="20"/>
                <w:szCs w:val="20"/>
              </w:rPr>
            </w:pPr>
            <w:r w:rsidRPr="009C4DD4">
              <w:rPr>
                <w:bCs/>
                <w:color w:val="000000"/>
                <w:sz w:val="20"/>
                <w:szCs w:val="20"/>
              </w:rPr>
              <w:t>-1%</w:t>
            </w:r>
          </w:p>
        </w:tc>
      </w:tr>
    </w:tbl>
    <w:p w14:paraId="38058F90" w14:textId="7F34A894" w:rsidR="00500AAB" w:rsidRPr="00884FC9" w:rsidRDefault="00500AAB" w:rsidP="009B1649">
      <w:pPr>
        <w:spacing w:before="0" w:after="0"/>
        <w:jc w:val="left"/>
        <w:rPr>
          <w:sz w:val="18"/>
          <w:szCs w:val="18"/>
        </w:rPr>
      </w:pPr>
      <w:r w:rsidRPr="00884FC9">
        <w:rPr>
          <w:i/>
          <w:sz w:val="18"/>
          <w:szCs w:val="18"/>
        </w:rPr>
        <w:t>* salīdzi</w:t>
      </w:r>
      <w:r w:rsidR="005715AA">
        <w:rPr>
          <w:i/>
          <w:sz w:val="18"/>
          <w:szCs w:val="18"/>
        </w:rPr>
        <w:t xml:space="preserve">not ar Stabilitātes programmas </w:t>
      </w:r>
      <w:r w:rsidRPr="00884FC9">
        <w:rPr>
          <w:i/>
          <w:sz w:val="18"/>
          <w:szCs w:val="18"/>
        </w:rPr>
        <w:t>2020</w:t>
      </w:r>
      <w:r w:rsidR="005715AA">
        <w:rPr>
          <w:i/>
          <w:sz w:val="18"/>
          <w:szCs w:val="18"/>
        </w:rPr>
        <w:t>.-2023.gadam</w:t>
      </w:r>
      <w:r w:rsidRPr="00884FC9">
        <w:rPr>
          <w:i/>
          <w:sz w:val="18"/>
          <w:szCs w:val="18"/>
        </w:rPr>
        <w:t xml:space="preserve"> Cov</w:t>
      </w:r>
      <w:r w:rsidR="00884FC9" w:rsidRPr="00884FC9">
        <w:rPr>
          <w:i/>
          <w:sz w:val="18"/>
          <w:szCs w:val="18"/>
        </w:rPr>
        <w:t>id</w:t>
      </w:r>
      <w:r w:rsidRPr="00884FC9">
        <w:rPr>
          <w:i/>
          <w:sz w:val="18"/>
          <w:szCs w:val="18"/>
        </w:rPr>
        <w:t xml:space="preserve">-19 </w:t>
      </w:r>
      <w:r w:rsidR="00884FC9" w:rsidRPr="00884FC9">
        <w:rPr>
          <w:i/>
          <w:sz w:val="18"/>
          <w:szCs w:val="18"/>
        </w:rPr>
        <w:t xml:space="preserve">ietekmes </w:t>
      </w:r>
      <w:r w:rsidRPr="00884FC9">
        <w:rPr>
          <w:i/>
          <w:sz w:val="18"/>
          <w:szCs w:val="18"/>
        </w:rPr>
        <w:t>scenāriju</w:t>
      </w:r>
      <w:r w:rsidRPr="00884FC9">
        <w:rPr>
          <w:sz w:val="18"/>
          <w:szCs w:val="18"/>
        </w:rPr>
        <w:t xml:space="preserve"> </w:t>
      </w:r>
    </w:p>
    <w:p w14:paraId="48616BDE" w14:textId="7A0F0557" w:rsidR="00500AAB" w:rsidRPr="00500AAB" w:rsidRDefault="00500AAB" w:rsidP="00500AAB">
      <w:pPr>
        <w:rPr>
          <w:rFonts w:eastAsia="Times New Roman" w:cs="Times New Roman"/>
          <w:color w:val="000000"/>
          <w:szCs w:val="28"/>
        </w:rPr>
      </w:pPr>
      <w:r w:rsidRPr="00500AAB">
        <w:rPr>
          <w:rFonts w:eastAsia="Times New Roman" w:cs="Times New Roman"/>
          <w:color w:val="000000"/>
          <w:szCs w:val="28"/>
        </w:rPr>
        <w:t>Ņemot vērā ievē</w:t>
      </w:r>
      <w:r w:rsidR="009C4DD4">
        <w:rPr>
          <w:rFonts w:eastAsia="Times New Roman" w:cs="Times New Roman"/>
          <w:color w:val="000000"/>
          <w:szCs w:val="28"/>
        </w:rPr>
        <w:t>r</w:t>
      </w:r>
      <w:r w:rsidRPr="00500AAB">
        <w:rPr>
          <w:rFonts w:eastAsia="Times New Roman" w:cs="Times New Roman"/>
          <w:color w:val="000000"/>
          <w:szCs w:val="28"/>
        </w:rPr>
        <w:t>ojamu aizņemšanās apjomu pieaugumu Covid-19 uzliesmojuma seku mazināšanai un ekonomikas atbalstam veicamo un plānoto pasākumu finansēšanai, kā arī vīrusa izplatības mazināšanai noteikto ierobežojumu negatīvu ietekmi uz makroekonomiskajiem rādītājiem, Stabilitātes programmā 2020.-2023.gadam iekļautajam Cov</w:t>
      </w:r>
      <w:r w:rsidR="00A3684A">
        <w:rPr>
          <w:rFonts w:eastAsia="Times New Roman" w:cs="Times New Roman"/>
          <w:color w:val="000000"/>
          <w:szCs w:val="28"/>
        </w:rPr>
        <w:t>id</w:t>
      </w:r>
      <w:r w:rsidRPr="00500AAB">
        <w:rPr>
          <w:rFonts w:eastAsia="Times New Roman" w:cs="Times New Roman"/>
          <w:color w:val="000000"/>
          <w:szCs w:val="28"/>
        </w:rPr>
        <w:t xml:space="preserve">-19 ietekmes scenārijam atbilstošā vispārējās valdības parāda prognoze tika ievērojami palielināta, salīdzinot ar likumā “Par vidēja termiņa budžeta </w:t>
      </w:r>
      <w:r w:rsidR="00A3684A">
        <w:rPr>
          <w:rFonts w:eastAsia="Times New Roman" w:cs="Times New Roman"/>
          <w:color w:val="000000"/>
          <w:szCs w:val="28"/>
        </w:rPr>
        <w:t>ietvaru 2020., 2021. un 2022. </w:t>
      </w:r>
      <w:r w:rsidRPr="00500AAB">
        <w:rPr>
          <w:rFonts w:eastAsia="Times New Roman" w:cs="Times New Roman"/>
          <w:color w:val="000000"/>
          <w:szCs w:val="28"/>
        </w:rPr>
        <w:t xml:space="preserve">gadam” iekļauto prognozi.   </w:t>
      </w:r>
    </w:p>
    <w:p w14:paraId="3583C0B2" w14:textId="1F471176" w:rsidR="00A3684A" w:rsidRDefault="00500AAB" w:rsidP="00500AAB">
      <w:pPr>
        <w:rPr>
          <w:rFonts w:eastAsia="Times New Roman" w:cs="Times New Roman"/>
          <w:color w:val="000000"/>
          <w:szCs w:val="28"/>
        </w:rPr>
      </w:pPr>
      <w:r w:rsidRPr="00500AAB">
        <w:rPr>
          <w:rFonts w:eastAsia="Times New Roman" w:cs="Times New Roman"/>
          <w:color w:val="000000"/>
          <w:szCs w:val="28"/>
        </w:rPr>
        <w:t>Savukārt, salīdzinājumā ar Stabilitātes programmas 2020.-2023.gadam Cov-19 ietekmes scenāriju aktuālā vispārējās valdības parāda prognoze 2020.-2023.</w:t>
      </w:r>
      <w:r w:rsidR="00A3684A">
        <w:rPr>
          <w:rFonts w:eastAsia="Times New Roman" w:cs="Times New Roman"/>
          <w:color w:val="000000"/>
          <w:szCs w:val="28"/>
        </w:rPr>
        <w:t> </w:t>
      </w:r>
      <w:r w:rsidRPr="00500AAB">
        <w:rPr>
          <w:rFonts w:eastAsia="Times New Roman" w:cs="Times New Roman"/>
          <w:color w:val="000000"/>
          <w:szCs w:val="28"/>
        </w:rPr>
        <w:t>gadam ir samazināta, bāzes scenārijā prognozētajam parāda līmenim sasniedzot 49% no IKP 2020.</w:t>
      </w:r>
      <w:r w:rsidR="00BF0240">
        <w:rPr>
          <w:rFonts w:eastAsia="Times New Roman" w:cs="Times New Roman"/>
          <w:color w:val="000000"/>
          <w:szCs w:val="28"/>
        </w:rPr>
        <w:t> </w:t>
      </w:r>
      <w:r w:rsidRPr="00500AAB">
        <w:rPr>
          <w:rFonts w:eastAsia="Times New Roman" w:cs="Times New Roman"/>
          <w:color w:val="000000"/>
          <w:szCs w:val="28"/>
        </w:rPr>
        <w:t>gadā, stabilizējoties 48% no IKP līmenī 2021. un 2022.</w:t>
      </w:r>
      <w:r w:rsidR="00BF0240">
        <w:rPr>
          <w:rFonts w:eastAsia="Times New Roman" w:cs="Times New Roman"/>
          <w:color w:val="000000"/>
          <w:szCs w:val="28"/>
        </w:rPr>
        <w:t> </w:t>
      </w:r>
      <w:r w:rsidRPr="00500AAB">
        <w:rPr>
          <w:rFonts w:eastAsia="Times New Roman" w:cs="Times New Roman"/>
          <w:color w:val="000000"/>
          <w:szCs w:val="28"/>
        </w:rPr>
        <w:t xml:space="preserve">gadā un samazinoties līdz 47% no IKP 2023.gadā. </w:t>
      </w:r>
    </w:p>
    <w:p w14:paraId="2DEA71D9" w14:textId="18C4BA4B" w:rsidR="00BF0240" w:rsidRDefault="00BF0240" w:rsidP="00BF0240">
      <w:pPr>
        <w:rPr>
          <w:rFonts w:eastAsia="Times New Roman" w:cs="Times New Roman"/>
          <w:color w:val="000000"/>
          <w:szCs w:val="28"/>
        </w:rPr>
      </w:pPr>
      <w:r w:rsidRPr="00500AAB">
        <w:rPr>
          <w:rFonts w:eastAsia="Times New Roman" w:cs="Times New Roman"/>
          <w:color w:val="000000"/>
          <w:szCs w:val="28"/>
        </w:rPr>
        <w:t>Sagaidāms, ka pat “</w:t>
      </w:r>
      <w:r>
        <w:rPr>
          <w:rFonts w:eastAsia="Times New Roman" w:cs="Times New Roman"/>
          <w:color w:val="000000"/>
          <w:szCs w:val="28"/>
        </w:rPr>
        <w:t xml:space="preserve">Covid-19 </w:t>
      </w:r>
      <w:r w:rsidRPr="00500AAB">
        <w:rPr>
          <w:rFonts w:eastAsia="Times New Roman" w:cs="Times New Roman"/>
          <w:color w:val="000000"/>
          <w:szCs w:val="28"/>
        </w:rPr>
        <w:t xml:space="preserve">2.viļņa” scenārija iestāšanās gadījumā vispārējās valdības parāda prognozētais apjoms nepārsniegs Stabilitātes </w:t>
      </w:r>
      <w:r>
        <w:rPr>
          <w:rFonts w:eastAsia="Times New Roman" w:cs="Times New Roman"/>
          <w:color w:val="000000"/>
          <w:szCs w:val="28"/>
        </w:rPr>
        <w:t>programmas 2020.-2023. gadam Covid-</w:t>
      </w:r>
      <w:r w:rsidRPr="00500AAB">
        <w:rPr>
          <w:rFonts w:eastAsia="Times New Roman" w:cs="Times New Roman"/>
          <w:color w:val="000000"/>
          <w:szCs w:val="28"/>
        </w:rPr>
        <w:t>19 iete</w:t>
      </w:r>
      <w:r>
        <w:rPr>
          <w:rFonts w:eastAsia="Times New Roman" w:cs="Times New Roman"/>
          <w:color w:val="000000"/>
          <w:szCs w:val="28"/>
        </w:rPr>
        <w:t>kmes scenārijā novērtēto līmeni.</w:t>
      </w:r>
    </w:p>
    <w:p w14:paraId="3044457B" w14:textId="77777777" w:rsidR="00A3684A" w:rsidRPr="00500AAB" w:rsidRDefault="00A3684A" w:rsidP="00A3684A">
      <w:pPr>
        <w:rPr>
          <w:rFonts w:eastAsia="Times New Roman" w:cs="Times New Roman"/>
          <w:color w:val="000000"/>
          <w:szCs w:val="28"/>
        </w:rPr>
      </w:pPr>
      <w:r w:rsidRPr="00500AAB">
        <w:rPr>
          <w:rFonts w:eastAsia="Times New Roman" w:cs="Times New Roman"/>
          <w:color w:val="000000"/>
          <w:szCs w:val="28"/>
        </w:rPr>
        <w:t>Vidējā termiņā, neskatoties uz prognozēto parāda līmeņa pieaugumu, ar lielu varbūtību prognozējams, ka Fiskālās disciplīnas likumā noteiktais parāda nosacījums (60% no IKP) tiks ievērots.</w:t>
      </w:r>
    </w:p>
    <w:p w14:paraId="3D9440CE" w14:textId="6C5D416E" w:rsidR="00B008E5" w:rsidRPr="00C61C6C" w:rsidRDefault="00B008E5" w:rsidP="00C61C6C">
      <w:pPr>
        <w:pStyle w:val="Heading1"/>
        <w:ind w:left="567"/>
      </w:pPr>
      <w:bookmarkStart w:id="11" w:name="_Toc48048102"/>
      <w:bookmarkStart w:id="12" w:name="_Toc16665007"/>
      <w:r w:rsidRPr="00C61C6C">
        <w:lastRenderedPageBreak/>
        <w:t>Fiskālās politikas nosacījumi 2021</w:t>
      </w:r>
      <w:r w:rsidR="00230A10" w:rsidRPr="00C61C6C">
        <w:t>.-2023.gadā</w:t>
      </w:r>
      <w:bookmarkEnd w:id="11"/>
      <w:r w:rsidRPr="00C61C6C">
        <w:t xml:space="preserve">  </w:t>
      </w:r>
      <w:bookmarkEnd w:id="12"/>
    </w:p>
    <w:p w14:paraId="04D0AD15" w14:textId="561D2C02" w:rsidR="00B008E5" w:rsidRPr="00CA1CBE" w:rsidRDefault="00B008E5" w:rsidP="00C61C6C">
      <w:pPr>
        <w:spacing w:before="240" w:after="60"/>
      </w:pPr>
      <w:r w:rsidRPr="00CA1CBE">
        <w:t>COVID-19 pandēmija ir ieviesusi būtiskas izmaiņas v</w:t>
      </w:r>
      <w:r w:rsidR="00C61C6C">
        <w:t>alsts fiskālajā politikā. 2020. </w:t>
      </w:r>
      <w:r w:rsidRPr="00CA1CBE">
        <w:t xml:space="preserve">gadā tika aktivizēta ES Stabilitātes un izaugsmes </w:t>
      </w:r>
      <w:proofErr w:type="spellStart"/>
      <w:r w:rsidRPr="00CA1CBE">
        <w:t>pakta</w:t>
      </w:r>
      <w:proofErr w:type="spellEnd"/>
      <w:r w:rsidRPr="00CA1CBE">
        <w:t xml:space="preserve"> vispārējā izņēmuma klauzula, kas ļauj palielināt vispārējās </w:t>
      </w:r>
      <w:r w:rsidR="00C61C6C">
        <w:t>valdības budžeta deficītu 2020. </w:t>
      </w:r>
      <w:r w:rsidRPr="00CA1CBE">
        <w:t>gadā tik, cik ir nepieciešams COVID-19 pandēmijas izsauktā ekonomikas kaitējuma mazināšanai. Līdz ar to ES fiskālās politikas regulējums</w:t>
      </w:r>
      <w:r w:rsidR="00C61C6C">
        <w:t xml:space="preserve"> 2020. </w:t>
      </w:r>
      <w:r w:rsidRPr="00CA1CBE">
        <w:t>gadā ļauj  atkāpties no iepriekš noteiktajiem deficīta mērķiem.</w:t>
      </w:r>
    </w:p>
    <w:p w14:paraId="548CB7CC" w14:textId="08D2AB26" w:rsidR="00B008E5" w:rsidRPr="00CA1CBE" w:rsidRDefault="00B008E5" w:rsidP="00C61C6C">
      <w:pPr>
        <w:spacing w:before="60" w:after="60"/>
      </w:pPr>
      <w:r w:rsidRPr="00CA1CBE">
        <w:t>Fiskālās disciplīnas likuma 12.</w:t>
      </w:r>
      <w:r w:rsidR="00C61C6C">
        <w:t> </w:t>
      </w:r>
      <w:r w:rsidRPr="00CA1CBE">
        <w:t>pants paredz līdzīgu iespēju atkāpties no 0,5% strukturālās deficīta ievērošanas nopietnas ekonomikas lejupslīdes laikā. ES vispārējās izņēmuma klauzulas aktivizēšana bija pamats tam, lai aktivizētu FDL 12. punktā noteikto atkāpes nosacījumu.</w:t>
      </w:r>
    </w:p>
    <w:p w14:paraId="3573FDA7" w14:textId="77777777" w:rsidR="00B008E5" w:rsidRPr="00CA1CBE" w:rsidRDefault="00B008E5" w:rsidP="00C61C6C">
      <w:pPr>
        <w:autoSpaceDE w:val="0"/>
        <w:autoSpaceDN w:val="0"/>
        <w:adjustRightInd w:val="0"/>
        <w:spacing w:before="60" w:after="60"/>
      </w:pPr>
      <w:r w:rsidRPr="00CA1CBE">
        <w:t xml:space="preserve">Sākotnēji ar COVID-19 krīzes pārvarēšanu saistītie izdevumi tika klasificēti kā vienreizējie pasākumi bez ietekmes uz strukturālo deficītu. Tas tika atrunāts arī likuma “Par valsts apdraudējuma un tā seku novēršanas un pārvarēšanas pasākumiem sakarā ar Covid-19 izplatību” 28.pantā. Tā kā EK pieņēma lēmumu visus izdevumus, kas saistīti ar krīzes pārvarēšanu uzskatīt par tādiem, kas nav vienreizēji, tiem ir ietekme uz strukturālo deficītu. Attiecīgi likumā “Covid-19 infekcijas izplatības seku pārvarēšanas likums” vairs netika paredzēts likuma pants, kas noteiktu, ka pasākumi ar Covid-19 izplatību saistītās ārkārtējās situācijas ietekmes mazināšanai ir vienreizēji pasākumi. </w:t>
      </w:r>
    </w:p>
    <w:p w14:paraId="72FA9D89" w14:textId="080CFCD1" w:rsidR="00B008E5" w:rsidRPr="00CA1CBE" w:rsidRDefault="00B008E5" w:rsidP="00C61C6C">
      <w:pPr>
        <w:autoSpaceDE w:val="0"/>
        <w:autoSpaceDN w:val="0"/>
        <w:adjustRightInd w:val="0"/>
        <w:spacing w:before="60" w:after="60"/>
      </w:pPr>
      <w:r w:rsidRPr="00CA1CBE">
        <w:t>Fiskālās politikas mērķu noteikšanai 2021.-2023. gadā ir nepieciešams zināt attiecīgajā gadā spēkā esošos skaitliskos fiskālos nosacījumus. EK nav noteikusi termiņu</w:t>
      </w:r>
      <w:r w:rsidR="00BD765D">
        <w:t>,</w:t>
      </w:r>
      <w:r w:rsidRPr="00CA1CBE">
        <w:t xml:space="preserve"> līdz kuram būs spēkā vispārējā izņēmuma klauzula, bet juridiski tā var būt spēkā</w:t>
      </w:r>
      <w:r w:rsidR="00BD765D">
        <w:t>,</w:t>
      </w:r>
      <w:r w:rsidRPr="00CA1CBE">
        <w:t xml:space="preserve"> kamēr ES valstī vai ES kopumā ir vērojama nopietna ekonomikas lejupslīde. Pašlaik ir augsta varbūtība, ka vispārējā izņēmuma klauzula paliks spēkā 2021.</w:t>
      </w:r>
      <w:r w:rsidR="00BD765D">
        <w:t> gadā, jo pēc 2020. gada izaugsmes krituma, 2021. </w:t>
      </w:r>
      <w:r w:rsidRPr="00CA1CBE">
        <w:t>gadā prognozētā izaugsme nekomp</w:t>
      </w:r>
      <w:r w:rsidR="00BD765D">
        <w:t xml:space="preserve">ensēs iepriekšējā gada kritumu </w:t>
      </w:r>
      <w:r w:rsidRPr="00CA1CBE">
        <w:t>un fiskālā politika būs jāsaglabā stimul</w:t>
      </w:r>
      <w:r w:rsidR="00BD765D">
        <w:t>ējoša. Savukārt, 2022. un 2023. </w:t>
      </w:r>
      <w:r w:rsidRPr="00CA1CBE">
        <w:t xml:space="preserve">gadā kā darba variants </w:t>
      </w:r>
      <w:r w:rsidR="00BD765D">
        <w:t>VTBIL</w:t>
      </w:r>
      <w:r w:rsidR="00540E8C">
        <w:t xml:space="preserve"> s</w:t>
      </w:r>
      <w:r w:rsidRPr="00CA1CBE">
        <w:t>agatavošanā tiek izmantots pieņēmums, ka vispārējā izņēmuma klauzula tiek atcelta.</w:t>
      </w:r>
    </w:p>
    <w:p w14:paraId="5E1E88F7" w14:textId="596C3356" w:rsidR="00B008E5" w:rsidRPr="00CA1CBE" w:rsidRDefault="00B008E5" w:rsidP="00C61C6C">
      <w:pPr>
        <w:autoSpaceDE w:val="0"/>
        <w:autoSpaceDN w:val="0"/>
        <w:adjustRightInd w:val="0"/>
        <w:spacing w:before="60" w:after="60"/>
      </w:pPr>
      <w:r w:rsidRPr="00CA1CBE">
        <w:t>Šie pieņēmumi ir iestrādāti arī likuma “Covid-19 infekcijas izplatības seku pārvarēšanas likums” 33.pantā, kas paredz atkāpes no fiskālās disciplīnas no</w:t>
      </w:r>
      <w:r w:rsidR="00BD765D">
        <w:t>sacījumiem tikai 2020. un 2021. </w:t>
      </w:r>
      <w:r w:rsidRPr="00CA1CBE">
        <w:t xml:space="preserve">gadā.  </w:t>
      </w:r>
    </w:p>
    <w:p w14:paraId="4BDEDEAB" w14:textId="2DA31202" w:rsidR="00B008E5" w:rsidRPr="00CA1CBE" w:rsidRDefault="00B008E5" w:rsidP="00C61C6C">
      <w:pPr>
        <w:autoSpaceDE w:val="0"/>
        <w:autoSpaceDN w:val="0"/>
        <w:adjustRightInd w:val="0"/>
        <w:spacing w:before="60" w:after="60"/>
      </w:pPr>
      <w:r w:rsidRPr="00CA1CBE">
        <w:t xml:space="preserve">Līdz ar to saskaņā Stabilitātes un izaugsmes </w:t>
      </w:r>
      <w:proofErr w:type="spellStart"/>
      <w:r w:rsidRPr="00CA1CBE">
        <w:t>pakta</w:t>
      </w:r>
      <w:proofErr w:type="spellEnd"/>
      <w:r w:rsidRPr="00CA1CBE">
        <w:t xml:space="preserve"> nosac</w:t>
      </w:r>
      <w:r w:rsidR="00BD765D">
        <w:t>ījumiem var prognozēt, ka 2021. </w:t>
      </w:r>
      <w:r w:rsidRPr="00CA1CBE">
        <w:t>gadā pret Latviju tiks uzsākta pārmērīga  budžeta deficīta procedūra, saskaņā ar kuru Padome apstiprinās rekomendāciju par noteiktu nominālā deficīta samazināšanu, lai vidējā termiņā (3 ga</w:t>
      </w:r>
      <w:r w:rsidR="00BD765D">
        <w:t>du laikā)</w:t>
      </w:r>
      <w:r w:rsidRPr="00CA1CBE">
        <w:t xml:space="preserve"> tas atbilstu Māstrihtas kritērijam.</w:t>
      </w:r>
    </w:p>
    <w:p w14:paraId="755C7B33" w14:textId="77777777" w:rsidR="00BD765D" w:rsidRDefault="00B008E5" w:rsidP="00BD765D">
      <w:pPr>
        <w:autoSpaceDE w:val="0"/>
        <w:autoSpaceDN w:val="0"/>
        <w:adjustRightInd w:val="0"/>
        <w:spacing w:before="60" w:after="60"/>
      </w:pPr>
      <w:r w:rsidRPr="00CA1CBE">
        <w:t>Tā kā pašlaik nav pietiekamas informācijas par prognozējamo rekomendācijā ietverto deficīta samazināšanas trajektoriju, to pašlaik nav iespējams izmantot vispārējās valdības budžeta bilances mērķu aprēķināšanā.</w:t>
      </w:r>
    </w:p>
    <w:p w14:paraId="0388C6AC" w14:textId="1D7379D0" w:rsidR="00B008E5" w:rsidRPr="00CA1CBE" w:rsidRDefault="00B008E5" w:rsidP="00BD765D">
      <w:pPr>
        <w:autoSpaceDE w:val="0"/>
        <w:autoSpaceDN w:val="0"/>
        <w:adjustRightInd w:val="0"/>
        <w:spacing w:before="60" w:after="60"/>
      </w:pPr>
      <w:r w:rsidRPr="00CA1CBE">
        <w:lastRenderedPageBreak/>
        <w:t>Fiskālās disciplīnas likums, savukārt, līdz ar vispārējās izņēmuma klauzulas atcelšanu, 2022. un 2023.</w:t>
      </w:r>
      <w:r w:rsidR="00BD765D">
        <w:t> </w:t>
      </w:r>
      <w:r w:rsidR="00864A9B">
        <w:t>gadā liek ievērot FDL 10. </w:t>
      </w:r>
      <w:r w:rsidRPr="00CA1CBE">
        <w:t>pantā noteikto 0,5% strukturālā deficīta mērķi.</w:t>
      </w:r>
    </w:p>
    <w:p w14:paraId="2B4B1C2B" w14:textId="058D1D88" w:rsidR="00B008E5" w:rsidRPr="00CA1CBE" w:rsidRDefault="00B008E5" w:rsidP="00C61C6C">
      <w:pPr>
        <w:autoSpaceDE w:val="0"/>
        <w:autoSpaceDN w:val="0"/>
        <w:adjustRightInd w:val="0"/>
        <w:spacing w:before="60" w:after="60"/>
      </w:pPr>
      <w:r w:rsidRPr="00CA1CBE">
        <w:t>Kā jau tika minēts iepriekš, pie nemainīgas politikas vispārējās valdības budžeta  bilance tiek prognozēta -7,6%; -3,9%; -2,8% un -1,7% attiecīgi 2020.-2023.gados. Ņemot vērā prognozētās izlaižu starpība</w:t>
      </w:r>
      <w:r w:rsidR="00864A9B">
        <w:t>s, strukturālais deficīts 2021. </w:t>
      </w:r>
      <w:r w:rsidRPr="00CA1CBE">
        <w:t>gadā ir -1,9%; 2022.gadā -0,9% un 2023.gadā -0,05%.</w:t>
      </w:r>
    </w:p>
    <w:p w14:paraId="22339734" w14:textId="244E3A40" w:rsidR="00864A9B" w:rsidRPr="00A3684A" w:rsidRDefault="00864A9B" w:rsidP="00864A9B">
      <w:pPr>
        <w:spacing w:before="240" w:after="60"/>
        <w:ind w:firstLine="0"/>
        <w:jc w:val="center"/>
        <w:rPr>
          <w:rFonts w:eastAsia="Calibri" w:cs="Times New Roman"/>
          <w:b/>
          <w:sz w:val="24"/>
          <w:szCs w:val="24"/>
        </w:rPr>
      </w:pPr>
      <w:r>
        <w:rPr>
          <w:rFonts w:eastAsia="Calibri" w:cs="Times New Roman"/>
          <w:b/>
          <w:sz w:val="24"/>
          <w:szCs w:val="24"/>
        </w:rPr>
        <w:t>8</w:t>
      </w:r>
      <w:r w:rsidRPr="00A3684A">
        <w:rPr>
          <w:rFonts w:eastAsia="Calibri" w:cs="Times New Roman"/>
          <w:b/>
          <w:sz w:val="24"/>
          <w:szCs w:val="24"/>
        </w:rPr>
        <w:t xml:space="preserve">.tabula. </w:t>
      </w:r>
      <w:r>
        <w:rPr>
          <w:rFonts w:eastAsia="Calibri" w:cs="Times New Roman"/>
          <w:b/>
          <w:sz w:val="24"/>
          <w:szCs w:val="24"/>
        </w:rPr>
        <w:t>Nominālā un strukturālā vispārējās valdības budžeta bilance 2020.-2023.gadā, % no IKP</w:t>
      </w:r>
    </w:p>
    <w:tbl>
      <w:tblPr>
        <w:tblStyle w:val="TableGrid"/>
        <w:tblW w:w="9061" w:type="dxa"/>
        <w:jc w:val="center"/>
        <w:tblLook w:val="04A0" w:firstRow="1" w:lastRow="0" w:firstColumn="1" w:lastColumn="0" w:noHBand="0" w:noVBand="1"/>
      </w:tblPr>
      <w:tblGrid>
        <w:gridCol w:w="2261"/>
        <w:gridCol w:w="1700"/>
        <w:gridCol w:w="1700"/>
        <w:gridCol w:w="1700"/>
        <w:gridCol w:w="1700"/>
      </w:tblGrid>
      <w:tr w:rsidR="00B008E5" w:rsidRPr="001B2DF8" w14:paraId="5DF2206F" w14:textId="77777777" w:rsidTr="00864A9B">
        <w:trPr>
          <w:jc w:val="center"/>
        </w:trPr>
        <w:tc>
          <w:tcPr>
            <w:tcW w:w="2261" w:type="dxa"/>
          </w:tcPr>
          <w:p w14:paraId="0940F807" w14:textId="77777777" w:rsidR="00B008E5" w:rsidRPr="001B2DF8" w:rsidRDefault="00B008E5" w:rsidP="00A3684A">
            <w:pPr>
              <w:autoSpaceDE w:val="0"/>
              <w:autoSpaceDN w:val="0"/>
              <w:adjustRightInd w:val="0"/>
              <w:spacing w:before="0" w:after="0"/>
              <w:rPr>
                <w:sz w:val="22"/>
                <w:szCs w:val="22"/>
              </w:rPr>
            </w:pPr>
          </w:p>
        </w:tc>
        <w:tc>
          <w:tcPr>
            <w:tcW w:w="1700" w:type="dxa"/>
          </w:tcPr>
          <w:p w14:paraId="1C77E8CE"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2020</w:t>
            </w:r>
          </w:p>
        </w:tc>
        <w:tc>
          <w:tcPr>
            <w:tcW w:w="1700" w:type="dxa"/>
          </w:tcPr>
          <w:p w14:paraId="3F2AEC85"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2021</w:t>
            </w:r>
          </w:p>
        </w:tc>
        <w:tc>
          <w:tcPr>
            <w:tcW w:w="1700" w:type="dxa"/>
          </w:tcPr>
          <w:p w14:paraId="6CC0814E"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2022</w:t>
            </w:r>
          </w:p>
        </w:tc>
        <w:tc>
          <w:tcPr>
            <w:tcW w:w="1700" w:type="dxa"/>
          </w:tcPr>
          <w:p w14:paraId="302D891E"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2023</w:t>
            </w:r>
          </w:p>
        </w:tc>
      </w:tr>
      <w:tr w:rsidR="00B008E5" w:rsidRPr="001B2DF8" w14:paraId="6EBD8569" w14:textId="77777777" w:rsidTr="001B2DF8">
        <w:trPr>
          <w:jc w:val="center"/>
        </w:trPr>
        <w:tc>
          <w:tcPr>
            <w:tcW w:w="2261" w:type="dxa"/>
            <w:shd w:val="clear" w:color="auto" w:fill="DEEAF6" w:themeFill="accent1" w:themeFillTint="33"/>
          </w:tcPr>
          <w:p w14:paraId="2CD328AE" w14:textId="77777777" w:rsidR="00B008E5" w:rsidRPr="001B2DF8" w:rsidRDefault="00B008E5" w:rsidP="001B2DF8">
            <w:pPr>
              <w:autoSpaceDE w:val="0"/>
              <w:autoSpaceDN w:val="0"/>
              <w:adjustRightInd w:val="0"/>
              <w:spacing w:before="0" w:after="0"/>
              <w:ind w:left="0" w:firstLine="0"/>
              <w:rPr>
                <w:b/>
                <w:sz w:val="22"/>
                <w:szCs w:val="22"/>
              </w:rPr>
            </w:pPr>
            <w:r w:rsidRPr="001B2DF8">
              <w:rPr>
                <w:b/>
                <w:sz w:val="22"/>
                <w:szCs w:val="22"/>
              </w:rPr>
              <w:t>Nominālā bilance</w:t>
            </w:r>
          </w:p>
        </w:tc>
        <w:tc>
          <w:tcPr>
            <w:tcW w:w="1700" w:type="dxa"/>
            <w:shd w:val="clear" w:color="auto" w:fill="DEEAF6" w:themeFill="accent1" w:themeFillTint="33"/>
          </w:tcPr>
          <w:p w14:paraId="3BCC5355"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-7,6</w:t>
            </w:r>
          </w:p>
        </w:tc>
        <w:tc>
          <w:tcPr>
            <w:tcW w:w="1700" w:type="dxa"/>
            <w:shd w:val="clear" w:color="auto" w:fill="DEEAF6" w:themeFill="accent1" w:themeFillTint="33"/>
          </w:tcPr>
          <w:p w14:paraId="28A5BF98"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-3,9</w:t>
            </w:r>
          </w:p>
        </w:tc>
        <w:tc>
          <w:tcPr>
            <w:tcW w:w="1700" w:type="dxa"/>
            <w:shd w:val="clear" w:color="auto" w:fill="DEEAF6" w:themeFill="accent1" w:themeFillTint="33"/>
          </w:tcPr>
          <w:p w14:paraId="79B3EA47"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-2,8</w:t>
            </w:r>
          </w:p>
        </w:tc>
        <w:tc>
          <w:tcPr>
            <w:tcW w:w="1700" w:type="dxa"/>
            <w:shd w:val="clear" w:color="auto" w:fill="DEEAF6" w:themeFill="accent1" w:themeFillTint="33"/>
          </w:tcPr>
          <w:p w14:paraId="062FB19D"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-1,7</w:t>
            </w:r>
          </w:p>
        </w:tc>
      </w:tr>
      <w:tr w:rsidR="00B008E5" w:rsidRPr="001B2DF8" w14:paraId="5FC7AEA7" w14:textId="77777777" w:rsidTr="00864A9B">
        <w:trPr>
          <w:jc w:val="center"/>
        </w:trPr>
        <w:tc>
          <w:tcPr>
            <w:tcW w:w="2261" w:type="dxa"/>
          </w:tcPr>
          <w:p w14:paraId="77B401E1" w14:textId="77777777" w:rsidR="00B008E5" w:rsidRPr="001B2DF8" w:rsidRDefault="00B008E5" w:rsidP="001B2DF8">
            <w:pPr>
              <w:autoSpaceDE w:val="0"/>
              <w:autoSpaceDN w:val="0"/>
              <w:adjustRightInd w:val="0"/>
              <w:spacing w:before="0" w:after="0"/>
              <w:ind w:left="0" w:firstLine="0"/>
              <w:rPr>
                <w:sz w:val="22"/>
                <w:szCs w:val="22"/>
              </w:rPr>
            </w:pPr>
            <w:r w:rsidRPr="001B2DF8">
              <w:rPr>
                <w:sz w:val="22"/>
                <w:szCs w:val="22"/>
              </w:rPr>
              <w:t xml:space="preserve">Izlaižu starpība </w:t>
            </w:r>
          </w:p>
        </w:tc>
        <w:tc>
          <w:tcPr>
            <w:tcW w:w="1700" w:type="dxa"/>
          </w:tcPr>
          <w:p w14:paraId="4FB914F1"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-7,9</w:t>
            </w:r>
          </w:p>
        </w:tc>
        <w:tc>
          <w:tcPr>
            <w:tcW w:w="1700" w:type="dxa"/>
          </w:tcPr>
          <w:p w14:paraId="0A65334D"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-5,6</w:t>
            </w:r>
          </w:p>
        </w:tc>
        <w:tc>
          <w:tcPr>
            <w:tcW w:w="1700" w:type="dxa"/>
          </w:tcPr>
          <w:p w14:paraId="676DCAF7"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-5,0</w:t>
            </w:r>
          </w:p>
        </w:tc>
        <w:tc>
          <w:tcPr>
            <w:tcW w:w="1700" w:type="dxa"/>
          </w:tcPr>
          <w:p w14:paraId="7A105632"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-4,4</w:t>
            </w:r>
          </w:p>
        </w:tc>
      </w:tr>
      <w:tr w:rsidR="00B008E5" w:rsidRPr="001B2DF8" w14:paraId="1861713D" w14:textId="77777777" w:rsidTr="00864A9B">
        <w:trPr>
          <w:jc w:val="center"/>
        </w:trPr>
        <w:tc>
          <w:tcPr>
            <w:tcW w:w="2261" w:type="dxa"/>
          </w:tcPr>
          <w:p w14:paraId="0A842B7E" w14:textId="77777777" w:rsidR="00B008E5" w:rsidRPr="001B2DF8" w:rsidRDefault="00B008E5" w:rsidP="001B2DF8">
            <w:pPr>
              <w:autoSpaceDE w:val="0"/>
              <w:autoSpaceDN w:val="0"/>
              <w:adjustRightInd w:val="0"/>
              <w:spacing w:before="0" w:after="0"/>
              <w:ind w:left="0" w:firstLine="0"/>
              <w:rPr>
                <w:sz w:val="22"/>
                <w:szCs w:val="22"/>
              </w:rPr>
            </w:pPr>
            <w:r w:rsidRPr="001B2DF8">
              <w:rPr>
                <w:sz w:val="22"/>
                <w:szCs w:val="22"/>
              </w:rPr>
              <w:t>Cikliskā komponente</w:t>
            </w:r>
          </w:p>
        </w:tc>
        <w:tc>
          <w:tcPr>
            <w:tcW w:w="1700" w:type="dxa"/>
          </w:tcPr>
          <w:p w14:paraId="0B8526B1"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-3,0</w:t>
            </w:r>
          </w:p>
        </w:tc>
        <w:tc>
          <w:tcPr>
            <w:tcW w:w="1700" w:type="dxa"/>
          </w:tcPr>
          <w:p w14:paraId="0E2A0455"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-2,1</w:t>
            </w:r>
          </w:p>
        </w:tc>
        <w:tc>
          <w:tcPr>
            <w:tcW w:w="1700" w:type="dxa"/>
          </w:tcPr>
          <w:p w14:paraId="7CF4F4E9"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-1,9</w:t>
            </w:r>
          </w:p>
        </w:tc>
        <w:tc>
          <w:tcPr>
            <w:tcW w:w="1700" w:type="dxa"/>
          </w:tcPr>
          <w:p w14:paraId="5C648C26"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-1,6</w:t>
            </w:r>
          </w:p>
        </w:tc>
      </w:tr>
      <w:tr w:rsidR="00B008E5" w:rsidRPr="001B2DF8" w14:paraId="13F19B56" w14:textId="77777777" w:rsidTr="00864A9B">
        <w:trPr>
          <w:jc w:val="center"/>
        </w:trPr>
        <w:tc>
          <w:tcPr>
            <w:tcW w:w="2261" w:type="dxa"/>
          </w:tcPr>
          <w:p w14:paraId="6D41E60F" w14:textId="77777777" w:rsidR="00B008E5" w:rsidRPr="001B2DF8" w:rsidRDefault="00B008E5" w:rsidP="001B2DF8">
            <w:pPr>
              <w:autoSpaceDE w:val="0"/>
              <w:autoSpaceDN w:val="0"/>
              <w:adjustRightInd w:val="0"/>
              <w:spacing w:before="0" w:after="0"/>
              <w:ind w:left="0" w:firstLine="0"/>
              <w:rPr>
                <w:sz w:val="22"/>
                <w:szCs w:val="22"/>
              </w:rPr>
            </w:pPr>
            <w:r w:rsidRPr="001B2DF8">
              <w:rPr>
                <w:sz w:val="22"/>
                <w:szCs w:val="22"/>
              </w:rPr>
              <w:t>Vienreizējie pasākumi</w:t>
            </w:r>
          </w:p>
        </w:tc>
        <w:tc>
          <w:tcPr>
            <w:tcW w:w="1700" w:type="dxa"/>
          </w:tcPr>
          <w:p w14:paraId="1423B06F"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-0,12</w:t>
            </w:r>
          </w:p>
        </w:tc>
        <w:tc>
          <w:tcPr>
            <w:tcW w:w="1700" w:type="dxa"/>
          </w:tcPr>
          <w:p w14:paraId="383443DA" w14:textId="77777777" w:rsidR="00B008E5" w:rsidRPr="001B2DF8" w:rsidRDefault="00B008E5" w:rsidP="001B2DF8">
            <w:pPr>
              <w:autoSpaceDE w:val="0"/>
              <w:autoSpaceDN w:val="0"/>
              <w:adjustRightInd w:val="0"/>
              <w:spacing w:before="0" w:after="0"/>
              <w:ind w:left="0" w:firstLine="0"/>
              <w:jc w:val="center"/>
              <w:rPr>
                <w:sz w:val="22"/>
                <w:szCs w:val="22"/>
              </w:rPr>
            </w:pPr>
            <w:r w:rsidRPr="001B2DF8">
              <w:rPr>
                <w:sz w:val="22"/>
                <w:szCs w:val="22"/>
              </w:rPr>
              <w:t>0,05</w:t>
            </w:r>
          </w:p>
        </w:tc>
        <w:tc>
          <w:tcPr>
            <w:tcW w:w="1700" w:type="dxa"/>
          </w:tcPr>
          <w:p w14:paraId="481BDE82" w14:textId="77777777" w:rsidR="00B008E5" w:rsidRPr="001B2DF8" w:rsidRDefault="00B008E5" w:rsidP="001B2DF8">
            <w:pPr>
              <w:autoSpaceDE w:val="0"/>
              <w:autoSpaceDN w:val="0"/>
              <w:adjustRightInd w:val="0"/>
              <w:spacing w:before="0" w:after="0"/>
              <w:jc w:val="center"/>
              <w:rPr>
                <w:sz w:val="22"/>
                <w:szCs w:val="22"/>
              </w:rPr>
            </w:pPr>
          </w:p>
        </w:tc>
        <w:tc>
          <w:tcPr>
            <w:tcW w:w="1700" w:type="dxa"/>
          </w:tcPr>
          <w:p w14:paraId="7033F2AC" w14:textId="77777777" w:rsidR="00B008E5" w:rsidRPr="001B2DF8" w:rsidRDefault="00B008E5" w:rsidP="001B2DF8">
            <w:pPr>
              <w:autoSpaceDE w:val="0"/>
              <w:autoSpaceDN w:val="0"/>
              <w:adjustRightInd w:val="0"/>
              <w:spacing w:before="0" w:after="0"/>
              <w:jc w:val="center"/>
              <w:rPr>
                <w:sz w:val="22"/>
                <w:szCs w:val="22"/>
              </w:rPr>
            </w:pPr>
          </w:p>
        </w:tc>
      </w:tr>
      <w:tr w:rsidR="00B008E5" w:rsidRPr="001B2DF8" w14:paraId="02654D1F" w14:textId="77777777" w:rsidTr="001B2DF8">
        <w:trPr>
          <w:jc w:val="center"/>
        </w:trPr>
        <w:tc>
          <w:tcPr>
            <w:tcW w:w="2261" w:type="dxa"/>
            <w:shd w:val="clear" w:color="auto" w:fill="DEEAF6" w:themeFill="accent1" w:themeFillTint="33"/>
          </w:tcPr>
          <w:p w14:paraId="36E0E69E" w14:textId="77777777" w:rsidR="00B008E5" w:rsidRPr="001B2DF8" w:rsidRDefault="00B008E5" w:rsidP="001B2DF8">
            <w:pPr>
              <w:autoSpaceDE w:val="0"/>
              <w:autoSpaceDN w:val="0"/>
              <w:adjustRightInd w:val="0"/>
              <w:spacing w:before="0" w:after="0"/>
              <w:ind w:left="0" w:firstLine="0"/>
              <w:rPr>
                <w:b/>
                <w:sz w:val="22"/>
                <w:szCs w:val="22"/>
              </w:rPr>
            </w:pPr>
            <w:r w:rsidRPr="001B2DF8">
              <w:rPr>
                <w:b/>
                <w:sz w:val="22"/>
                <w:szCs w:val="22"/>
              </w:rPr>
              <w:t>Strukturālā bilance</w:t>
            </w:r>
          </w:p>
        </w:tc>
        <w:tc>
          <w:tcPr>
            <w:tcW w:w="1700" w:type="dxa"/>
            <w:shd w:val="clear" w:color="auto" w:fill="DEEAF6" w:themeFill="accent1" w:themeFillTint="33"/>
          </w:tcPr>
          <w:p w14:paraId="6CFC13F6"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-4,5</w:t>
            </w:r>
          </w:p>
        </w:tc>
        <w:tc>
          <w:tcPr>
            <w:tcW w:w="1700" w:type="dxa"/>
            <w:shd w:val="clear" w:color="auto" w:fill="DEEAF6" w:themeFill="accent1" w:themeFillTint="33"/>
          </w:tcPr>
          <w:p w14:paraId="1D96B908"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-1,9</w:t>
            </w:r>
          </w:p>
        </w:tc>
        <w:tc>
          <w:tcPr>
            <w:tcW w:w="1700" w:type="dxa"/>
            <w:shd w:val="clear" w:color="auto" w:fill="DEEAF6" w:themeFill="accent1" w:themeFillTint="33"/>
          </w:tcPr>
          <w:p w14:paraId="3A453AB4"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-0,9</w:t>
            </w:r>
          </w:p>
        </w:tc>
        <w:tc>
          <w:tcPr>
            <w:tcW w:w="1700" w:type="dxa"/>
            <w:shd w:val="clear" w:color="auto" w:fill="DEEAF6" w:themeFill="accent1" w:themeFillTint="33"/>
          </w:tcPr>
          <w:p w14:paraId="0CE9DA38" w14:textId="77777777" w:rsidR="00B008E5" w:rsidRPr="001B2DF8" w:rsidRDefault="00B008E5" w:rsidP="001B2DF8">
            <w:pPr>
              <w:autoSpaceDE w:val="0"/>
              <w:autoSpaceDN w:val="0"/>
              <w:adjustRightInd w:val="0"/>
              <w:spacing w:before="0" w:after="0"/>
              <w:ind w:left="0" w:firstLine="0"/>
              <w:jc w:val="center"/>
              <w:rPr>
                <w:b/>
                <w:sz w:val="22"/>
                <w:szCs w:val="22"/>
              </w:rPr>
            </w:pPr>
            <w:r w:rsidRPr="001B2DF8">
              <w:rPr>
                <w:b/>
                <w:sz w:val="22"/>
                <w:szCs w:val="22"/>
              </w:rPr>
              <w:t>-0,05</w:t>
            </w:r>
          </w:p>
        </w:tc>
      </w:tr>
    </w:tbl>
    <w:p w14:paraId="45079C9F" w14:textId="290746F4" w:rsidR="00B008E5" w:rsidRPr="00CA1CBE" w:rsidRDefault="001B2DF8" w:rsidP="00864A9B">
      <w:pPr>
        <w:autoSpaceDE w:val="0"/>
        <w:autoSpaceDN w:val="0"/>
        <w:adjustRightInd w:val="0"/>
        <w:spacing w:before="240" w:after="0"/>
      </w:pPr>
      <w:r>
        <w:t>2021. </w:t>
      </w:r>
      <w:r w:rsidR="00B008E5" w:rsidRPr="00CA1CBE">
        <w:t>gadā līdz ar vispārējās izņēmuma klauzulas saglabāšanu strukturālā bilance netiek ierobežota ar skait</w:t>
      </w:r>
      <w:r w:rsidR="003421DE">
        <w:t>lisko fiskālo nosacījumu. 2022. </w:t>
      </w:r>
      <w:r w:rsidR="00B008E5" w:rsidRPr="00CA1CBE">
        <w:t>gadā jau scenārijā pie nemainīgas politikas 0,5% strukturālais deficīts tiek pārsniegts par 0,4% no IKP, bet 202</w:t>
      </w:r>
      <w:r w:rsidR="003421DE">
        <w:t>3. </w:t>
      </w:r>
      <w:r w:rsidR="00B008E5" w:rsidRPr="00CA1CBE">
        <w:t>gadā valsts var atļauties par 0,45% lielāku strukturālo deficītu kā deficīts, kas tiek prognozēts pie nemainīgas politikas.</w:t>
      </w:r>
    </w:p>
    <w:p w14:paraId="50105FAB" w14:textId="2A3134C6" w:rsidR="00B008E5" w:rsidRPr="00CA1CBE" w:rsidRDefault="00B008E5" w:rsidP="00B008E5">
      <w:r w:rsidRPr="00CA1CBE">
        <w:t>Jāatzīmē, ka struktur</w:t>
      </w:r>
      <w:r w:rsidR="003421DE">
        <w:t>ālās deficīta pārsniegums 2022. </w:t>
      </w:r>
      <w:r w:rsidRPr="00CA1CBE">
        <w:t>gadā pamatā nav sai</w:t>
      </w:r>
      <w:r w:rsidR="003421DE">
        <w:t>stīts ar papildus pieņemtajiem pasākumiem pēc 2019. </w:t>
      </w:r>
      <w:r w:rsidRPr="00CA1CBE">
        <w:t>gada, bet izriet no ekonomikas lejupslīdes  ietekmes uz ieņēmumiem un izdevumiem, jo būtiskas ek</w:t>
      </w:r>
      <w:r w:rsidR="003421DE">
        <w:t xml:space="preserve">onomikas lejupslīdes apstākļos </w:t>
      </w:r>
      <w:r w:rsidRPr="00CA1CBE">
        <w:t>automātiskie stabilizatori nenodrošina strukturālās bilances stabilitāti</w:t>
      </w:r>
      <w:r w:rsidR="003421DE">
        <w:t>. Izlaižu starpība 2022. </w:t>
      </w:r>
      <w:r w:rsidRPr="00CA1CBE">
        <w:t xml:space="preserve">gadā ir -5,0% no IKP. Lai arī tās negatīvā vērtība </w:t>
      </w:r>
      <w:r w:rsidR="003421DE">
        <w:t>ir mazāka, kā 2020. </w:t>
      </w:r>
      <w:r w:rsidRPr="00CA1CBE">
        <w:t>gada izlaižu starpība, kas ir -7,9% no IKP, tā joprojām ir uzskatāma par būtisku. Šādos ekonomikas politikas apstākļos veikt ierobežojošu fiskālo politiku a</w:t>
      </w:r>
      <w:r w:rsidR="003421DE">
        <w:t>r konsolidāciju nozīmētu 2022. </w:t>
      </w:r>
      <w:r w:rsidRPr="00CA1CBE">
        <w:t xml:space="preserve">gadā īstenot </w:t>
      </w:r>
      <w:proofErr w:type="spellStart"/>
      <w:r w:rsidRPr="00CA1CBE">
        <w:t>prociklisku</w:t>
      </w:r>
      <w:proofErr w:type="spellEnd"/>
      <w:r w:rsidRPr="00CA1CBE">
        <w:t xml:space="preserve"> fiskālo pol</w:t>
      </w:r>
      <w:r w:rsidR="003421DE">
        <w:t>itiku, kas būtu pretrunā FDL 4. </w:t>
      </w:r>
      <w:r w:rsidRPr="00CA1CBE">
        <w:t>panta 3.</w:t>
      </w:r>
      <w:r w:rsidR="003421DE">
        <w:t> </w:t>
      </w:r>
      <w:r w:rsidRPr="00CA1CBE">
        <w:t xml:space="preserve">punktam, kas nosaka, ka valstī ir jāīsteno </w:t>
      </w:r>
      <w:proofErr w:type="spellStart"/>
      <w:r w:rsidRPr="00CA1CBE">
        <w:t>pretcikliska</w:t>
      </w:r>
      <w:proofErr w:type="spellEnd"/>
      <w:r w:rsidRPr="00CA1CBE">
        <w:t xml:space="preserve"> fiskālā politika.</w:t>
      </w:r>
    </w:p>
    <w:p w14:paraId="1F331025" w14:textId="463609BD" w:rsidR="00B008E5" w:rsidRPr="00CA1CBE" w:rsidRDefault="003421DE" w:rsidP="00B008E5">
      <w:r>
        <w:t>2023. </w:t>
      </w:r>
      <w:r w:rsidR="00B008E5" w:rsidRPr="00CA1CBE">
        <w:t>gadā, savukārt, pēc prognozēm pie nemainīgas politikas strukturālo deficītu varētu palielināt par 0,45% no IKP.  Jāatzīmē, tomēr, ka fiskālā prognozēšana trešajam vidēja termiņa budžeta ietvara gadam ietver augstu nenoteiktību. Līdz šim ir pierādījušās tendences, ka trešajam vidēja termiņa budžeta ietvara gadam tiek prognozēta liela pozitīva fiskālā telpa, tomēr turpmākajos gados tā samazinās. Tas lielā mērā skaidrojams, ka pie nemainīgas politikas bāzes izdevumos netiek iekļautas investīcijas, par kurām vēl nav pieņemti gala lēmumi. Līdz ar to, ja pašlaik tiktu pieņemti lēm</w:t>
      </w:r>
      <w:r>
        <w:t>umi par 2023. </w:t>
      </w:r>
      <w:r w:rsidR="00B008E5" w:rsidRPr="00CA1CBE">
        <w:t>gada fiskālās telpas aizpildīšanu, var prognozēt, ka tas izsauks struktu</w:t>
      </w:r>
      <w:r>
        <w:t>rālā deficīta pārsniegumu 2023. </w:t>
      </w:r>
      <w:r w:rsidR="00B008E5" w:rsidRPr="00CA1CBE">
        <w:t>gada valsts budžeta sagatavošanas brīdī.</w:t>
      </w:r>
    </w:p>
    <w:p w14:paraId="04FF19EF" w14:textId="62B9417F" w:rsidR="00B008E5" w:rsidRPr="00CA1CBE" w:rsidRDefault="00B008E5" w:rsidP="00B008E5">
      <w:r w:rsidRPr="00CA1CBE">
        <w:t>Ņemot vērā šos apsvērumus, no fiskālās politikas aspekta optimālākais risinājums būtu neveikt kon</w:t>
      </w:r>
      <w:r w:rsidR="003421DE">
        <w:t>solidāciju 2022. </w:t>
      </w:r>
      <w:r w:rsidRPr="00CA1CBE">
        <w:t xml:space="preserve">gadā, bet vienlaicīgi  šogad 2021.-2023. gada periodam neapstiprināt jaunus izdevumus palielinošus un ieņēmumus </w:t>
      </w:r>
      <w:r w:rsidRPr="00CA1CBE">
        <w:lastRenderedPageBreak/>
        <w:t>samazinošus pasākumus un budžeta prioritātes finansēt</w:t>
      </w:r>
      <w:r w:rsidR="003421DE">
        <w:t>,</w:t>
      </w:r>
      <w:r w:rsidRPr="00CA1CBE">
        <w:t xml:space="preserve"> pārdalot resursus un īstenojot nodokļu politikas pilnveidi.   </w:t>
      </w:r>
    </w:p>
    <w:p w14:paraId="4992AC08" w14:textId="77E03A01" w:rsidR="00B008E5" w:rsidRPr="00CA1CBE" w:rsidRDefault="00B008E5" w:rsidP="00B008E5">
      <w:r w:rsidRPr="00CA1CBE">
        <w:t>Ņemot vērā</w:t>
      </w:r>
      <w:r w:rsidR="003421DE">
        <w:t>, ka 2021. </w:t>
      </w:r>
      <w:r w:rsidRPr="00CA1CBE">
        <w:t>gadā nepastāv skaitliskais fiskālais nosacījums vispārējās valdības budžeta b</w:t>
      </w:r>
      <w:r w:rsidR="003421DE">
        <w:t>ilances mērķa noteikšanā, 2022. </w:t>
      </w:r>
      <w:r w:rsidRPr="00CA1CBE">
        <w:t xml:space="preserve">gadā esošā pretruna FDL nosacījumu izpildē un informācijas trūkums par ES noteikto deficīta samazināšanas trajektoriju, kā arī relatīvi </w:t>
      </w:r>
      <w:r w:rsidR="003421DE">
        <w:t>augstais risks 2023. </w:t>
      </w:r>
      <w:r w:rsidRPr="00CA1CBE">
        <w:t xml:space="preserve">gada fiskālajās prognozēs, vispārējās valdības budžeta bilances mērķi tiks noteikti brīdī, kad VTBIL projekts tiks sagatavots iesniegšanai Saeimā un tiks balstīts uz pieņemtajiem lēmumiem izdevumu un ieņēmumu jomā.     </w:t>
      </w:r>
    </w:p>
    <w:p w14:paraId="197C66F5" w14:textId="5CADBBA7" w:rsidR="00C1151A" w:rsidRDefault="00C1151A" w:rsidP="00A3684A">
      <w:pPr>
        <w:spacing w:after="0"/>
      </w:pPr>
      <w:r>
        <w:br w:type="page"/>
      </w:r>
    </w:p>
    <w:p w14:paraId="5486715C" w14:textId="77777777" w:rsidR="00E96CDD" w:rsidRPr="003421DE" w:rsidRDefault="00043218" w:rsidP="003421DE">
      <w:pPr>
        <w:pStyle w:val="Heading1"/>
        <w:ind w:left="0"/>
      </w:pPr>
      <w:bookmarkStart w:id="13" w:name="_Toc48048103"/>
      <w:r w:rsidRPr="003421DE">
        <w:lastRenderedPageBreak/>
        <w:t>Turpmākā rīcība</w:t>
      </w:r>
      <w:bookmarkEnd w:id="10"/>
      <w:bookmarkEnd w:id="13"/>
    </w:p>
    <w:p w14:paraId="44B7C4A4" w14:textId="68AA3CAB" w:rsidR="005F7872" w:rsidRPr="008F2113" w:rsidRDefault="00C33828" w:rsidP="005F7872">
      <w:r w:rsidRPr="008F2113">
        <w:t xml:space="preserve">Lai turpinātu </w:t>
      </w:r>
      <w:r w:rsidR="00622435" w:rsidRPr="008F2113">
        <w:t xml:space="preserve">likumprojekta </w:t>
      </w:r>
      <w:r w:rsidR="006B3507" w:rsidRPr="008F2113">
        <w:t>“Par vid</w:t>
      </w:r>
      <w:r w:rsidR="008F2113">
        <w:t>ēja termiņa budžeta ietvaru 2021., 2022. un 2023</w:t>
      </w:r>
      <w:r w:rsidR="006B3507" w:rsidRPr="008F2113">
        <w:t xml:space="preserve">.gadam”, kā arī likumprojekta </w:t>
      </w:r>
      <w:r w:rsidR="00622435" w:rsidRPr="008F2113">
        <w:t>“Par valsts budžetu 20</w:t>
      </w:r>
      <w:r w:rsidR="008F2113">
        <w:t>21</w:t>
      </w:r>
      <w:r w:rsidR="00622435" w:rsidRPr="008F2113">
        <w:t>.</w:t>
      </w:r>
      <w:r w:rsidR="00B70C8F" w:rsidRPr="008F2113">
        <w:t> </w:t>
      </w:r>
      <w:r w:rsidR="00622435" w:rsidRPr="008F2113">
        <w:t>gadam”</w:t>
      </w:r>
      <w:r w:rsidR="00B56632" w:rsidRPr="008F2113">
        <w:t xml:space="preserve"> </w:t>
      </w:r>
      <w:r w:rsidRPr="008F2113">
        <w:t xml:space="preserve">sagatavošanu, </w:t>
      </w:r>
      <w:r w:rsidR="00883DFA" w:rsidRPr="008F2113">
        <w:rPr>
          <w:rFonts w:cs="Times New Roman"/>
          <w:bCs/>
          <w:iCs/>
          <w:szCs w:val="28"/>
        </w:rPr>
        <w:t>nepieciešams:</w:t>
      </w:r>
      <w:r w:rsidR="00883DFA" w:rsidRPr="008F2113">
        <w:t xml:space="preserve"> </w:t>
      </w:r>
    </w:p>
    <w:p w14:paraId="4E6E1CCF" w14:textId="77777777" w:rsidR="004805D0" w:rsidRPr="00D26437" w:rsidRDefault="004805D0" w:rsidP="004805D0">
      <w:pPr>
        <w:pStyle w:val="ListParagraph"/>
        <w:numPr>
          <w:ilvl w:val="0"/>
          <w:numId w:val="13"/>
        </w:numPr>
        <w:tabs>
          <w:tab w:val="left" w:pos="1134"/>
        </w:tabs>
        <w:spacing w:before="0"/>
        <w:contextualSpacing w:val="0"/>
        <w:rPr>
          <w:szCs w:val="28"/>
        </w:rPr>
      </w:pPr>
      <w:r w:rsidRPr="00D26437">
        <w:rPr>
          <w:szCs w:val="28"/>
        </w:rPr>
        <w:t>Pieņemt zināšanai finanšu ministr</w:t>
      </w:r>
      <w:r w:rsidRPr="00D26437">
        <w:rPr>
          <w:color w:val="000000" w:themeColor="text1"/>
          <w:szCs w:val="28"/>
        </w:rPr>
        <w:t>a</w:t>
      </w:r>
      <w:r w:rsidRPr="00D26437">
        <w:rPr>
          <w:szCs w:val="28"/>
        </w:rPr>
        <w:t xml:space="preserve"> iesniegto informatīvo ziņojumu „Par makroekonomisko rādītāju, ieņēmumu un vispārējās valdības budžeta bilances prognozēm </w:t>
      </w:r>
      <w:r>
        <w:rPr>
          <w:szCs w:val="28"/>
        </w:rPr>
        <w:t>2021</w:t>
      </w:r>
      <w:r w:rsidRPr="00D26437">
        <w:rPr>
          <w:szCs w:val="28"/>
        </w:rPr>
        <w:t>.-</w:t>
      </w:r>
      <w:r>
        <w:rPr>
          <w:szCs w:val="28"/>
        </w:rPr>
        <w:t>2023</w:t>
      </w:r>
      <w:r w:rsidRPr="00D26437">
        <w:rPr>
          <w:szCs w:val="28"/>
        </w:rPr>
        <w:t>.gadā”.</w:t>
      </w:r>
    </w:p>
    <w:p w14:paraId="71541D8B" w14:textId="77777777" w:rsidR="004805D0" w:rsidRPr="007204B7" w:rsidRDefault="004805D0" w:rsidP="004805D0">
      <w:pPr>
        <w:pStyle w:val="ListParagraph"/>
        <w:numPr>
          <w:ilvl w:val="0"/>
          <w:numId w:val="13"/>
        </w:numPr>
        <w:spacing w:before="0"/>
        <w:contextualSpacing w:val="0"/>
        <w:rPr>
          <w:noProof/>
          <w:szCs w:val="28"/>
        </w:rPr>
      </w:pPr>
      <w:r w:rsidRPr="007204B7">
        <w:rPr>
          <w:szCs w:val="28"/>
        </w:rPr>
        <w:t xml:space="preserve">Pieņemt zināšanai, ka </w:t>
      </w:r>
      <w:r>
        <w:rPr>
          <w:szCs w:val="28"/>
        </w:rPr>
        <w:t xml:space="preserve">bāzes scenārijā </w:t>
      </w:r>
      <w:r w:rsidRPr="007204B7">
        <w:rPr>
          <w:szCs w:val="28"/>
        </w:rPr>
        <w:t>vispārējās valdības budžeta prognožu pamatā ir Finanšu ministrijas izstrādātās un Fiskālās dis</w:t>
      </w:r>
      <w:r>
        <w:rPr>
          <w:szCs w:val="28"/>
        </w:rPr>
        <w:t>ciplīnas padomes 2020</w:t>
      </w:r>
      <w:r w:rsidRPr="007204B7">
        <w:rPr>
          <w:szCs w:val="28"/>
        </w:rPr>
        <w:t xml:space="preserve">. gada </w:t>
      </w:r>
      <w:r w:rsidRPr="00C364F4">
        <w:rPr>
          <w:szCs w:val="28"/>
        </w:rPr>
        <w:t>18.</w:t>
      </w:r>
      <w:r w:rsidRPr="007204B7">
        <w:rPr>
          <w:szCs w:val="28"/>
        </w:rPr>
        <w:t> jūnijā apstiprinātās makroekonomisko rādītāju prognozes: iekšzemes kopprodukta p</w:t>
      </w:r>
      <w:r>
        <w:rPr>
          <w:szCs w:val="28"/>
        </w:rPr>
        <w:t>ieaugums salīdzināmās cenās 2020. gadā -7,0%, 2021. gadā 5,1%, 2022. gadā 3,1% un 2023. gadā 3,1</w:t>
      </w:r>
      <w:r w:rsidRPr="007204B7">
        <w:rPr>
          <w:szCs w:val="28"/>
        </w:rPr>
        <w:t>%; iekšzemes kopprodukta pieaugum</w:t>
      </w:r>
      <w:r>
        <w:rPr>
          <w:szCs w:val="28"/>
        </w:rPr>
        <w:t>s faktiskajās cenās 2020. gadā -7,4%, 2021. gadā 6,5</w:t>
      </w:r>
      <w:r w:rsidRPr="007204B7">
        <w:rPr>
          <w:szCs w:val="28"/>
        </w:rPr>
        <w:t>%</w:t>
      </w:r>
      <w:r>
        <w:rPr>
          <w:szCs w:val="28"/>
        </w:rPr>
        <w:t>,</w:t>
      </w:r>
      <w:r w:rsidRPr="007204B7">
        <w:rPr>
          <w:szCs w:val="28"/>
        </w:rPr>
        <w:t xml:space="preserve"> 2022. gadā 5,3%</w:t>
      </w:r>
      <w:r>
        <w:rPr>
          <w:szCs w:val="28"/>
        </w:rPr>
        <w:t xml:space="preserve"> un 2023.gadā 5,2%</w:t>
      </w:r>
      <w:r w:rsidRPr="007204B7">
        <w:rPr>
          <w:szCs w:val="28"/>
        </w:rPr>
        <w:t xml:space="preserve">; nominālais </w:t>
      </w:r>
      <w:r w:rsidRPr="007204B7">
        <w:rPr>
          <w:noProof/>
          <w:szCs w:val="28"/>
        </w:rPr>
        <w:t xml:space="preserve">iekšzemes kopprodukts 2020. gadā </w:t>
      </w:r>
      <w:r>
        <w:rPr>
          <w:noProof/>
          <w:szCs w:val="28"/>
        </w:rPr>
        <w:t xml:space="preserve">28 206 milj. </w:t>
      </w:r>
      <w:r w:rsidRPr="007204B7">
        <w:rPr>
          <w:i/>
          <w:noProof/>
          <w:szCs w:val="28"/>
        </w:rPr>
        <w:t>euro,</w:t>
      </w:r>
      <w:r w:rsidRPr="007204B7">
        <w:rPr>
          <w:noProof/>
          <w:szCs w:val="28"/>
        </w:rPr>
        <w:t xml:space="preserve"> </w:t>
      </w:r>
      <w:r>
        <w:rPr>
          <w:noProof/>
          <w:szCs w:val="28"/>
        </w:rPr>
        <w:t>2021. gadā 30 035</w:t>
      </w:r>
      <w:r w:rsidRPr="007204B7">
        <w:rPr>
          <w:noProof/>
          <w:szCs w:val="28"/>
        </w:rPr>
        <w:t> milj. </w:t>
      </w:r>
      <w:r w:rsidRPr="007204B7">
        <w:rPr>
          <w:i/>
          <w:noProof/>
          <w:szCs w:val="28"/>
        </w:rPr>
        <w:t>euro</w:t>
      </w:r>
      <w:r>
        <w:rPr>
          <w:noProof/>
          <w:szCs w:val="28"/>
        </w:rPr>
        <w:t>, 2022. gadā 31 614</w:t>
      </w:r>
      <w:r w:rsidRPr="007204B7">
        <w:rPr>
          <w:noProof/>
          <w:szCs w:val="28"/>
        </w:rPr>
        <w:t> milj. </w:t>
      </w:r>
      <w:r w:rsidRPr="007204B7">
        <w:rPr>
          <w:i/>
          <w:noProof/>
          <w:szCs w:val="28"/>
        </w:rPr>
        <w:t>euro</w:t>
      </w:r>
      <w:r>
        <w:rPr>
          <w:noProof/>
          <w:szCs w:val="28"/>
        </w:rPr>
        <w:t xml:space="preserve"> un 2023. gadā 33 262 milj. </w:t>
      </w:r>
      <w:r w:rsidRPr="007204B7">
        <w:rPr>
          <w:i/>
          <w:noProof/>
          <w:szCs w:val="28"/>
        </w:rPr>
        <w:t>euro</w:t>
      </w:r>
      <w:r w:rsidRPr="007204B7">
        <w:rPr>
          <w:noProof/>
          <w:szCs w:val="28"/>
        </w:rPr>
        <w:t xml:space="preserve">; </w:t>
      </w:r>
      <w:r w:rsidRPr="007204B7">
        <w:rPr>
          <w:szCs w:val="28"/>
        </w:rPr>
        <w:t>patēriņa cenu izmaiņas salīdzinājumā ar</w:t>
      </w:r>
      <w:r>
        <w:rPr>
          <w:szCs w:val="28"/>
        </w:rPr>
        <w:t xml:space="preserve"> iepriekšējo gadu 2020. gadā 0,2%, 2021. gadā 1,2</w:t>
      </w:r>
      <w:r w:rsidRPr="007204B7">
        <w:rPr>
          <w:szCs w:val="28"/>
        </w:rPr>
        <w:t>%</w:t>
      </w:r>
      <w:r>
        <w:rPr>
          <w:szCs w:val="28"/>
        </w:rPr>
        <w:t>,</w:t>
      </w:r>
      <w:r w:rsidRPr="007204B7">
        <w:rPr>
          <w:szCs w:val="28"/>
        </w:rPr>
        <w:t xml:space="preserve"> 2022. gadā 2,0%</w:t>
      </w:r>
      <w:r>
        <w:rPr>
          <w:szCs w:val="28"/>
        </w:rPr>
        <w:t xml:space="preserve"> un 2023. gadā 2,0%</w:t>
      </w:r>
      <w:r w:rsidRPr="007204B7">
        <w:rPr>
          <w:szCs w:val="28"/>
        </w:rPr>
        <w:t>; noda</w:t>
      </w:r>
      <w:r>
        <w:rPr>
          <w:szCs w:val="28"/>
        </w:rPr>
        <w:t>rbinātības izmaiņas 2020. gadā -4,4</w:t>
      </w:r>
      <w:r w:rsidRPr="007204B7">
        <w:rPr>
          <w:szCs w:val="28"/>
        </w:rPr>
        <w:t xml:space="preserve">%, 2021. gadā  </w:t>
      </w:r>
      <w:r>
        <w:rPr>
          <w:szCs w:val="28"/>
        </w:rPr>
        <w:t>0,6%, 2022. gadā 1,0% un 2023. gadā  -0,1%.</w:t>
      </w:r>
      <w:r w:rsidRPr="007204B7">
        <w:rPr>
          <w:szCs w:val="28"/>
        </w:rPr>
        <w:t xml:space="preserve"> </w:t>
      </w:r>
    </w:p>
    <w:p w14:paraId="42FE505C" w14:textId="77777777" w:rsidR="004805D0" w:rsidRDefault="004805D0" w:rsidP="004805D0">
      <w:pPr>
        <w:pStyle w:val="ListParagraph"/>
        <w:numPr>
          <w:ilvl w:val="0"/>
          <w:numId w:val="13"/>
        </w:numPr>
        <w:spacing w:before="0"/>
        <w:contextualSpacing w:val="0"/>
        <w:rPr>
          <w:noProof/>
          <w:szCs w:val="28"/>
        </w:rPr>
      </w:pPr>
      <w:r>
        <w:rPr>
          <w:szCs w:val="28"/>
        </w:rPr>
        <w:t xml:space="preserve">Pieņemt zināšanai, ka bāzes scenārijā </w:t>
      </w:r>
      <w:r w:rsidRPr="007204B7">
        <w:rPr>
          <w:szCs w:val="28"/>
        </w:rPr>
        <w:t xml:space="preserve">vispārējās valdības budžeta </w:t>
      </w:r>
      <w:r>
        <w:rPr>
          <w:szCs w:val="28"/>
        </w:rPr>
        <w:t xml:space="preserve">bilance pie nemainīgas valdības politikas tiek prognozēta 2021. gadā -1 184,9 milj. </w:t>
      </w:r>
      <w:r w:rsidRPr="007204B7">
        <w:rPr>
          <w:i/>
          <w:noProof/>
          <w:szCs w:val="28"/>
        </w:rPr>
        <w:t>euro</w:t>
      </w:r>
      <w:r>
        <w:rPr>
          <w:szCs w:val="28"/>
        </w:rPr>
        <w:t xml:space="preserve"> </w:t>
      </w:r>
      <w:r w:rsidRPr="00C364F4">
        <w:rPr>
          <w:szCs w:val="28"/>
        </w:rPr>
        <w:t>jeb</w:t>
      </w:r>
      <w:r>
        <w:rPr>
          <w:szCs w:val="28"/>
        </w:rPr>
        <w:t xml:space="preserve"> </w:t>
      </w:r>
      <w:r w:rsidRPr="00C364F4">
        <w:rPr>
          <w:szCs w:val="28"/>
        </w:rPr>
        <w:t xml:space="preserve">-3,9% no IKP, 2022. gadā </w:t>
      </w:r>
      <w:r>
        <w:rPr>
          <w:szCs w:val="28"/>
        </w:rPr>
        <w:t xml:space="preserve">ir -876,9 milj. </w:t>
      </w:r>
      <w:r w:rsidRPr="007204B7">
        <w:rPr>
          <w:i/>
          <w:noProof/>
          <w:szCs w:val="28"/>
        </w:rPr>
        <w:t>euro</w:t>
      </w:r>
      <w:r w:rsidRPr="00C364F4">
        <w:rPr>
          <w:szCs w:val="28"/>
        </w:rPr>
        <w:t xml:space="preserve"> </w:t>
      </w:r>
      <w:r>
        <w:rPr>
          <w:szCs w:val="28"/>
        </w:rPr>
        <w:t xml:space="preserve">jeb -2,8% no IKP un 2023. gadā ir -563,8 milj. </w:t>
      </w:r>
      <w:r w:rsidRPr="007204B7">
        <w:rPr>
          <w:i/>
          <w:noProof/>
          <w:szCs w:val="28"/>
        </w:rPr>
        <w:t>euro</w:t>
      </w:r>
      <w:r w:rsidRPr="00C364F4">
        <w:rPr>
          <w:noProof/>
          <w:szCs w:val="28"/>
        </w:rPr>
        <w:t xml:space="preserve"> jeb</w:t>
      </w:r>
      <w:r>
        <w:rPr>
          <w:i/>
          <w:noProof/>
          <w:szCs w:val="28"/>
        </w:rPr>
        <w:t xml:space="preserve"> </w:t>
      </w:r>
      <w:r w:rsidRPr="001806AB">
        <w:rPr>
          <w:noProof/>
          <w:szCs w:val="28"/>
        </w:rPr>
        <w:t>-1,7% no IKP.</w:t>
      </w:r>
    </w:p>
    <w:p w14:paraId="315DC4CC" w14:textId="21BFBBAB" w:rsidR="004805D0" w:rsidRDefault="004805D0" w:rsidP="004805D0">
      <w:pPr>
        <w:pStyle w:val="ListParagraph"/>
        <w:numPr>
          <w:ilvl w:val="0"/>
          <w:numId w:val="13"/>
        </w:numPr>
        <w:spacing w:before="0"/>
        <w:contextualSpacing w:val="0"/>
        <w:rPr>
          <w:szCs w:val="28"/>
        </w:rPr>
      </w:pPr>
      <w:r>
        <w:rPr>
          <w:szCs w:val="28"/>
        </w:rPr>
        <w:t>P</w:t>
      </w:r>
      <w:r w:rsidRPr="00097821">
        <w:rPr>
          <w:szCs w:val="28"/>
        </w:rPr>
        <w:t>ieņemt zināšanai</w:t>
      </w:r>
      <w:r>
        <w:rPr>
          <w:szCs w:val="28"/>
        </w:rPr>
        <w:t>, ka s</w:t>
      </w:r>
      <w:r w:rsidRPr="00097821">
        <w:rPr>
          <w:szCs w:val="28"/>
        </w:rPr>
        <w:t xml:space="preserve">askaņā ar </w:t>
      </w:r>
      <w:r w:rsidR="00400397" w:rsidRPr="00097821">
        <w:rPr>
          <w:szCs w:val="28"/>
        </w:rPr>
        <w:t xml:space="preserve">Ministru kabineta </w:t>
      </w:r>
      <w:r w:rsidRPr="00097821">
        <w:rPr>
          <w:szCs w:val="28"/>
        </w:rPr>
        <w:t>2019.</w:t>
      </w:r>
      <w:r>
        <w:rPr>
          <w:szCs w:val="28"/>
        </w:rPr>
        <w:t> </w:t>
      </w:r>
      <w:r w:rsidRPr="00097821">
        <w:rPr>
          <w:szCs w:val="28"/>
        </w:rPr>
        <w:t>gada 13.</w:t>
      </w:r>
      <w:r>
        <w:rPr>
          <w:szCs w:val="28"/>
        </w:rPr>
        <w:t> </w:t>
      </w:r>
      <w:r w:rsidRPr="00097821">
        <w:rPr>
          <w:szCs w:val="28"/>
        </w:rPr>
        <w:t xml:space="preserve">septembra ārkārtas sēdes lēmumu (protokols Nr.41 1.§ 24.punkts) </w:t>
      </w:r>
      <w:r>
        <w:rPr>
          <w:szCs w:val="28"/>
        </w:rPr>
        <w:t xml:space="preserve">vispārējās valdības budžeta prognozēs 2021.-2023. gadam </w:t>
      </w:r>
      <w:r w:rsidRPr="00097821">
        <w:rPr>
          <w:szCs w:val="28"/>
        </w:rPr>
        <w:t>netiek plānoti ieņēmumi no Latvenergo koncerna dividendēm un valsts budžeta izdevumi enerģētikas politikas īstenošan</w:t>
      </w:r>
      <w:r>
        <w:rPr>
          <w:szCs w:val="28"/>
        </w:rPr>
        <w:t>ai un tie tiks iekļauti likumā “</w:t>
      </w:r>
      <w:r w:rsidRPr="00097821">
        <w:rPr>
          <w:szCs w:val="28"/>
        </w:rPr>
        <w:t>Par valsts budžetu 2021.</w:t>
      </w:r>
      <w:r>
        <w:rPr>
          <w:szCs w:val="28"/>
        </w:rPr>
        <w:t> gadam”</w:t>
      </w:r>
      <w:r w:rsidRPr="00097821">
        <w:rPr>
          <w:szCs w:val="28"/>
        </w:rPr>
        <w:t xml:space="preserve"> atbilstoši Ministru kabinetā pieņemtajam konceptuālajam lēmumam par elektroenerģijas obligātā iepirkuma komponentes problemātikas iespējamajiem risinājumiem, enerģētikas politikas īstenošanas funkcijām un to finansēšanas avotiem.</w:t>
      </w:r>
    </w:p>
    <w:p w14:paraId="27198073" w14:textId="1211E192" w:rsidR="002655BC" w:rsidRDefault="002655BC" w:rsidP="002655BC">
      <w:pPr>
        <w:pStyle w:val="ListParagraph"/>
        <w:numPr>
          <w:ilvl w:val="0"/>
          <w:numId w:val="13"/>
        </w:numPr>
        <w:rPr>
          <w:szCs w:val="28"/>
        </w:rPr>
      </w:pPr>
      <w:r w:rsidRPr="002655BC">
        <w:rPr>
          <w:szCs w:val="28"/>
        </w:rPr>
        <w:t>Pieņemt zināšanai, ka vispārējās valdības budžeta bilances prognozēs 2021.-2023. gadam ir iekļauti plānotie maksājumi Eiropas Savienības budžetā pēc naudas plūsmas 2021. gadam 355 970 000 EUR, 2022. gadam 364 830 000 EUR un 2023. gadam 373 200 000 EUR. Finanšu ministrijai precizēt izdevumus 2021., 2022. un 2023. gadam budžeta apakšprogrammā 41.01.00 “Iemaksas Eiropas Savienības budžetā”, palielinot kārtējos maksājumus Eiropas Savienības budžetā 2021. gadam par 17 270 000 EUR, 2022. gadam par 8 830 000 EUR un 2023. gadam par 17 200 000 EUR.</w:t>
      </w:r>
    </w:p>
    <w:p w14:paraId="62E60912" w14:textId="2B7D2678" w:rsidR="002655BC" w:rsidRPr="002655BC" w:rsidRDefault="002655BC" w:rsidP="002655BC">
      <w:pPr>
        <w:spacing w:before="0"/>
        <w:ind w:firstLine="0"/>
        <w:rPr>
          <w:szCs w:val="28"/>
        </w:rPr>
      </w:pPr>
    </w:p>
    <w:p w14:paraId="20188DE6" w14:textId="3BB56557" w:rsidR="004805D0" w:rsidRDefault="004805D0" w:rsidP="004805D0">
      <w:pPr>
        <w:pStyle w:val="ListParagraph"/>
        <w:numPr>
          <w:ilvl w:val="0"/>
          <w:numId w:val="13"/>
        </w:numPr>
        <w:spacing w:before="0"/>
        <w:contextualSpacing w:val="0"/>
        <w:rPr>
          <w:noProof/>
          <w:szCs w:val="28"/>
        </w:rPr>
      </w:pPr>
      <w:r w:rsidRPr="006B1954">
        <w:rPr>
          <w:noProof/>
          <w:szCs w:val="28"/>
        </w:rPr>
        <w:lastRenderedPageBreak/>
        <w:t>Pieņemt zināšanai</w:t>
      </w:r>
      <w:r>
        <w:rPr>
          <w:noProof/>
          <w:szCs w:val="28"/>
        </w:rPr>
        <w:t xml:space="preserve"> Finanšu ministrijas izstrādāto makroekonomiskās attīstības “Covid-19 2.viļņa” scenāriju</w:t>
      </w:r>
      <w:r w:rsidRPr="006B1954">
        <w:rPr>
          <w:noProof/>
          <w:szCs w:val="28"/>
        </w:rPr>
        <w:t>,</w:t>
      </w:r>
      <w:r>
        <w:rPr>
          <w:noProof/>
          <w:szCs w:val="28"/>
        </w:rPr>
        <w:t xml:space="preserve"> kas paredz </w:t>
      </w:r>
      <w:r w:rsidRPr="007204B7">
        <w:rPr>
          <w:szCs w:val="28"/>
        </w:rPr>
        <w:t>iekšzemes kopprodukta p</w:t>
      </w:r>
      <w:r>
        <w:rPr>
          <w:szCs w:val="28"/>
        </w:rPr>
        <w:t xml:space="preserve">ieaugumu salīdzināmās cenās 2020. gadā -9,0%, 2021. gadā 2,0%, 2022. gadā 4,6% un 2023. gadā 3,2%, </w:t>
      </w:r>
      <w:r>
        <w:rPr>
          <w:noProof/>
          <w:szCs w:val="28"/>
        </w:rPr>
        <w:t xml:space="preserve">un atzīt par izpildītu </w:t>
      </w:r>
      <w:r w:rsidR="00400397">
        <w:rPr>
          <w:noProof/>
          <w:szCs w:val="28"/>
        </w:rPr>
        <w:t xml:space="preserve">Ministru kabineta </w:t>
      </w:r>
      <w:r>
        <w:rPr>
          <w:noProof/>
          <w:szCs w:val="28"/>
        </w:rPr>
        <w:t xml:space="preserve">2020. gada 30. aprīļa </w:t>
      </w:r>
      <w:r w:rsidR="00400397">
        <w:rPr>
          <w:noProof/>
          <w:szCs w:val="28"/>
        </w:rPr>
        <w:t>ārkārtas</w:t>
      </w:r>
      <w:r>
        <w:rPr>
          <w:noProof/>
          <w:szCs w:val="28"/>
        </w:rPr>
        <w:t xml:space="preserve"> sēdes lēmumu </w:t>
      </w:r>
      <w:r>
        <w:rPr>
          <w:szCs w:val="28"/>
        </w:rPr>
        <w:t xml:space="preserve">(protokols Nr.29 2.§ </w:t>
      </w:r>
      <w:r w:rsidRPr="00097821">
        <w:rPr>
          <w:szCs w:val="28"/>
        </w:rPr>
        <w:t>4.punkts)</w:t>
      </w:r>
      <w:r>
        <w:rPr>
          <w:szCs w:val="28"/>
        </w:rPr>
        <w:t>.</w:t>
      </w:r>
    </w:p>
    <w:p w14:paraId="3DC6E91D" w14:textId="3AE84B72" w:rsidR="002655BC" w:rsidRDefault="002655BC" w:rsidP="00622435">
      <w:pPr>
        <w:tabs>
          <w:tab w:val="left" w:pos="709"/>
          <w:tab w:val="left" w:pos="6946"/>
        </w:tabs>
        <w:spacing w:before="0" w:after="0"/>
        <w:ind w:firstLine="0"/>
        <w:jc w:val="left"/>
        <w:rPr>
          <w:bCs/>
          <w:szCs w:val="28"/>
        </w:rPr>
      </w:pPr>
    </w:p>
    <w:p w14:paraId="3DBEF45F" w14:textId="77777777" w:rsidR="002655BC" w:rsidRDefault="002655BC" w:rsidP="00622435">
      <w:pPr>
        <w:tabs>
          <w:tab w:val="left" w:pos="709"/>
          <w:tab w:val="left" w:pos="6946"/>
        </w:tabs>
        <w:spacing w:before="0" w:after="0"/>
        <w:ind w:firstLine="0"/>
        <w:jc w:val="left"/>
        <w:rPr>
          <w:bCs/>
          <w:szCs w:val="28"/>
        </w:rPr>
      </w:pPr>
    </w:p>
    <w:p w14:paraId="5352D5C7" w14:textId="6688017C" w:rsidR="007343B2" w:rsidRDefault="00B7536F" w:rsidP="004805D0">
      <w:pPr>
        <w:tabs>
          <w:tab w:val="left" w:pos="709"/>
          <w:tab w:val="left" w:pos="6946"/>
        </w:tabs>
        <w:spacing w:before="0" w:after="0"/>
        <w:ind w:firstLine="0"/>
        <w:jc w:val="left"/>
        <w:rPr>
          <w:rFonts w:cs="Times New Roman"/>
          <w:sz w:val="16"/>
          <w:szCs w:val="16"/>
        </w:rPr>
      </w:pPr>
      <w:r>
        <w:rPr>
          <w:bCs/>
          <w:szCs w:val="28"/>
        </w:rPr>
        <w:tab/>
      </w:r>
      <w:r w:rsidR="00E96CDD">
        <w:rPr>
          <w:bCs/>
          <w:szCs w:val="28"/>
        </w:rPr>
        <w:t>Finanšu ministrs</w:t>
      </w:r>
      <w:r w:rsidR="00622435">
        <w:rPr>
          <w:bCs/>
          <w:szCs w:val="28"/>
        </w:rPr>
        <w:tab/>
      </w:r>
      <w:r w:rsidR="00622435">
        <w:rPr>
          <w:bCs/>
          <w:szCs w:val="28"/>
        </w:rPr>
        <w:tab/>
      </w:r>
      <w:r w:rsidR="00622435">
        <w:rPr>
          <w:bCs/>
          <w:szCs w:val="28"/>
        </w:rPr>
        <w:tab/>
      </w:r>
      <w:r w:rsidR="00C832FF">
        <w:rPr>
          <w:bCs/>
          <w:szCs w:val="28"/>
        </w:rPr>
        <w:t>J.</w:t>
      </w:r>
      <w:r w:rsidR="00ED378F">
        <w:rPr>
          <w:bCs/>
          <w:szCs w:val="28"/>
        </w:rPr>
        <w:t xml:space="preserve"> </w:t>
      </w:r>
      <w:r w:rsidR="00C832FF">
        <w:rPr>
          <w:bCs/>
          <w:szCs w:val="28"/>
        </w:rPr>
        <w:t>Reirs</w:t>
      </w:r>
    </w:p>
    <w:p w14:paraId="4DFB8C32" w14:textId="24C1E409" w:rsidR="007343B2" w:rsidRDefault="007343B2" w:rsidP="00EC544D">
      <w:pPr>
        <w:spacing w:before="0" w:after="0"/>
        <w:rPr>
          <w:rFonts w:cs="Times New Roman"/>
          <w:sz w:val="16"/>
          <w:szCs w:val="16"/>
        </w:rPr>
      </w:pPr>
    </w:p>
    <w:p w14:paraId="3D55FD85" w14:textId="6C9C85D9" w:rsidR="002655BC" w:rsidRDefault="002655BC" w:rsidP="00EC544D">
      <w:pPr>
        <w:spacing w:before="0" w:after="0"/>
        <w:rPr>
          <w:rFonts w:cs="Times New Roman"/>
          <w:sz w:val="16"/>
          <w:szCs w:val="16"/>
        </w:rPr>
      </w:pPr>
    </w:p>
    <w:p w14:paraId="4BC7C600" w14:textId="77AC7FF9" w:rsidR="002655BC" w:rsidRDefault="002655BC" w:rsidP="00EC544D">
      <w:pPr>
        <w:spacing w:before="0" w:after="0"/>
        <w:rPr>
          <w:rFonts w:cs="Times New Roman"/>
          <w:sz w:val="16"/>
          <w:szCs w:val="16"/>
        </w:rPr>
      </w:pPr>
    </w:p>
    <w:p w14:paraId="2FB67D1A" w14:textId="25F764C3" w:rsidR="002655BC" w:rsidRDefault="002655BC" w:rsidP="00EC544D">
      <w:pPr>
        <w:spacing w:before="0" w:after="0"/>
        <w:rPr>
          <w:rFonts w:cs="Times New Roman"/>
          <w:sz w:val="16"/>
          <w:szCs w:val="16"/>
        </w:rPr>
      </w:pPr>
    </w:p>
    <w:p w14:paraId="1EE1463D" w14:textId="755F6F85" w:rsidR="002655BC" w:rsidRDefault="002655BC" w:rsidP="00EC544D">
      <w:pPr>
        <w:spacing w:before="0" w:after="0"/>
        <w:rPr>
          <w:rFonts w:cs="Times New Roman"/>
          <w:sz w:val="16"/>
          <w:szCs w:val="16"/>
        </w:rPr>
      </w:pPr>
    </w:p>
    <w:p w14:paraId="69462C29" w14:textId="5AB4048A" w:rsidR="00400397" w:rsidRDefault="00400397" w:rsidP="00EC544D">
      <w:pPr>
        <w:spacing w:before="0" w:after="0"/>
        <w:rPr>
          <w:rFonts w:cs="Times New Roman"/>
          <w:sz w:val="16"/>
          <w:szCs w:val="16"/>
        </w:rPr>
      </w:pPr>
    </w:p>
    <w:p w14:paraId="471EF8C0" w14:textId="78DABCFB" w:rsidR="00400397" w:rsidRDefault="00400397" w:rsidP="00EC544D">
      <w:pPr>
        <w:spacing w:before="0" w:after="0"/>
        <w:rPr>
          <w:rFonts w:cs="Times New Roman"/>
          <w:sz w:val="16"/>
          <w:szCs w:val="16"/>
        </w:rPr>
      </w:pPr>
    </w:p>
    <w:p w14:paraId="7A90DBE5" w14:textId="6B43F7AD" w:rsidR="00400397" w:rsidRDefault="00400397" w:rsidP="00EC544D">
      <w:pPr>
        <w:spacing w:before="0" w:after="0"/>
        <w:rPr>
          <w:rFonts w:cs="Times New Roman"/>
          <w:sz w:val="16"/>
          <w:szCs w:val="16"/>
        </w:rPr>
      </w:pPr>
    </w:p>
    <w:p w14:paraId="29818F66" w14:textId="1DEA5F96" w:rsidR="00160035" w:rsidRDefault="00160035" w:rsidP="00EC544D">
      <w:pPr>
        <w:spacing w:before="0" w:after="0"/>
        <w:rPr>
          <w:rFonts w:cs="Times New Roman"/>
          <w:sz w:val="16"/>
          <w:szCs w:val="16"/>
        </w:rPr>
      </w:pPr>
    </w:p>
    <w:p w14:paraId="4361D10A" w14:textId="484AC6A1" w:rsidR="00160035" w:rsidRDefault="00160035" w:rsidP="00EC544D">
      <w:pPr>
        <w:spacing w:before="0" w:after="0"/>
        <w:rPr>
          <w:rFonts w:cs="Times New Roman"/>
          <w:sz w:val="16"/>
          <w:szCs w:val="16"/>
        </w:rPr>
      </w:pPr>
    </w:p>
    <w:p w14:paraId="77B2F271" w14:textId="7EEC5357" w:rsidR="00160035" w:rsidRDefault="00160035" w:rsidP="00EC544D">
      <w:pPr>
        <w:spacing w:before="0" w:after="0"/>
        <w:rPr>
          <w:rFonts w:cs="Times New Roman"/>
          <w:sz w:val="16"/>
          <w:szCs w:val="16"/>
        </w:rPr>
      </w:pPr>
    </w:p>
    <w:p w14:paraId="4B4624AB" w14:textId="0ACE891E" w:rsidR="00160035" w:rsidRDefault="00160035" w:rsidP="00EC544D">
      <w:pPr>
        <w:spacing w:before="0" w:after="0"/>
        <w:rPr>
          <w:rFonts w:cs="Times New Roman"/>
          <w:sz w:val="16"/>
          <w:szCs w:val="16"/>
        </w:rPr>
      </w:pPr>
    </w:p>
    <w:p w14:paraId="306EF01B" w14:textId="4644FED3" w:rsidR="00160035" w:rsidRDefault="00160035" w:rsidP="00EC544D">
      <w:pPr>
        <w:spacing w:before="0" w:after="0"/>
        <w:rPr>
          <w:rFonts w:cs="Times New Roman"/>
          <w:sz w:val="16"/>
          <w:szCs w:val="16"/>
        </w:rPr>
      </w:pPr>
    </w:p>
    <w:p w14:paraId="5FF0CB87" w14:textId="284C1131" w:rsidR="00160035" w:rsidRDefault="00160035" w:rsidP="00EC544D">
      <w:pPr>
        <w:spacing w:before="0" w:after="0"/>
        <w:rPr>
          <w:rFonts w:cs="Times New Roman"/>
          <w:sz w:val="16"/>
          <w:szCs w:val="16"/>
        </w:rPr>
      </w:pPr>
    </w:p>
    <w:p w14:paraId="093C5115" w14:textId="06EAC046" w:rsidR="00160035" w:rsidRDefault="00160035" w:rsidP="00EC544D">
      <w:pPr>
        <w:spacing w:before="0" w:after="0"/>
        <w:rPr>
          <w:rFonts w:cs="Times New Roman"/>
          <w:sz w:val="16"/>
          <w:szCs w:val="16"/>
        </w:rPr>
      </w:pPr>
    </w:p>
    <w:p w14:paraId="76DEE67D" w14:textId="7C215811" w:rsidR="00160035" w:rsidRDefault="00160035" w:rsidP="00EC544D">
      <w:pPr>
        <w:spacing w:before="0" w:after="0"/>
        <w:rPr>
          <w:rFonts w:cs="Times New Roman"/>
          <w:sz w:val="16"/>
          <w:szCs w:val="16"/>
        </w:rPr>
      </w:pPr>
    </w:p>
    <w:p w14:paraId="263C70AD" w14:textId="4B05D631" w:rsidR="00160035" w:rsidRDefault="00160035" w:rsidP="00EC544D">
      <w:pPr>
        <w:spacing w:before="0" w:after="0"/>
        <w:rPr>
          <w:rFonts w:cs="Times New Roman"/>
          <w:sz w:val="16"/>
          <w:szCs w:val="16"/>
        </w:rPr>
      </w:pPr>
    </w:p>
    <w:p w14:paraId="39F6FD81" w14:textId="36529986" w:rsidR="00160035" w:rsidRDefault="00160035" w:rsidP="00EC544D">
      <w:pPr>
        <w:spacing w:before="0" w:after="0"/>
        <w:rPr>
          <w:rFonts w:cs="Times New Roman"/>
          <w:sz w:val="16"/>
          <w:szCs w:val="16"/>
        </w:rPr>
      </w:pPr>
    </w:p>
    <w:p w14:paraId="19D88BD7" w14:textId="592065BF" w:rsidR="00160035" w:rsidRDefault="00160035" w:rsidP="00EC544D">
      <w:pPr>
        <w:spacing w:before="0" w:after="0"/>
        <w:rPr>
          <w:rFonts w:cs="Times New Roman"/>
          <w:sz w:val="16"/>
          <w:szCs w:val="16"/>
        </w:rPr>
      </w:pPr>
    </w:p>
    <w:p w14:paraId="4AEC4161" w14:textId="79DC66C9" w:rsidR="00160035" w:rsidRDefault="00160035" w:rsidP="00EC544D">
      <w:pPr>
        <w:spacing w:before="0" w:after="0"/>
        <w:rPr>
          <w:rFonts w:cs="Times New Roman"/>
          <w:sz w:val="16"/>
          <w:szCs w:val="16"/>
        </w:rPr>
      </w:pPr>
    </w:p>
    <w:p w14:paraId="176037A4" w14:textId="35249161" w:rsidR="00160035" w:rsidRDefault="00160035" w:rsidP="00EC544D">
      <w:pPr>
        <w:spacing w:before="0" w:after="0"/>
        <w:rPr>
          <w:rFonts w:cs="Times New Roman"/>
          <w:sz w:val="16"/>
          <w:szCs w:val="16"/>
        </w:rPr>
      </w:pPr>
    </w:p>
    <w:p w14:paraId="56EA07FC" w14:textId="1C95B785" w:rsidR="00160035" w:rsidRDefault="00160035" w:rsidP="00EC544D">
      <w:pPr>
        <w:spacing w:before="0" w:after="0"/>
        <w:rPr>
          <w:rFonts w:cs="Times New Roman"/>
          <w:sz w:val="16"/>
          <w:szCs w:val="16"/>
        </w:rPr>
      </w:pPr>
    </w:p>
    <w:p w14:paraId="36AE19B9" w14:textId="5E4AF9C6" w:rsidR="00160035" w:rsidRDefault="00160035" w:rsidP="00EC544D">
      <w:pPr>
        <w:spacing w:before="0" w:after="0"/>
        <w:rPr>
          <w:rFonts w:cs="Times New Roman"/>
          <w:sz w:val="16"/>
          <w:szCs w:val="16"/>
        </w:rPr>
      </w:pPr>
    </w:p>
    <w:p w14:paraId="7D5D01BC" w14:textId="6A37D1C6" w:rsidR="00160035" w:rsidRDefault="00160035" w:rsidP="00EC544D">
      <w:pPr>
        <w:spacing w:before="0" w:after="0"/>
        <w:rPr>
          <w:rFonts w:cs="Times New Roman"/>
          <w:sz w:val="16"/>
          <w:szCs w:val="16"/>
        </w:rPr>
      </w:pPr>
    </w:p>
    <w:p w14:paraId="7A778B7E" w14:textId="50F22082" w:rsidR="00160035" w:rsidRDefault="00160035" w:rsidP="00EC544D">
      <w:pPr>
        <w:spacing w:before="0" w:after="0"/>
        <w:rPr>
          <w:rFonts w:cs="Times New Roman"/>
          <w:sz w:val="16"/>
          <w:szCs w:val="16"/>
        </w:rPr>
      </w:pPr>
    </w:p>
    <w:p w14:paraId="73D60074" w14:textId="0E8D15F9" w:rsidR="00160035" w:rsidRDefault="00160035" w:rsidP="00EC544D">
      <w:pPr>
        <w:spacing w:before="0" w:after="0"/>
        <w:rPr>
          <w:rFonts w:cs="Times New Roman"/>
          <w:sz w:val="16"/>
          <w:szCs w:val="16"/>
        </w:rPr>
      </w:pPr>
    </w:p>
    <w:p w14:paraId="55909D10" w14:textId="64E4B917" w:rsidR="00160035" w:rsidRDefault="00160035" w:rsidP="00EC544D">
      <w:pPr>
        <w:spacing w:before="0" w:after="0"/>
        <w:rPr>
          <w:rFonts w:cs="Times New Roman"/>
          <w:sz w:val="16"/>
          <w:szCs w:val="16"/>
        </w:rPr>
      </w:pPr>
    </w:p>
    <w:p w14:paraId="359D8371" w14:textId="174B94E2" w:rsidR="00160035" w:rsidRDefault="00160035" w:rsidP="00EC544D">
      <w:pPr>
        <w:spacing w:before="0" w:after="0"/>
        <w:rPr>
          <w:rFonts w:cs="Times New Roman"/>
          <w:sz w:val="16"/>
          <w:szCs w:val="16"/>
        </w:rPr>
      </w:pPr>
    </w:p>
    <w:p w14:paraId="499B573A" w14:textId="0C649EF7" w:rsidR="00160035" w:rsidRDefault="00160035" w:rsidP="00EC544D">
      <w:pPr>
        <w:spacing w:before="0" w:after="0"/>
        <w:rPr>
          <w:rFonts w:cs="Times New Roman"/>
          <w:sz w:val="16"/>
          <w:szCs w:val="16"/>
        </w:rPr>
      </w:pPr>
    </w:p>
    <w:p w14:paraId="0B33271A" w14:textId="68E16AB8" w:rsidR="00160035" w:rsidRDefault="00160035" w:rsidP="00EC544D">
      <w:pPr>
        <w:spacing w:before="0" w:after="0"/>
        <w:rPr>
          <w:rFonts w:cs="Times New Roman"/>
          <w:sz w:val="16"/>
          <w:szCs w:val="16"/>
        </w:rPr>
      </w:pPr>
    </w:p>
    <w:p w14:paraId="2AC806F6" w14:textId="171B1EC8" w:rsidR="00160035" w:rsidRDefault="00160035" w:rsidP="00EC544D">
      <w:pPr>
        <w:spacing w:before="0" w:after="0"/>
        <w:rPr>
          <w:rFonts w:cs="Times New Roman"/>
          <w:sz w:val="16"/>
          <w:szCs w:val="16"/>
        </w:rPr>
      </w:pPr>
    </w:p>
    <w:p w14:paraId="06789954" w14:textId="01C14D94" w:rsidR="00160035" w:rsidRDefault="00160035" w:rsidP="00EC544D">
      <w:pPr>
        <w:spacing w:before="0" w:after="0"/>
        <w:rPr>
          <w:rFonts w:cs="Times New Roman"/>
          <w:sz w:val="16"/>
          <w:szCs w:val="16"/>
        </w:rPr>
      </w:pPr>
    </w:p>
    <w:p w14:paraId="6FC9DC56" w14:textId="0EA4583D" w:rsidR="00160035" w:rsidRDefault="00160035" w:rsidP="00EC544D">
      <w:pPr>
        <w:spacing w:before="0" w:after="0"/>
        <w:rPr>
          <w:rFonts w:cs="Times New Roman"/>
          <w:sz w:val="16"/>
          <w:szCs w:val="16"/>
        </w:rPr>
      </w:pPr>
    </w:p>
    <w:p w14:paraId="51D9DA46" w14:textId="44FFFF9F" w:rsidR="00160035" w:rsidRDefault="00160035" w:rsidP="00EC544D">
      <w:pPr>
        <w:spacing w:before="0" w:after="0"/>
        <w:rPr>
          <w:rFonts w:cs="Times New Roman"/>
          <w:sz w:val="16"/>
          <w:szCs w:val="16"/>
        </w:rPr>
      </w:pPr>
    </w:p>
    <w:p w14:paraId="2BFE5519" w14:textId="35A159F6" w:rsidR="00160035" w:rsidRDefault="00160035" w:rsidP="00EC544D">
      <w:pPr>
        <w:spacing w:before="0" w:after="0"/>
        <w:rPr>
          <w:rFonts w:cs="Times New Roman"/>
          <w:sz w:val="16"/>
          <w:szCs w:val="16"/>
        </w:rPr>
      </w:pPr>
    </w:p>
    <w:p w14:paraId="0A05108E" w14:textId="6F76C088" w:rsidR="00160035" w:rsidRDefault="00160035" w:rsidP="00EC544D">
      <w:pPr>
        <w:spacing w:before="0" w:after="0"/>
        <w:rPr>
          <w:rFonts w:cs="Times New Roman"/>
          <w:sz w:val="16"/>
          <w:szCs w:val="16"/>
        </w:rPr>
      </w:pPr>
    </w:p>
    <w:p w14:paraId="39C522A9" w14:textId="0DCB227D" w:rsidR="00160035" w:rsidRDefault="00160035" w:rsidP="00EC544D">
      <w:pPr>
        <w:spacing w:before="0" w:after="0"/>
        <w:rPr>
          <w:rFonts w:cs="Times New Roman"/>
          <w:sz w:val="16"/>
          <w:szCs w:val="16"/>
        </w:rPr>
      </w:pPr>
    </w:p>
    <w:p w14:paraId="44F6D58C" w14:textId="6A26CE58" w:rsidR="00160035" w:rsidRDefault="00160035" w:rsidP="00EC544D">
      <w:pPr>
        <w:spacing w:before="0" w:after="0"/>
        <w:rPr>
          <w:rFonts w:cs="Times New Roman"/>
          <w:sz w:val="16"/>
          <w:szCs w:val="16"/>
        </w:rPr>
      </w:pPr>
    </w:p>
    <w:p w14:paraId="6DC6F097" w14:textId="189A5718" w:rsidR="00160035" w:rsidRDefault="00160035" w:rsidP="00EC544D">
      <w:pPr>
        <w:spacing w:before="0" w:after="0"/>
        <w:rPr>
          <w:rFonts w:cs="Times New Roman"/>
          <w:sz w:val="16"/>
          <w:szCs w:val="16"/>
        </w:rPr>
      </w:pPr>
    </w:p>
    <w:p w14:paraId="740BE4CB" w14:textId="59FBB96F" w:rsidR="00160035" w:rsidRDefault="00160035" w:rsidP="00EC544D">
      <w:pPr>
        <w:spacing w:before="0" w:after="0"/>
        <w:rPr>
          <w:rFonts w:cs="Times New Roman"/>
          <w:sz w:val="16"/>
          <w:szCs w:val="16"/>
        </w:rPr>
      </w:pPr>
    </w:p>
    <w:p w14:paraId="2905B9B5" w14:textId="57D19C38" w:rsidR="00160035" w:rsidRDefault="00160035" w:rsidP="00EC544D">
      <w:pPr>
        <w:spacing w:before="0" w:after="0"/>
        <w:rPr>
          <w:rFonts w:cs="Times New Roman"/>
          <w:sz w:val="16"/>
          <w:szCs w:val="16"/>
        </w:rPr>
      </w:pPr>
    </w:p>
    <w:p w14:paraId="1F6306F5" w14:textId="443FA297" w:rsidR="00160035" w:rsidRDefault="00160035" w:rsidP="00EC544D">
      <w:pPr>
        <w:spacing w:before="0" w:after="0"/>
        <w:rPr>
          <w:rFonts w:cs="Times New Roman"/>
          <w:sz w:val="16"/>
          <w:szCs w:val="16"/>
        </w:rPr>
      </w:pPr>
    </w:p>
    <w:p w14:paraId="584D5225" w14:textId="0C8D32FA" w:rsidR="00160035" w:rsidRDefault="00160035" w:rsidP="00EC544D">
      <w:pPr>
        <w:spacing w:before="0" w:after="0"/>
        <w:rPr>
          <w:rFonts w:cs="Times New Roman"/>
          <w:sz w:val="16"/>
          <w:szCs w:val="16"/>
        </w:rPr>
      </w:pPr>
    </w:p>
    <w:p w14:paraId="1FE96861" w14:textId="24FCDA4B" w:rsidR="00160035" w:rsidRDefault="00160035" w:rsidP="00EC544D">
      <w:pPr>
        <w:spacing w:before="0" w:after="0"/>
        <w:rPr>
          <w:rFonts w:cs="Times New Roman"/>
          <w:sz w:val="16"/>
          <w:szCs w:val="16"/>
        </w:rPr>
      </w:pPr>
    </w:p>
    <w:p w14:paraId="134F2D11" w14:textId="74FD075C" w:rsidR="00160035" w:rsidRDefault="00160035" w:rsidP="00EC544D">
      <w:pPr>
        <w:spacing w:before="0" w:after="0"/>
        <w:rPr>
          <w:rFonts w:cs="Times New Roman"/>
          <w:sz w:val="16"/>
          <w:szCs w:val="16"/>
        </w:rPr>
      </w:pPr>
    </w:p>
    <w:p w14:paraId="2A1051A1" w14:textId="2809101D" w:rsidR="00160035" w:rsidRDefault="00160035" w:rsidP="00EC544D">
      <w:pPr>
        <w:spacing w:before="0" w:after="0"/>
        <w:rPr>
          <w:rFonts w:cs="Times New Roman"/>
          <w:sz w:val="16"/>
          <w:szCs w:val="16"/>
        </w:rPr>
      </w:pPr>
    </w:p>
    <w:p w14:paraId="7EBBF27C" w14:textId="52579FEF" w:rsidR="00160035" w:rsidRDefault="00160035" w:rsidP="00EC544D">
      <w:pPr>
        <w:spacing w:before="0" w:after="0"/>
        <w:rPr>
          <w:rFonts w:cs="Times New Roman"/>
          <w:sz w:val="16"/>
          <w:szCs w:val="16"/>
        </w:rPr>
      </w:pPr>
    </w:p>
    <w:p w14:paraId="069F8545" w14:textId="5CDDA711" w:rsidR="00160035" w:rsidRDefault="00160035" w:rsidP="00EC544D">
      <w:pPr>
        <w:spacing w:before="0" w:after="0"/>
        <w:rPr>
          <w:rFonts w:cs="Times New Roman"/>
          <w:sz w:val="16"/>
          <w:szCs w:val="16"/>
        </w:rPr>
      </w:pPr>
    </w:p>
    <w:p w14:paraId="3E5F0E3E" w14:textId="09CDFA2C" w:rsidR="00160035" w:rsidRDefault="00160035" w:rsidP="00EC544D">
      <w:pPr>
        <w:spacing w:before="0" w:after="0"/>
        <w:rPr>
          <w:rFonts w:cs="Times New Roman"/>
          <w:sz w:val="16"/>
          <w:szCs w:val="16"/>
        </w:rPr>
      </w:pPr>
    </w:p>
    <w:p w14:paraId="3E032BEC" w14:textId="212D5431" w:rsidR="00160035" w:rsidRDefault="00160035" w:rsidP="00EC544D">
      <w:pPr>
        <w:spacing w:before="0" w:after="0"/>
        <w:rPr>
          <w:rFonts w:cs="Times New Roman"/>
          <w:sz w:val="16"/>
          <w:szCs w:val="16"/>
        </w:rPr>
      </w:pPr>
    </w:p>
    <w:p w14:paraId="6303A6A7" w14:textId="4AC3489F" w:rsidR="00160035" w:rsidRDefault="00160035" w:rsidP="00EC544D">
      <w:pPr>
        <w:spacing w:before="0" w:after="0"/>
        <w:rPr>
          <w:rFonts w:cs="Times New Roman"/>
          <w:sz w:val="16"/>
          <w:szCs w:val="16"/>
        </w:rPr>
      </w:pPr>
    </w:p>
    <w:p w14:paraId="40C5C63E" w14:textId="6C2838C1" w:rsidR="00160035" w:rsidRDefault="00160035" w:rsidP="00EC544D">
      <w:pPr>
        <w:spacing w:before="0" w:after="0"/>
        <w:rPr>
          <w:rFonts w:cs="Times New Roman"/>
          <w:sz w:val="16"/>
          <w:szCs w:val="16"/>
        </w:rPr>
      </w:pPr>
    </w:p>
    <w:p w14:paraId="5E16249F" w14:textId="77777777" w:rsidR="00160035" w:rsidRDefault="00160035" w:rsidP="00EC544D">
      <w:pPr>
        <w:spacing w:before="0" w:after="0"/>
        <w:rPr>
          <w:rFonts w:cs="Times New Roman"/>
          <w:sz w:val="16"/>
          <w:szCs w:val="16"/>
        </w:rPr>
      </w:pPr>
    </w:p>
    <w:p w14:paraId="02CB3BD7" w14:textId="77777777" w:rsidR="002655BC" w:rsidRDefault="002655BC" w:rsidP="00EC544D">
      <w:pPr>
        <w:spacing w:before="0" w:after="0"/>
        <w:rPr>
          <w:rFonts w:cs="Times New Roman"/>
          <w:sz w:val="16"/>
          <w:szCs w:val="16"/>
        </w:rPr>
      </w:pPr>
    </w:p>
    <w:p w14:paraId="3B04FAC9" w14:textId="77777777" w:rsidR="004805D0" w:rsidRDefault="004805D0" w:rsidP="004805D0">
      <w:pPr>
        <w:spacing w:before="0" w:after="0"/>
        <w:ind w:firstLine="0"/>
        <w:rPr>
          <w:rFonts w:cs="Times New Roman"/>
          <w:sz w:val="16"/>
          <w:szCs w:val="16"/>
        </w:rPr>
      </w:pPr>
    </w:p>
    <w:p w14:paraId="3BEBF9AE" w14:textId="77777777" w:rsidR="004805D0" w:rsidRDefault="004805D0" w:rsidP="004805D0">
      <w:pPr>
        <w:spacing w:before="0" w:after="0"/>
        <w:ind w:firstLine="0"/>
        <w:rPr>
          <w:rFonts w:cs="Times New Roman"/>
          <w:color w:val="000000" w:themeColor="text1"/>
          <w:sz w:val="16"/>
          <w:szCs w:val="16"/>
        </w:rPr>
      </w:pPr>
      <w:r>
        <w:rPr>
          <w:rFonts w:cs="Times New Roman"/>
          <w:sz w:val="16"/>
          <w:szCs w:val="16"/>
        </w:rPr>
        <w:t xml:space="preserve">Gavrovska </w:t>
      </w:r>
      <w:r>
        <w:rPr>
          <w:rFonts w:cs="Times New Roman"/>
          <w:color w:val="000000" w:themeColor="text1"/>
          <w:sz w:val="16"/>
          <w:szCs w:val="16"/>
        </w:rPr>
        <w:t>67095465,</w:t>
      </w:r>
    </w:p>
    <w:p w14:paraId="6A316262" w14:textId="4FE269BF" w:rsidR="007343B2" w:rsidRDefault="00CF4097" w:rsidP="004805D0">
      <w:pPr>
        <w:spacing w:before="0" w:after="0"/>
        <w:ind w:firstLine="0"/>
        <w:rPr>
          <w:rFonts w:cs="Times New Roman"/>
          <w:sz w:val="16"/>
          <w:szCs w:val="16"/>
        </w:rPr>
      </w:pPr>
      <w:r>
        <w:rPr>
          <w:rFonts w:cs="Times New Roman"/>
          <w:sz w:val="16"/>
          <w:szCs w:val="16"/>
        </w:rPr>
        <w:t>Krist</w:t>
      </w:r>
      <w:r w:rsidR="004805D0" w:rsidRPr="004805D0">
        <w:rPr>
          <w:rFonts w:cs="Times New Roman"/>
          <w:sz w:val="16"/>
          <w:szCs w:val="16"/>
        </w:rPr>
        <w:t>ine.Gavrovska@fm.gov.lv</w:t>
      </w:r>
    </w:p>
    <w:sectPr w:rsidR="007343B2" w:rsidSect="000D2B7A">
      <w:headerReference w:type="default" r:id="rId9"/>
      <w:footerReference w:type="default" r:id="rId10"/>
      <w:headerReference w:type="first" r:id="rId11"/>
      <w:footerReference w:type="first" r:id="rId12"/>
      <w:pgSz w:w="11906" w:h="16838"/>
      <w:pgMar w:top="822" w:right="1134" w:bottom="851" w:left="1701" w:header="709" w:footer="5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2DE43" w14:textId="77777777" w:rsidR="003E5E45" w:rsidRDefault="003E5E45" w:rsidP="00043218">
      <w:pPr>
        <w:spacing w:before="0" w:after="0"/>
      </w:pPr>
      <w:r>
        <w:separator/>
      </w:r>
    </w:p>
  </w:endnote>
  <w:endnote w:type="continuationSeparator" w:id="0">
    <w:p w14:paraId="6A563F08" w14:textId="77777777" w:rsidR="003E5E45" w:rsidRDefault="003E5E45" w:rsidP="000432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11A4" w14:textId="38FD7F2A" w:rsidR="003E5E45" w:rsidRPr="00EC6A33" w:rsidRDefault="003E5E45" w:rsidP="005361F1">
    <w:pPr>
      <w:ind w:firstLine="0"/>
      <w:rPr>
        <w:sz w:val="22"/>
        <w:szCs w:val="32"/>
      </w:rPr>
    </w:pPr>
    <w:r w:rsidRPr="00EC6A33">
      <w:rPr>
        <w:sz w:val="22"/>
        <w:szCs w:val="32"/>
      </w:rPr>
      <w:fldChar w:fldCharType="begin"/>
    </w:r>
    <w:r w:rsidRPr="00EC6A33">
      <w:rPr>
        <w:sz w:val="22"/>
        <w:szCs w:val="32"/>
      </w:rPr>
      <w:instrText xml:space="preserve"> FILENAME   \* MERGEFORMAT </w:instrText>
    </w:r>
    <w:r w:rsidRPr="00EC6A33">
      <w:rPr>
        <w:sz w:val="22"/>
        <w:szCs w:val="32"/>
      </w:rPr>
      <w:fldChar w:fldCharType="separate"/>
    </w:r>
    <w:r>
      <w:rPr>
        <w:noProof/>
        <w:sz w:val="22"/>
        <w:szCs w:val="32"/>
      </w:rPr>
      <w:t>FMZin_130820_Makro.docx</w:t>
    </w:r>
    <w:r w:rsidRPr="00EC6A33">
      <w:rPr>
        <w:sz w:val="2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A83E5" w14:textId="77777777" w:rsidR="003E5E45" w:rsidRPr="00EC6A33" w:rsidRDefault="003E5E45" w:rsidP="003E2800">
    <w:pPr>
      <w:ind w:firstLine="0"/>
      <w:rPr>
        <w:sz w:val="22"/>
        <w:szCs w:val="32"/>
      </w:rPr>
    </w:pPr>
    <w:r>
      <w:rPr>
        <w:sz w:val="22"/>
        <w:szCs w:val="32"/>
      </w:rPr>
      <w:t>FMZin_130820_Makro</w:t>
    </w:r>
  </w:p>
  <w:p w14:paraId="7848ECD0" w14:textId="6F3DD7FB" w:rsidR="003E5E45" w:rsidRPr="00EC6A33" w:rsidRDefault="003E5E45" w:rsidP="007C2EB9">
    <w:pPr>
      <w:ind w:firstLine="0"/>
      <w:rPr>
        <w:sz w:val="2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80D2" w14:textId="77777777" w:rsidR="003E5E45" w:rsidRDefault="003E5E45" w:rsidP="00043218">
      <w:pPr>
        <w:spacing w:before="0" w:after="0"/>
      </w:pPr>
      <w:r>
        <w:separator/>
      </w:r>
    </w:p>
  </w:footnote>
  <w:footnote w:type="continuationSeparator" w:id="0">
    <w:p w14:paraId="55D52371" w14:textId="77777777" w:rsidR="003E5E45" w:rsidRDefault="003E5E45" w:rsidP="00043218">
      <w:pPr>
        <w:spacing w:before="0" w:after="0"/>
      </w:pPr>
      <w:r>
        <w:continuationSeparator/>
      </w:r>
    </w:p>
  </w:footnote>
  <w:footnote w:id="1">
    <w:p w14:paraId="7F2206CD" w14:textId="77777777" w:rsidR="003E5E45" w:rsidRDefault="003E5E45" w:rsidP="008F2113">
      <w:pPr>
        <w:pStyle w:val="FootnoteText"/>
      </w:pPr>
      <w:r>
        <w:rPr>
          <w:rStyle w:val="FootnoteReference"/>
        </w:rPr>
        <w:footnoteRef/>
      </w:r>
      <w:r>
        <w:t xml:space="preserve"> Bez iemaksām valsts </w:t>
      </w:r>
      <w:proofErr w:type="spellStart"/>
      <w:r>
        <w:t>fondēto</w:t>
      </w:r>
      <w:proofErr w:type="spellEnd"/>
      <w:r>
        <w:t xml:space="preserve"> pensiju shēmā un 3. pensiju līmenī</w:t>
      </w:r>
    </w:p>
  </w:footnote>
  <w:footnote w:id="2">
    <w:p w14:paraId="7226203C" w14:textId="4F449E4F" w:rsidR="003E5E45" w:rsidRDefault="003E5E45" w:rsidP="00A12632">
      <w:pPr>
        <w:pStyle w:val="FootnoteText"/>
        <w:spacing w:before="0" w:after="0"/>
      </w:pPr>
      <w:r>
        <w:rPr>
          <w:rStyle w:val="FootnoteReference"/>
        </w:rPr>
        <w:footnoteRef/>
      </w:r>
      <w:r>
        <w:t xml:space="preserve"> </w:t>
      </w:r>
      <w:r>
        <w:t>2020. gada 2.jūnija I</w:t>
      </w:r>
      <w:r w:rsidRPr="009B5BCA">
        <w:t>nformatīvais ziņojums "Par pasākumiem Covid-19 krīzes pārvarēšanai un ekonomikas atlabšanai"</w:t>
      </w:r>
      <w:r>
        <w:t xml:space="preserve"> (MK sēdes prot. Nr. 38 49.§)</w:t>
      </w:r>
    </w:p>
  </w:footnote>
  <w:footnote w:id="3">
    <w:p w14:paraId="4A7D0A2D" w14:textId="148DA860" w:rsidR="003E5E45" w:rsidRDefault="003E5E45" w:rsidP="00A12632">
      <w:pPr>
        <w:pStyle w:val="FootnoteText"/>
        <w:spacing w:before="0" w:after="0"/>
      </w:pPr>
      <w:r>
        <w:rPr>
          <w:rStyle w:val="FootnoteReference"/>
        </w:rPr>
        <w:footnoteRef/>
      </w:r>
      <w:r>
        <w:t xml:space="preserve"> </w:t>
      </w:r>
      <w:r>
        <w:t>V</w:t>
      </w:r>
      <w:r w:rsidRPr="00A12632">
        <w:t xml:space="preserve">eselības infrastruktūrai (33 milj. </w:t>
      </w:r>
      <w:proofErr w:type="spellStart"/>
      <w:r>
        <w:rPr>
          <w:i/>
        </w:rPr>
        <w:t>eu</w:t>
      </w:r>
      <w:r w:rsidRPr="00A12632">
        <w:rPr>
          <w:i/>
        </w:rPr>
        <w:t>ro</w:t>
      </w:r>
      <w:proofErr w:type="spellEnd"/>
      <w:r w:rsidRPr="00A12632">
        <w:t xml:space="preserve">) un veselības pakalpojumu pieejamībai (15 milj. </w:t>
      </w:r>
      <w:proofErr w:type="spellStart"/>
      <w:r>
        <w:rPr>
          <w:i/>
        </w:rPr>
        <w:t>eu</w:t>
      </w:r>
      <w:r w:rsidRPr="00A12632">
        <w:rPr>
          <w:i/>
        </w:rPr>
        <w:t>ro</w:t>
      </w:r>
      <w:proofErr w:type="spellEnd"/>
      <w:r w:rsidRPr="00A12632">
        <w:t xml:space="preserve">), atbalstam izglītībai un zinātnei (14 milj. </w:t>
      </w:r>
      <w:proofErr w:type="spellStart"/>
      <w:r>
        <w:rPr>
          <w:i/>
        </w:rPr>
        <w:t>eu</w:t>
      </w:r>
      <w:r w:rsidRPr="00A12632">
        <w:rPr>
          <w:i/>
        </w:rPr>
        <w:t>ro</w:t>
      </w:r>
      <w:proofErr w:type="spellEnd"/>
      <w:r w:rsidRPr="00A12632">
        <w:t xml:space="preserve">), formastērpu iegādei robežsardzei un ugunsdzēsējiem (6 milj. </w:t>
      </w:r>
      <w:proofErr w:type="spellStart"/>
      <w:r>
        <w:rPr>
          <w:i/>
        </w:rPr>
        <w:t>eu</w:t>
      </w:r>
      <w:r w:rsidRPr="00A12632">
        <w:rPr>
          <w:i/>
        </w:rPr>
        <w:t>ro</w:t>
      </w:r>
      <w:proofErr w:type="spellEnd"/>
      <w:r w:rsidRPr="00A12632">
        <w:t xml:space="preserve">), platjoslas infrastruktūrai, internetam skolām, mācību satura </w:t>
      </w:r>
      <w:proofErr w:type="spellStart"/>
      <w:r w:rsidRPr="00A12632">
        <w:t>dig</w:t>
      </w:r>
      <w:r>
        <w:t>italizācijai</w:t>
      </w:r>
      <w:proofErr w:type="spellEnd"/>
      <w:r>
        <w:t xml:space="preserve"> (2,8 milj. </w:t>
      </w:r>
      <w:proofErr w:type="spellStart"/>
      <w:r>
        <w:rPr>
          <w:i/>
        </w:rPr>
        <w:t>eu</w:t>
      </w:r>
      <w:r w:rsidRPr="00A12632">
        <w:rPr>
          <w:i/>
        </w:rPr>
        <w:t>ro</w:t>
      </w:r>
      <w:proofErr w:type="spellEnd"/>
      <w:r>
        <w:t xml:space="preserve">), demogrāfijai (1,6 milj. </w:t>
      </w:r>
      <w:proofErr w:type="spellStart"/>
      <w:r>
        <w:rPr>
          <w:i/>
        </w:rPr>
        <w:t>eu</w:t>
      </w:r>
      <w:r w:rsidRPr="00A12632">
        <w:rPr>
          <w:i/>
        </w:rPr>
        <w:t>ro</w:t>
      </w:r>
      <w:proofErr w:type="spellEnd"/>
      <w:r>
        <w:t xml:space="preserve"> no 15 milj. </w:t>
      </w:r>
      <w:proofErr w:type="spellStart"/>
      <w:r>
        <w:rPr>
          <w:i/>
        </w:rPr>
        <w:t>eu</w:t>
      </w:r>
      <w:r w:rsidRPr="00A12632">
        <w:rPr>
          <w:i/>
        </w:rPr>
        <w:t>ro</w:t>
      </w:r>
      <w:proofErr w:type="spellEnd"/>
      <w:r>
        <w:t xml:space="preserve">), </w:t>
      </w:r>
      <w:proofErr w:type="spellStart"/>
      <w:r>
        <w:t>Iekšlietu</w:t>
      </w:r>
      <w:proofErr w:type="spellEnd"/>
      <w:r>
        <w:t xml:space="preserve"> ministrijas Informācijas centram (1,4 milj. </w:t>
      </w:r>
      <w:proofErr w:type="spellStart"/>
      <w:r>
        <w:rPr>
          <w:i/>
        </w:rPr>
        <w:t>eu</w:t>
      </w:r>
      <w:r w:rsidRPr="00A12632">
        <w:rPr>
          <w:i/>
        </w:rPr>
        <w:t>ro</w:t>
      </w:r>
      <w:proofErr w:type="spellEnd"/>
      <w:r>
        <w:t xml:space="preserve">), </w:t>
      </w:r>
      <w:proofErr w:type="spellStart"/>
      <w:r>
        <w:t>cilvēkkapitālam</w:t>
      </w:r>
      <w:proofErr w:type="spellEnd"/>
      <w:r>
        <w:t xml:space="preserve"> (0,25 milj. </w:t>
      </w:r>
      <w:proofErr w:type="spellStart"/>
      <w:r>
        <w:rPr>
          <w:i/>
        </w:rPr>
        <w:t>eu</w:t>
      </w:r>
      <w:r w:rsidRPr="00A12632">
        <w:rPr>
          <w:i/>
        </w:rPr>
        <w:t>ro</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83279"/>
      <w:docPartObj>
        <w:docPartGallery w:val="Page Numbers (Top of Page)"/>
        <w:docPartUnique/>
      </w:docPartObj>
    </w:sdtPr>
    <w:sdtEndPr>
      <w:rPr>
        <w:noProof/>
      </w:rPr>
    </w:sdtEndPr>
    <w:sdtContent>
      <w:p w14:paraId="4458F683" w14:textId="543F7736" w:rsidR="003E5E45" w:rsidRDefault="003E5E45" w:rsidP="005361F1">
        <w:pPr>
          <w:pStyle w:val="Header"/>
          <w:jc w:val="center"/>
          <w:rPr>
            <w:noProof/>
          </w:rPr>
        </w:pPr>
        <w:r>
          <w:fldChar w:fldCharType="begin"/>
        </w:r>
        <w:r>
          <w:instrText xml:space="preserve"> PAGE   \* MERGEFORMAT </w:instrText>
        </w:r>
        <w:r>
          <w:fldChar w:fldCharType="separate"/>
        </w:r>
        <w:r w:rsidR="001C1820">
          <w:rPr>
            <w:noProof/>
          </w:rPr>
          <w:t>29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BEAAA" w14:textId="77777777" w:rsidR="003E5E45" w:rsidRDefault="003E5E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409"/>
    <w:multiLevelType w:val="hybridMultilevel"/>
    <w:tmpl w:val="FC2A863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0FD628C"/>
    <w:multiLevelType w:val="hybridMultilevel"/>
    <w:tmpl w:val="285A82DE"/>
    <w:lvl w:ilvl="0" w:tplc="A6D6E706">
      <w:start w:val="1"/>
      <w:numFmt w:val="decimal"/>
      <w:lvlText w:val="%1."/>
      <w:lvlJc w:val="left"/>
      <w:pPr>
        <w:ind w:left="720" w:hanging="360"/>
      </w:pPr>
      <w:rPr>
        <w:i w:val="0"/>
        <w:sz w:val="28"/>
        <w:szCs w:val="28"/>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7A3C4D"/>
    <w:multiLevelType w:val="hybridMultilevel"/>
    <w:tmpl w:val="283E3A8E"/>
    <w:lvl w:ilvl="0" w:tplc="552A82E2">
      <w:start w:val="1"/>
      <w:numFmt w:val="decimal"/>
      <w:lvlText w:val="%1."/>
      <w:lvlJc w:val="left"/>
      <w:pPr>
        <w:ind w:left="1440" w:hanging="360"/>
      </w:pPr>
      <w:rPr>
        <w:rFonts w:ascii="Times New Roman" w:hAnsi="Times New Roman" w:cs="Times New Roman" w:hint="default"/>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68528B3"/>
    <w:multiLevelType w:val="hybridMultilevel"/>
    <w:tmpl w:val="2C7C1D46"/>
    <w:lvl w:ilvl="0" w:tplc="046E5138">
      <w:start w:val="4"/>
      <w:numFmt w:val="decimal"/>
      <w:lvlText w:val="%1."/>
      <w:lvlJc w:val="left"/>
      <w:pPr>
        <w:ind w:left="720" w:hanging="360"/>
      </w:pPr>
      <w:rPr>
        <w:rFonts w:hint="default"/>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FD7CD0"/>
    <w:multiLevelType w:val="hybridMultilevel"/>
    <w:tmpl w:val="F09650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F792FC2"/>
    <w:multiLevelType w:val="multilevel"/>
    <w:tmpl w:val="B0123828"/>
    <w:lvl w:ilvl="0">
      <w:start w:val="1"/>
      <w:numFmt w:val="decimal"/>
      <w:pStyle w:val="Heading1"/>
      <w:lvlText w:val="%1."/>
      <w:lvlJc w:val="left"/>
      <w:pPr>
        <w:ind w:left="8015"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C1903D2"/>
    <w:multiLevelType w:val="hybridMultilevel"/>
    <w:tmpl w:val="82B01038"/>
    <w:lvl w:ilvl="0" w:tplc="C43E399A">
      <w:start w:val="1"/>
      <w:numFmt w:val="decimal"/>
      <w:pStyle w:val="Heading2"/>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207461"/>
    <w:multiLevelType w:val="hybridMultilevel"/>
    <w:tmpl w:val="FA24CD6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40E719B2"/>
    <w:multiLevelType w:val="hybridMultilevel"/>
    <w:tmpl w:val="C8FCE4B4"/>
    <w:lvl w:ilvl="0" w:tplc="04260001">
      <w:start w:val="1"/>
      <w:numFmt w:val="bullet"/>
      <w:lvlText w:val=""/>
      <w:lvlJc w:val="left"/>
      <w:pPr>
        <w:ind w:left="3076" w:hanging="360"/>
      </w:pPr>
      <w:rPr>
        <w:rFonts w:ascii="Symbol" w:hAnsi="Symbol" w:hint="default"/>
      </w:rPr>
    </w:lvl>
    <w:lvl w:ilvl="1" w:tplc="04260003">
      <w:start w:val="1"/>
      <w:numFmt w:val="bullet"/>
      <w:lvlText w:val="o"/>
      <w:lvlJc w:val="left"/>
      <w:pPr>
        <w:ind w:left="3796" w:hanging="360"/>
      </w:pPr>
      <w:rPr>
        <w:rFonts w:ascii="Courier New" w:hAnsi="Courier New" w:cs="Courier New" w:hint="default"/>
      </w:rPr>
    </w:lvl>
    <w:lvl w:ilvl="2" w:tplc="04260001">
      <w:start w:val="1"/>
      <w:numFmt w:val="bullet"/>
      <w:lvlText w:val=""/>
      <w:lvlJc w:val="left"/>
      <w:pPr>
        <w:ind w:left="4516" w:hanging="360"/>
      </w:pPr>
      <w:rPr>
        <w:rFonts w:ascii="Symbol" w:hAnsi="Symbol" w:hint="default"/>
      </w:rPr>
    </w:lvl>
    <w:lvl w:ilvl="3" w:tplc="04260001" w:tentative="1">
      <w:start w:val="1"/>
      <w:numFmt w:val="bullet"/>
      <w:lvlText w:val=""/>
      <w:lvlJc w:val="left"/>
      <w:pPr>
        <w:ind w:left="5236" w:hanging="360"/>
      </w:pPr>
      <w:rPr>
        <w:rFonts w:ascii="Symbol" w:hAnsi="Symbol" w:hint="default"/>
      </w:rPr>
    </w:lvl>
    <w:lvl w:ilvl="4" w:tplc="04260003" w:tentative="1">
      <w:start w:val="1"/>
      <w:numFmt w:val="bullet"/>
      <w:lvlText w:val="o"/>
      <w:lvlJc w:val="left"/>
      <w:pPr>
        <w:ind w:left="5956" w:hanging="360"/>
      </w:pPr>
      <w:rPr>
        <w:rFonts w:ascii="Courier New" w:hAnsi="Courier New" w:cs="Courier New" w:hint="default"/>
      </w:rPr>
    </w:lvl>
    <w:lvl w:ilvl="5" w:tplc="04260005" w:tentative="1">
      <w:start w:val="1"/>
      <w:numFmt w:val="bullet"/>
      <w:lvlText w:val=""/>
      <w:lvlJc w:val="left"/>
      <w:pPr>
        <w:ind w:left="6676" w:hanging="360"/>
      </w:pPr>
      <w:rPr>
        <w:rFonts w:ascii="Wingdings" w:hAnsi="Wingdings" w:hint="default"/>
      </w:rPr>
    </w:lvl>
    <w:lvl w:ilvl="6" w:tplc="04260001" w:tentative="1">
      <w:start w:val="1"/>
      <w:numFmt w:val="bullet"/>
      <w:lvlText w:val=""/>
      <w:lvlJc w:val="left"/>
      <w:pPr>
        <w:ind w:left="7396" w:hanging="360"/>
      </w:pPr>
      <w:rPr>
        <w:rFonts w:ascii="Symbol" w:hAnsi="Symbol" w:hint="default"/>
      </w:rPr>
    </w:lvl>
    <w:lvl w:ilvl="7" w:tplc="04260003" w:tentative="1">
      <w:start w:val="1"/>
      <w:numFmt w:val="bullet"/>
      <w:lvlText w:val="o"/>
      <w:lvlJc w:val="left"/>
      <w:pPr>
        <w:ind w:left="8116" w:hanging="360"/>
      </w:pPr>
      <w:rPr>
        <w:rFonts w:ascii="Courier New" w:hAnsi="Courier New" w:cs="Courier New" w:hint="default"/>
      </w:rPr>
    </w:lvl>
    <w:lvl w:ilvl="8" w:tplc="04260005" w:tentative="1">
      <w:start w:val="1"/>
      <w:numFmt w:val="bullet"/>
      <w:lvlText w:val=""/>
      <w:lvlJc w:val="left"/>
      <w:pPr>
        <w:ind w:left="8836" w:hanging="360"/>
      </w:pPr>
      <w:rPr>
        <w:rFonts w:ascii="Wingdings" w:hAnsi="Wingdings" w:hint="default"/>
      </w:rPr>
    </w:lvl>
  </w:abstractNum>
  <w:abstractNum w:abstractNumId="9" w15:restartNumberingAfterBreak="0">
    <w:nsid w:val="49824539"/>
    <w:multiLevelType w:val="hybridMultilevel"/>
    <w:tmpl w:val="3230C182"/>
    <w:lvl w:ilvl="0" w:tplc="A6D6E706">
      <w:start w:val="1"/>
      <w:numFmt w:val="decimal"/>
      <w:lvlText w:val="%1."/>
      <w:lvlJc w:val="left"/>
      <w:pPr>
        <w:ind w:left="720" w:hanging="360"/>
      </w:pPr>
      <w:rPr>
        <w:i w:val="0"/>
        <w:sz w:val="28"/>
        <w:szCs w:val="28"/>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830B7E"/>
    <w:multiLevelType w:val="hybridMultilevel"/>
    <w:tmpl w:val="76F28026"/>
    <w:lvl w:ilvl="0" w:tplc="0C0218B2">
      <w:start w:val="1"/>
      <w:numFmt w:val="decimal"/>
      <w:lvlText w:val="%1."/>
      <w:lvlJc w:val="left"/>
      <w:pPr>
        <w:ind w:left="720" w:hanging="360"/>
      </w:pPr>
      <w:rPr>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F284EC8"/>
    <w:multiLevelType w:val="hybridMultilevel"/>
    <w:tmpl w:val="C0147A48"/>
    <w:lvl w:ilvl="0" w:tplc="552A82E2">
      <w:start w:val="1"/>
      <w:numFmt w:val="decimal"/>
      <w:lvlText w:val="%1."/>
      <w:lvlJc w:val="left"/>
      <w:pPr>
        <w:ind w:left="720" w:hanging="360"/>
      </w:pPr>
      <w:rPr>
        <w:rFonts w:ascii="Times New Roman" w:hAnsi="Times New Roman" w:cs="Times New Roman" w:hint="default"/>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124485"/>
    <w:multiLevelType w:val="hybridMultilevel"/>
    <w:tmpl w:val="AF84DB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70012FB7"/>
    <w:multiLevelType w:val="hybridMultilevel"/>
    <w:tmpl w:val="93AE1A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3E6081F"/>
    <w:multiLevelType w:val="hybridMultilevel"/>
    <w:tmpl w:val="71F418D4"/>
    <w:lvl w:ilvl="0" w:tplc="04260001">
      <w:start w:val="1"/>
      <w:numFmt w:val="bullet"/>
      <w:lvlText w:val=""/>
      <w:lvlJc w:val="left"/>
      <w:pPr>
        <w:ind w:left="1440" w:hanging="360"/>
      </w:pPr>
      <w:rPr>
        <w:rFonts w:ascii="Symbol" w:hAnsi="Symbol" w:hint="default"/>
      </w:rPr>
    </w:lvl>
    <w:lvl w:ilvl="1" w:tplc="F7889D16">
      <w:numFmt w:val="bullet"/>
      <w:lvlText w:val="-"/>
      <w:lvlJc w:val="left"/>
      <w:pPr>
        <w:ind w:left="2160" w:hanging="360"/>
      </w:pPr>
      <w:rPr>
        <w:rFonts w:ascii="Times New Roman" w:eastAsiaTheme="minorEastAsia" w:hAnsi="Times New Roman"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78D146FC"/>
    <w:multiLevelType w:val="hybridMultilevel"/>
    <w:tmpl w:val="CE74D1A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10"/>
  </w:num>
  <w:num w:numId="4">
    <w:abstractNumId w:val="1"/>
  </w:num>
  <w:num w:numId="5">
    <w:abstractNumId w:val="0"/>
  </w:num>
  <w:num w:numId="6">
    <w:abstractNumId w:val="8"/>
  </w:num>
  <w:num w:numId="7">
    <w:abstractNumId w:val="12"/>
  </w:num>
  <w:num w:numId="8">
    <w:abstractNumId w:val="4"/>
  </w:num>
  <w:num w:numId="9">
    <w:abstractNumId w:val="13"/>
  </w:num>
  <w:num w:numId="10">
    <w:abstractNumId w:val="7"/>
  </w:num>
  <w:num w:numId="11">
    <w:abstractNumId w:val="14"/>
  </w:num>
  <w:num w:numId="12">
    <w:abstractNumId w:val="15"/>
  </w:num>
  <w:num w:numId="13">
    <w:abstractNumId w:val="11"/>
  </w:num>
  <w:num w:numId="14">
    <w:abstractNumId w:val="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95"/>
    <w:rsid w:val="00003DBC"/>
    <w:rsid w:val="00006604"/>
    <w:rsid w:val="0001357D"/>
    <w:rsid w:val="00014584"/>
    <w:rsid w:val="00014BD8"/>
    <w:rsid w:val="00016BE0"/>
    <w:rsid w:val="00016DC5"/>
    <w:rsid w:val="0001732F"/>
    <w:rsid w:val="00017C7B"/>
    <w:rsid w:val="0002163E"/>
    <w:rsid w:val="00021AC4"/>
    <w:rsid w:val="00023A74"/>
    <w:rsid w:val="00024979"/>
    <w:rsid w:val="0003311F"/>
    <w:rsid w:val="00033640"/>
    <w:rsid w:val="00033772"/>
    <w:rsid w:val="00033E8A"/>
    <w:rsid w:val="00035A91"/>
    <w:rsid w:val="00037B8E"/>
    <w:rsid w:val="00042CB7"/>
    <w:rsid w:val="00043218"/>
    <w:rsid w:val="00046225"/>
    <w:rsid w:val="000471E1"/>
    <w:rsid w:val="00047DD8"/>
    <w:rsid w:val="00050670"/>
    <w:rsid w:val="00051B1E"/>
    <w:rsid w:val="00053525"/>
    <w:rsid w:val="0005447E"/>
    <w:rsid w:val="00054574"/>
    <w:rsid w:val="000546FB"/>
    <w:rsid w:val="000552D2"/>
    <w:rsid w:val="00055316"/>
    <w:rsid w:val="00060C0F"/>
    <w:rsid w:val="000619F5"/>
    <w:rsid w:val="00061D8D"/>
    <w:rsid w:val="00065587"/>
    <w:rsid w:val="000656C6"/>
    <w:rsid w:val="0006744D"/>
    <w:rsid w:val="00071E47"/>
    <w:rsid w:val="00072CC4"/>
    <w:rsid w:val="00073D49"/>
    <w:rsid w:val="00074F1B"/>
    <w:rsid w:val="0007720E"/>
    <w:rsid w:val="00083EB1"/>
    <w:rsid w:val="000871CE"/>
    <w:rsid w:val="00091993"/>
    <w:rsid w:val="00092EE3"/>
    <w:rsid w:val="000A1CF7"/>
    <w:rsid w:val="000A647B"/>
    <w:rsid w:val="000B06BB"/>
    <w:rsid w:val="000B7445"/>
    <w:rsid w:val="000C3C95"/>
    <w:rsid w:val="000C4A14"/>
    <w:rsid w:val="000C4B93"/>
    <w:rsid w:val="000C5374"/>
    <w:rsid w:val="000D0C1F"/>
    <w:rsid w:val="000D2A10"/>
    <w:rsid w:val="000D2AEA"/>
    <w:rsid w:val="000D2B7A"/>
    <w:rsid w:val="000D3F63"/>
    <w:rsid w:val="000E1CB3"/>
    <w:rsid w:val="000E22C0"/>
    <w:rsid w:val="000E296E"/>
    <w:rsid w:val="000E5004"/>
    <w:rsid w:val="000E6A0A"/>
    <w:rsid w:val="000E7920"/>
    <w:rsid w:val="000E7FD6"/>
    <w:rsid w:val="000F10E6"/>
    <w:rsid w:val="000F2299"/>
    <w:rsid w:val="000F5874"/>
    <w:rsid w:val="000F7313"/>
    <w:rsid w:val="000F7E92"/>
    <w:rsid w:val="0010112A"/>
    <w:rsid w:val="0010269F"/>
    <w:rsid w:val="00106699"/>
    <w:rsid w:val="00110606"/>
    <w:rsid w:val="00112AA4"/>
    <w:rsid w:val="00114A5D"/>
    <w:rsid w:val="00115AF7"/>
    <w:rsid w:val="00121499"/>
    <w:rsid w:val="0012254A"/>
    <w:rsid w:val="00123CE6"/>
    <w:rsid w:val="00124751"/>
    <w:rsid w:val="00124F7A"/>
    <w:rsid w:val="00130505"/>
    <w:rsid w:val="0013226B"/>
    <w:rsid w:val="00132748"/>
    <w:rsid w:val="00137E2E"/>
    <w:rsid w:val="00140AD0"/>
    <w:rsid w:val="00140F9E"/>
    <w:rsid w:val="00146825"/>
    <w:rsid w:val="00146EDF"/>
    <w:rsid w:val="00153A21"/>
    <w:rsid w:val="00154E61"/>
    <w:rsid w:val="00154F10"/>
    <w:rsid w:val="001571F4"/>
    <w:rsid w:val="00160035"/>
    <w:rsid w:val="00161109"/>
    <w:rsid w:val="0016466F"/>
    <w:rsid w:val="00166041"/>
    <w:rsid w:val="00166054"/>
    <w:rsid w:val="00172009"/>
    <w:rsid w:val="001729AF"/>
    <w:rsid w:val="00173F0C"/>
    <w:rsid w:val="00174A9D"/>
    <w:rsid w:val="00175039"/>
    <w:rsid w:val="00185678"/>
    <w:rsid w:val="0018741F"/>
    <w:rsid w:val="0019035F"/>
    <w:rsid w:val="00191556"/>
    <w:rsid w:val="00193284"/>
    <w:rsid w:val="00196533"/>
    <w:rsid w:val="001A0AA2"/>
    <w:rsid w:val="001A2913"/>
    <w:rsid w:val="001A52C5"/>
    <w:rsid w:val="001B01B7"/>
    <w:rsid w:val="001B2316"/>
    <w:rsid w:val="001B26B6"/>
    <w:rsid w:val="001B2DF8"/>
    <w:rsid w:val="001B6C13"/>
    <w:rsid w:val="001B7D68"/>
    <w:rsid w:val="001C1820"/>
    <w:rsid w:val="001C4676"/>
    <w:rsid w:val="001C542A"/>
    <w:rsid w:val="001C7C5B"/>
    <w:rsid w:val="001D4B70"/>
    <w:rsid w:val="001E3D6B"/>
    <w:rsid w:val="001E5FAE"/>
    <w:rsid w:val="001E697E"/>
    <w:rsid w:val="001F1561"/>
    <w:rsid w:val="001F16F5"/>
    <w:rsid w:val="001F4187"/>
    <w:rsid w:val="001F43BC"/>
    <w:rsid w:val="001F4876"/>
    <w:rsid w:val="001F7F6A"/>
    <w:rsid w:val="00201B11"/>
    <w:rsid w:val="00202623"/>
    <w:rsid w:val="0020365C"/>
    <w:rsid w:val="00204BC4"/>
    <w:rsid w:val="00212036"/>
    <w:rsid w:val="00213596"/>
    <w:rsid w:val="00215A7F"/>
    <w:rsid w:val="0021735A"/>
    <w:rsid w:val="0022193F"/>
    <w:rsid w:val="00223BAD"/>
    <w:rsid w:val="00230360"/>
    <w:rsid w:val="00230A10"/>
    <w:rsid w:val="0023182D"/>
    <w:rsid w:val="00234FB7"/>
    <w:rsid w:val="00243912"/>
    <w:rsid w:val="00245196"/>
    <w:rsid w:val="002465EA"/>
    <w:rsid w:val="00251765"/>
    <w:rsid w:val="00255E5B"/>
    <w:rsid w:val="00256648"/>
    <w:rsid w:val="00261FC9"/>
    <w:rsid w:val="00262536"/>
    <w:rsid w:val="0026255D"/>
    <w:rsid w:val="0026289D"/>
    <w:rsid w:val="00265550"/>
    <w:rsid w:val="002655BC"/>
    <w:rsid w:val="00267C4F"/>
    <w:rsid w:val="00270F88"/>
    <w:rsid w:val="00275ACB"/>
    <w:rsid w:val="00276CB6"/>
    <w:rsid w:val="00280003"/>
    <w:rsid w:val="002801C0"/>
    <w:rsid w:val="00282A55"/>
    <w:rsid w:val="0029392C"/>
    <w:rsid w:val="002946A0"/>
    <w:rsid w:val="002A1232"/>
    <w:rsid w:val="002A23E0"/>
    <w:rsid w:val="002A3A8A"/>
    <w:rsid w:val="002A4C23"/>
    <w:rsid w:val="002B23A5"/>
    <w:rsid w:val="002B506F"/>
    <w:rsid w:val="002B6A9A"/>
    <w:rsid w:val="002C066A"/>
    <w:rsid w:val="002C283C"/>
    <w:rsid w:val="002C779D"/>
    <w:rsid w:val="002D012B"/>
    <w:rsid w:val="002D1426"/>
    <w:rsid w:val="002D2C99"/>
    <w:rsid w:val="002D57A0"/>
    <w:rsid w:val="002D6873"/>
    <w:rsid w:val="002E3A00"/>
    <w:rsid w:val="002E696E"/>
    <w:rsid w:val="002E768B"/>
    <w:rsid w:val="002F1162"/>
    <w:rsid w:val="002F2BDC"/>
    <w:rsid w:val="002F55A6"/>
    <w:rsid w:val="002F637C"/>
    <w:rsid w:val="002F65E3"/>
    <w:rsid w:val="002F6D54"/>
    <w:rsid w:val="002F7FFC"/>
    <w:rsid w:val="003037CF"/>
    <w:rsid w:val="00306832"/>
    <w:rsid w:val="00313214"/>
    <w:rsid w:val="0031754C"/>
    <w:rsid w:val="003238FD"/>
    <w:rsid w:val="00325942"/>
    <w:rsid w:val="00327D75"/>
    <w:rsid w:val="0033073D"/>
    <w:rsid w:val="0033160A"/>
    <w:rsid w:val="003421DE"/>
    <w:rsid w:val="0034589E"/>
    <w:rsid w:val="00345965"/>
    <w:rsid w:val="00352A94"/>
    <w:rsid w:val="00352ED0"/>
    <w:rsid w:val="00353FA8"/>
    <w:rsid w:val="00357D09"/>
    <w:rsid w:val="00360884"/>
    <w:rsid w:val="003622F9"/>
    <w:rsid w:val="003627A0"/>
    <w:rsid w:val="00364E24"/>
    <w:rsid w:val="003670DB"/>
    <w:rsid w:val="0037113B"/>
    <w:rsid w:val="0037413E"/>
    <w:rsid w:val="00375F29"/>
    <w:rsid w:val="00377CA0"/>
    <w:rsid w:val="00381BDA"/>
    <w:rsid w:val="00382303"/>
    <w:rsid w:val="003827A0"/>
    <w:rsid w:val="003827A9"/>
    <w:rsid w:val="00391D20"/>
    <w:rsid w:val="003939D9"/>
    <w:rsid w:val="0039478E"/>
    <w:rsid w:val="003952E5"/>
    <w:rsid w:val="003A0176"/>
    <w:rsid w:val="003A0ADE"/>
    <w:rsid w:val="003A1074"/>
    <w:rsid w:val="003A2018"/>
    <w:rsid w:val="003A4135"/>
    <w:rsid w:val="003A5AA7"/>
    <w:rsid w:val="003A5F20"/>
    <w:rsid w:val="003B0328"/>
    <w:rsid w:val="003B3630"/>
    <w:rsid w:val="003B55F5"/>
    <w:rsid w:val="003B5AA2"/>
    <w:rsid w:val="003C1802"/>
    <w:rsid w:val="003D6507"/>
    <w:rsid w:val="003E266E"/>
    <w:rsid w:val="003E2800"/>
    <w:rsid w:val="003E3BBF"/>
    <w:rsid w:val="003E5E45"/>
    <w:rsid w:val="003E7032"/>
    <w:rsid w:val="003E77CA"/>
    <w:rsid w:val="003F4753"/>
    <w:rsid w:val="003F4D34"/>
    <w:rsid w:val="003F6C1B"/>
    <w:rsid w:val="00400397"/>
    <w:rsid w:val="00402385"/>
    <w:rsid w:val="004058CC"/>
    <w:rsid w:val="004111D1"/>
    <w:rsid w:val="00411678"/>
    <w:rsid w:val="00412905"/>
    <w:rsid w:val="00413516"/>
    <w:rsid w:val="00413760"/>
    <w:rsid w:val="004229DB"/>
    <w:rsid w:val="004255AC"/>
    <w:rsid w:val="00426556"/>
    <w:rsid w:val="004350A4"/>
    <w:rsid w:val="0043608C"/>
    <w:rsid w:val="00436665"/>
    <w:rsid w:val="004414C2"/>
    <w:rsid w:val="00445456"/>
    <w:rsid w:val="0045403A"/>
    <w:rsid w:val="00454159"/>
    <w:rsid w:val="0045573A"/>
    <w:rsid w:val="0046451C"/>
    <w:rsid w:val="0046565F"/>
    <w:rsid w:val="004805D0"/>
    <w:rsid w:val="004827CC"/>
    <w:rsid w:val="004828D5"/>
    <w:rsid w:val="00487989"/>
    <w:rsid w:val="00491065"/>
    <w:rsid w:val="00493AD4"/>
    <w:rsid w:val="0049419C"/>
    <w:rsid w:val="004943BC"/>
    <w:rsid w:val="0049539B"/>
    <w:rsid w:val="00495E5B"/>
    <w:rsid w:val="004B112D"/>
    <w:rsid w:val="004B15F2"/>
    <w:rsid w:val="004B30FC"/>
    <w:rsid w:val="004C14E6"/>
    <w:rsid w:val="004C1B95"/>
    <w:rsid w:val="004C1CAD"/>
    <w:rsid w:val="004C7A32"/>
    <w:rsid w:val="004D30DB"/>
    <w:rsid w:val="004D5E82"/>
    <w:rsid w:val="004D62CB"/>
    <w:rsid w:val="004D647E"/>
    <w:rsid w:val="004D68B8"/>
    <w:rsid w:val="004F02B8"/>
    <w:rsid w:val="004F4F2F"/>
    <w:rsid w:val="004F7EC3"/>
    <w:rsid w:val="0050080F"/>
    <w:rsid w:val="00500AAB"/>
    <w:rsid w:val="005024B0"/>
    <w:rsid w:val="00511E4F"/>
    <w:rsid w:val="00512708"/>
    <w:rsid w:val="005159F7"/>
    <w:rsid w:val="00516562"/>
    <w:rsid w:val="00516C4B"/>
    <w:rsid w:val="0052320A"/>
    <w:rsid w:val="00526F27"/>
    <w:rsid w:val="00533284"/>
    <w:rsid w:val="005344EB"/>
    <w:rsid w:val="005361F1"/>
    <w:rsid w:val="00540E8C"/>
    <w:rsid w:val="00542A69"/>
    <w:rsid w:val="00542E18"/>
    <w:rsid w:val="00545E8E"/>
    <w:rsid w:val="00551416"/>
    <w:rsid w:val="00552758"/>
    <w:rsid w:val="00553194"/>
    <w:rsid w:val="00557F7C"/>
    <w:rsid w:val="005715AA"/>
    <w:rsid w:val="0057415A"/>
    <w:rsid w:val="00574301"/>
    <w:rsid w:val="005753C9"/>
    <w:rsid w:val="00575531"/>
    <w:rsid w:val="00576D1F"/>
    <w:rsid w:val="005778D4"/>
    <w:rsid w:val="00577BDD"/>
    <w:rsid w:val="005854EF"/>
    <w:rsid w:val="005865A6"/>
    <w:rsid w:val="00590F3A"/>
    <w:rsid w:val="005913C7"/>
    <w:rsid w:val="00591C1E"/>
    <w:rsid w:val="005922CA"/>
    <w:rsid w:val="00594018"/>
    <w:rsid w:val="00594E33"/>
    <w:rsid w:val="00595DC7"/>
    <w:rsid w:val="00596949"/>
    <w:rsid w:val="005A0A50"/>
    <w:rsid w:val="005A2459"/>
    <w:rsid w:val="005A30DB"/>
    <w:rsid w:val="005B1259"/>
    <w:rsid w:val="005B1278"/>
    <w:rsid w:val="005B3D38"/>
    <w:rsid w:val="005B3DA9"/>
    <w:rsid w:val="005B72C2"/>
    <w:rsid w:val="005B7C71"/>
    <w:rsid w:val="005C0587"/>
    <w:rsid w:val="005C06ED"/>
    <w:rsid w:val="005C5C42"/>
    <w:rsid w:val="005D014F"/>
    <w:rsid w:val="005D0688"/>
    <w:rsid w:val="005D10EA"/>
    <w:rsid w:val="005D5E03"/>
    <w:rsid w:val="005E369E"/>
    <w:rsid w:val="005E4570"/>
    <w:rsid w:val="005E5C2A"/>
    <w:rsid w:val="005E69B6"/>
    <w:rsid w:val="005E777F"/>
    <w:rsid w:val="005E779E"/>
    <w:rsid w:val="005F19E0"/>
    <w:rsid w:val="005F2194"/>
    <w:rsid w:val="005F638E"/>
    <w:rsid w:val="005F67A6"/>
    <w:rsid w:val="005F7872"/>
    <w:rsid w:val="00600D63"/>
    <w:rsid w:val="00603C53"/>
    <w:rsid w:val="0060460E"/>
    <w:rsid w:val="00604F9B"/>
    <w:rsid w:val="006128F1"/>
    <w:rsid w:val="0061348E"/>
    <w:rsid w:val="00617C79"/>
    <w:rsid w:val="00622435"/>
    <w:rsid w:val="00622C39"/>
    <w:rsid w:val="0062337F"/>
    <w:rsid w:val="0062445A"/>
    <w:rsid w:val="006249DA"/>
    <w:rsid w:val="00627462"/>
    <w:rsid w:val="006314B4"/>
    <w:rsid w:val="006336B6"/>
    <w:rsid w:val="0063475B"/>
    <w:rsid w:val="00637198"/>
    <w:rsid w:val="00650798"/>
    <w:rsid w:val="00650F44"/>
    <w:rsid w:val="00655CC0"/>
    <w:rsid w:val="006574D7"/>
    <w:rsid w:val="006626C7"/>
    <w:rsid w:val="0066332A"/>
    <w:rsid w:val="00667BD5"/>
    <w:rsid w:val="00674703"/>
    <w:rsid w:val="00682304"/>
    <w:rsid w:val="0068270C"/>
    <w:rsid w:val="0068453F"/>
    <w:rsid w:val="00691E26"/>
    <w:rsid w:val="00696604"/>
    <w:rsid w:val="00696F50"/>
    <w:rsid w:val="00697B5F"/>
    <w:rsid w:val="006A502B"/>
    <w:rsid w:val="006A5502"/>
    <w:rsid w:val="006B0DF9"/>
    <w:rsid w:val="006B1B83"/>
    <w:rsid w:val="006B3507"/>
    <w:rsid w:val="006B5F40"/>
    <w:rsid w:val="006C2607"/>
    <w:rsid w:val="006C2C05"/>
    <w:rsid w:val="006C33AE"/>
    <w:rsid w:val="006C4857"/>
    <w:rsid w:val="006C6B7C"/>
    <w:rsid w:val="006D19C6"/>
    <w:rsid w:val="006D1BF5"/>
    <w:rsid w:val="006D2DCA"/>
    <w:rsid w:val="006D4E3C"/>
    <w:rsid w:val="006D58B9"/>
    <w:rsid w:val="006E4106"/>
    <w:rsid w:val="006E6A20"/>
    <w:rsid w:val="006E72BA"/>
    <w:rsid w:val="006F0243"/>
    <w:rsid w:val="006F42CA"/>
    <w:rsid w:val="006F7F16"/>
    <w:rsid w:val="00712187"/>
    <w:rsid w:val="007156B3"/>
    <w:rsid w:val="0071757C"/>
    <w:rsid w:val="00717822"/>
    <w:rsid w:val="00721B10"/>
    <w:rsid w:val="0072401C"/>
    <w:rsid w:val="007260A1"/>
    <w:rsid w:val="0073260D"/>
    <w:rsid w:val="007343B2"/>
    <w:rsid w:val="00736AD3"/>
    <w:rsid w:val="00740A15"/>
    <w:rsid w:val="007417D0"/>
    <w:rsid w:val="00741EED"/>
    <w:rsid w:val="007422FA"/>
    <w:rsid w:val="007424CD"/>
    <w:rsid w:val="007458A9"/>
    <w:rsid w:val="0076471E"/>
    <w:rsid w:val="00770348"/>
    <w:rsid w:val="007719B1"/>
    <w:rsid w:val="0077256E"/>
    <w:rsid w:val="00781E2C"/>
    <w:rsid w:val="007841BC"/>
    <w:rsid w:val="00784505"/>
    <w:rsid w:val="0078567C"/>
    <w:rsid w:val="007933A0"/>
    <w:rsid w:val="007949F5"/>
    <w:rsid w:val="00796636"/>
    <w:rsid w:val="007A2A39"/>
    <w:rsid w:val="007A324F"/>
    <w:rsid w:val="007A4AFA"/>
    <w:rsid w:val="007A5244"/>
    <w:rsid w:val="007B1024"/>
    <w:rsid w:val="007B2C65"/>
    <w:rsid w:val="007B2FBF"/>
    <w:rsid w:val="007B66FB"/>
    <w:rsid w:val="007B6871"/>
    <w:rsid w:val="007B6A8C"/>
    <w:rsid w:val="007C2EB9"/>
    <w:rsid w:val="007C32E3"/>
    <w:rsid w:val="007C5CA4"/>
    <w:rsid w:val="007C6097"/>
    <w:rsid w:val="007C678C"/>
    <w:rsid w:val="007C6FA4"/>
    <w:rsid w:val="007D76E2"/>
    <w:rsid w:val="007E0A9F"/>
    <w:rsid w:val="007E417B"/>
    <w:rsid w:val="007F117D"/>
    <w:rsid w:val="007F2887"/>
    <w:rsid w:val="007F3EAB"/>
    <w:rsid w:val="007F60AA"/>
    <w:rsid w:val="007F72CF"/>
    <w:rsid w:val="007F75CA"/>
    <w:rsid w:val="00800CBC"/>
    <w:rsid w:val="00802324"/>
    <w:rsid w:val="00803E3E"/>
    <w:rsid w:val="00813490"/>
    <w:rsid w:val="00813B15"/>
    <w:rsid w:val="0081448D"/>
    <w:rsid w:val="00814D12"/>
    <w:rsid w:val="00815EAE"/>
    <w:rsid w:val="008178D1"/>
    <w:rsid w:val="00822D29"/>
    <w:rsid w:val="00822F87"/>
    <w:rsid w:val="008230DE"/>
    <w:rsid w:val="00831519"/>
    <w:rsid w:val="00834C52"/>
    <w:rsid w:val="0083515C"/>
    <w:rsid w:val="00840954"/>
    <w:rsid w:val="008417FB"/>
    <w:rsid w:val="00844932"/>
    <w:rsid w:val="0084619B"/>
    <w:rsid w:val="008478B8"/>
    <w:rsid w:val="008523F4"/>
    <w:rsid w:val="008528CD"/>
    <w:rsid w:val="00855D8A"/>
    <w:rsid w:val="008573E9"/>
    <w:rsid w:val="00860E19"/>
    <w:rsid w:val="00864A9B"/>
    <w:rsid w:val="008654AD"/>
    <w:rsid w:val="00867CCB"/>
    <w:rsid w:val="00870603"/>
    <w:rsid w:val="00874F32"/>
    <w:rsid w:val="008813B8"/>
    <w:rsid w:val="008834DF"/>
    <w:rsid w:val="008838BD"/>
    <w:rsid w:val="00883DFA"/>
    <w:rsid w:val="00884F4A"/>
    <w:rsid w:val="00884FC9"/>
    <w:rsid w:val="008852F6"/>
    <w:rsid w:val="008863AC"/>
    <w:rsid w:val="0088711A"/>
    <w:rsid w:val="00890A5F"/>
    <w:rsid w:val="00891456"/>
    <w:rsid w:val="00891A7A"/>
    <w:rsid w:val="00892E9C"/>
    <w:rsid w:val="00894C1E"/>
    <w:rsid w:val="008A406D"/>
    <w:rsid w:val="008A626C"/>
    <w:rsid w:val="008B4EFE"/>
    <w:rsid w:val="008B508B"/>
    <w:rsid w:val="008B50D6"/>
    <w:rsid w:val="008C07C3"/>
    <w:rsid w:val="008C08A2"/>
    <w:rsid w:val="008D1B72"/>
    <w:rsid w:val="008D47C3"/>
    <w:rsid w:val="008D6EB0"/>
    <w:rsid w:val="008E0304"/>
    <w:rsid w:val="008E110E"/>
    <w:rsid w:val="008E5743"/>
    <w:rsid w:val="008E6B68"/>
    <w:rsid w:val="008F0C29"/>
    <w:rsid w:val="008F1658"/>
    <w:rsid w:val="008F2113"/>
    <w:rsid w:val="008F6119"/>
    <w:rsid w:val="008F6FBD"/>
    <w:rsid w:val="00902B01"/>
    <w:rsid w:val="00902E7C"/>
    <w:rsid w:val="00910211"/>
    <w:rsid w:val="00914406"/>
    <w:rsid w:val="00915391"/>
    <w:rsid w:val="009160F9"/>
    <w:rsid w:val="00917F86"/>
    <w:rsid w:val="0092615A"/>
    <w:rsid w:val="0093024E"/>
    <w:rsid w:val="009306F9"/>
    <w:rsid w:val="00937A76"/>
    <w:rsid w:val="00941065"/>
    <w:rsid w:val="009433D8"/>
    <w:rsid w:val="00945B5F"/>
    <w:rsid w:val="00945E68"/>
    <w:rsid w:val="00950A78"/>
    <w:rsid w:val="00960145"/>
    <w:rsid w:val="0096417C"/>
    <w:rsid w:val="00965E15"/>
    <w:rsid w:val="0097202C"/>
    <w:rsid w:val="009728D3"/>
    <w:rsid w:val="009735E6"/>
    <w:rsid w:val="00974B6B"/>
    <w:rsid w:val="00974C6A"/>
    <w:rsid w:val="00983904"/>
    <w:rsid w:val="00987EDF"/>
    <w:rsid w:val="00991853"/>
    <w:rsid w:val="009919E6"/>
    <w:rsid w:val="00994ABA"/>
    <w:rsid w:val="00994F25"/>
    <w:rsid w:val="00995488"/>
    <w:rsid w:val="00996134"/>
    <w:rsid w:val="009A2E34"/>
    <w:rsid w:val="009A5249"/>
    <w:rsid w:val="009A6A99"/>
    <w:rsid w:val="009A7F95"/>
    <w:rsid w:val="009B0C41"/>
    <w:rsid w:val="009B1649"/>
    <w:rsid w:val="009B1C84"/>
    <w:rsid w:val="009B5BCA"/>
    <w:rsid w:val="009B7199"/>
    <w:rsid w:val="009C4DD4"/>
    <w:rsid w:val="009D18DE"/>
    <w:rsid w:val="009D1E2E"/>
    <w:rsid w:val="009D2706"/>
    <w:rsid w:val="009D3AFD"/>
    <w:rsid w:val="009D459F"/>
    <w:rsid w:val="009E1C32"/>
    <w:rsid w:val="009F3CED"/>
    <w:rsid w:val="009F3F7B"/>
    <w:rsid w:val="009F51AF"/>
    <w:rsid w:val="009F53E8"/>
    <w:rsid w:val="009F5663"/>
    <w:rsid w:val="009F6A7F"/>
    <w:rsid w:val="009F6D00"/>
    <w:rsid w:val="00A01C7C"/>
    <w:rsid w:val="00A0438C"/>
    <w:rsid w:val="00A05835"/>
    <w:rsid w:val="00A1128A"/>
    <w:rsid w:val="00A12632"/>
    <w:rsid w:val="00A15E0B"/>
    <w:rsid w:val="00A25184"/>
    <w:rsid w:val="00A25912"/>
    <w:rsid w:val="00A30566"/>
    <w:rsid w:val="00A32F1E"/>
    <w:rsid w:val="00A33F4E"/>
    <w:rsid w:val="00A3556C"/>
    <w:rsid w:val="00A3684A"/>
    <w:rsid w:val="00A416F2"/>
    <w:rsid w:val="00A47392"/>
    <w:rsid w:val="00A4770E"/>
    <w:rsid w:val="00A51E64"/>
    <w:rsid w:val="00A5448F"/>
    <w:rsid w:val="00A54F38"/>
    <w:rsid w:val="00A63CAE"/>
    <w:rsid w:val="00A64D14"/>
    <w:rsid w:val="00A66799"/>
    <w:rsid w:val="00A707EC"/>
    <w:rsid w:val="00A7263B"/>
    <w:rsid w:val="00A72D7A"/>
    <w:rsid w:val="00A73009"/>
    <w:rsid w:val="00A7702F"/>
    <w:rsid w:val="00A85876"/>
    <w:rsid w:val="00A86A32"/>
    <w:rsid w:val="00A86FF9"/>
    <w:rsid w:val="00A90872"/>
    <w:rsid w:val="00A96A0D"/>
    <w:rsid w:val="00A96F9C"/>
    <w:rsid w:val="00AA3BB4"/>
    <w:rsid w:val="00AA4E8A"/>
    <w:rsid w:val="00AA57B4"/>
    <w:rsid w:val="00AB2128"/>
    <w:rsid w:val="00AB555E"/>
    <w:rsid w:val="00AB5AEA"/>
    <w:rsid w:val="00AB6320"/>
    <w:rsid w:val="00AC2B6C"/>
    <w:rsid w:val="00AC5F18"/>
    <w:rsid w:val="00AC6185"/>
    <w:rsid w:val="00AC7276"/>
    <w:rsid w:val="00AD2E32"/>
    <w:rsid w:val="00AE03D8"/>
    <w:rsid w:val="00AE113E"/>
    <w:rsid w:val="00AE4C7E"/>
    <w:rsid w:val="00AE51FA"/>
    <w:rsid w:val="00AE543F"/>
    <w:rsid w:val="00AE6136"/>
    <w:rsid w:val="00AF3171"/>
    <w:rsid w:val="00AF74C3"/>
    <w:rsid w:val="00B00457"/>
    <w:rsid w:val="00B008E5"/>
    <w:rsid w:val="00B07828"/>
    <w:rsid w:val="00B11A50"/>
    <w:rsid w:val="00B16063"/>
    <w:rsid w:val="00B20883"/>
    <w:rsid w:val="00B21621"/>
    <w:rsid w:val="00B23700"/>
    <w:rsid w:val="00B26DA4"/>
    <w:rsid w:val="00B3179A"/>
    <w:rsid w:val="00B412A2"/>
    <w:rsid w:val="00B5181E"/>
    <w:rsid w:val="00B535B1"/>
    <w:rsid w:val="00B56632"/>
    <w:rsid w:val="00B61211"/>
    <w:rsid w:val="00B61511"/>
    <w:rsid w:val="00B62206"/>
    <w:rsid w:val="00B67358"/>
    <w:rsid w:val="00B705BA"/>
    <w:rsid w:val="00B70C8F"/>
    <w:rsid w:val="00B70CF8"/>
    <w:rsid w:val="00B7344B"/>
    <w:rsid w:val="00B7536F"/>
    <w:rsid w:val="00B77AEE"/>
    <w:rsid w:val="00B861B6"/>
    <w:rsid w:val="00B870EA"/>
    <w:rsid w:val="00B90F50"/>
    <w:rsid w:val="00B90F95"/>
    <w:rsid w:val="00B93FA6"/>
    <w:rsid w:val="00B9536B"/>
    <w:rsid w:val="00BA1885"/>
    <w:rsid w:val="00BA18D4"/>
    <w:rsid w:val="00BA72FC"/>
    <w:rsid w:val="00BB0308"/>
    <w:rsid w:val="00BB6E0C"/>
    <w:rsid w:val="00BB7057"/>
    <w:rsid w:val="00BB729F"/>
    <w:rsid w:val="00BC41CB"/>
    <w:rsid w:val="00BC5A8C"/>
    <w:rsid w:val="00BC690A"/>
    <w:rsid w:val="00BC769E"/>
    <w:rsid w:val="00BC7A1F"/>
    <w:rsid w:val="00BC7EB5"/>
    <w:rsid w:val="00BD1670"/>
    <w:rsid w:val="00BD1B41"/>
    <w:rsid w:val="00BD2801"/>
    <w:rsid w:val="00BD40B2"/>
    <w:rsid w:val="00BD4DAA"/>
    <w:rsid w:val="00BD5C8E"/>
    <w:rsid w:val="00BD765D"/>
    <w:rsid w:val="00BE0CC6"/>
    <w:rsid w:val="00BE11FF"/>
    <w:rsid w:val="00BE446A"/>
    <w:rsid w:val="00BF00F7"/>
    <w:rsid w:val="00BF0240"/>
    <w:rsid w:val="00BF14DB"/>
    <w:rsid w:val="00BF1F94"/>
    <w:rsid w:val="00BF4369"/>
    <w:rsid w:val="00BF50AA"/>
    <w:rsid w:val="00BF5E06"/>
    <w:rsid w:val="00BF6744"/>
    <w:rsid w:val="00C011C5"/>
    <w:rsid w:val="00C012DA"/>
    <w:rsid w:val="00C0214A"/>
    <w:rsid w:val="00C030ED"/>
    <w:rsid w:val="00C0433D"/>
    <w:rsid w:val="00C1151A"/>
    <w:rsid w:val="00C11683"/>
    <w:rsid w:val="00C1285B"/>
    <w:rsid w:val="00C240DC"/>
    <w:rsid w:val="00C264EB"/>
    <w:rsid w:val="00C26623"/>
    <w:rsid w:val="00C314EA"/>
    <w:rsid w:val="00C31E87"/>
    <w:rsid w:val="00C33828"/>
    <w:rsid w:val="00C338C8"/>
    <w:rsid w:val="00C34219"/>
    <w:rsid w:val="00C36121"/>
    <w:rsid w:val="00C37808"/>
    <w:rsid w:val="00C43D48"/>
    <w:rsid w:val="00C456BD"/>
    <w:rsid w:val="00C45C16"/>
    <w:rsid w:val="00C46BBB"/>
    <w:rsid w:val="00C50325"/>
    <w:rsid w:val="00C51AF0"/>
    <w:rsid w:val="00C530BD"/>
    <w:rsid w:val="00C53A90"/>
    <w:rsid w:val="00C60723"/>
    <w:rsid w:val="00C61C6C"/>
    <w:rsid w:val="00C64DA8"/>
    <w:rsid w:val="00C64FC9"/>
    <w:rsid w:val="00C6797C"/>
    <w:rsid w:val="00C72B0A"/>
    <w:rsid w:val="00C73888"/>
    <w:rsid w:val="00C745CA"/>
    <w:rsid w:val="00C77954"/>
    <w:rsid w:val="00C82983"/>
    <w:rsid w:val="00C83279"/>
    <w:rsid w:val="00C832FF"/>
    <w:rsid w:val="00C84FF3"/>
    <w:rsid w:val="00C87137"/>
    <w:rsid w:val="00C91852"/>
    <w:rsid w:val="00C91CA1"/>
    <w:rsid w:val="00C94C7B"/>
    <w:rsid w:val="00C970BA"/>
    <w:rsid w:val="00CA2D3D"/>
    <w:rsid w:val="00CA30D2"/>
    <w:rsid w:val="00CA49B1"/>
    <w:rsid w:val="00CA7CBE"/>
    <w:rsid w:val="00CB000E"/>
    <w:rsid w:val="00CB301E"/>
    <w:rsid w:val="00CB5C81"/>
    <w:rsid w:val="00CC5D65"/>
    <w:rsid w:val="00CD4822"/>
    <w:rsid w:val="00CD5528"/>
    <w:rsid w:val="00CE1FBD"/>
    <w:rsid w:val="00CE4C32"/>
    <w:rsid w:val="00CE6103"/>
    <w:rsid w:val="00CE6B38"/>
    <w:rsid w:val="00CF0E51"/>
    <w:rsid w:val="00CF2834"/>
    <w:rsid w:val="00CF4097"/>
    <w:rsid w:val="00CF45C7"/>
    <w:rsid w:val="00CF4B49"/>
    <w:rsid w:val="00CF7F05"/>
    <w:rsid w:val="00D029A7"/>
    <w:rsid w:val="00D053A5"/>
    <w:rsid w:val="00D05E8B"/>
    <w:rsid w:val="00D14659"/>
    <w:rsid w:val="00D20E96"/>
    <w:rsid w:val="00D21586"/>
    <w:rsid w:val="00D23CB7"/>
    <w:rsid w:val="00D24127"/>
    <w:rsid w:val="00D24589"/>
    <w:rsid w:val="00D3036C"/>
    <w:rsid w:val="00D315CD"/>
    <w:rsid w:val="00D31602"/>
    <w:rsid w:val="00D33E06"/>
    <w:rsid w:val="00D350A9"/>
    <w:rsid w:val="00D4231E"/>
    <w:rsid w:val="00D42EA7"/>
    <w:rsid w:val="00D44744"/>
    <w:rsid w:val="00D53FFE"/>
    <w:rsid w:val="00D61B82"/>
    <w:rsid w:val="00D663D4"/>
    <w:rsid w:val="00D66569"/>
    <w:rsid w:val="00D66AD1"/>
    <w:rsid w:val="00D73807"/>
    <w:rsid w:val="00D814D0"/>
    <w:rsid w:val="00D84CB3"/>
    <w:rsid w:val="00D86186"/>
    <w:rsid w:val="00D91682"/>
    <w:rsid w:val="00D939A2"/>
    <w:rsid w:val="00DA79AD"/>
    <w:rsid w:val="00DA7EC7"/>
    <w:rsid w:val="00DB02E4"/>
    <w:rsid w:val="00DB3FBD"/>
    <w:rsid w:val="00DB539D"/>
    <w:rsid w:val="00DB710B"/>
    <w:rsid w:val="00DC0147"/>
    <w:rsid w:val="00DC01BB"/>
    <w:rsid w:val="00DC21A3"/>
    <w:rsid w:val="00DC4129"/>
    <w:rsid w:val="00DC61D9"/>
    <w:rsid w:val="00DE0048"/>
    <w:rsid w:val="00DE100D"/>
    <w:rsid w:val="00DE3B2D"/>
    <w:rsid w:val="00DE6C2A"/>
    <w:rsid w:val="00DE7B05"/>
    <w:rsid w:val="00E01F39"/>
    <w:rsid w:val="00E02680"/>
    <w:rsid w:val="00E0497D"/>
    <w:rsid w:val="00E115C6"/>
    <w:rsid w:val="00E12BF2"/>
    <w:rsid w:val="00E15707"/>
    <w:rsid w:val="00E16293"/>
    <w:rsid w:val="00E20FC8"/>
    <w:rsid w:val="00E225B0"/>
    <w:rsid w:val="00E246C9"/>
    <w:rsid w:val="00E2549F"/>
    <w:rsid w:val="00E312A3"/>
    <w:rsid w:val="00E35F81"/>
    <w:rsid w:val="00E37CEC"/>
    <w:rsid w:val="00E423EE"/>
    <w:rsid w:val="00E45886"/>
    <w:rsid w:val="00E47E75"/>
    <w:rsid w:val="00E52188"/>
    <w:rsid w:val="00E5574C"/>
    <w:rsid w:val="00E653CD"/>
    <w:rsid w:val="00E65B76"/>
    <w:rsid w:val="00E672D8"/>
    <w:rsid w:val="00E73124"/>
    <w:rsid w:val="00E7761A"/>
    <w:rsid w:val="00E805DA"/>
    <w:rsid w:val="00E80F34"/>
    <w:rsid w:val="00E84C40"/>
    <w:rsid w:val="00E871CD"/>
    <w:rsid w:val="00E9597C"/>
    <w:rsid w:val="00E967E2"/>
    <w:rsid w:val="00E96CDD"/>
    <w:rsid w:val="00E9769B"/>
    <w:rsid w:val="00E97C84"/>
    <w:rsid w:val="00EA015A"/>
    <w:rsid w:val="00EA126F"/>
    <w:rsid w:val="00EB2218"/>
    <w:rsid w:val="00EB241E"/>
    <w:rsid w:val="00EB3674"/>
    <w:rsid w:val="00EB36B8"/>
    <w:rsid w:val="00EB6371"/>
    <w:rsid w:val="00EB6782"/>
    <w:rsid w:val="00EB7152"/>
    <w:rsid w:val="00EC075D"/>
    <w:rsid w:val="00EC1B76"/>
    <w:rsid w:val="00EC544D"/>
    <w:rsid w:val="00EC735C"/>
    <w:rsid w:val="00ED378F"/>
    <w:rsid w:val="00ED3FF5"/>
    <w:rsid w:val="00ED7772"/>
    <w:rsid w:val="00EE1BEA"/>
    <w:rsid w:val="00EE6B00"/>
    <w:rsid w:val="00EF1AB2"/>
    <w:rsid w:val="00EF5BDA"/>
    <w:rsid w:val="00EF6F8C"/>
    <w:rsid w:val="00EF73A2"/>
    <w:rsid w:val="00F02C8F"/>
    <w:rsid w:val="00F02D39"/>
    <w:rsid w:val="00F0505E"/>
    <w:rsid w:val="00F13A8F"/>
    <w:rsid w:val="00F159BA"/>
    <w:rsid w:val="00F16011"/>
    <w:rsid w:val="00F17120"/>
    <w:rsid w:val="00F17266"/>
    <w:rsid w:val="00F20378"/>
    <w:rsid w:val="00F21891"/>
    <w:rsid w:val="00F25226"/>
    <w:rsid w:val="00F258FE"/>
    <w:rsid w:val="00F25905"/>
    <w:rsid w:val="00F25B8A"/>
    <w:rsid w:val="00F2617A"/>
    <w:rsid w:val="00F26616"/>
    <w:rsid w:val="00F272E0"/>
    <w:rsid w:val="00F30679"/>
    <w:rsid w:val="00F36FF6"/>
    <w:rsid w:val="00F40A32"/>
    <w:rsid w:val="00F41FE2"/>
    <w:rsid w:val="00F4443A"/>
    <w:rsid w:val="00F447DB"/>
    <w:rsid w:val="00F44836"/>
    <w:rsid w:val="00F44FB5"/>
    <w:rsid w:val="00F50017"/>
    <w:rsid w:val="00F508F2"/>
    <w:rsid w:val="00F50F4C"/>
    <w:rsid w:val="00F522CA"/>
    <w:rsid w:val="00F55244"/>
    <w:rsid w:val="00F55C45"/>
    <w:rsid w:val="00F569F6"/>
    <w:rsid w:val="00F6297B"/>
    <w:rsid w:val="00F656B9"/>
    <w:rsid w:val="00F65849"/>
    <w:rsid w:val="00F65F62"/>
    <w:rsid w:val="00F8153B"/>
    <w:rsid w:val="00F86E73"/>
    <w:rsid w:val="00F92193"/>
    <w:rsid w:val="00F95886"/>
    <w:rsid w:val="00FA68BA"/>
    <w:rsid w:val="00FB005A"/>
    <w:rsid w:val="00FB1FBF"/>
    <w:rsid w:val="00FB51E2"/>
    <w:rsid w:val="00FB6DA3"/>
    <w:rsid w:val="00FC3E8C"/>
    <w:rsid w:val="00FC686A"/>
    <w:rsid w:val="00FD2957"/>
    <w:rsid w:val="00FD48C9"/>
    <w:rsid w:val="00FD62A3"/>
    <w:rsid w:val="00FD62D8"/>
    <w:rsid w:val="00FE33EC"/>
    <w:rsid w:val="00FE4826"/>
    <w:rsid w:val="00FE4C87"/>
    <w:rsid w:val="00FE50AE"/>
    <w:rsid w:val="00FE5301"/>
    <w:rsid w:val="00FE7ABB"/>
    <w:rsid w:val="00FF7D26"/>
    <w:rsid w:val="00FF7E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A05EDA"/>
  <w15:docId w15:val="{9D278873-7330-4354-BF71-9C98E292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18"/>
    <w:pPr>
      <w:spacing w:before="120" w:after="120"/>
      <w:ind w:firstLine="720"/>
      <w:jc w:val="both"/>
    </w:pPr>
    <w:rPr>
      <w:sz w:val="28"/>
    </w:rPr>
  </w:style>
  <w:style w:type="paragraph" w:styleId="Heading1">
    <w:name w:val="heading 1"/>
    <w:basedOn w:val="Normal"/>
    <w:next w:val="Normal"/>
    <w:link w:val="Heading1Char"/>
    <w:uiPriority w:val="9"/>
    <w:qFormat/>
    <w:rsid w:val="00043218"/>
    <w:pPr>
      <w:keepNext/>
      <w:keepLines/>
      <w:numPr>
        <w:numId w:val="1"/>
      </w:numPr>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nhideWhenUsed/>
    <w:qFormat/>
    <w:rsid w:val="00043218"/>
    <w:pPr>
      <w:keepNext/>
      <w:numPr>
        <w:numId w:val="2"/>
      </w:numPr>
      <w:spacing w:before="240" w:after="60"/>
      <w:jc w:val="center"/>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8F61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218"/>
    <w:rPr>
      <w:rFonts w:eastAsiaTheme="majorEastAsia" w:cstheme="majorBidi"/>
      <w:b/>
      <w:sz w:val="32"/>
      <w:szCs w:val="32"/>
    </w:rPr>
  </w:style>
  <w:style w:type="character" w:customStyle="1" w:styleId="Heading2Char">
    <w:name w:val="Heading 2 Char"/>
    <w:basedOn w:val="DefaultParagraphFont"/>
    <w:link w:val="Heading2"/>
    <w:rsid w:val="00043218"/>
    <w:rPr>
      <w:rFonts w:eastAsia="Times New Roman" w:cs="Times New Roman"/>
      <w:b/>
      <w:bCs/>
      <w:iCs/>
      <w:sz w:val="28"/>
      <w:szCs w:val="28"/>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Akapit z listą BS"/>
    <w:basedOn w:val="Normal"/>
    <w:link w:val="ListParagraphChar"/>
    <w:uiPriority w:val="34"/>
    <w:qFormat/>
    <w:rsid w:val="00043218"/>
    <w:pPr>
      <w:ind w:left="720"/>
      <w:contextualSpacing/>
    </w:pPr>
  </w:style>
  <w:style w:type="paragraph" w:styleId="BalloonText">
    <w:name w:val="Balloon Text"/>
    <w:basedOn w:val="Normal"/>
    <w:link w:val="BalloonTextChar"/>
    <w:uiPriority w:val="99"/>
    <w:semiHidden/>
    <w:unhideWhenUsed/>
    <w:rsid w:val="00043218"/>
    <w:rPr>
      <w:rFonts w:ascii="Tahoma" w:hAnsi="Tahoma" w:cs="Tahoma"/>
      <w:sz w:val="16"/>
      <w:szCs w:val="16"/>
    </w:rPr>
  </w:style>
  <w:style w:type="character" w:customStyle="1" w:styleId="BalloonTextChar">
    <w:name w:val="Balloon Text Char"/>
    <w:basedOn w:val="DefaultParagraphFont"/>
    <w:link w:val="BalloonText"/>
    <w:uiPriority w:val="99"/>
    <w:semiHidden/>
    <w:rsid w:val="00043218"/>
    <w:rPr>
      <w:rFonts w:ascii="Tahoma" w:hAnsi="Tahoma" w:cs="Tahoma"/>
      <w:sz w:val="16"/>
      <w:szCs w:val="16"/>
    </w:rPr>
  </w:style>
  <w:style w:type="paragraph" w:styleId="BodyTextIndent">
    <w:name w:val="Body Text Indent"/>
    <w:basedOn w:val="Normal"/>
    <w:link w:val="BodyTextIndentChar"/>
    <w:rsid w:val="00043218"/>
    <w:pPr>
      <w:ind w:left="283"/>
    </w:pPr>
    <w:rPr>
      <w:rFonts w:eastAsia="Times New Roman" w:cs="Times New Roman"/>
      <w:sz w:val="24"/>
      <w:szCs w:val="24"/>
      <w:lang w:eastAsia="lv-LV"/>
    </w:rPr>
  </w:style>
  <w:style w:type="character" w:customStyle="1" w:styleId="BodyTextIndentChar">
    <w:name w:val="Body Text Indent Char"/>
    <w:basedOn w:val="DefaultParagraphFont"/>
    <w:link w:val="BodyTextIndent"/>
    <w:rsid w:val="00043218"/>
    <w:rPr>
      <w:rFonts w:eastAsia="Times New Roman" w:cs="Times New Roman"/>
      <w:szCs w:val="24"/>
      <w:lang w:eastAsia="lv-LV"/>
    </w:rPr>
  </w:style>
  <w:style w:type="character" w:customStyle="1" w:styleId="spelle">
    <w:name w:val="spelle"/>
    <w:basedOn w:val="DefaultParagraphFont"/>
    <w:rsid w:val="00043218"/>
  </w:style>
  <w:style w:type="paragraph" w:styleId="FootnoteText">
    <w:name w:val="footnote text"/>
    <w:aliases w:val="Footnote,Fußnote,Fußnote Char Char Char"/>
    <w:basedOn w:val="Normal"/>
    <w:link w:val="FootnoteTextChar"/>
    <w:uiPriority w:val="99"/>
    <w:unhideWhenUsed/>
    <w:rsid w:val="00043218"/>
    <w:rPr>
      <w:rFonts w:eastAsia="Times New Roman" w:cs="Times New Roman"/>
      <w:sz w:val="20"/>
      <w:szCs w:val="20"/>
    </w:rPr>
  </w:style>
  <w:style w:type="character" w:customStyle="1" w:styleId="FootnoteTextChar">
    <w:name w:val="Footnote Text Char"/>
    <w:aliases w:val="Footnote Char,Fußnote Char,Fußnote Char Char Char Char"/>
    <w:basedOn w:val="DefaultParagraphFont"/>
    <w:link w:val="FootnoteText"/>
    <w:uiPriority w:val="99"/>
    <w:rsid w:val="00043218"/>
    <w:rPr>
      <w:rFonts w:eastAsia="Times New Roman" w:cs="Times New Roman"/>
      <w:sz w:val="20"/>
      <w:szCs w:val="20"/>
    </w:rPr>
  </w:style>
  <w:style w:type="character" w:styleId="FootnoteReference">
    <w:name w:val="footnote reference"/>
    <w:aliases w:val="Footnote Reference Number"/>
    <w:basedOn w:val="DefaultParagraphFont"/>
    <w:uiPriority w:val="99"/>
    <w:unhideWhenUsed/>
    <w:rsid w:val="00043218"/>
    <w:rPr>
      <w:vertAlign w:val="superscript"/>
    </w:rPr>
  </w:style>
  <w:style w:type="paragraph" w:styleId="Header">
    <w:name w:val="header"/>
    <w:basedOn w:val="Normal"/>
    <w:link w:val="HeaderChar"/>
    <w:uiPriority w:val="99"/>
    <w:unhideWhenUsed/>
    <w:rsid w:val="00043218"/>
    <w:pPr>
      <w:tabs>
        <w:tab w:val="center" w:pos="4153"/>
        <w:tab w:val="right" w:pos="8306"/>
      </w:tabs>
    </w:pPr>
  </w:style>
  <w:style w:type="character" w:customStyle="1" w:styleId="HeaderChar">
    <w:name w:val="Header Char"/>
    <w:basedOn w:val="DefaultParagraphFont"/>
    <w:link w:val="Header"/>
    <w:uiPriority w:val="99"/>
    <w:rsid w:val="00043218"/>
    <w:rPr>
      <w:sz w:val="28"/>
    </w:rPr>
  </w:style>
  <w:style w:type="paragraph" w:styleId="Footer">
    <w:name w:val="footer"/>
    <w:basedOn w:val="Normal"/>
    <w:link w:val="FooterChar"/>
    <w:uiPriority w:val="99"/>
    <w:unhideWhenUsed/>
    <w:rsid w:val="00043218"/>
    <w:pPr>
      <w:tabs>
        <w:tab w:val="center" w:pos="4153"/>
        <w:tab w:val="right" w:pos="8306"/>
      </w:tabs>
    </w:pPr>
  </w:style>
  <w:style w:type="character" w:customStyle="1" w:styleId="FooterChar">
    <w:name w:val="Footer Char"/>
    <w:basedOn w:val="DefaultParagraphFont"/>
    <w:link w:val="Footer"/>
    <w:uiPriority w:val="99"/>
    <w:rsid w:val="00043218"/>
    <w:rPr>
      <w:sz w:val="28"/>
    </w:rPr>
  </w:style>
  <w:style w:type="paragraph" w:customStyle="1" w:styleId="H1">
    <w:name w:val="H1"/>
    <w:rsid w:val="00043218"/>
    <w:pPr>
      <w:spacing w:before="120" w:after="120"/>
      <w:ind w:left="284" w:firstLine="720"/>
      <w:jc w:val="center"/>
      <w:outlineLvl w:val="0"/>
    </w:pPr>
    <w:rPr>
      <w:rFonts w:eastAsia="Times New Roman" w:cs="Times New Roman"/>
      <w:b/>
      <w:sz w:val="44"/>
      <w:szCs w:val="20"/>
    </w:rPr>
  </w:style>
  <w:style w:type="paragraph" w:customStyle="1" w:styleId="H2">
    <w:name w:val="H2"/>
    <w:rsid w:val="00043218"/>
    <w:pPr>
      <w:spacing w:before="120" w:after="120"/>
      <w:ind w:left="284" w:firstLine="720"/>
      <w:jc w:val="center"/>
      <w:outlineLvl w:val="1"/>
    </w:pPr>
    <w:rPr>
      <w:rFonts w:eastAsia="Times New Roman" w:cs="Times New Roman"/>
      <w:b/>
      <w:sz w:val="36"/>
      <w:szCs w:val="20"/>
    </w:rPr>
  </w:style>
  <w:style w:type="table" w:styleId="TableGrid">
    <w:name w:val="Table Grid"/>
    <w:basedOn w:val="TableNormal"/>
    <w:uiPriority w:val="39"/>
    <w:rsid w:val="00043218"/>
    <w:pPr>
      <w:spacing w:before="120" w:after="120"/>
      <w:ind w:left="284" w:firstLine="720"/>
      <w:jc w:val="both"/>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3218"/>
    <w:rPr>
      <w:rFonts w:ascii="Garamond" w:hAnsi="Garamond"/>
      <w:noProof w:val="0"/>
      <w:color w:val="0000FF"/>
      <w:u w:val="single"/>
      <w:lang w:val="lv-LV"/>
    </w:rPr>
  </w:style>
  <w:style w:type="paragraph" w:customStyle="1" w:styleId="Default">
    <w:name w:val="Default"/>
    <w:rsid w:val="00043218"/>
    <w:pPr>
      <w:autoSpaceDE w:val="0"/>
      <w:autoSpaceDN w:val="0"/>
      <w:adjustRightInd w:val="0"/>
      <w:spacing w:before="120" w:after="120"/>
      <w:ind w:left="284" w:firstLine="720"/>
      <w:jc w:val="both"/>
    </w:pPr>
    <w:rPr>
      <w:rFonts w:eastAsia="Times New Roman" w:cs="Times New Roman"/>
      <w:color w:val="000000"/>
      <w:szCs w:val="24"/>
      <w:lang w:eastAsia="lv-LV"/>
    </w:rPr>
  </w:style>
  <w:style w:type="paragraph" w:customStyle="1" w:styleId="teksts">
    <w:name w:val="teksts"/>
    <w:rsid w:val="00043218"/>
    <w:pPr>
      <w:spacing w:before="120" w:after="120"/>
      <w:ind w:left="284" w:firstLine="720"/>
      <w:jc w:val="both"/>
    </w:pPr>
    <w:rPr>
      <w:rFonts w:ascii="Garamond" w:eastAsia="Times New Roman" w:hAnsi="Garamond" w:cs="Times New Roman"/>
      <w:szCs w:val="20"/>
    </w:rPr>
  </w:style>
  <w:style w:type="paragraph" w:customStyle="1" w:styleId="CM1">
    <w:name w:val="CM1"/>
    <w:basedOn w:val="Default"/>
    <w:next w:val="Default"/>
    <w:uiPriority w:val="99"/>
    <w:rsid w:val="00043218"/>
    <w:rPr>
      <w:rFonts w:ascii="EUAlbertina" w:eastAsia="Calibri" w:hAnsi="EUAlbertina"/>
      <w:color w:val="auto"/>
      <w:lang w:val="en-GB" w:eastAsia="en-GB"/>
    </w:rPr>
  </w:style>
  <w:style w:type="character" w:styleId="CommentReference">
    <w:name w:val="annotation reference"/>
    <w:basedOn w:val="DefaultParagraphFont"/>
    <w:uiPriority w:val="99"/>
    <w:semiHidden/>
    <w:unhideWhenUsed/>
    <w:rsid w:val="00043218"/>
    <w:rPr>
      <w:sz w:val="16"/>
      <w:szCs w:val="16"/>
    </w:rPr>
  </w:style>
  <w:style w:type="paragraph" w:styleId="CommentText">
    <w:name w:val="annotation text"/>
    <w:basedOn w:val="Normal"/>
    <w:link w:val="CommentTextChar"/>
    <w:uiPriority w:val="99"/>
    <w:unhideWhenUsed/>
    <w:rsid w:val="00043218"/>
    <w:rPr>
      <w:sz w:val="20"/>
      <w:szCs w:val="20"/>
    </w:rPr>
  </w:style>
  <w:style w:type="character" w:customStyle="1" w:styleId="CommentTextChar">
    <w:name w:val="Comment Text Char"/>
    <w:basedOn w:val="DefaultParagraphFont"/>
    <w:link w:val="CommentText"/>
    <w:uiPriority w:val="99"/>
    <w:rsid w:val="00043218"/>
    <w:rPr>
      <w:sz w:val="20"/>
      <w:szCs w:val="20"/>
    </w:rPr>
  </w:style>
  <w:style w:type="paragraph" w:styleId="CommentSubject">
    <w:name w:val="annotation subject"/>
    <w:basedOn w:val="CommentText"/>
    <w:next w:val="CommentText"/>
    <w:link w:val="CommentSubjectChar"/>
    <w:uiPriority w:val="99"/>
    <w:semiHidden/>
    <w:unhideWhenUsed/>
    <w:rsid w:val="00043218"/>
    <w:rPr>
      <w:b/>
      <w:bCs/>
    </w:rPr>
  </w:style>
  <w:style w:type="character" w:customStyle="1" w:styleId="CommentSubjectChar">
    <w:name w:val="Comment Subject Char"/>
    <w:basedOn w:val="CommentTextChar"/>
    <w:link w:val="CommentSubject"/>
    <w:uiPriority w:val="99"/>
    <w:semiHidden/>
    <w:rsid w:val="00043218"/>
    <w:rPr>
      <w:b/>
      <w:bCs/>
      <w:sz w:val="20"/>
      <w:szCs w:val="20"/>
    </w:rPr>
  </w:style>
  <w:style w:type="paragraph" w:styleId="NormalWeb">
    <w:name w:val="Normal (Web)"/>
    <w:basedOn w:val="Normal"/>
    <w:uiPriority w:val="99"/>
    <w:unhideWhenUsed/>
    <w:rsid w:val="00043218"/>
    <w:pPr>
      <w:spacing w:before="100" w:beforeAutospacing="1" w:after="100" w:afterAutospacing="1"/>
    </w:pPr>
    <w:rPr>
      <w:rFonts w:eastAsia="Times New Roman" w:cs="Times New Roman"/>
      <w:sz w:val="24"/>
      <w:szCs w:val="24"/>
      <w:lang w:eastAsia="lv-LV"/>
    </w:rPr>
  </w:style>
  <w:style w:type="paragraph" w:styleId="TOC2">
    <w:name w:val="toc 2"/>
    <w:basedOn w:val="Normal"/>
    <w:next w:val="Normal"/>
    <w:autoRedefine/>
    <w:uiPriority w:val="39"/>
    <w:unhideWhenUsed/>
    <w:rsid w:val="00043218"/>
    <w:pPr>
      <w:tabs>
        <w:tab w:val="right" w:pos="1701"/>
        <w:tab w:val="right" w:leader="dot" w:pos="9061"/>
      </w:tabs>
      <w:ind w:left="1134" w:firstLine="0"/>
    </w:pPr>
  </w:style>
  <w:style w:type="paragraph" w:styleId="TOC1">
    <w:name w:val="toc 1"/>
    <w:basedOn w:val="Normal"/>
    <w:next w:val="Normal"/>
    <w:autoRedefine/>
    <w:uiPriority w:val="39"/>
    <w:unhideWhenUsed/>
    <w:rsid w:val="00043218"/>
    <w:pPr>
      <w:tabs>
        <w:tab w:val="right" w:pos="1134"/>
        <w:tab w:val="right" w:leader="dot" w:pos="9061"/>
      </w:tabs>
      <w:spacing w:after="100"/>
      <w:ind w:firstLine="0"/>
    </w:pPr>
  </w:style>
  <w:style w:type="paragraph" w:styleId="NoSpacing">
    <w:name w:val="No Spacing"/>
    <w:link w:val="NoSpacingChar"/>
    <w:uiPriority w:val="1"/>
    <w:qFormat/>
    <w:rsid w:val="00043218"/>
    <w:pPr>
      <w:ind w:firstLine="567"/>
      <w:jc w:val="both"/>
    </w:pPr>
    <w:rPr>
      <w:rFonts w:eastAsia="Times New Roman" w:cs="Times New Roman"/>
      <w:szCs w:val="20"/>
    </w:rPr>
  </w:style>
  <w:style w:type="character" w:customStyle="1" w:styleId="NoSpacingChar">
    <w:name w:val="No Spacing Char"/>
    <w:basedOn w:val="DefaultParagraphFont"/>
    <w:link w:val="NoSpacing"/>
    <w:uiPriority w:val="1"/>
    <w:rsid w:val="00043218"/>
    <w:rPr>
      <w:rFonts w:eastAsia="Times New Roman" w:cs="Times New Roman"/>
      <w:szCs w:val="20"/>
    </w:rPr>
  </w:style>
  <w:style w:type="paragraph" w:styleId="BodyText2">
    <w:name w:val="Body Text 2"/>
    <w:basedOn w:val="Normal"/>
    <w:link w:val="BodyText2Char"/>
    <w:uiPriority w:val="99"/>
    <w:semiHidden/>
    <w:unhideWhenUsed/>
    <w:rsid w:val="00043218"/>
    <w:pPr>
      <w:spacing w:line="480" w:lineRule="auto"/>
    </w:pPr>
  </w:style>
  <w:style w:type="character" w:customStyle="1" w:styleId="BodyText2Char">
    <w:name w:val="Body Text 2 Char"/>
    <w:basedOn w:val="DefaultParagraphFont"/>
    <w:link w:val="BodyText2"/>
    <w:uiPriority w:val="99"/>
    <w:semiHidden/>
    <w:rsid w:val="00043218"/>
    <w:rPr>
      <w:sz w:val="28"/>
    </w:rPr>
  </w:style>
  <w:style w:type="character" w:styleId="Strong">
    <w:name w:val="Strong"/>
    <w:uiPriority w:val="22"/>
    <w:qFormat/>
    <w:rsid w:val="006C6B7C"/>
    <w:rPr>
      <w:b/>
      <w:bCs/>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A0ADE"/>
    <w:rPr>
      <w:sz w:val="28"/>
    </w:rPr>
  </w:style>
  <w:style w:type="character" w:customStyle="1" w:styleId="Heading3Char">
    <w:name w:val="Heading 3 Char"/>
    <w:basedOn w:val="DefaultParagraphFont"/>
    <w:link w:val="Heading3"/>
    <w:uiPriority w:val="9"/>
    <w:rsid w:val="008F6119"/>
    <w:rPr>
      <w:rFonts w:asciiTheme="majorHAnsi" w:eastAsiaTheme="majorEastAsia" w:hAnsiTheme="majorHAnsi" w:cstheme="majorBidi"/>
      <w:color w:val="1F4D78" w:themeColor="accent1" w:themeShade="7F"/>
      <w:szCs w:val="24"/>
    </w:rPr>
  </w:style>
  <w:style w:type="table" w:customStyle="1" w:styleId="GridTable6Colorful-Accent11">
    <w:name w:val="Grid Table 6 Colorful - Accent 11"/>
    <w:basedOn w:val="TableNormal"/>
    <w:uiPriority w:val="51"/>
    <w:rsid w:val="008F2113"/>
    <w:rPr>
      <w:rFonts w:asciiTheme="minorHAnsi" w:eastAsiaTheme="minorEastAsia" w:hAnsiTheme="minorHAnsi"/>
      <w:color w:val="2E74B5" w:themeColor="accent1" w:themeShade="BF"/>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9721">
      <w:bodyDiv w:val="1"/>
      <w:marLeft w:val="0"/>
      <w:marRight w:val="0"/>
      <w:marTop w:val="0"/>
      <w:marBottom w:val="0"/>
      <w:divBdr>
        <w:top w:val="none" w:sz="0" w:space="0" w:color="auto"/>
        <w:left w:val="none" w:sz="0" w:space="0" w:color="auto"/>
        <w:bottom w:val="none" w:sz="0" w:space="0" w:color="auto"/>
        <w:right w:val="none" w:sz="0" w:space="0" w:color="auto"/>
      </w:divBdr>
    </w:div>
    <w:div w:id="714161117">
      <w:bodyDiv w:val="1"/>
      <w:marLeft w:val="0"/>
      <w:marRight w:val="0"/>
      <w:marTop w:val="0"/>
      <w:marBottom w:val="0"/>
      <w:divBdr>
        <w:top w:val="none" w:sz="0" w:space="0" w:color="auto"/>
        <w:left w:val="none" w:sz="0" w:space="0" w:color="auto"/>
        <w:bottom w:val="none" w:sz="0" w:space="0" w:color="auto"/>
        <w:right w:val="none" w:sz="0" w:space="0" w:color="auto"/>
      </w:divBdr>
    </w:div>
    <w:div w:id="1120608448">
      <w:bodyDiv w:val="1"/>
      <w:marLeft w:val="0"/>
      <w:marRight w:val="0"/>
      <w:marTop w:val="0"/>
      <w:marBottom w:val="0"/>
      <w:divBdr>
        <w:top w:val="none" w:sz="0" w:space="0" w:color="auto"/>
        <w:left w:val="none" w:sz="0" w:space="0" w:color="auto"/>
        <w:bottom w:val="none" w:sz="0" w:space="0" w:color="auto"/>
        <w:right w:val="none" w:sz="0" w:space="0" w:color="auto"/>
      </w:divBdr>
    </w:div>
    <w:div w:id="1375305263">
      <w:bodyDiv w:val="1"/>
      <w:marLeft w:val="0"/>
      <w:marRight w:val="0"/>
      <w:marTop w:val="0"/>
      <w:marBottom w:val="0"/>
      <w:divBdr>
        <w:top w:val="none" w:sz="0" w:space="0" w:color="auto"/>
        <w:left w:val="none" w:sz="0" w:space="0" w:color="auto"/>
        <w:bottom w:val="none" w:sz="0" w:space="0" w:color="auto"/>
        <w:right w:val="none" w:sz="0" w:space="0" w:color="auto"/>
      </w:divBdr>
    </w:div>
    <w:div w:id="1553039012">
      <w:bodyDiv w:val="1"/>
      <w:marLeft w:val="0"/>
      <w:marRight w:val="0"/>
      <w:marTop w:val="0"/>
      <w:marBottom w:val="0"/>
      <w:divBdr>
        <w:top w:val="none" w:sz="0" w:space="0" w:color="auto"/>
        <w:left w:val="none" w:sz="0" w:space="0" w:color="auto"/>
        <w:bottom w:val="none" w:sz="0" w:space="0" w:color="auto"/>
        <w:right w:val="none" w:sz="0" w:space="0" w:color="auto"/>
      </w:divBdr>
    </w:div>
    <w:div w:id="1608191670">
      <w:bodyDiv w:val="1"/>
      <w:marLeft w:val="0"/>
      <w:marRight w:val="0"/>
      <w:marTop w:val="0"/>
      <w:marBottom w:val="0"/>
      <w:divBdr>
        <w:top w:val="none" w:sz="0" w:space="0" w:color="auto"/>
        <w:left w:val="none" w:sz="0" w:space="0" w:color="auto"/>
        <w:bottom w:val="none" w:sz="0" w:space="0" w:color="auto"/>
        <w:right w:val="none" w:sz="0" w:space="0" w:color="auto"/>
      </w:divBdr>
    </w:div>
    <w:div w:id="18731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1629-BFB4-4026-8972-CEBA35C6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3953</TotalTime>
  <Pages>39</Pages>
  <Words>62505</Words>
  <Characters>35628</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„Par makroekonomisko rādītāju, ieņēmumu un vispārējās valdības budžeta bilances prognozēm 2021.-2023.gadā”</vt:lpstr>
    </vt:vector>
  </TitlesOfParts>
  <Company>Finanšu ministrija</Company>
  <LinksUpToDate>false</LinksUpToDate>
  <CharactersWithSpaces>97938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makroekonomisko rādītāju, ieņēmumu un vispārējās valdības budžeta bilances prognozēm 2021.-2023.gadā”</dc:title>
  <dc:subject>Informatīvais ziņojums</dc:subject>
  <dc:creator>Kristīne Gvarovska</dc:creator>
  <cp:keywords/>
  <dc:description>Kristīne Gavrovska_x000d_
67095465, Kristīne.Gavrovska@fm.gov.lv</dc:description>
  <cp:lastModifiedBy>Arvis Mucenieks</cp:lastModifiedBy>
  <cp:revision>805</cp:revision>
  <cp:lastPrinted>2019-08-14T12:23:00Z</cp:lastPrinted>
  <dcterms:created xsi:type="dcterms:W3CDTF">2016-07-21T10:57:00Z</dcterms:created>
  <dcterms:modified xsi:type="dcterms:W3CDTF">2020-08-27T12:16:00Z</dcterms:modified>
</cp:coreProperties>
</file>