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D4FB" w14:textId="77777777" w:rsidR="006E664F" w:rsidRDefault="006E664F" w:rsidP="006E664F">
      <w:pPr>
        <w:spacing w:after="0" w:line="240" w:lineRule="auto"/>
        <w:jc w:val="right"/>
        <w:rPr>
          <w:rFonts w:ascii="Times New Roman" w:hAnsi="Times New Roman" w:cs="Times New Roman"/>
          <w:sz w:val="24"/>
          <w:szCs w:val="24"/>
        </w:rPr>
      </w:pPr>
      <w:bookmarkStart w:id="0" w:name="_Hlk114576540"/>
      <w:r w:rsidRPr="006E664F">
        <w:rPr>
          <w:rFonts w:ascii="Times New Roman" w:hAnsi="Times New Roman" w:cs="Times New Roman"/>
          <w:sz w:val="24"/>
          <w:szCs w:val="24"/>
        </w:rPr>
        <w:t xml:space="preserve">5. pielikums informatīvajam ziņojumam </w:t>
      </w:r>
    </w:p>
    <w:p w14:paraId="15C45BA9" w14:textId="77777777" w:rsidR="00DB538E" w:rsidRDefault="006E664F" w:rsidP="006E664F">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 xml:space="preserve">“Par ministriju un citu centrālo valsts iestāžu </w:t>
      </w:r>
    </w:p>
    <w:p w14:paraId="4B2DE115" w14:textId="24380FD6" w:rsidR="00606949" w:rsidRPr="006E664F" w:rsidRDefault="006E664F" w:rsidP="006E664F">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prioritārajiem pasākumiem 2023., 2024. un 2025. gadam”</w:t>
      </w:r>
    </w:p>
    <w:p w14:paraId="4453F319" w14:textId="77777777" w:rsidR="006E664F" w:rsidRPr="002040D0" w:rsidRDefault="006E664F" w:rsidP="006E664F">
      <w:pPr>
        <w:spacing w:after="0" w:line="240" w:lineRule="auto"/>
        <w:jc w:val="right"/>
        <w:rPr>
          <w:rFonts w:ascii="Times New Roman" w:hAnsi="Times New Roman" w:cs="Times New Roman"/>
          <w:b/>
          <w:bCs/>
          <w:sz w:val="24"/>
          <w:szCs w:val="24"/>
        </w:rPr>
      </w:pPr>
    </w:p>
    <w:p w14:paraId="20C845C3" w14:textId="2D26C448" w:rsidR="006E664F" w:rsidRPr="006E664F" w:rsidRDefault="006E664F" w:rsidP="006E664F">
      <w:pPr>
        <w:spacing w:after="120" w:line="276" w:lineRule="auto"/>
        <w:jc w:val="center"/>
        <w:rPr>
          <w:rFonts w:ascii="Times New Roman" w:hAnsi="Times New Roman" w:cs="Times New Roman"/>
          <w:b/>
          <w:bCs/>
          <w:sz w:val="24"/>
          <w:szCs w:val="24"/>
        </w:rPr>
      </w:pPr>
      <w:r w:rsidRPr="006E664F">
        <w:rPr>
          <w:rFonts w:ascii="Times New Roman" w:hAnsi="Times New Roman" w:cs="Times New Roman"/>
          <w:b/>
          <w:bCs/>
          <w:sz w:val="24"/>
          <w:szCs w:val="24"/>
        </w:rPr>
        <w:t>Novērtējums par 2021.</w:t>
      </w:r>
      <w:r w:rsidR="0059637E">
        <w:rPr>
          <w:rFonts w:ascii="Times New Roman" w:hAnsi="Times New Roman" w:cs="Times New Roman"/>
          <w:b/>
          <w:bCs/>
          <w:sz w:val="24"/>
          <w:szCs w:val="24"/>
        </w:rPr>
        <w:t xml:space="preserve"> </w:t>
      </w:r>
      <w:r w:rsidRPr="006E664F">
        <w:rPr>
          <w:rFonts w:ascii="Times New Roman" w:hAnsi="Times New Roman" w:cs="Times New Roman"/>
          <w:b/>
          <w:bCs/>
          <w:sz w:val="24"/>
          <w:szCs w:val="24"/>
        </w:rPr>
        <w:t>gada investīciju pasākumu atbilstību Latvijas Nacionālajam attīstības plānam 2021.-2027. gadam (NAP2027)</w:t>
      </w:r>
    </w:p>
    <w:p w14:paraId="543D0B9D" w14:textId="77777777" w:rsidR="006E664F" w:rsidRDefault="006E664F" w:rsidP="00606949">
      <w:pPr>
        <w:spacing w:after="0" w:line="240" w:lineRule="auto"/>
        <w:jc w:val="center"/>
        <w:rPr>
          <w:rFonts w:ascii="Times New Roman" w:hAnsi="Times New Roman" w:cs="Times New Roman"/>
          <w:b/>
          <w:bCs/>
          <w:sz w:val="24"/>
          <w:szCs w:val="24"/>
        </w:rPr>
      </w:pPr>
    </w:p>
    <w:p w14:paraId="117C6901" w14:textId="7DCCADE9" w:rsidR="006E664F" w:rsidRPr="006E664F" w:rsidRDefault="006E664F" w:rsidP="006E664F">
      <w:pPr>
        <w:spacing w:line="276" w:lineRule="auto"/>
        <w:ind w:firstLine="648"/>
        <w:jc w:val="both"/>
        <w:rPr>
          <w:rFonts w:ascii="Times New Roman" w:hAnsi="Times New Roman" w:cs="Times New Roman"/>
          <w:sz w:val="24"/>
          <w:szCs w:val="24"/>
        </w:rPr>
      </w:pPr>
      <w:r w:rsidRPr="006E664F">
        <w:rPr>
          <w:rFonts w:ascii="Times New Roman" w:hAnsi="Times New Roman" w:cs="Times New Roman"/>
          <w:sz w:val="24"/>
          <w:szCs w:val="24"/>
        </w:rPr>
        <w:t>2021. gadā tika konstatēta atbilstība NAP2027 kopumā 504 pasākumiem ar kopējo finansējumu 2,86 mljrd. </w:t>
      </w:r>
      <w:proofErr w:type="spellStart"/>
      <w:r w:rsidRPr="006E664F">
        <w:rPr>
          <w:rFonts w:ascii="Times New Roman" w:hAnsi="Times New Roman" w:cs="Times New Roman"/>
          <w:i/>
          <w:iCs/>
          <w:sz w:val="24"/>
          <w:szCs w:val="24"/>
        </w:rPr>
        <w:t>euro</w:t>
      </w:r>
      <w:proofErr w:type="spellEnd"/>
      <w:r w:rsidRPr="006E664F">
        <w:rPr>
          <w:rFonts w:ascii="Times New Roman" w:hAnsi="Times New Roman" w:cs="Times New Roman"/>
          <w:sz w:val="24"/>
          <w:szCs w:val="24"/>
        </w:rPr>
        <w:t xml:space="preserve"> (Attēls Nr. </w:t>
      </w:r>
      <w:r>
        <w:rPr>
          <w:rFonts w:ascii="Times New Roman" w:hAnsi="Times New Roman" w:cs="Times New Roman"/>
          <w:sz w:val="24"/>
          <w:szCs w:val="24"/>
        </w:rPr>
        <w:t>1</w:t>
      </w:r>
      <w:r w:rsidRPr="006E664F">
        <w:rPr>
          <w:rFonts w:ascii="Times New Roman" w:hAnsi="Times New Roman" w:cs="Times New Roman"/>
          <w:sz w:val="24"/>
          <w:szCs w:val="24"/>
        </w:rPr>
        <w:t xml:space="preserve">). </w:t>
      </w:r>
    </w:p>
    <w:p w14:paraId="6CD50CB3" w14:textId="0B53FDE1" w:rsidR="006E664F" w:rsidRDefault="006E664F" w:rsidP="006E664F">
      <w:pPr>
        <w:pStyle w:val="Caption"/>
        <w:ind w:left="74" w:right="74"/>
      </w:pPr>
      <w:r w:rsidRPr="002D79E6">
        <w:t>Attēls Nr.</w:t>
      </w:r>
      <w:r>
        <w:t> 1</w:t>
      </w:r>
    </w:p>
    <w:p w14:paraId="445517DA" w14:textId="77777777" w:rsidR="006E664F" w:rsidRPr="004C21BA" w:rsidRDefault="006E664F" w:rsidP="006E664F">
      <w:pPr>
        <w:pStyle w:val="Caption"/>
        <w:ind w:left="0" w:right="74"/>
      </w:pPr>
      <w:r>
        <w:rPr>
          <w:noProof/>
        </w:rPr>
        <w:drawing>
          <wp:anchor distT="0" distB="0" distL="114300" distR="114300" simplePos="0" relativeHeight="251659264" behindDoc="0" locked="0" layoutInCell="1" allowOverlap="1" wp14:anchorId="11643D28" wp14:editId="7DA227B2">
            <wp:simplePos x="0" y="0"/>
            <wp:positionH relativeFrom="column">
              <wp:posOffset>75565</wp:posOffset>
            </wp:positionH>
            <wp:positionV relativeFrom="paragraph">
              <wp:posOffset>264795</wp:posOffset>
            </wp:positionV>
            <wp:extent cx="5664200" cy="3632200"/>
            <wp:effectExtent l="0" t="0" r="12700" b="6350"/>
            <wp:wrapThrough wrapText="bothSides">
              <wp:wrapPolygon edited="0">
                <wp:start x="0" y="0"/>
                <wp:lineTo x="0" y="21524"/>
                <wp:lineTo x="21576" y="21524"/>
                <wp:lineTo x="21576" y="0"/>
                <wp:lineTo x="0" y="0"/>
              </wp:wrapPolygon>
            </wp:wrapThrough>
            <wp:docPr id="14" name="Chart 14">
              <a:extLst xmlns:a="http://schemas.openxmlformats.org/drawingml/2006/main">
                <a:ext uri="{FF2B5EF4-FFF2-40B4-BE49-F238E27FC236}">
                  <a16:creationId xmlns:a16="http://schemas.microsoft.com/office/drawing/2014/main" id="{AE8E77BF-A42E-8C3D-7B3C-92E39E61F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5C40E3">
        <w:rPr>
          <w:b/>
        </w:rPr>
        <w:t>2021. gada NAP2027 finansējums sadalījumā pa rīcības virzieniem,</w:t>
      </w:r>
      <w:r>
        <w:rPr>
          <w:b/>
        </w:rPr>
        <w:t> </w:t>
      </w:r>
      <w:r w:rsidRPr="005C40E3">
        <w:t>milj. </w:t>
      </w:r>
      <w:proofErr w:type="spellStart"/>
      <w:r w:rsidRPr="005C40E3">
        <w:rPr>
          <w:i/>
          <w:iCs/>
        </w:rPr>
        <w:t>euro</w:t>
      </w:r>
      <w:proofErr w:type="spellEnd"/>
    </w:p>
    <w:p w14:paraId="1C91FF93" w14:textId="0F456914" w:rsidR="006E664F" w:rsidRDefault="006E664F" w:rsidP="006E664F">
      <w:pPr>
        <w:ind w:left="74" w:right="74" w:firstLine="646"/>
        <w:jc w:val="both"/>
        <w:rPr>
          <w:rFonts w:ascii="Times New Roman" w:eastAsia="Times New Roman" w:hAnsi="Times New Roman" w:cs="Times New Roman"/>
          <w:sz w:val="24"/>
          <w:szCs w:val="28"/>
        </w:rPr>
      </w:pPr>
      <w:r w:rsidRPr="006E664F">
        <w:rPr>
          <w:rFonts w:ascii="Times New Roman" w:eastAsia="Times New Roman" w:hAnsi="Times New Roman" w:cs="Times New Roman"/>
          <w:sz w:val="24"/>
          <w:szCs w:val="28"/>
        </w:rPr>
        <w:t>Lielākais finansējuma apmērs ir attiecināms uz 8. rīcības virzienu “Darbs un ienākumi” – 884,6 milj. </w:t>
      </w:r>
      <w:proofErr w:type="spellStart"/>
      <w:r w:rsidRPr="006E664F">
        <w:rPr>
          <w:rFonts w:ascii="Times New Roman" w:eastAsia="Times New Roman" w:hAnsi="Times New Roman" w:cs="Times New Roman"/>
          <w:i/>
          <w:iCs/>
          <w:sz w:val="24"/>
          <w:szCs w:val="28"/>
        </w:rPr>
        <w:t>euro</w:t>
      </w:r>
      <w:proofErr w:type="spellEnd"/>
      <w:r w:rsidRPr="006E664F">
        <w:rPr>
          <w:rFonts w:ascii="Times New Roman" w:eastAsia="Times New Roman" w:hAnsi="Times New Roman" w:cs="Times New Roman"/>
          <w:sz w:val="24"/>
          <w:szCs w:val="28"/>
        </w:rPr>
        <w:t>, 1. rīcības virzienu “Uz cilvēku centrēta veselības aprūpe” – 683,4 milj. </w:t>
      </w:r>
      <w:proofErr w:type="spellStart"/>
      <w:r w:rsidRPr="006E664F">
        <w:rPr>
          <w:rFonts w:ascii="Times New Roman" w:eastAsia="Times New Roman" w:hAnsi="Times New Roman" w:cs="Times New Roman"/>
          <w:i/>
          <w:iCs/>
          <w:sz w:val="24"/>
          <w:szCs w:val="28"/>
        </w:rPr>
        <w:t>euro</w:t>
      </w:r>
      <w:proofErr w:type="spellEnd"/>
      <w:r w:rsidRPr="006E664F">
        <w:rPr>
          <w:rFonts w:ascii="Times New Roman" w:eastAsia="Times New Roman" w:hAnsi="Times New Roman" w:cs="Times New Roman"/>
          <w:sz w:val="24"/>
          <w:szCs w:val="28"/>
        </w:rPr>
        <w:t xml:space="preserve"> un 11. rīcības virzienu “</w:t>
      </w:r>
      <w:proofErr w:type="spellStart"/>
      <w:r w:rsidRPr="006E664F">
        <w:rPr>
          <w:rFonts w:ascii="Times New Roman" w:eastAsia="Times New Roman" w:hAnsi="Times New Roman" w:cs="Times New Roman"/>
          <w:sz w:val="24"/>
          <w:szCs w:val="28"/>
        </w:rPr>
        <w:t>Tehnoloģiska</w:t>
      </w:r>
      <w:proofErr w:type="spellEnd"/>
      <w:r w:rsidRPr="006E664F">
        <w:rPr>
          <w:rFonts w:ascii="Times New Roman" w:eastAsia="Times New Roman" w:hAnsi="Times New Roman" w:cs="Times New Roman"/>
          <w:sz w:val="24"/>
          <w:szCs w:val="28"/>
        </w:rPr>
        <w:t>̄ vide un pakalpojumi” – 298,2 milj. </w:t>
      </w:r>
      <w:proofErr w:type="spellStart"/>
      <w:r w:rsidRPr="006E664F">
        <w:rPr>
          <w:rFonts w:ascii="Times New Roman" w:eastAsia="Times New Roman" w:hAnsi="Times New Roman" w:cs="Times New Roman"/>
          <w:i/>
          <w:iCs/>
          <w:sz w:val="24"/>
          <w:szCs w:val="28"/>
        </w:rPr>
        <w:t>euro</w:t>
      </w:r>
      <w:proofErr w:type="spellEnd"/>
      <w:r w:rsidRPr="006E664F">
        <w:rPr>
          <w:rFonts w:ascii="Times New Roman" w:eastAsia="Times New Roman" w:hAnsi="Times New Roman" w:cs="Times New Roman"/>
          <w:sz w:val="24"/>
          <w:szCs w:val="28"/>
        </w:rPr>
        <w:t xml:space="preserve">. Vērtējot NAP2027 finansējumu rīcības virzienu griezumā ir secināms, ka būtisku lomu kopējā finansējumā veidoja līdzekļi, kas piešķirti Covid-19 pandēmijas izraisīto seku mazināšanai, t.sk. atbalsta sniegšanai nodokļu maksātājiem dīkstāvē esošu darbinieku, </w:t>
      </w:r>
      <w:proofErr w:type="spellStart"/>
      <w:r w:rsidRPr="006E664F">
        <w:rPr>
          <w:rFonts w:ascii="Times New Roman" w:eastAsia="Times New Roman" w:hAnsi="Times New Roman" w:cs="Times New Roman"/>
          <w:sz w:val="24"/>
          <w:szCs w:val="28"/>
        </w:rPr>
        <w:t>pašnodarbināto</w:t>
      </w:r>
      <w:proofErr w:type="spellEnd"/>
      <w:r w:rsidRPr="006E664F">
        <w:rPr>
          <w:rFonts w:ascii="Times New Roman" w:eastAsia="Times New Roman" w:hAnsi="Times New Roman" w:cs="Times New Roman"/>
          <w:sz w:val="24"/>
          <w:szCs w:val="28"/>
        </w:rPr>
        <w:t xml:space="preserve"> personu, individuālo komersantu un </w:t>
      </w:r>
      <w:proofErr w:type="spellStart"/>
      <w:r w:rsidRPr="006E664F">
        <w:rPr>
          <w:rFonts w:ascii="Times New Roman" w:eastAsia="Times New Roman" w:hAnsi="Times New Roman" w:cs="Times New Roman"/>
          <w:sz w:val="24"/>
          <w:szCs w:val="28"/>
        </w:rPr>
        <w:t>patentmaksātāju</w:t>
      </w:r>
      <w:proofErr w:type="spellEnd"/>
      <w:r w:rsidRPr="006E664F">
        <w:rPr>
          <w:rFonts w:ascii="Times New Roman" w:eastAsia="Times New Roman" w:hAnsi="Times New Roman" w:cs="Times New Roman"/>
          <w:sz w:val="24"/>
          <w:szCs w:val="28"/>
        </w:rPr>
        <w:t xml:space="preserve"> atlīdzības kompensēšanai, nepilnu darba laiku strādājošu darbinieku atlīdzības kompensēšanai, Covid-19 krīzes skarto uzņēmumu apgrozāmo līdzekļu plūsmas nodrošināšanai, personu testēšanas nodrošināšanai, vakcīnu iegādei, investīcijām slimnīcu iekārtās un infrastruktūrā, kā arī ārstniecības personu atlīdzībai.</w:t>
      </w:r>
    </w:p>
    <w:p w14:paraId="5ECC032E" w14:textId="19D80908" w:rsidR="006E664F" w:rsidRPr="006E664F" w:rsidRDefault="006E664F" w:rsidP="006E664F">
      <w:pPr>
        <w:ind w:left="74" w:right="74" w:firstLine="646"/>
        <w:jc w:val="both"/>
        <w:rPr>
          <w:rFonts w:ascii="Times New Roman" w:eastAsia="Times New Roman" w:hAnsi="Times New Roman" w:cs="Times New Roman"/>
          <w:sz w:val="24"/>
          <w:szCs w:val="28"/>
        </w:rPr>
      </w:pPr>
      <w:r w:rsidRPr="006E664F">
        <w:rPr>
          <w:rFonts w:ascii="Times New Roman" w:hAnsi="Times New Roman" w:cs="Times New Roman"/>
          <w:sz w:val="24"/>
          <w:szCs w:val="24"/>
        </w:rPr>
        <w:t>Vērtējot NAP2027 finansējumu sadalījumā pa avotiem, secināms, ka absolūti lielāko daļu veido valsts budžeta finansējums, kas 2021. gadā veidoja 2 170,7 milj. </w:t>
      </w:r>
      <w:proofErr w:type="spellStart"/>
      <w:r w:rsidRPr="006E664F">
        <w:rPr>
          <w:rFonts w:ascii="Times New Roman" w:hAnsi="Times New Roman" w:cs="Times New Roman"/>
          <w:i/>
          <w:iCs/>
          <w:sz w:val="24"/>
          <w:szCs w:val="24"/>
        </w:rPr>
        <w:t>euro</w:t>
      </w:r>
      <w:proofErr w:type="spellEnd"/>
      <w:r w:rsidRPr="006E664F">
        <w:rPr>
          <w:rFonts w:ascii="Times New Roman" w:hAnsi="Times New Roman" w:cs="Times New Roman"/>
          <w:sz w:val="24"/>
          <w:szCs w:val="24"/>
        </w:rPr>
        <w:t>, kā arī ES fondu finansējums, kas veidoja 662,1 milj. </w:t>
      </w:r>
      <w:proofErr w:type="spellStart"/>
      <w:r w:rsidRPr="006E664F">
        <w:rPr>
          <w:rFonts w:ascii="Times New Roman" w:hAnsi="Times New Roman" w:cs="Times New Roman"/>
          <w:i/>
          <w:iCs/>
          <w:sz w:val="24"/>
          <w:szCs w:val="24"/>
        </w:rPr>
        <w:t>euro</w:t>
      </w:r>
      <w:proofErr w:type="spellEnd"/>
      <w:r w:rsidRPr="006E664F">
        <w:rPr>
          <w:rFonts w:ascii="Times New Roman" w:hAnsi="Times New Roman" w:cs="Times New Roman"/>
          <w:i/>
          <w:iCs/>
          <w:sz w:val="24"/>
          <w:szCs w:val="24"/>
        </w:rPr>
        <w:t xml:space="preserve"> </w:t>
      </w:r>
      <w:r w:rsidRPr="006E664F">
        <w:rPr>
          <w:rFonts w:ascii="Times New Roman" w:hAnsi="Times New Roman" w:cs="Times New Roman"/>
          <w:sz w:val="24"/>
          <w:szCs w:val="24"/>
        </w:rPr>
        <w:t>(Attēls Nr. </w:t>
      </w:r>
      <w:r>
        <w:rPr>
          <w:rFonts w:ascii="Times New Roman" w:hAnsi="Times New Roman" w:cs="Times New Roman"/>
          <w:sz w:val="24"/>
          <w:szCs w:val="24"/>
        </w:rPr>
        <w:t>2</w:t>
      </w:r>
      <w:r w:rsidRPr="006E664F">
        <w:rPr>
          <w:rFonts w:ascii="Times New Roman" w:hAnsi="Times New Roman" w:cs="Times New Roman"/>
          <w:sz w:val="24"/>
          <w:szCs w:val="24"/>
        </w:rPr>
        <w:t>).</w:t>
      </w:r>
    </w:p>
    <w:p w14:paraId="71201F22" w14:textId="77777777" w:rsidR="006E6CB5" w:rsidRDefault="006E6CB5" w:rsidP="006E664F">
      <w:pPr>
        <w:pStyle w:val="Caption"/>
        <w:ind w:left="74" w:right="74"/>
      </w:pPr>
    </w:p>
    <w:p w14:paraId="53A2EA61" w14:textId="41AEFCAC" w:rsidR="006E664F" w:rsidRDefault="006E664F" w:rsidP="006E664F">
      <w:pPr>
        <w:pStyle w:val="Caption"/>
        <w:ind w:left="74" w:right="74"/>
      </w:pPr>
      <w:r w:rsidRPr="002D79E6">
        <w:lastRenderedPageBreak/>
        <w:t xml:space="preserve">Attēls Nr. </w:t>
      </w:r>
      <w:r>
        <w:t>2</w:t>
      </w:r>
    </w:p>
    <w:p w14:paraId="2C066FF2" w14:textId="77777777" w:rsidR="006E664F" w:rsidRPr="006E664F" w:rsidRDefault="006E664F" w:rsidP="006E6CB5">
      <w:pPr>
        <w:spacing w:after="0"/>
        <w:jc w:val="center"/>
        <w:rPr>
          <w:rFonts w:ascii="Times New Roman" w:hAnsi="Times New Roman" w:cs="Times New Roman"/>
          <w:sz w:val="24"/>
          <w:szCs w:val="24"/>
          <w:lang w:val="en-US"/>
        </w:rPr>
      </w:pPr>
      <w:r w:rsidRPr="006E664F">
        <w:rPr>
          <w:rFonts w:ascii="Times New Roman" w:hAnsi="Times New Roman" w:cs="Times New Roman"/>
          <w:noProof/>
          <w:sz w:val="24"/>
          <w:szCs w:val="24"/>
        </w:rPr>
        <w:drawing>
          <wp:anchor distT="0" distB="0" distL="114300" distR="114300" simplePos="0" relativeHeight="251660288" behindDoc="0" locked="0" layoutInCell="1" allowOverlap="1" wp14:anchorId="61FDF909" wp14:editId="6A7EE560">
            <wp:simplePos x="0" y="0"/>
            <wp:positionH relativeFrom="column">
              <wp:posOffset>-635</wp:posOffset>
            </wp:positionH>
            <wp:positionV relativeFrom="paragraph">
              <wp:posOffset>257810</wp:posOffset>
            </wp:positionV>
            <wp:extent cx="5702300" cy="2120900"/>
            <wp:effectExtent l="0" t="0" r="12700" b="12700"/>
            <wp:wrapThrough wrapText="bothSides">
              <wp:wrapPolygon edited="0">
                <wp:start x="0" y="0"/>
                <wp:lineTo x="0" y="21535"/>
                <wp:lineTo x="21576" y="21535"/>
                <wp:lineTo x="21576" y="0"/>
                <wp:lineTo x="0" y="0"/>
              </wp:wrapPolygon>
            </wp:wrapThrough>
            <wp:docPr id="25" name="Chart 25">
              <a:extLst xmlns:a="http://schemas.openxmlformats.org/drawingml/2006/main">
                <a:ext uri="{FF2B5EF4-FFF2-40B4-BE49-F238E27FC236}">
                  <a16:creationId xmlns:a16="http://schemas.microsoft.com/office/drawing/2014/main" id="{7DB5529E-8C42-DAAF-A8B4-C896E3967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6E664F">
        <w:rPr>
          <w:rFonts w:ascii="Times New Roman" w:hAnsi="Times New Roman" w:cs="Times New Roman"/>
          <w:b/>
          <w:bCs/>
          <w:sz w:val="24"/>
          <w:szCs w:val="24"/>
          <w:lang w:val="en-US"/>
        </w:rPr>
        <w:t>2021. </w:t>
      </w:r>
      <w:r w:rsidRPr="006E664F">
        <w:rPr>
          <w:rFonts w:ascii="Times New Roman" w:hAnsi="Times New Roman" w:cs="Times New Roman"/>
          <w:b/>
          <w:bCs/>
          <w:sz w:val="24"/>
          <w:szCs w:val="24"/>
        </w:rPr>
        <w:t>gada NAP2027 finansējums sadalījumā pa avotiem, </w:t>
      </w:r>
      <w:r w:rsidRPr="006E664F">
        <w:rPr>
          <w:rFonts w:ascii="Times New Roman" w:hAnsi="Times New Roman" w:cs="Times New Roman"/>
          <w:sz w:val="24"/>
          <w:szCs w:val="24"/>
        </w:rPr>
        <w:t>milj. </w:t>
      </w:r>
      <w:proofErr w:type="spellStart"/>
      <w:r w:rsidRPr="006E664F">
        <w:rPr>
          <w:rFonts w:ascii="Times New Roman" w:hAnsi="Times New Roman" w:cs="Times New Roman"/>
          <w:i/>
          <w:iCs/>
          <w:sz w:val="24"/>
          <w:szCs w:val="24"/>
        </w:rPr>
        <w:t>euro</w:t>
      </w:r>
      <w:proofErr w:type="spellEnd"/>
    </w:p>
    <w:p w14:paraId="0E014F30" w14:textId="77777777" w:rsidR="006E664F" w:rsidRPr="00F31953" w:rsidRDefault="006E664F" w:rsidP="006E664F">
      <w:pPr>
        <w:spacing w:after="0"/>
        <w:ind w:firstLine="648"/>
        <w:jc w:val="both"/>
        <w:rPr>
          <w:rFonts w:ascii="Times New Roman" w:hAnsi="Times New Roman" w:cs="Times New Roman"/>
          <w:sz w:val="12"/>
          <w:szCs w:val="12"/>
        </w:rPr>
      </w:pPr>
    </w:p>
    <w:p w14:paraId="6347A7B9" w14:textId="2242A65A" w:rsidR="006E664F" w:rsidRPr="006E664F" w:rsidRDefault="006E664F" w:rsidP="006E664F">
      <w:pPr>
        <w:ind w:firstLine="648"/>
        <w:jc w:val="both"/>
        <w:rPr>
          <w:rFonts w:ascii="Times New Roman" w:hAnsi="Times New Roman" w:cs="Times New Roman"/>
          <w:sz w:val="24"/>
          <w:szCs w:val="24"/>
        </w:rPr>
      </w:pPr>
      <w:r w:rsidRPr="006E664F">
        <w:rPr>
          <w:rFonts w:ascii="Times New Roman" w:hAnsi="Times New Roman" w:cs="Times New Roman"/>
          <w:sz w:val="24"/>
          <w:szCs w:val="24"/>
        </w:rPr>
        <w:t>Analizējot NAP2027 finansējumu griezumā pa tā avotiem un ministrijām, secināms, ka lielākais finansējuma apjoms ir attiecināms uz FM jomām, kur kā dominējošais avots bija valsts budžeta finansējums 770,4 milj. </w:t>
      </w:r>
      <w:proofErr w:type="spellStart"/>
      <w:r w:rsidRPr="006E664F">
        <w:rPr>
          <w:rFonts w:ascii="Times New Roman" w:hAnsi="Times New Roman" w:cs="Times New Roman"/>
          <w:i/>
          <w:iCs/>
          <w:sz w:val="24"/>
          <w:szCs w:val="24"/>
        </w:rPr>
        <w:t>euro</w:t>
      </w:r>
      <w:proofErr w:type="spellEnd"/>
      <w:r w:rsidRPr="006E664F">
        <w:rPr>
          <w:rFonts w:ascii="Times New Roman" w:hAnsi="Times New Roman" w:cs="Times New Roman"/>
          <w:sz w:val="24"/>
          <w:szCs w:val="24"/>
        </w:rPr>
        <w:t xml:space="preserve"> apmērā, bet būtiski ir atzīmēt, ka absolūtais vairums no minētajiem līdzekļiem ir attiecināms uz VID administrēto Covid-19 atbalstu un tiešā veidā nav nozares finansējums. Otrs lielākais finansējums ticis novirzīts VM nozarēm, kur arī dominējošais finansējums avots bija valsts budžeta finansējums, no kā būtiskāko daļu veidoja Covid-19 atbalsts, bet otra lielākā izdevumu pozīcija bija atlīdzības celšana medicīnas personām. Tāpat būtisks finansējuma apmērs ir ticis atvēlēts LM un SM jomām, kur lielāko daļu veidoja valsts budžeta finansējums un kā būtiskākie pasākumi ir minami LM – Covid-19 atbalsts 500 </w:t>
      </w:r>
      <w:proofErr w:type="spellStart"/>
      <w:r w:rsidRPr="006E664F">
        <w:rPr>
          <w:rFonts w:ascii="Times New Roman" w:hAnsi="Times New Roman" w:cs="Times New Roman"/>
          <w:i/>
          <w:iCs/>
          <w:sz w:val="24"/>
          <w:szCs w:val="24"/>
        </w:rPr>
        <w:t>euro</w:t>
      </w:r>
      <w:proofErr w:type="spellEnd"/>
      <w:r w:rsidRPr="006E664F">
        <w:rPr>
          <w:rFonts w:ascii="Times New Roman" w:hAnsi="Times New Roman" w:cs="Times New Roman"/>
          <w:sz w:val="24"/>
          <w:szCs w:val="24"/>
        </w:rPr>
        <w:t xml:space="preserve"> apmērā par katru bērnu, valsts sociālās apdrošināšanas obligāto iemaksu likmes samazināšana par vienu procentpunktu, un atbalsts minimālo ienākumu palielināšanai, savukārt SM – finansējums valsts autoceļu attīstībai un finansējums, lai kompensētu zaudējumus sabiedriskā transporta pakalpojumu sniedzējiem par sniegtajiem sabiedriskā transporta pakalpojumiem (Attēls Nr. </w:t>
      </w:r>
      <w:r>
        <w:rPr>
          <w:rFonts w:ascii="Times New Roman" w:hAnsi="Times New Roman" w:cs="Times New Roman"/>
          <w:sz w:val="24"/>
          <w:szCs w:val="24"/>
        </w:rPr>
        <w:t>3</w:t>
      </w:r>
      <w:r w:rsidRPr="006E664F">
        <w:rPr>
          <w:rFonts w:ascii="Times New Roman" w:hAnsi="Times New Roman" w:cs="Times New Roman"/>
          <w:sz w:val="24"/>
          <w:szCs w:val="24"/>
        </w:rPr>
        <w:t>).</w:t>
      </w:r>
    </w:p>
    <w:p w14:paraId="4EFA4264" w14:textId="537BEABB" w:rsidR="006E664F" w:rsidRPr="006E664F" w:rsidRDefault="006E664F" w:rsidP="006E6CB5">
      <w:pPr>
        <w:spacing w:after="120"/>
        <w:jc w:val="right"/>
        <w:rPr>
          <w:rFonts w:ascii="Times New Roman" w:hAnsi="Times New Roman" w:cs="Times New Roman"/>
          <w:sz w:val="24"/>
          <w:szCs w:val="24"/>
        </w:rPr>
      </w:pPr>
      <w:r w:rsidRPr="006E664F">
        <w:rPr>
          <w:rFonts w:ascii="Times New Roman" w:hAnsi="Times New Roman" w:cs="Times New Roman"/>
          <w:sz w:val="24"/>
          <w:szCs w:val="24"/>
        </w:rPr>
        <w:t xml:space="preserve">Attēls Nr. </w:t>
      </w:r>
      <w:r w:rsidR="006E6CB5">
        <w:rPr>
          <w:rFonts w:ascii="Times New Roman" w:hAnsi="Times New Roman" w:cs="Times New Roman"/>
          <w:sz w:val="24"/>
          <w:szCs w:val="24"/>
        </w:rPr>
        <w:t>3</w:t>
      </w:r>
      <w:r w:rsidR="00F31953">
        <w:rPr>
          <w:rStyle w:val="FootnoteReference"/>
          <w:rFonts w:ascii="Times New Roman" w:hAnsi="Times New Roman" w:cs="Times New Roman"/>
          <w:sz w:val="24"/>
          <w:szCs w:val="24"/>
        </w:rPr>
        <w:footnoteReference w:id="1"/>
      </w:r>
    </w:p>
    <w:p w14:paraId="71D1DC87" w14:textId="77777777" w:rsidR="006E664F" w:rsidRPr="006E664F" w:rsidRDefault="006E664F" w:rsidP="006E6CB5">
      <w:pPr>
        <w:spacing w:after="0"/>
        <w:jc w:val="center"/>
        <w:rPr>
          <w:rFonts w:ascii="Times New Roman" w:hAnsi="Times New Roman" w:cs="Times New Roman"/>
          <w:b/>
          <w:bCs/>
          <w:sz w:val="24"/>
          <w:szCs w:val="24"/>
        </w:rPr>
      </w:pPr>
      <w:r w:rsidRPr="006E664F">
        <w:rPr>
          <w:rFonts w:ascii="Times New Roman" w:hAnsi="Times New Roman" w:cs="Times New Roman"/>
          <w:b/>
          <w:bCs/>
          <w:sz w:val="24"/>
          <w:szCs w:val="24"/>
        </w:rPr>
        <w:t>2021. gada NAP2027 finansējums sadalījumā pa ministrijām un finansējuma</w:t>
      </w:r>
    </w:p>
    <w:p w14:paraId="1B061DF5" w14:textId="77777777" w:rsidR="006E664F" w:rsidRPr="006E664F" w:rsidRDefault="006E664F" w:rsidP="006E664F">
      <w:pPr>
        <w:spacing w:after="0"/>
        <w:jc w:val="center"/>
        <w:rPr>
          <w:rFonts w:ascii="Times New Roman" w:hAnsi="Times New Roman" w:cs="Times New Roman"/>
          <w:sz w:val="24"/>
          <w:szCs w:val="24"/>
        </w:rPr>
      </w:pPr>
      <w:r w:rsidRPr="006E664F">
        <w:rPr>
          <w:rFonts w:ascii="Times New Roman" w:hAnsi="Times New Roman" w:cs="Times New Roman"/>
          <w:noProof/>
          <w:sz w:val="24"/>
          <w:szCs w:val="24"/>
        </w:rPr>
        <w:drawing>
          <wp:anchor distT="0" distB="0" distL="114300" distR="114300" simplePos="0" relativeHeight="251661312" behindDoc="0" locked="0" layoutInCell="1" allowOverlap="1" wp14:anchorId="46CEE064" wp14:editId="18C604FE">
            <wp:simplePos x="0" y="0"/>
            <wp:positionH relativeFrom="column">
              <wp:posOffset>-635</wp:posOffset>
            </wp:positionH>
            <wp:positionV relativeFrom="paragraph">
              <wp:posOffset>219710</wp:posOffset>
            </wp:positionV>
            <wp:extent cx="5759450" cy="2628900"/>
            <wp:effectExtent l="0" t="0" r="12700" b="0"/>
            <wp:wrapThrough wrapText="bothSides">
              <wp:wrapPolygon edited="0">
                <wp:start x="0" y="0"/>
                <wp:lineTo x="0" y="21443"/>
                <wp:lineTo x="21576" y="21443"/>
                <wp:lineTo x="21576" y="0"/>
                <wp:lineTo x="0" y="0"/>
              </wp:wrapPolygon>
            </wp:wrapThrough>
            <wp:docPr id="3" name="Chart 3">
              <a:extLst xmlns:a="http://schemas.openxmlformats.org/drawingml/2006/main">
                <a:ext uri="{FF2B5EF4-FFF2-40B4-BE49-F238E27FC236}">
                  <a16:creationId xmlns:a16="http://schemas.microsoft.com/office/drawing/2014/main" id="{6FEA20D8-33A5-9FBF-5689-9BC3B5EFA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6E664F">
        <w:rPr>
          <w:rFonts w:ascii="Times New Roman" w:hAnsi="Times New Roman" w:cs="Times New Roman"/>
          <w:b/>
          <w:bCs/>
          <w:sz w:val="24"/>
          <w:szCs w:val="24"/>
        </w:rPr>
        <w:t>avotiem,</w:t>
      </w:r>
      <w:r w:rsidRPr="006E664F">
        <w:rPr>
          <w:rFonts w:ascii="Times New Roman" w:hAnsi="Times New Roman" w:cs="Times New Roman"/>
          <w:sz w:val="24"/>
          <w:szCs w:val="24"/>
        </w:rPr>
        <w:t> milj. </w:t>
      </w:r>
      <w:proofErr w:type="spellStart"/>
      <w:r w:rsidRPr="006E664F">
        <w:rPr>
          <w:rFonts w:ascii="Times New Roman" w:hAnsi="Times New Roman" w:cs="Times New Roman"/>
          <w:i/>
          <w:iCs/>
          <w:sz w:val="24"/>
          <w:szCs w:val="24"/>
        </w:rPr>
        <w:t>euro</w:t>
      </w:r>
      <w:proofErr w:type="spellEnd"/>
    </w:p>
    <w:p w14:paraId="54B7FDAB" w14:textId="62E441E1" w:rsidR="006E664F" w:rsidRPr="006E664F" w:rsidRDefault="006E664F" w:rsidP="006E664F">
      <w:pPr>
        <w:ind w:firstLine="648"/>
        <w:jc w:val="both"/>
        <w:rPr>
          <w:rFonts w:ascii="Times New Roman" w:hAnsi="Times New Roman" w:cs="Times New Roman"/>
          <w:sz w:val="24"/>
          <w:szCs w:val="24"/>
        </w:rPr>
      </w:pPr>
      <w:r w:rsidRPr="006E664F">
        <w:rPr>
          <w:rFonts w:ascii="Times New Roman" w:hAnsi="Times New Roman" w:cs="Times New Roman"/>
          <w:sz w:val="24"/>
          <w:szCs w:val="24"/>
        </w:rPr>
        <w:lastRenderedPageBreak/>
        <w:t>Detalizētāk analizējot valsts budžeta finansējuma avotus, kas attiecināmi uz NAP2027, ir secināms, ka ministrijas, kas piesaistījušas lielāko finansējuma apmēru no līdzekļiem neparedzētajiem gadījumiem ir FM, VM, LM un SM, kas kopumā sakrīt ar minēto par Covid-19 atbalsta intensitāti minētajos resoros. Lielākās finansējuma saņēmējas PP ietvaros ir bijušas VM, LM, IZM un VARAM. Savukārt fiskālo telpu samazinošus pasākumus ir īstenojušas LM un FM (Attēls Nr. </w:t>
      </w:r>
      <w:r w:rsidR="006E6CB5">
        <w:rPr>
          <w:rFonts w:ascii="Times New Roman" w:hAnsi="Times New Roman" w:cs="Times New Roman"/>
          <w:sz w:val="24"/>
          <w:szCs w:val="24"/>
        </w:rPr>
        <w:t>4</w:t>
      </w:r>
      <w:r w:rsidRPr="006E664F">
        <w:rPr>
          <w:rFonts w:ascii="Times New Roman" w:hAnsi="Times New Roman" w:cs="Times New Roman"/>
          <w:sz w:val="24"/>
          <w:szCs w:val="24"/>
        </w:rPr>
        <w:t>).</w:t>
      </w:r>
    </w:p>
    <w:p w14:paraId="318B75C5" w14:textId="50D9DE89" w:rsidR="006E664F" w:rsidRPr="006E6CB5" w:rsidRDefault="006E664F" w:rsidP="006E6CB5">
      <w:pPr>
        <w:spacing w:after="120"/>
        <w:ind w:firstLine="646"/>
        <w:jc w:val="right"/>
        <w:rPr>
          <w:rFonts w:ascii="Times New Roman" w:hAnsi="Times New Roman" w:cs="Times New Roman"/>
          <w:sz w:val="24"/>
          <w:szCs w:val="24"/>
        </w:rPr>
      </w:pPr>
      <w:r w:rsidRPr="006E6CB5">
        <w:rPr>
          <w:rFonts w:ascii="Times New Roman" w:hAnsi="Times New Roman" w:cs="Times New Roman"/>
          <w:sz w:val="24"/>
          <w:szCs w:val="24"/>
        </w:rPr>
        <w:t>Attēls Nr. </w:t>
      </w:r>
      <w:r w:rsidR="00F31953">
        <w:rPr>
          <w:rFonts w:ascii="Times New Roman" w:hAnsi="Times New Roman" w:cs="Times New Roman"/>
          <w:sz w:val="24"/>
          <w:szCs w:val="24"/>
        </w:rPr>
        <w:t>4</w:t>
      </w:r>
      <w:r w:rsidR="00F31953">
        <w:rPr>
          <w:rStyle w:val="FootnoteReference"/>
          <w:rFonts w:ascii="Times New Roman" w:hAnsi="Times New Roman" w:cs="Times New Roman"/>
          <w:sz w:val="24"/>
          <w:szCs w:val="24"/>
        </w:rPr>
        <w:footnoteReference w:id="2"/>
      </w:r>
    </w:p>
    <w:p w14:paraId="66E8B094" w14:textId="418C6170" w:rsidR="006E664F" w:rsidRPr="006E6CB5" w:rsidRDefault="006E6CB5" w:rsidP="006E6CB5">
      <w:pPr>
        <w:spacing w:after="0"/>
        <w:jc w:val="center"/>
        <w:rPr>
          <w:rFonts w:ascii="Times New Roman" w:hAnsi="Times New Roman" w:cs="Times New Roman"/>
          <w:b/>
          <w:bCs/>
          <w:sz w:val="24"/>
          <w:szCs w:val="24"/>
        </w:rPr>
      </w:pPr>
      <w:r w:rsidRPr="006E6CB5">
        <w:rPr>
          <w:rFonts w:ascii="Times New Roman" w:hAnsi="Times New Roman" w:cs="Times New Roman"/>
          <w:noProof/>
          <w:sz w:val="24"/>
          <w:szCs w:val="24"/>
        </w:rPr>
        <w:drawing>
          <wp:anchor distT="0" distB="0" distL="114300" distR="114300" simplePos="0" relativeHeight="251662336" behindDoc="0" locked="0" layoutInCell="1" allowOverlap="1" wp14:anchorId="0926A848" wp14:editId="49F7B4BE">
            <wp:simplePos x="0" y="0"/>
            <wp:positionH relativeFrom="column">
              <wp:posOffset>-635</wp:posOffset>
            </wp:positionH>
            <wp:positionV relativeFrom="paragraph">
              <wp:posOffset>277495</wp:posOffset>
            </wp:positionV>
            <wp:extent cx="5740400" cy="2822575"/>
            <wp:effectExtent l="0" t="0" r="12700" b="15875"/>
            <wp:wrapThrough wrapText="bothSides">
              <wp:wrapPolygon edited="0">
                <wp:start x="0" y="0"/>
                <wp:lineTo x="0" y="21576"/>
                <wp:lineTo x="21576" y="21576"/>
                <wp:lineTo x="21576" y="0"/>
                <wp:lineTo x="0" y="0"/>
              </wp:wrapPolygon>
            </wp:wrapThrough>
            <wp:docPr id="26" name="Chart 26">
              <a:extLst xmlns:a="http://schemas.openxmlformats.org/drawingml/2006/main">
                <a:ext uri="{FF2B5EF4-FFF2-40B4-BE49-F238E27FC236}">
                  <a16:creationId xmlns:a16="http://schemas.microsoft.com/office/drawing/2014/main" id="{90E540ED-A305-69E9-70B3-898E998BB9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E664F" w:rsidRPr="006E6CB5">
        <w:rPr>
          <w:rFonts w:ascii="Times New Roman" w:hAnsi="Times New Roman" w:cs="Times New Roman"/>
          <w:b/>
          <w:bCs/>
          <w:sz w:val="24"/>
          <w:szCs w:val="24"/>
        </w:rPr>
        <w:t>Valsts budžeta finansējums sadalījumā pa komponentēm un ministrijām,</w:t>
      </w:r>
      <w:r w:rsidR="006E664F" w:rsidRPr="006E6CB5">
        <w:rPr>
          <w:rFonts w:ascii="Times New Roman" w:hAnsi="Times New Roman" w:cs="Times New Roman"/>
          <w:sz w:val="24"/>
          <w:szCs w:val="24"/>
        </w:rPr>
        <w:t> milj.</w:t>
      </w:r>
      <w:r w:rsidR="006E664F" w:rsidRPr="006E6CB5">
        <w:rPr>
          <w:rFonts w:ascii="Times New Roman" w:hAnsi="Times New Roman" w:cs="Times New Roman"/>
          <w:i/>
          <w:iCs/>
          <w:sz w:val="24"/>
          <w:szCs w:val="24"/>
        </w:rPr>
        <w:t> </w:t>
      </w:r>
      <w:proofErr w:type="spellStart"/>
      <w:r w:rsidR="006E664F" w:rsidRPr="006E6CB5">
        <w:rPr>
          <w:rFonts w:ascii="Times New Roman" w:hAnsi="Times New Roman" w:cs="Times New Roman"/>
          <w:i/>
          <w:iCs/>
          <w:sz w:val="24"/>
          <w:szCs w:val="24"/>
        </w:rPr>
        <w:t>euro</w:t>
      </w:r>
      <w:proofErr w:type="spellEnd"/>
    </w:p>
    <w:p w14:paraId="278E19B1" w14:textId="77777777" w:rsidR="006E664F" w:rsidRDefault="006E664F" w:rsidP="00606949">
      <w:pPr>
        <w:spacing w:after="0" w:line="240" w:lineRule="auto"/>
        <w:jc w:val="center"/>
        <w:rPr>
          <w:rFonts w:ascii="Times New Roman" w:hAnsi="Times New Roman" w:cs="Times New Roman"/>
          <w:b/>
          <w:bCs/>
          <w:sz w:val="24"/>
          <w:szCs w:val="24"/>
        </w:rPr>
      </w:pPr>
    </w:p>
    <w:p w14:paraId="698C236D" w14:textId="6D927B39" w:rsidR="00D252BC" w:rsidRPr="002040D0" w:rsidRDefault="00D252BC" w:rsidP="00606949">
      <w:pPr>
        <w:spacing w:after="0" w:line="240" w:lineRule="auto"/>
        <w:jc w:val="center"/>
        <w:rPr>
          <w:rFonts w:ascii="Times New Roman" w:hAnsi="Times New Roman" w:cs="Times New Roman"/>
          <w:b/>
          <w:bCs/>
          <w:sz w:val="24"/>
          <w:szCs w:val="24"/>
        </w:rPr>
      </w:pPr>
      <w:r w:rsidRPr="002040D0">
        <w:rPr>
          <w:rFonts w:ascii="Times New Roman" w:hAnsi="Times New Roman" w:cs="Times New Roman"/>
          <w:b/>
          <w:bCs/>
          <w:sz w:val="24"/>
          <w:szCs w:val="24"/>
        </w:rPr>
        <w:t>NAP2027 pasākumu skaits un finansējums sadalījumā pa uzdevumiem</w:t>
      </w:r>
    </w:p>
    <w:p w14:paraId="22DA27F4" w14:textId="77777777" w:rsidR="00606949" w:rsidRPr="002040D0" w:rsidRDefault="00606949" w:rsidP="00606949">
      <w:pPr>
        <w:spacing w:after="0" w:line="240" w:lineRule="auto"/>
        <w:jc w:val="center"/>
        <w:rPr>
          <w:rFonts w:ascii="Times New Roman" w:hAnsi="Times New Roman" w:cs="Times New Roman"/>
          <w:b/>
          <w:bCs/>
          <w:sz w:val="24"/>
          <w:szCs w:val="24"/>
        </w:rPr>
      </w:pPr>
    </w:p>
    <w:tbl>
      <w:tblPr>
        <w:tblStyle w:val="PlainTable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048"/>
        <w:gridCol w:w="1632"/>
      </w:tblGrid>
      <w:tr w:rsidR="00D252BC" w:rsidRPr="002040D0" w14:paraId="372896A1" w14:textId="77777777" w:rsidTr="0059637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vAlign w:val="center"/>
            <w:hideMark/>
          </w:tcPr>
          <w:bookmarkEnd w:id="0"/>
          <w:p w14:paraId="40380801" w14:textId="77777777" w:rsidR="00D252BC" w:rsidRPr="002040D0" w:rsidRDefault="00D252BC" w:rsidP="00606949">
            <w:pPr>
              <w:jc w:val="center"/>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NAP2027 uzdevumi</w:t>
            </w:r>
          </w:p>
        </w:tc>
        <w:tc>
          <w:tcPr>
            <w:tcW w:w="2048" w:type="dxa"/>
            <w:tcBorders>
              <w:bottom w:val="none" w:sz="0" w:space="0" w:color="auto"/>
            </w:tcBorders>
            <w:noWrap/>
            <w:vAlign w:val="center"/>
            <w:hideMark/>
          </w:tcPr>
          <w:p w14:paraId="4097EE6C" w14:textId="77777777" w:rsidR="00D252BC" w:rsidRPr="002040D0" w:rsidRDefault="00D252BC" w:rsidP="006069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Pasākumu skaits</w:t>
            </w:r>
          </w:p>
        </w:tc>
        <w:tc>
          <w:tcPr>
            <w:tcW w:w="1632" w:type="dxa"/>
            <w:tcBorders>
              <w:bottom w:val="none" w:sz="0" w:space="0" w:color="auto"/>
            </w:tcBorders>
            <w:noWrap/>
            <w:vAlign w:val="center"/>
            <w:hideMark/>
          </w:tcPr>
          <w:p w14:paraId="1FA279D5" w14:textId="0E61D913" w:rsidR="00D252BC" w:rsidRPr="002040D0" w:rsidRDefault="00D252BC" w:rsidP="006069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 xml:space="preserve">Finansējums, milj. </w:t>
            </w:r>
            <w:proofErr w:type="spellStart"/>
            <w:r w:rsidRPr="002040D0">
              <w:rPr>
                <w:rFonts w:ascii="Times New Roman" w:eastAsia="Times New Roman" w:hAnsi="Times New Roman" w:cs="Times New Roman"/>
                <w:i/>
                <w:iCs/>
                <w:color w:val="000000"/>
                <w:sz w:val="24"/>
                <w:szCs w:val="24"/>
                <w:lang w:eastAsia="lv-LV"/>
              </w:rPr>
              <w:t>euro</w:t>
            </w:r>
            <w:proofErr w:type="spellEnd"/>
          </w:p>
        </w:tc>
      </w:tr>
      <w:tr w:rsidR="00D252BC" w:rsidRPr="002040D0" w14:paraId="62114224"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2B276572"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Aizsargājamo biotopu un sugu aizsardzības stāvokļa uzlabošanas pasākumu realizēšana saskaņā ar zinātniski pamatotiem sugu un biotopu aizsardzības un dabas aizsardzības plāniem</w:t>
            </w:r>
          </w:p>
        </w:tc>
        <w:tc>
          <w:tcPr>
            <w:tcW w:w="2048" w:type="dxa"/>
            <w:tcBorders>
              <w:top w:val="none" w:sz="0" w:space="0" w:color="auto"/>
              <w:bottom w:val="none" w:sz="0" w:space="0" w:color="auto"/>
            </w:tcBorders>
            <w:noWrap/>
            <w:vAlign w:val="center"/>
            <w:hideMark/>
          </w:tcPr>
          <w:p w14:paraId="216BA0C8" w14:textId="77777777" w:rsidR="00D252BC" w:rsidRPr="002040D0" w:rsidRDefault="00D252BC" w:rsidP="002731CF">
            <w:pPr>
              <w:ind w:left="95" w:hanging="9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w:t>
            </w:r>
          </w:p>
        </w:tc>
        <w:tc>
          <w:tcPr>
            <w:tcW w:w="1632" w:type="dxa"/>
            <w:tcBorders>
              <w:top w:val="none" w:sz="0" w:space="0" w:color="auto"/>
              <w:bottom w:val="none" w:sz="0" w:space="0" w:color="auto"/>
            </w:tcBorders>
            <w:noWrap/>
            <w:vAlign w:val="center"/>
            <w:hideMark/>
          </w:tcPr>
          <w:p w14:paraId="3903CE61"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10,63</w:t>
            </w:r>
          </w:p>
        </w:tc>
      </w:tr>
      <w:tr w:rsidR="00D252BC" w:rsidRPr="002040D0" w14:paraId="4CE0BFAD"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B23564A"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Aktīvās darba tirgus politikas attīstīšana (bez darba esošo, bezdarba riskam pakļauto un ekonomiski neaktīvo iedzīvotāju aktivizācija, reģionālās mobilitātes atbalsta programmas) un nelabvēlīgākā situācijā esošo darba tirgus dalībnieku (t.sk. jauniešu, </w:t>
            </w:r>
            <w:proofErr w:type="spellStart"/>
            <w:r w:rsidRPr="002040D0">
              <w:rPr>
                <w:rFonts w:ascii="Times New Roman" w:eastAsia="Times New Roman" w:hAnsi="Times New Roman" w:cs="Times New Roman"/>
                <w:b w:val="0"/>
                <w:bCs w:val="0"/>
                <w:color w:val="000000"/>
                <w:sz w:val="24"/>
                <w:szCs w:val="24"/>
                <w:lang w:eastAsia="lv-LV"/>
              </w:rPr>
              <w:t>pirmspensijas</w:t>
            </w:r>
            <w:proofErr w:type="spellEnd"/>
            <w:r w:rsidRPr="002040D0">
              <w:rPr>
                <w:rFonts w:ascii="Times New Roman" w:eastAsia="Times New Roman" w:hAnsi="Times New Roman" w:cs="Times New Roman"/>
                <w:b w:val="0"/>
                <w:bCs w:val="0"/>
                <w:color w:val="000000"/>
                <w:sz w:val="24"/>
                <w:szCs w:val="24"/>
                <w:lang w:eastAsia="lv-LV"/>
              </w:rPr>
              <w:t xml:space="preserve"> vecumā esošo un personu ar invaliditāti) atbalstīšana, ņemot vērā indivīda un reģionu specifiskās vajadzības</w:t>
            </w:r>
          </w:p>
        </w:tc>
        <w:tc>
          <w:tcPr>
            <w:tcW w:w="2048" w:type="dxa"/>
            <w:noWrap/>
            <w:vAlign w:val="center"/>
            <w:hideMark/>
          </w:tcPr>
          <w:p w14:paraId="25B22E59"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22</w:t>
            </w:r>
          </w:p>
        </w:tc>
        <w:tc>
          <w:tcPr>
            <w:tcW w:w="1632" w:type="dxa"/>
            <w:noWrap/>
            <w:vAlign w:val="center"/>
            <w:hideMark/>
          </w:tcPr>
          <w:p w14:paraId="3FA8E18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764,92</w:t>
            </w:r>
          </w:p>
        </w:tc>
      </w:tr>
      <w:tr w:rsidR="00D252BC" w:rsidRPr="002040D0" w14:paraId="6AE5278A"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65261C33" w14:textId="61FE5AEC"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p>
        </w:tc>
        <w:tc>
          <w:tcPr>
            <w:tcW w:w="2048" w:type="dxa"/>
            <w:tcBorders>
              <w:top w:val="none" w:sz="0" w:space="0" w:color="auto"/>
              <w:bottom w:val="none" w:sz="0" w:space="0" w:color="auto"/>
            </w:tcBorders>
            <w:noWrap/>
            <w:vAlign w:val="center"/>
            <w:hideMark/>
          </w:tcPr>
          <w:p w14:paraId="0214ADE4"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6E5FC3B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19,61</w:t>
            </w:r>
          </w:p>
        </w:tc>
      </w:tr>
      <w:tr w:rsidR="00D252BC" w:rsidRPr="002040D0" w14:paraId="14031AE7"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42AD00B"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lastRenderedPageBreak/>
              <w:t>Atbalstošas vides radīšana profesionālajai mākslinieciskajai jaunradei, izveidojot radošo personu atalgojuma sistēmu un pilnveidojot finanšu atbalsta instrumentus profesionālajai mākslinieciskajai jaunradei</w:t>
            </w:r>
          </w:p>
        </w:tc>
        <w:tc>
          <w:tcPr>
            <w:tcW w:w="2048" w:type="dxa"/>
            <w:noWrap/>
            <w:vAlign w:val="center"/>
            <w:hideMark/>
          </w:tcPr>
          <w:p w14:paraId="297C1A0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noWrap/>
            <w:vAlign w:val="center"/>
            <w:hideMark/>
          </w:tcPr>
          <w:p w14:paraId="18FF44E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7,07</w:t>
            </w:r>
          </w:p>
        </w:tc>
      </w:tr>
      <w:tr w:rsidR="00D252BC" w:rsidRPr="002040D0" w14:paraId="7368CC0E"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562BC03F"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Atkritumu rašanās un apglabājamo atkritumu samazināšana un atkritumu pārstrādes un reģenerācijas īpatsvara palielināšana, īpaši akcentējot notekūdeņu dūņu apstrādi un bioloģiski noārdāmo atkritumu pārstrādes un to reģenerācijas īpatsvara un jaudas palielinājumu</w:t>
            </w:r>
          </w:p>
        </w:tc>
        <w:tc>
          <w:tcPr>
            <w:tcW w:w="2048" w:type="dxa"/>
            <w:tcBorders>
              <w:top w:val="none" w:sz="0" w:space="0" w:color="auto"/>
              <w:bottom w:val="none" w:sz="0" w:space="0" w:color="auto"/>
            </w:tcBorders>
            <w:noWrap/>
            <w:vAlign w:val="center"/>
            <w:hideMark/>
          </w:tcPr>
          <w:p w14:paraId="677B10CB"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774028C4"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5,01</w:t>
            </w:r>
          </w:p>
        </w:tc>
      </w:tr>
      <w:tr w:rsidR="00D252BC" w:rsidRPr="002040D0" w14:paraId="70A00B37"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66921CF" w14:textId="75F2F9E8"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Augstas un labas kvalitātes virszemes un pazemes ūdensobjektu īpatsvara palielinājuma panākšana, kā arī iekšzemes ūdensobjektu un jūras vides stāvokļa uzlabošana un pazemes ūdens resursu aizsardzība, samazinot antropogēno slodzi t.sk. notekūdeņu kaitīgo ietekmi uz dabas resursiem un vidi, nodrošinot nepieciešamās infrastruktūras izveidi un veicinot notekūdeņu dūņu apstrādi</w:t>
            </w:r>
          </w:p>
        </w:tc>
        <w:tc>
          <w:tcPr>
            <w:tcW w:w="2048" w:type="dxa"/>
            <w:noWrap/>
            <w:vAlign w:val="center"/>
            <w:hideMark/>
          </w:tcPr>
          <w:p w14:paraId="5A42CB41"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4F7C5A46"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1,12</w:t>
            </w:r>
          </w:p>
        </w:tc>
      </w:tr>
      <w:tr w:rsidR="00D252BC" w:rsidRPr="002040D0" w14:paraId="662C829F"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6DB2A60"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Bioloģiskās daudzveidības aizsardzības sistēmas pilnveidošana, izstrādājot zinātniski pamatotus  bioloģiskās daudzveidības saglabāšanas mērķus, rādītājus un īstenojot pasākumus labvēlīga ES un nacionālas nozīmes biotopu un sugu aizsardzības stāvokļa nodrošināšanai Latvijā, ņemot vērā sabiedrības ekonomiskās un sociālās intereses un reģionālās attīstības vajadzības</w:t>
            </w:r>
          </w:p>
        </w:tc>
        <w:tc>
          <w:tcPr>
            <w:tcW w:w="2048" w:type="dxa"/>
            <w:tcBorders>
              <w:top w:val="none" w:sz="0" w:space="0" w:color="auto"/>
              <w:bottom w:val="none" w:sz="0" w:space="0" w:color="auto"/>
            </w:tcBorders>
            <w:noWrap/>
            <w:vAlign w:val="center"/>
            <w:hideMark/>
          </w:tcPr>
          <w:p w14:paraId="60F5863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462A773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37,85</w:t>
            </w:r>
          </w:p>
        </w:tc>
      </w:tr>
      <w:tr w:rsidR="00D252BC" w:rsidRPr="002040D0" w14:paraId="57EF27B6"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49C0173" w14:textId="056A21E3"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Bioloģiskās daudzveidības saglabāšanas pasākumu integrēšana tautsaimniecības nozarēs, jo īpaši lauksaimniecības, mežsaimniecības un zivsaimniecības nozarēs, īstenojot ilgtspējīgu dabas resursu apsaimniekošanu un zaļās infrastruktūras izmantošanu, vienlaikus nodrošinot bioloģiskās un ainavu daudzveidības aizsardzību un vērtības celšanu, sekmējot ilgtspējīgu tūrisma attīstību</w:t>
            </w:r>
          </w:p>
        </w:tc>
        <w:tc>
          <w:tcPr>
            <w:tcW w:w="2048" w:type="dxa"/>
            <w:noWrap/>
            <w:vAlign w:val="center"/>
            <w:hideMark/>
          </w:tcPr>
          <w:p w14:paraId="7FF083FF"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14</w:t>
            </w:r>
          </w:p>
        </w:tc>
        <w:tc>
          <w:tcPr>
            <w:tcW w:w="1632" w:type="dxa"/>
            <w:noWrap/>
            <w:vAlign w:val="center"/>
            <w:hideMark/>
          </w:tcPr>
          <w:p w14:paraId="4904CB11"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20,10</w:t>
            </w:r>
          </w:p>
        </w:tc>
      </w:tr>
      <w:tr w:rsidR="00D252BC" w:rsidRPr="002040D0" w14:paraId="13946C40"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CD35779"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Cilvēku rīcībspējas stiprināšana ārkārtas gadījumos, sadarbojoties ar atbildīgajiem valsts dienestiem, iesaistoties brīvprātīgās organizācijās, kā arī uzlabojot iesaisti un atbildīgu rīcību noziegumu atpazīšanā un novēršanā, civilajā aizsardzībā un visaptverošajā valsts aizsardzībā</w:t>
            </w:r>
          </w:p>
        </w:tc>
        <w:tc>
          <w:tcPr>
            <w:tcW w:w="2048" w:type="dxa"/>
            <w:tcBorders>
              <w:top w:val="none" w:sz="0" w:space="0" w:color="auto"/>
              <w:bottom w:val="none" w:sz="0" w:space="0" w:color="auto"/>
            </w:tcBorders>
            <w:noWrap/>
            <w:vAlign w:val="center"/>
            <w:hideMark/>
          </w:tcPr>
          <w:p w14:paraId="22CF751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0BCB5BFB"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0,11</w:t>
            </w:r>
          </w:p>
        </w:tc>
      </w:tr>
      <w:tr w:rsidR="00D252BC" w:rsidRPr="002040D0" w14:paraId="4A20BCA9"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0099257"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Digitālās transformācijas (</w:t>
            </w:r>
            <w:proofErr w:type="spellStart"/>
            <w:r w:rsidRPr="002040D0">
              <w:rPr>
                <w:rFonts w:ascii="Times New Roman" w:eastAsia="Times New Roman" w:hAnsi="Times New Roman" w:cs="Times New Roman"/>
                <w:b w:val="0"/>
                <w:bCs w:val="0"/>
                <w:color w:val="000000"/>
                <w:sz w:val="24"/>
                <w:szCs w:val="24"/>
                <w:lang w:eastAsia="lv-LV"/>
              </w:rPr>
              <w:t>digitalizācija</w:t>
            </w:r>
            <w:proofErr w:type="spellEnd"/>
            <w:r w:rsidRPr="002040D0">
              <w:rPr>
                <w:rFonts w:ascii="Times New Roman" w:eastAsia="Times New Roman" w:hAnsi="Times New Roman" w:cs="Times New Roman"/>
                <w:b w:val="0"/>
                <w:bCs w:val="0"/>
                <w:color w:val="000000"/>
                <w:sz w:val="24"/>
                <w:szCs w:val="24"/>
                <w:lang w:eastAsia="lv-LV"/>
              </w:rPr>
              <w:t>, automatizācija, robotizācija, mākslīgais intelekts u. c.) sekmēšana uzņēmējdarbībā, t. sk. apstrādes rūpniecībā</w:t>
            </w:r>
          </w:p>
        </w:tc>
        <w:tc>
          <w:tcPr>
            <w:tcW w:w="2048" w:type="dxa"/>
            <w:noWrap/>
            <w:vAlign w:val="center"/>
            <w:hideMark/>
          </w:tcPr>
          <w:p w14:paraId="4A3FEB32"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112EC3F8"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0,29</w:t>
            </w:r>
          </w:p>
        </w:tc>
      </w:tr>
      <w:tr w:rsidR="00D252BC" w:rsidRPr="002040D0" w14:paraId="24C953BF"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64F288BE"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Efektīva soda izpildes un sodīto personu reintegrācija sabiedrībā, uzlabojot </w:t>
            </w:r>
            <w:proofErr w:type="spellStart"/>
            <w:r w:rsidRPr="002040D0">
              <w:rPr>
                <w:rFonts w:ascii="Times New Roman" w:eastAsia="Times New Roman" w:hAnsi="Times New Roman" w:cs="Times New Roman"/>
                <w:b w:val="0"/>
                <w:bCs w:val="0"/>
                <w:color w:val="000000"/>
                <w:sz w:val="24"/>
                <w:szCs w:val="24"/>
                <w:lang w:eastAsia="lv-LV"/>
              </w:rPr>
              <w:t>resocializācijas</w:t>
            </w:r>
            <w:proofErr w:type="spellEnd"/>
            <w:r w:rsidRPr="002040D0">
              <w:rPr>
                <w:rFonts w:ascii="Times New Roman" w:eastAsia="Times New Roman" w:hAnsi="Times New Roman" w:cs="Times New Roman"/>
                <w:b w:val="0"/>
                <w:bCs w:val="0"/>
                <w:color w:val="000000"/>
                <w:sz w:val="24"/>
                <w:szCs w:val="24"/>
                <w:lang w:eastAsia="lv-LV"/>
              </w:rPr>
              <w:t xml:space="preserve"> darbu, palielinot personāla pieejamību un nodrošinot adekvātu infrastruktūru, kā arī nostiprinot pašvaldību un NVO lomu</w:t>
            </w:r>
          </w:p>
        </w:tc>
        <w:tc>
          <w:tcPr>
            <w:tcW w:w="2048" w:type="dxa"/>
            <w:tcBorders>
              <w:top w:val="none" w:sz="0" w:space="0" w:color="auto"/>
              <w:bottom w:val="none" w:sz="0" w:space="0" w:color="auto"/>
            </w:tcBorders>
            <w:noWrap/>
            <w:vAlign w:val="center"/>
            <w:hideMark/>
          </w:tcPr>
          <w:p w14:paraId="4774C9B3"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666AA85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2,99</w:t>
            </w:r>
          </w:p>
        </w:tc>
      </w:tr>
      <w:tr w:rsidR="00D252BC" w:rsidRPr="002040D0" w14:paraId="60EA7669"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A9E9210"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lastRenderedPageBreak/>
              <w:t xml:space="preserve">Efektīva, ērta, savlaicīga, sabiedrībai saprotama un pieejama tiesībaizsardzības sistēma, nostiprinot tiesībaizsardzības iestāžu kapacitāti, savstarpēju sadarbību un vienotu izpratni juridisko procesu vienkāršošanai (savstarpēji papildinoši un pieejami digitālie risinājumi, kopējās sadarbības platformas un mācības, vienotas prakses, pētniecības un ekspertīzes), ieviešot inovatīvus, uz rezultātu vērstus un ekonomiskus risinājumus visās </w:t>
            </w:r>
            <w:proofErr w:type="spellStart"/>
            <w:r w:rsidRPr="002040D0">
              <w:rPr>
                <w:rFonts w:ascii="Times New Roman" w:eastAsia="Times New Roman" w:hAnsi="Times New Roman" w:cs="Times New Roman"/>
                <w:b w:val="0"/>
                <w:bCs w:val="0"/>
                <w:color w:val="000000"/>
                <w:sz w:val="24"/>
                <w:szCs w:val="24"/>
                <w:lang w:eastAsia="lv-LV"/>
              </w:rPr>
              <w:t>pirmstiesas</w:t>
            </w:r>
            <w:proofErr w:type="spellEnd"/>
            <w:r w:rsidRPr="002040D0">
              <w:rPr>
                <w:rFonts w:ascii="Times New Roman" w:eastAsia="Times New Roman" w:hAnsi="Times New Roman" w:cs="Times New Roman"/>
                <w:b w:val="0"/>
                <w:bCs w:val="0"/>
                <w:color w:val="000000"/>
                <w:sz w:val="24"/>
                <w:szCs w:val="24"/>
                <w:lang w:eastAsia="lv-LV"/>
              </w:rPr>
              <w:t xml:space="preserve"> izmeklēšanas iestādēs, tiesās un </w:t>
            </w:r>
            <w:proofErr w:type="spellStart"/>
            <w:r w:rsidRPr="002040D0">
              <w:rPr>
                <w:rFonts w:ascii="Times New Roman" w:eastAsia="Times New Roman" w:hAnsi="Times New Roman" w:cs="Times New Roman"/>
                <w:b w:val="0"/>
                <w:bCs w:val="0"/>
                <w:color w:val="000000"/>
                <w:sz w:val="24"/>
                <w:szCs w:val="24"/>
                <w:lang w:eastAsia="lv-LV"/>
              </w:rPr>
              <w:t>ārpustiesas</w:t>
            </w:r>
            <w:proofErr w:type="spellEnd"/>
            <w:r w:rsidRPr="002040D0">
              <w:rPr>
                <w:rFonts w:ascii="Times New Roman" w:eastAsia="Times New Roman" w:hAnsi="Times New Roman" w:cs="Times New Roman"/>
                <w:b w:val="0"/>
                <w:bCs w:val="0"/>
                <w:color w:val="000000"/>
                <w:sz w:val="24"/>
                <w:szCs w:val="24"/>
                <w:lang w:eastAsia="lv-LV"/>
              </w:rPr>
              <w:t xml:space="preserve"> strīdu izskatīšanas institūcijās, t.sk. īstenojot </w:t>
            </w:r>
            <w:proofErr w:type="spellStart"/>
            <w:r w:rsidRPr="002040D0">
              <w:rPr>
                <w:rFonts w:ascii="Times New Roman" w:eastAsia="Times New Roman" w:hAnsi="Times New Roman" w:cs="Times New Roman"/>
                <w:b w:val="0"/>
                <w:bCs w:val="0"/>
                <w:color w:val="000000"/>
                <w:sz w:val="24"/>
                <w:szCs w:val="24"/>
                <w:lang w:eastAsia="lv-LV"/>
              </w:rPr>
              <w:t>mazaizsargāto</w:t>
            </w:r>
            <w:proofErr w:type="spellEnd"/>
            <w:r w:rsidRPr="002040D0">
              <w:rPr>
                <w:rFonts w:ascii="Times New Roman" w:eastAsia="Times New Roman" w:hAnsi="Times New Roman" w:cs="Times New Roman"/>
                <w:b w:val="0"/>
                <w:bCs w:val="0"/>
                <w:color w:val="000000"/>
                <w:sz w:val="24"/>
                <w:szCs w:val="24"/>
                <w:lang w:eastAsia="lv-LV"/>
              </w:rPr>
              <w:t xml:space="preserve"> un cietušo personu atbalsta un aizsardzības sistēmu</w:t>
            </w:r>
          </w:p>
        </w:tc>
        <w:tc>
          <w:tcPr>
            <w:tcW w:w="2048" w:type="dxa"/>
            <w:noWrap/>
            <w:vAlign w:val="center"/>
            <w:hideMark/>
          </w:tcPr>
          <w:p w14:paraId="10565B3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15</w:t>
            </w:r>
          </w:p>
        </w:tc>
        <w:tc>
          <w:tcPr>
            <w:tcW w:w="1632" w:type="dxa"/>
            <w:noWrap/>
            <w:vAlign w:val="center"/>
            <w:hideMark/>
          </w:tcPr>
          <w:p w14:paraId="5BF4FF1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21,40</w:t>
            </w:r>
          </w:p>
        </w:tc>
      </w:tr>
      <w:tr w:rsidR="00D252BC" w:rsidRPr="002040D0" w14:paraId="38D28DB3"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DCD7350"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Eiropas Savienības savienojamības mērķiem atbilstoša platjoslas elektronisko sakaru tīkla izveidošana, attīstot “vidējās jūdzes” un “pēdējās jūdzes” elektronisko sakaru tīklu infrastruktūru, un izveidojot platjoslas kartēšanu </w:t>
            </w:r>
          </w:p>
        </w:tc>
        <w:tc>
          <w:tcPr>
            <w:tcW w:w="2048" w:type="dxa"/>
            <w:tcBorders>
              <w:top w:val="none" w:sz="0" w:space="0" w:color="auto"/>
              <w:bottom w:val="none" w:sz="0" w:space="0" w:color="auto"/>
            </w:tcBorders>
            <w:noWrap/>
            <w:vAlign w:val="center"/>
            <w:hideMark/>
          </w:tcPr>
          <w:p w14:paraId="6DCD7D61"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7F4FF0B7"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8,83</w:t>
            </w:r>
          </w:p>
        </w:tc>
      </w:tr>
      <w:tr w:rsidR="00D252BC" w:rsidRPr="002040D0" w14:paraId="6C54BC79"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092D131"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Finansējuma struktūras sabalansēšana visā pētniecības un inovācijas ciklā, samērojot pētniecības un inovācijas kapacitāti ar uzņēmējdarbības vajadzībām jaunu iespēju izmantošanai un tirgus attīstībai</w:t>
            </w:r>
          </w:p>
        </w:tc>
        <w:tc>
          <w:tcPr>
            <w:tcW w:w="2048" w:type="dxa"/>
            <w:noWrap/>
            <w:vAlign w:val="center"/>
            <w:hideMark/>
          </w:tcPr>
          <w:p w14:paraId="1B6FEB0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2F97C45C"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13,29</w:t>
            </w:r>
          </w:p>
        </w:tc>
      </w:tr>
      <w:tr w:rsidR="00D252BC" w:rsidRPr="002040D0" w14:paraId="69E0DDD1"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9CF5540"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Fiziskās un digitālās vides  pieejamības un </w:t>
            </w:r>
            <w:proofErr w:type="spellStart"/>
            <w:r w:rsidRPr="002040D0">
              <w:rPr>
                <w:rFonts w:ascii="Times New Roman" w:eastAsia="Times New Roman" w:hAnsi="Times New Roman" w:cs="Times New Roman"/>
                <w:b w:val="0"/>
                <w:bCs w:val="0"/>
                <w:color w:val="000000"/>
                <w:sz w:val="24"/>
                <w:szCs w:val="24"/>
                <w:lang w:eastAsia="lv-LV"/>
              </w:rPr>
              <w:t>piekļūstamības</w:t>
            </w:r>
            <w:proofErr w:type="spellEnd"/>
            <w:r w:rsidRPr="002040D0">
              <w:rPr>
                <w:rFonts w:ascii="Times New Roman" w:eastAsia="Times New Roman" w:hAnsi="Times New Roman" w:cs="Times New Roman"/>
                <w:b w:val="0"/>
                <w:bCs w:val="0"/>
                <w:color w:val="000000"/>
                <w:sz w:val="24"/>
                <w:szCs w:val="24"/>
                <w:lang w:eastAsia="lv-LV"/>
              </w:rPr>
              <w:t xml:space="preserve"> palielināšana valsts un pašvaldību infrastruktūrā, kā arī digitālo risinājumu izmantošanas veicināšana, paaugstinot iedzīvotāju digitālās prasmes, pilnveidojot  elektroniskās identifikācijas un drošas elektroniskās parakstīšanās sistēmu un nodrošinot vides pieejamību kvalitatīvai pakalpojumu sniegšanai</w:t>
            </w:r>
          </w:p>
        </w:tc>
        <w:tc>
          <w:tcPr>
            <w:tcW w:w="2048" w:type="dxa"/>
            <w:tcBorders>
              <w:top w:val="none" w:sz="0" w:space="0" w:color="auto"/>
              <w:bottom w:val="none" w:sz="0" w:space="0" w:color="auto"/>
            </w:tcBorders>
            <w:noWrap/>
            <w:vAlign w:val="center"/>
            <w:hideMark/>
          </w:tcPr>
          <w:p w14:paraId="720627A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w:t>
            </w:r>
          </w:p>
        </w:tc>
        <w:tc>
          <w:tcPr>
            <w:tcW w:w="1632" w:type="dxa"/>
            <w:tcBorders>
              <w:top w:val="none" w:sz="0" w:space="0" w:color="auto"/>
              <w:bottom w:val="none" w:sz="0" w:space="0" w:color="auto"/>
            </w:tcBorders>
            <w:noWrap/>
            <w:vAlign w:val="center"/>
            <w:hideMark/>
          </w:tcPr>
          <w:p w14:paraId="712D173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2,49</w:t>
            </w:r>
          </w:p>
        </w:tc>
      </w:tr>
      <w:tr w:rsidR="00D252BC" w:rsidRPr="002040D0" w14:paraId="4E87F503"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2AA7B5B"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Gudras, efektīvas un atvērtas pārvaldības īstenošana visos publiskās pārvaldes procesos, par galveno izvirzot cilvēka vajadzības un valsts </w:t>
            </w:r>
            <w:proofErr w:type="spellStart"/>
            <w:r w:rsidRPr="002040D0">
              <w:rPr>
                <w:rFonts w:ascii="Times New Roman" w:eastAsia="Times New Roman" w:hAnsi="Times New Roman" w:cs="Times New Roman"/>
                <w:b w:val="0"/>
                <w:bCs w:val="0"/>
                <w:color w:val="000000"/>
                <w:sz w:val="24"/>
                <w:szCs w:val="24"/>
                <w:lang w:eastAsia="lv-LV"/>
              </w:rPr>
              <w:t>proaktīvu</w:t>
            </w:r>
            <w:proofErr w:type="spellEnd"/>
            <w:r w:rsidRPr="002040D0">
              <w:rPr>
                <w:rFonts w:ascii="Times New Roman" w:eastAsia="Times New Roman" w:hAnsi="Times New Roman" w:cs="Times New Roman"/>
                <w:b w:val="0"/>
                <w:bCs w:val="0"/>
                <w:color w:val="000000"/>
                <w:sz w:val="24"/>
                <w:szCs w:val="24"/>
                <w:lang w:eastAsia="lv-LV"/>
              </w:rPr>
              <w:t xml:space="preserve"> rīcību, īstenojot pierādījumos balstītus risinājumus un starpnozaru koordinētu sadarbību, izmantojot jaunas metodes un digitālās iespējas, pārvaldei sniedzot saprotamu un pieejamu informāciju, nodrošinot iespējas cilvēkiem līdzdarboties politikas veidošanā, un panākot līdzsvarotu sabiedrisko grupu pārstāvību</w:t>
            </w:r>
          </w:p>
        </w:tc>
        <w:tc>
          <w:tcPr>
            <w:tcW w:w="2048" w:type="dxa"/>
            <w:noWrap/>
            <w:vAlign w:val="center"/>
            <w:hideMark/>
          </w:tcPr>
          <w:p w14:paraId="114B497F"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21</w:t>
            </w:r>
          </w:p>
        </w:tc>
        <w:tc>
          <w:tcPr>
            <w:tcW w:w="1632" w:type="dxa"/>
            <w:noWrap/>
            <w:vAlign w:val="center"/>
            <w:hideMark/>
          </w:tcPr>
          <w:p w14:paraId="104F554C"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2,98</w:t>
            </w:r>
          </w:p>
        </w:tc>
      </w:tr>
      <w:tr w:rsidR="00D252BC" w:rsidRPr="002040D0" w14:paraId="00243489"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50CF5AF7"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Ģimeņu labklājības veicināšana, pārskatot pensijas, valsts sociālos pabalstus un atlīdzības,  pilnveidojot nodokļu sistēmu, kā arī sniedzot pārtikas atbalstu un pamata materiālo palīdzību, lai mazinātu nabadzības risku mājsaimniecībās ar bērniem, prioritāri jaunās ģimenēs, </w:t>
            </w:r>
            <w:proofErr w:type="spellStart"/>
            <w:r w:rsidRPr="002040D0">
              <w:rPr>
                <w:rFonts w:ascii="Times New Roman" w:eastAsia="Times New Roman" w:hAnsi="Times New Roman" w:cs="Times New Roman"/>
                <w:b w:val="0"/>
                <w:bCs w:val="0"/>
                <w:color w:val="000000"/>
                <w:sz w:val="24"/>
                <w:szCs w:val="24"/>
                <w:lang w:eastAsia="lv-LV"/>
              </w:rPr>
              <w:t>daudzbērnu</w:t>
            </w:r>
            <w:proofErr w:type="spellEnd"/>
            <w:r w:rsidRPr="002040D0">
              <w:rPr>
                <w:rFonts w:ascii="Times New Roman" w:eastAsia="Times New Roman" w:hAnsi="Times New Roman" w:cs="Times New Roman"/>
                <w:b w:val="0"/>
                <w:bCs w:val="0"/>
                <w:color w:val="000000"/>
                <w:sz w:val="24"/>
                <w:szCs w:val="24"/>
                <w:lang w:eastAsia="lv-LV"/>
              </w:rPr>
              <w:t xml:space="preserve"> un viena vecāka ģimenēs un ģimenēs, kur kāds no vecākiem ir zaudējis darbspējas</w:t>
            </w:r>
          </w:p>
        </w:tc>
        <w:tc>
          <w:tcPr>
            <w:tcW w:w="2048" w:type="dxa"/>
            <w:tcBorders>
              <w:top w:val="none" w:sz="0" w:space="0" w:color="auto"/>
              <w:bottom w:val="none" w:sz="0" w:space="0" w:color="auto"/>
            </w:tcBorders>
            <w:noWrap/>
            <w:vAlign w:val="center"/>
            <w:hideMark/>
          </w:tcPr>
          <w:p w14:paraId="3DE19EA1"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15</w:t>
            </w:r>
          </w:p>
        </w:tc>
        <w:tc>
          <w:tcPr>
            <w:tcW w:w="1632" w:type="dxa"/>
            <w:tcBorders>
              <w:top w:val="none" w:sz="0" w:space="0" w:color="auto"/>
              <w:bottom w:val="none" w:sz="0" w:space="0" w:color="auto"/>
            </w:tcBorders>
            <w:noWrap/>
            <w:vAlign w:val="center"/>
            <w:hideMark/>
          </w:tcPr>
          <w:p w14:paraId="138F6BB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196,21</w:t>
            </w:r>
          </w:p>
        </w:tc>
      </w:tr>
      <w:tr w:rsidR="00D252BC" w:rsidRPr="002040D0" w14:paraId="0FCD17BD"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8001236" w14:textId="3D2D13C3"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Individuālo un institucionālo atbalsta pasākumu veidošana un nodrošināšana sociāli ekonomiskiem riskiem un </w:t>
            </w:r>
            <w:proofErr w:type="spellStart"/>
            <w:r w:rsidRPr="002040D0">
              <w:rPr>
                <w:rFonts w:ascii="Times New Roman" w:eastAsia="Times New Roman" w:hAnsi="Times New Roman" w:cs="Times New Roman"/>
                <w:b w:val="0"/>
                <w:bCs w:val="0"/>
                <w:color w:val="000000"/>
                <w:sz w:val="24"/>
                <w:szCs w:val="24"/>
                <w:lang w:eastAsia="lv-LV"/>
              </w:rPr>
              <w:t>pāridarīšanai</w:t>
            </w:r>
            <w:proofErr w:type="spellEnd"/>
            <w:r w:rsidRPr="002040D0">
              <w:rPr>
                <w:rFonts w:ascii="Times New Roman" w:eastAsia="Times New Roman" w:hAnsi="Times New Roman" w:cs="Times New Roman"/>
                <w:b w:val="0"/>
                <w:bCs w:val="0"/>
                <w:color w:val="000000"/>
                <w:sz w:val="24"/>
                <w:szCs w:val="24"/>
                <w:lang w:eastAsia="lv-LV"/>
              </w:rPr>
              <w:t xml:space="preserve"> pakļautiem bērniem un jauniešiem (jaunajiem vecākiem, studējošajiem no </w:t>
            </w:r>
            <w:r w:rsidRPr="002040D0">
              <w:rPr>
                <w:rFonts w:ascii="Times New Roman" w:eastAsia="Times New Roman" w:hAnsi="Times New Roman" w:cs="Times New Roman"/>
                <w:b w:val="0"/>
                <w:bCs w:val="0"/>
                <w:color w:val="000000"/>
                <w:sz w:val="24"/>
                <w:szCs w:val="24"/>
                <w:lang w:eastAsia="lv-LV"/>
              </w:rPr>
              <w:lastRenderedPageBreak/>
              <w:t xml:space="preserve">trūcīgām un sociāli mazāk aizsargātām ģimenēm, </w:t>
            </w:r>
            <w:proofErr w:type="spellStart"/>
            <w:r w:rsidRPr="002040D0">
              <w:rPr>
                <w:rFonts w:ascii="Times New Roman" w:eastAsia="Times New Roman" w:hAnsi="Times New Roman" w:cs="Times New Roman"/>
                <w:b w:val="0"/>
                <w:bCs w:val="0"/>
                <w:color w:val="000000"/>
                <w:sz w:val="24"/>
                <w:szCs w:val="24"/>
                <w:lang w:eastAsia="lv-LV"/>
              </w:rPr>
              <w:t>remigrantu</w:t>
            </w:r>
            <w:proofErr w:type="spellEnd"/>
            <w:r w:rsidRPr="002040D0">
              <w:rPr>
                <w:rFonts w:ascii="Times New Roman" w:eastAsia="Times New Roman" w:hAnsi="Times New Roman" w:cs="Times New Roman"/>
                <w:b w:val="0"/>
                <w:bCs w:val="0"/>
                <w:color w:val="000000"/>
                <w:sz w:val="24"/>
                <w:szCs w:val="24"/>
                <w:lang w:eastAsia="lv-LV"/>
              </w:rPr>
              <w:t xml:space="preserve"> un migrantu bērniem), sniedzot materiālo (stipendiju fondi, transporta, ēdināšanas, dienesta viesnīcas izdevumu segšana) un cita veida (valodas apguve, psiholoģiskā palīdzība u.c.) atbalstu</w:t>
            </w:r>
          </w:p>
        </w:tc>
        <w:tc>
          <w:tcPr>
            <w:tcW w:w="2048" w:type="dxa"/>
            <w:noWrap/>
            <w:vAlign w:val="center"/>
            <w:hideMark/>
          </w:tcPr>
          <w:p w14:paraId="05C75C11"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1</w:t>
            </w:r>
          </w:p>
        </w:tc>
        <w:tc>
          <w:tcPr>
            <w:tcW w:w="1632" w:type="dxa"/>
            <w:noWrap/>
            <w:vAlign w:val="center"/>
            <w:hideMark/>
          </w:tcPr>
          <w:p w14:paraId="4C23ADBD"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0,06</w:t>
            </w:r>
          </w:p>
        </w:tc>
      </w:tr>
      <w:tr w:rsidR="00D252BC" w:rsidRPr="002040D0" w14:paraId="317E95A7"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A1465B5"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Izcilu pedagogu sagatavošana, piesaiste, noturēšana un efektīva profesionālā pilnveide, jo īpaši akcentējot STEM nozaru pedagogu un mācībspēku piesaisti, noturēšanu un kvalifikācijas paaugstināšanu, kā arī pedagogu atalgojuma paaugstināšana</w:t>
            </w:r>
          </w:p>
        </w:tc>
        <w:tc>
          <w:tcPr>
            <w:tcW w:w="2048" w:type="dxa"/>
            <w:tcBorders>
              <w:top w:val="none" w:sz="0" w:space="0" w:color="auto"/>
              <w:bottom w:val="none" w:sz="0" w:space="0" w:color="auto"/>
            </w:tcBorders>
            <w:noWrap/>
            <w:vAlign w:val="center"/>
            <w:hideMark/>
          </w:tcPr>
          <w:p w14:paraId="0B8EA58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12</w:t>
            </w:r>
          </w:p>
        </w:tc>
        <w:tc>
          <w:tcPr>
            <w:tcW w:w="1632" w:type="dxa"/>
            <w:tcBorders>
              <w:top w:val="none" w:sz="0" w:space="0" w:color="auto"/>
              <w:bottom w:val="none" w:sz="0" w:space="0" w:color="auto"/>
            </w:tcBorders>
            <w:noWrap/>
            <w:vAlign w:val="center"/>
            <w:hideMark/>
          </w:tcPr>
          <w:p w14:paraId="7A6FE3AE"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52,67</w:t>
            </w:r>
          </w:p>
        </w:tc>
      </w:tr>
      <w:tr w:rsidR="00D252BC" w:rsidRPr="002040D0" w14:paraId="4A1E76CA"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4002DB"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Izstrādāt mehānismu, kas paredzētu iespēju privātpersonām saņemt </w:t>
            </w:r>
            <w:proofErr w:type="spellStart"/>
            <w:r w:rsidRPr="002040D0">
              <w:rPr>
                <w:rFonts w:ascii="Times New Roman" w:eastAsia="Times New Roman" w:hAnsi="Times New Roman" w:cs="Times New Roman"/>
                <w:b w:val="0"/>
                <w:bCs w:val="0"/>
                <w:color w:val="000000"/>
                <w:sz w:val="24"/>
                <w:szCs w:val="24"/>
                <w:lang w:eastAsia="lv-LV"/>
              </w:rPr>
              <w:t>grantu</w:t>
            </w:r>
            <w:proofErr w:type="spellEnd"/>
            <w:r w:rsidRPr="002040D0">
              <w:rPr>
                <w:rFonts w:ascii="Times New Roman" w:eastAsia="Times New Roman" w:hAnsi="Times New Roman" w:cs="Times New Roman"/>
                <w:b w:val="0"/>
                <w:bCs w:val="0"/>
                <w:color w:val="000000"/>
                <w:sz w:val="24"/>
                <w:szCs w:val="24"/>
                <w:lang w:eastAsia="lv-LV"/>
              </w:rPr>
              <w:t xml:space="preserve"> mājokļa iegādei vai būvniecībai, kur piešķiramā </w:t>
            </w:r>
            <w:proofErr w:type="spellStart"/>
            <w:r w:rsidRPr="002040D0">
              <w:rPr>
                <w:rFonts w:ascii="Times New Roman" w:eastAsia="Times New Roman" w:hAnsi="Times New Roman" w:cs="Times New Roman"/>
                <w:b w:val="0"/>
                <w:bCs w:val="0"/>
                <w:color w:val="000000"/>
                <w:sz w:val="24"/>
                <w:szCs w:val="24"/>
                <w:lang w:eastAsia="lv-LV"/>
              </w:rPr>
              <w:t>granta</w:t>
            </w:r>
            <w:proofErr w:type="spellEnd"/>
            <w:r w:rsidRPr="002040D0">
              <w:rPr>
                <w:rFonts w:ascii="Times New Roman" w:eastAsia="Times New Roman" w:hAnsi="Times New Roman" w:cs="Times New Roman"/>
                <w:b w:val="0"/>
                <w:bCs w:val="0"/>
                <w:color w:val="000000"/>
                <w:sz w:val="24"/>
                <w:szCs w:val="24"/>
                <w:lang w:eastAsia="lv-LV"/>
              </w:rPr>
              <w:t xml:space="preserve"> apmērs tiek noteikts pēc bērnu skaita ģimenē</w:t>
            </w:r>
          </w:p>
        </w:tc>
        <w:tc>
          <w:tcPr>
            <w:tcW w:w="2048" w:type="dxa"/>
            <w:noWrap/>
            <w:vAlign w:val="center"/>
            <w:hideMark/>
          </w:tcPr>
          <w:p w14:paraId="12BA679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142427F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5,00</w:t>
            </w:r>
          </w:p>
        </w:tc>
      </w:tr>
      <w:tr w:rsidR="00D252BC" w:rsidRPr="002040D0" w14:paraId="59C193AF"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DBFFC7A" w14:textId="44BBB299"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Kapitāla tirgus (t.sk. </w:t>
            </w:r>
            <w:r w:rsidR="00606949" w:rsidRPr="002040D0">
              <w:rPr>
                <w:rFonts w:ascii="Times New Roman" w:eastAsia="Times New Roman" w:hAnsi="Times New Roman" w:cs="Times New Roman"/>
                <w:b w:val="0"/>
                <w:bCs w:val="0"/>
                <w:color w:val="000000"/>
                <w:sz w:val="24"/>
                <w:szCs w:val="24"/>
                <w:lang w:eastAsia="lv-LV"/>
              </w:rPr>
              <w:t>“</w:t>
            </w:r>
            <w:r w:rsidRPr="002040D0">
              <w:rPr>
                <w:rFonts w:ascii="Times New Roman" w:eastAsia="Times New Roman" w:hAnsi="Times New Roman" w:cs="Times New Roman"/>
                <w:b w:val="0"/>
                <w:bCs w:val="0"/>
                <w:color w:val="000000"/>
                <w:sz w:val="24"/>
                <w:szCs w:val="24"/>
                <w:lang w:eastAsia="lv-LV"/>
              </w:rPr>
              <w:t>zaļo</w:t>
            </w:r>
            <w:r w:rsidR="00606949" w:rsidRPr="002040D0">
              <w:rPr>
                <w:rFonts w:ascii="Times New Roman" w:eastAsia="Times New Roman" w:hAnsi="Times New Roman" w:cs="Times New Roman"/>
                <w:b w:val="0"/>
                <w:bCs w:val="0"/>
                <w:color w:val="000000"/>
                <w:sz w:val="24"/>
                <w:szCs w:val="24"/>
                <w:lang w:eastAsia="lv-LV"/>
              </w:rPr>
              <w:t>”</w:t>
            </w:r>
            <w:r w:rsidRPr="002040D0">
              <w:rPr>
                <w:rFonts w:ascii="Times New Roman" w:eastAsia="Times New Roman" w:hAnsi="Times New Roman" w:cs="Times New Roman"/>
                <w:b w:val="0"/>
                <w:bCs w:val="0"/>
                <w:color w:val="000000"/>
                <w:sz w:val="24"/>
                <w:szCs w:val="24"/>
                <w:lang w:eastAsia="lv-LV"/>
              </w:rPr>
              <w:t xml:space="preserve"> finansēšanas instrumentu) attīstīšana un finansējuma pieejamības veicināšana (t.sk. caur finanšu inovācijas un kreditēšanas tempu pieaugumu atbilstoši IKP izaugsmei, pensiju plānu līdzekļu ieguldījumiem Latvijas tautsaimniecībā)</w:t>
            </w:r>
          </w:p>
        </w:tc>
        <w:tc>
          <w:tcPr>
            <w:tcW w:w="2048" w:type="dxa"/>
            <w:tcBorders>
              <w:top w:val="none" w:sz="0" w:space="0" w:color="auto"/>
              <w:bottom w:val="none" w:sz="0" w:space="0" w:color="auto"/>
            </w:tcBorders>
            <w:noWrap/>
            <w:vAlign w:val="center"/>
            <w:hideMark/>
          </w:tcPr>
          <w:p w14:paraId="194586A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1B4C50B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37,52</w:t>
            </w:r>
          </w:p>
        </w:tc>
      </w:tr>
      <w:tr w:rsidR="00D252BC" w:rsidRPr="002040D0" w14:paraId="08B7C8DB"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24B8F8A"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Klimata pārmaiņu ietekmju mazināšana, īstenojot pielāgošanās klimata pārmaiņām pasākumus un panākot materiāltehniskā un infrastruktūras nodrošinājuma uzlabojumus (katastrofu draudu, t.sk., plūdu un krasta erozijas,  novēršanas un to pārvaldīšanas pasākumu īstenošanai), kā arī tautsaimniecības nozaru pārvaldībā, un ilgtspējīgā nokrišņu notekūdeņu apsaimniekošanā, ņemot vērā jaunākos zinātniskos datus un prognozes par </w:t>
            </w:r>
            <w:proofErr w:type="spellStart"/>
            <w:r w:rsidRPr="002040D0">
              <w:rPr>
                <w:rFonts w:ascii="Times New Roman" w:eastAsia="Times New Roman" w:hAnsi="Times New Roman" w:cs="Times New Roman"/>
                <w:b w:val="0"/>
                <w:bCs w:val="0"/>
                <w:color w:val="000000"/>
                <w:sz w:val="24"/>
                <w:szCs w:val="24"/>
                <w:lang w:eastAsia="lv-LV"/>
              </w:rPr>
              <w:t>klimatnoturīguma</w:t>
            </w:r>
            <w:proofErr w:type="spellEnd"/>
            <w:r w:rsidRPr="002040D0">
              <w:rPr>
                <w:rFonts w:ascii="Times New Roman" w:eastAsia="Times New Roman" w:hAnsi="Times New Roman" w:cs="Times New Roman"/>
                <w:b w:val="0"/>
                <w:bCs w:val="0"/>
                <w:color w:val="000000"/>
                <w:sz w:val="24"/>
                <w:szCs w:val="24"/>
                <w:lang w:eastAsia="lv-LV"/>
              </w:rPr>
              <w:t xml:space="preserve"> sasniegšanu un stiprināšanu</w:t>
            </w:r>
          </w:p>
        </w:tc>
        <w:tc>
          <w:tcPr>
            <w:tcW w:w="2048" w:type="dxa"/>
            <w:noWrap/>
            <w:vAlign w:val="center"/>
            <w:hideMark/>
          </w:tcPr>
          <w:p w14:paraId="57CEA1B5"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w:t>
            </w:r>
          </w:p>
        </w:tc>
        <w:tc>
          <w:tcPr>
            <w:tcW w:w="1632" w:type="dxa"/>
            <w:noWrap/>
            <w:vAlign w:val="center"/>
            <w:hideMark/>
          </w:tcPr>
          <w:p w14:paraId="2D1E9145"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15,28</w:t>
            </w:r>
          </w:p>
        </w:tc>
      </w:tr>
      <w:tr w:rsidR="00D252BC" w:rsidRPr="002040D0" w14:paraId="632C6A7D"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DA1234C" w14:textId="055BE46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Konkurētspējīga un atvērta regulējuma nodrošināšana nākotnes tehnoloģijām (t.sk. digitālo risinājumu ieviešana informācijas apmaiņā gan starp pašiem uzņēmējiem, gan valsts un pašvaldības iestādēm)</w:t>
            </w:r>
          </w:p>
        </w:tc>
        <w:tc>
          <w:tcPr>
            <w:tcW w:w="2048" w:type="dxa"/>
            <w:tcBorders>
              <w:top w:val="none" w:sz="0" w:space="0" w:color="auto"/>
              <w:bottom w:val="none" w:sz="0" w:space="0" w:color="auto"/>
            </w:tcBorders>
            <w:noWrap/>
            <w:vAlign w:val="center"/>
            <w:hideMark/>
          </w:tcPr>
          <w:p w14:paraId="79D3D4C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4E95C827"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0,03</w:t>
            </w:r>
          </w:p>
        </w:tc>
      </w:tr>
      <w:tr w:rsidR="00D252BC" w:rsidRPr="002040D0" w14:paraId="1339AD83"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FE33F3"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Kultūras mantojuma, sporta tradīciju un vērtību saglabāšana un nodošana nākamajām paaudzēm, iesaistot iedzīvotājus un nodrošinot jaunāko IKT izmantošanu, lai pilnvērtīgi iekļautos pasaules kultūras telpā un sportā</w:t>
            </w:r>
          </w:p>
        </w:tc>
        <w:tc>
          <w:tcPr>
            <w:tcW w:w="2048" w:type="dxa"/>
            <w:noWrap/>
            <w:vAlign w:val="center"/>
            <w:hideMark/>
          </w:tcPr>
          <w:p w14:paraId="681BB26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w:t>
            </w:r>
          </w:p>
        </w:tc>
        <w:tc>
          <w:tcPr>
            <w:tcW w:w="1632" w:type="dxa"/>
            <w:noWrap/>
            <w:vAlign w:val="center"/>
            <w:hideMark/>
          </w:tcPr>
          <w:p w14:paraId="09977A4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1,10</w:t>
            </w:r>
          </w:p>
        </w:tc>
      </w:tr>
      <w:tr w:rsidR="00D252BC" w:rsidRPr="002040D0" w14:paraId="31688B35"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26C24046"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Kultūras un sporta pakalpojumu un infrastruktūras kartēšana un reģionālās koordinēšanas sistēmas izveidošana, lai attīstītu un efektīvi izmantotu esošo kultūras un sporta infrastruktūru un investētu jaunas infrastruktūras radīšanā</w:t>
            </w:r>
          </w:p>
        </w:tc>
        <w:tc>
          <w:tcPr>
            <w:tcW w:w="2048" w:type="dxa"/>
            <w:tcBorders>
              <w:top w:val="none" w:sz="0" w:space="0" w:color="auto"/>
              <w:bottom w:val="none" w:sz="0" w:space="0" w:color="auto"/>
            </w:tcBorders>
            <w:noWrap/>
            <w:vAlign w:val="center"/>
            <w:hideMark/>
          </w:tcPr>
          <w:p w14:paraId="0528946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w:t>
            </w:r>
          </w:p>
        </w:tc>
        <w:tc>
          <w:tcPr>
            <w:tcW w:w="1632" w:type="dxa"/>
            <w:tcBorders>
              <w:top w:val="none" w:sz="0" w:space="0" w:color="auto"/>
              <w:bottom w:val="none" w:sz="0" w:space="0" w:color="auto"/>
            </w:tcBorders>
            <w:noWrap/>
            <w:vAlign w:val="center"/>
            <w:hideMark/>
          </w:tcPr>
          <w:p w14:paraId="00D2C8A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6,24</w:t>
            </w:r>
          </w:p>
        </w:tc>
      </w:tr>
      <w:tr w:rsidR="00D252BC" w:rsidRPr="002040D0" w14:paraId="14AED656"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2B1303F"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Kultūras, sporta un tūrisma pakalpojumu eksporta palielināšana, popularizējot Latvijas tēlu un veicinot kultūras un sporta pakalpojumu patērētāju un investīciju piesaisti</w:t>
            </w:r>
          </w:p>
        </w:tc>
        <w:tc>
          <w:tcPr>
            <w:tcW w:w="2048" w:type="dxa"/>
            <w:noWrap/>
            <w:vAlign w:val="center"/>
            <w:hideMark/>
          </w:tcPr>
          <w:p w14:paraId="3294A48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13</w:t>
            </w:r>
          </w:p>
        </w:tc>
        <w:tc>
          <w:tcPr>
            <w:tcW w:w="1632" w:type="dxa"/>
            <w:noWrap/>
            <w:vAlign w:val="center"/>
            <w:hideMark/>
          </w:tcPr>
          <w:p w14:paraId="0B77F99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10,95</w:t>
            </w:r>
          </w:p>
        </w:tc>
      </w:tr>
      <w:tr w:rsidR="00D252BC" w:rsidRPr="002040D0" w14:paraId="2129D694"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2614D1E"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Kvalitatīvu (t.sk. drošu) darba vietu izveide un uzturēšana, sociāli atbildīgas uzņēmējdarbības </w:t>
            </w:r>
            <w:r w:rsidRPr="002040D0">
              <w:rPr>
                <w:rFonts w:ascii="Times New Roman" w:eastAsia="Times New Roman" w:hAnsi="Times New Roman" w:cs="Times New Roman"/>
                <w:b w:val="0"/>
                <w:bCs w:val="0"/>
                <w:color w:val="000000"/>
                <w:sz w:val="24"/>
                <w:szCs w:val="24"/>
                <w:lang w:eastAsia="lv-LV"/>
              </w:rPr>
              <w:lastRenderedPageBreak/>
              <w:t>sekmēšana un atbalsts sociālās uzņēmējdarbības attīstībai</w:t>
            </w:r>
          </w:p>
        </w:tc>
        <w:tc>
          <w:tcPr>
            <w:tcW w:w="2048" w:type="dxa"/>
            <w:tcBorders>
              <w:top w:val="none" w:sz="0" w:space="0" w:color="auto"/>
              <w:bottom w:val="none" w:sz="0" w:space="0" w:color="auto"/>
            </w:tcBorders>
            <w:noWrap/>
            <w:vAlign w:val="center"/>
            <w:hideMark/>
          </w:tcPr>
          <w:p w14:paraId="39D825A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2</w:t>
            </w:r>
          </w:p>
        </w:tc>
        <w:tc>
          <w:tcPr>
            <w:tcW w:w="1632" w:type="dxa"/>
            <w:tcBorders>
              <w:top w:val="none" w:sz="0" w:space="0" w:color="auto"/>
              <w:bottom w:val="none" w:sz="0" w:space="0" w:color="auto"/>
            </w:tcBorders>
            <w:noWrap/>
            <w:vAlign w:val="center"/>
            <w:hideMark/>
          </w:tcPr>
          <w:p w14:paraId="3428ED71"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2,51</w:t>
            </w:r>
          </w:p>
        </w:tc>
      </w:tr>
      <w:tr w:rsidR="00D252BC" w:rsidRPr="002040D0" w14:paraId="33096D1F"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D19AD07"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Mazināt darbaspēka nodokļu slogu zemu ienākumu saņēmējiem, pārnesot to uz nodokļiem, kas mazāk kavē izaugsmi, risinājumus izvērtējot kopsakarā ar sociālā nodrošinājuma sistēmu</w:t>
            </w:r>
          </w:p>
        </w:tc>
        <w:tc>
          <w:tcPr>
            <w:tcW w:w="2048" w:type="dxa"/>
            <w:noWrap/>
            <w:vAlign w:val="center"/>
            <w:hideMark/>
          </w:tcPr>
          <w:p w14:paraId="3D0FC766"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w:t>
            </w:r>
          </w:p>
        </w:tc>
        <w:tc>
          <w:tcPr>
            <w:tcW w:w="1632" w:type="dxa"/>
            <w:noWrap/>
            <w:vAlign w:val="center"/>
            <w:hideMark/>
          </w:tcPr>
          <w:p w14:paraId="2161767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117,20</w:t>
            </w:r>
          </w:p>
        </w:tc>
      </w:tr>
      <w:tr w:rsidR="00D252BC" w:rsidRPr="002040D0" w14:paraId="6572A957"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BAC0E37"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Motivēt arvien lielāku iedzīvotāju daļu iesaistīties uzņēmējdarbībā (t.sk. ar darbinieku finanšu līdzdalību u.c. instrumentiem, darbinieku opcijām u.c. rīkiem)</w:t>
            </w:r>
          </w:p>
        </w:tc>
        <w:tc>
          <w:tcPr>
            <w:tcW w:w="2048" w:type="dxa"/>
            <w:tcBorders>
              <w:top w:val="none" w:sz="0" w:space="0" w:color="auto"/>
              <w:bottom w:val="none" w:sz="0" w:space="0" w:color="auto"/>
            </w:tcBorders>
            <w:noWrap/>
            <w:vAlign w:val="center"/>
            <w:hideMark/>
          </w:tcPr>
          <w:p w14:paraId="62AA003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w:t>
            </w:r>
          </w:p>
        </w:tc>
        <w:tc>
          <w:tcPr>
            <w:tcW w:w="1632" w:type="dxa"/>
            <w:tcBorders>
              <w:top w:val="none" w:sz="0" w:space="0" w:color="auto"/>
              <w:bottom w:val="none" w:sz="0" w:space="0" w:color="auto"/>
            </w:tcBorders>
            <w:noWrap/>
            <w:vAlign w:val="center"/>
            <w:hideMark/>
          </w:tcPr>
          <w:p w14:paraId="2ED611B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5,43</w:t>
            </w:r>
          </w:p>
        </w:tc>
      </w:tr>
      <w:tr w:rsidR="00D252BC" w:rsidRPr="002040D0" w14:paraId="6D6EC36E"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AD76537" w14:textId="239458EB"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Multimodāla sabiedriskā transporta tīkla ar dzelzceļu kā sabiedriskā transporta </w:t>
            </w:r>
            <w:r w:rsidR="007B5314" w:rsidRPr="002040D0">
              <w:rPr>
                <w:rFonts w:ascii="Times New Roman" w:eastAsia="Times New Roman" w:hAnsi="Times New Roman" w:cs="Times New Roman"/>
                <w:b w:val="0"/>
                <w:bCs w:val="0"/>
                <w:color w:val="000000"/>
                <w:sz w:val="24"/>
                <w:szCs w:val="24"/>
                <w:lang w:eastAsia="lv-LV"/>
              </w:rPr>
              <w:t>“</w:t>
            </w:r>
            <w:r w:rsidRPr="002040D0">
              <w:rPr>
                <w:rFonts w:ascii="Times New Roman" w:eastAsia="Times New Roman" w:hAnsi="Times New Roman" w:cs="Times New Roman"/>
                <w:b w:val="0"/>
                <w:bCs w:val="0"/>
                <w:color w:val="000000"/>
                <w:sz w:val="24"/>
                <w:szCs w:val="24"/>
                <w:lang w:eastAsia="lv-LV"/>
              </w:rPr>
              <w:t>mugurkaulu</w:t>
            </w:r>
            <w:r w:rsidR="007B5314" w:rsidRPr="002040D0">
              <w:rPr>
                <w:rFonts w:ascii="Times New Roman" w:eastAsia="Times New Roman" w:hAnsi="Times New Roman" w:cs="Times New Roman"/>
                <w:b w:val="0"/>
                <w:bCs w:val="0"/>
                <w:color w:val="000000"/>
                <w:sz w:val="24"/>
                <w:szCs w:val="24"/>
                <w:lang w:eastAsia="lv-LV"/>
              </w:rPr>
              <w:t>”</w:t>
            </w:r>
            <w:r w:rsidRPr="002040D0">
              <w:rPr>
                <w:rFonts w:ascii="Times New Roman" w:eastAsia="Times New Roman" w:hAnsi="Times New Roman" w:cs="Times New Roman"/>
                <w:b w:val="0"/>
                <w:bCs w:val="0"/>
                <w:color w:val="000000"/>
                <w:sz w:val="24"/>
                <w:szCs w:val="24"/>
                <w:lang w:eastAsia="lv-LV"/>
              </w:rPr>
              <w:t xml:space="preserve"> izveidošana, integrējot Rail </w:t>
            </w:r>
            <w:proofErr w:type="spellStart"/>
            <w:r w:rsidRPr="002040D0">
              <w:rPr>
                <w:rFonts w:ascii="Times New Roman" w:eastAsia="Times New Roman" w:hAnsi="Times New Roman" w:cs="Times New Roman"/>
                <w:b w:val="0"/>
                <w:bCs w:val="0"/>
                <w:color w:val="000000"/>
                <w:sz w:val="24"/>
                <w:szCs w:val="24"/>
                <w:lang w:eastAsia="lv-LV"/>
              </w:rPr>
              <w:t>Baltica</w:t>
            </w:r>
            <w:proofErr w:type="spellEnd"/>
            <w:r w:rsidRPr="002040D0">
              <w:rPr>
                <w:rFonts w:ascii="Times New Roman" w:eastAsia="Times New Roman" w:hAnsi="Times New Roman" w:cs="Times New Roman"/>
                <w:b w:val="0"/>
                <w:bCs w:val="0"/>
                <w:color w:val="000000"/>
                <w:sz w:val="24"/>
                <w:szCs w:val="24"/>
                <w:lang w:eastAsia="lv-LV"/>
              </w:rPr>
              <w:t xml:space="preserve"> esošajā valsts un pašvaldību transporta tīklā, veidojot multimodālus transporta un pasažieru pārsēšanās mezglus, veicinot reģionu sasniedzamību, iedzīvotāju mobilitāti un vides pieejamību, turpinot dzelzceļa elektrifikāciju, vienlaikus attīstot drošu autoceļu un ielu infrastruktūru, un nodrošinot ērtus savienojumus starp vilciena un autobusu reisiem, visās darbībās nodrošinot </w:t>
            </w:r>
            <w:proofErr w:type="spellStart"/>
            <w:r w:rsidRPr="002040D0">
              <w:rPr>
                <w:rFonts w:ascii="Times New Roman" w:eastAsia="Times New Roman" w:hAnsi="Times New Roman" w:cs="Times New Roman"/>
                <w:b w:val="0"/>
                <w:bCs w:val="0"/>
                <w:color w:val="000000"/>
                <w:sz w:val="24"/>
                <w:szCs w:val="24"/>
                <w:lang w:eastAsia="lv-LV"/>
              </w:rPr>
              <w:t>piekļūstamības</w:t>
            </w:r>
            <w:proofErr w:type="spellEnd"/>
            <w:r w:rsidRPr="002040D0">
              <w:rPr>
                <w:rFonts w:ascii="Times New Roman" w:eastAsia="Times New Roman" w:hAnsi="Times New Roman" w:cs="Times New Roman"/>
                <w:b w:val="0"/>
                <w:bCs w:val="0"/>
                <w:color w:val="000000"/>
                <w:sz w:val="24"/>
                <w:szCs w:val="24"/>
                <w:lang w:eastAsia="lv-LV"/>
              </w:rPr>
              <w:t xml:space="preserve"> prasības</w:t>
            </w:r>
          </w:p>
        </w:tc>
        <w:tc>
          <w:tcPr>
            <w:tcW w:w="2048" w:type="dxa"/>
            <w:noWrap/>
            <w:vAlign w:val="center"/>
            <w:hideMark/>
          </w:tcPr>
          <w:p w14:paraId="3452DD6D"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13</w:t>
            </w:r>
          </w:p>
        </w:tc>
        <w:tc>
          <w:tcPr>
            <w:tcW w:w="1632" w:type="dxa"/>
            <w:noWrap/>
            <w:vAlign w:val="center"/>
            <w:hideMark/>
          </w:tcPr>
          <w:p w14:paraId="6A056E8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202,43</w:t>
            </w:r>
          </w:p>
        </w:tc>
      </w:tr>
      <w:tr w:rsidR="00D252BC" w:rsidRPr="002040D0" w14:paraId="6E8A9EEE"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D4C333E"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Mūsdienu tehnoloģiju un racionālas, resursu efektīvas, </w:t>
            </w:r>
            <w:proofErr w:type="spellStart"/>
            <w:r w:rsidRPr="002040D0">
              <w:rPr>
                <w:rFonts w:ascii="Times New Roman" w:eastAsia="Times New Roman" w:hAnsi="Times New Roman" w:cs="Times New Roman"/>
                <w:b w:val="0"/>
                <w:bCs w:val="0"/>
                <w:color w:val="000000"/>
                <w:sz w:val="24"/>
                <w:szCs w:val="24"/>
                <w:lang w:eastAsia="lv-LV"/>
              </w:rPr>
              <w:t>lietotājorientētas</w:t>
            </w:r>
            <w:proofErr w:type="spellEnd"/>
            <w:r w:rsidRPr="002040D0">
              <w:rPr>
                <w:rFonts w:ascii="Times New Roman" w:eastAsia="Times New Roman" w:hAnsi="Times New Roman" w:cs="Times New Roman"/>
                <w:b w:val="0"/>
                <w:bCs w:val="0"/>
                <w:color w:val="000000"/>
                <w:sz w:val="24"/>
                <w:szCs w:val="24"/>
                <w:lang w:eastAsia="lv-LV"/>
              </w:rPr>
              <w:t xml:space="preserve"> un atvērtas pārvaldības ieviešana, lai  kvalitatīvi nodrošinātu publiskos pakalpojumus, ievērojot “primāri digitāls”, </w:t>
            </w:r>
            <w:proofErr w:type="spellStart"/>
            <w:r w:rsidRPr="002040D0">
              <w:rPr>
                <w:rFonts w:ascii="Times New Roman" w:eastAsia="Times New Roman" w:hAnsi="Times New Roman" w:cs="Times New Roman"/>
                <w:b w:val="0"/>
                <w:bCs w:val="0"/>
                <w:color w:val="000000"/>
                <w:sz w:val="24"/>
                <w:szCs w:val="24"/>
                <w:lang w:eastAsia="lv-LV"/>
              </w:rPr>
              <w:t>proaktīvas</w:t>
            </w:r>
            <w:proofErr w:type="spellEnd"/>
            <w:r w:rsidRPr="002040D0">
              <w:rPr>
                <w:rFonts w:ascii="Times New Roman" w:eastAsia="Times New Roman" w:hAnsi="Times New Roman" w:cs="Times New Roman"/>
                <w:b w:val="0"/>
                <w:bCs w:val="0"/>
                <w:color w:val="000000"/>
                <w:sz w:val="24"/>
                <w:szCs w:val="24"/>
                <w:lang w:eastAsia="lv-LV"/>
              </w:rPr>
              <w:t xml:space="preserve"> pakalpojumu sniegšanas un </w:t>
            </w:r>
            <w:proofErr w:type="spellStart"/>
            <w:r w:rsidRPr="002040D0">
              <w:rPr>
                <w:rFonts w:ascii="Times New Roman" w:eastAsia="Times New Roman" w:hAnsi="Times New Roman" w:cs="Times New Roman"/>
                <w:b w:val="0"/>
                <w:bCs w:val="0"/>
                <w:color w:val="000000"/>
                <w:sz w:val="24"/>
                <w:szCs w:val="24"/>
                <w:lang w:eastAsia="lv-LV"/>
              </w:rPr>
              <w:t>vienreizes</w:t>
            </w:r>
            <w:proofErr w:type="spellEnd"/>
            <w:r w:rsidRPr="002040D0">
              <w:rPr>
                <w:rFonts w:ascii="Times New Roman" w:eastAsia="Times New Roman" w:hAnsi="Times New Roman" w:cs="Times New Roman"/>
                <w:b w:val="0"/>
                <w:bCs w:val="0"/>
                <w:color w:val="000000"/>
                <w:sz w:val="24"/>
                <w:szCs w:val="24"/>
                <w:lang w:eastAsia="lv-LV"/>
              </w:rPr>
              <w:t xml:space="preserve"> principu, t.sk. pārrobežu, kā arī veiktu valsts pārvaldes un pašvaldību IKT infrastruktūras un atbalsta procesu optimizāciju un centralizāciju</w:t>
            </w:r>
          </w:p>
        </w:tc>
        <w:tc>
          <w:tcPr>
            <w:tcW w:w="2048" w:type="dxa"/>
            <w:tcBorders>
              <w:top w:val="none" w:sz="0" w:space="0" w:color="auto"/>
              <w:bottom w:val="none" w:sz="0" w:space="0" w:color="auto"/>
            </w:tcBorders>
            <w:noWrap/>
            <w:vAlign w:val="center"/>
            <w:hideMark/>
          </w:tcPr>
          <w:p w14:paraId="7F56BB1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3D54854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21,71</w:t>
            </w:r>
          </w:p>
        </w:tc>
      </w:tr>
      <w:tr w:rsidR="00D252BC" w:rsidRPr="002040D0" w14:paraId="7D68C88B"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70006FF"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Nabadzības, materiālās </w:t>
            </w:r>
            <w:proofErr w:type="spellStart"/>
            <w:r w:rsidRPr="002040D0">
              <w:rPr>
                <w:rFonts w:ascii="Times New Roman" w:eastAsia="Times New Roman" w:hAnsi="Times New Roman" w:cs="Times New Roman"/>
                <w:b w:val="0"/>
                <w:bCs w:val="0"/>
                <w:color w:val="000000"/>
                <w:sz w:val="24"/>
                <w:szCs w:val="24"/>
                <w:lang w:eastAsia="lv-LV"/>
              </w:rPr>
              <w:t>nenodrošinātības</w:t>
            </w:r>
            <w:proofErr w:type="spellEnd"/>
            <w:r w:rsidRPr="002040D0">
              <w:rPr>
                <w:rFonts w:ascii="Times New Roman" w:eastAsia="Times New Roman" w:hAnsi="Times New Roman" w:cs="Times New Roman"/>
                <w:b w:val="0"/>
                <w:bCs w:val="0"/>
                <w:color w:val="000000"/>
                <w:sz w:val="24"/>
                <w:szCs w:val="24"/>
                <w:lang w:eastAsia="lv-LV"/>
              </w:rPr>
              <w:t xml:space="preserve"> un ienākumu nevienlīdzības mazināšana, īpaši nabadzības riskam visvairāk pakļautajām iedzīvotāju grupām (pensionāri, personas ar invaliditāti), un labvēlīgāku priekšnoteikumu radīšana materiālai pietiekamībai nākotnes pensionāriem</w:t>
            </w:r>
          </w:p>
        </w:tc>
        <w:tc>
          <w:tcPr>
            <w:tcW w:w="2048" w:type="dxa"/>
            <w:noWrap/>
            <w:vAlign w:val="center"/>
            <w:hideMark/>
          </w:tcPr>
          <w:p w14:paraId="37194C4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w:t>
            </w:r>
          </w:p>
        </w:tc>
        <w:tc>
          <w:tcPr>
            <w:tcW w:w="1632" w:type="dxa"/>
            <w:noWrap/>
            <w:vAlign w:val="center"/>
            <w:hideMark/>
          </w:tcPr>
          <w:p w14:paraId="608F8832"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106,05</w:t>
            </w:r>
          </w:p>
        </w:tc>
      </w:tr>
      <w:tr w:rsidR="00D252BC" w:rsidRPr="002040D0" w14:paraId="34595E95"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37E2694B" w14:textId="6FBF7DB5"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Nacionālās identitātes apziņas stiprināšana dažādām iedzīvotāju grupām, atbalstot saliedējošu pasākumu īstenošanu kultūras, valodas, teritoriālās, vēsturiskās atmiņas, politiskās un kopīgās ekonomikas dimensijās</w:t>
            </w:r>
          </w:p>
        </w:tc>
        <w:tc>
          <w:tcPr>
            <w:tcW w:w="2048" w:type="dxa"/>
            <w:tcBorders>
              <w:top w:val="none" w:sz="0" w:space="0" w:color="auto"/>
              <w:bottom w:val="none" w:sz="0" w:space="0" w:color="auto"/>
            </w:tcBorders>
            <w:noWrap/>
            <w:vAlign w:val="center"/>
            <w:hideMark/>
          </w:tcPr>
          <w:p w14:paraId="03EE3233"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64087ABC"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4,29</w:t>
            </w:r>
          </w:p>
        </w:tc>
      </w:tr>
      <w:tr w:rsidR="00D252BC" w:rsidRPr="002040D0" w14:paraId="67A3B201"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38E3D43"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Optimāla ārstniecības personu skaita nodrošināšana valsts apmaksāto veselības aprūpes pakalpojumu sektorā, gan palielinot darba samaksu, gan attīstot citus motivācijas rīkus, kā arī veidojot klīniskās universitāšu slimnīcas kā kompetenču un zināšanu </w:t>
            </w:r>
            <w:proofErr w:type="spellStart"/>
            <w:r w:rsidRPr="002040D0">
              <w:rPr>
                <w:rFonts w:ascii="Times New Roman" w:eastAsia="Times New Roman" w:hAnsi="Times New Roman" w:cs="Times New Roman"/>
                <w:b w:val="0"/>
                <w:bCs w:val="0"/>
                <w:color w:val="000000"/>
                <w:sz w:val="24"/>
                <w:szCs w:val="24"/>
                <w:lang w:eastAsia="lv-LV"/>
              </w:rPr>
              <w:t>pārneses</w:t>
            </w:r>
            <w:proofErr w:type="spellEnd"/>
            <w:r w:rsidRPr="002040D0">
              <w:rPr>
                <w:rFonts w:ascii="Times New Roman" w:eastAsia="Times New Roman" w:hAnsi="Times New Roman" w:cs="Times New Roman"/>
                <w:b w:val="0"/>
                <w:bCs w:val="0"/>
                <w:color w:val="000000"/>
                <w:sz w:val="24"/>
                <w:szCs w:val="24"/>
                <w:lang w:eastAsia="lv-LV"/>
              </w:rPr>
              <w:t xml:space="preserve"> centrus, lai pilnveidotu veselības nozares cilvēkresursu darba tirgus vajadzībām atbilstošas zināšanas, prasmes un kompetences</w:t>
            </w:r>
          </w:p>
        </w:tc>
        <w:tc>
          <w:tcPr>
            <w:tcW w:w="2048" w:type="dxa"/>
            <w:noWrap/>
            <w:vAlign w:val="center"/>
            <w:hideMark/>
          </w:tcPr>
          <w:p w14:paraId="62D129F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32</w:t>
            </w:r>
          </w:p>
        </w:tc>
        <w:tc>
          <w:tcPr>
            <w:tcW w:w="1632" w:type="dxa"/>
            <w:noWrap/>
            <w:vAlign w:val="center"/>
            <w:hideMark/>
          </w:tcPr>
          <w:p w14:paraId="0D433DBA"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353,12</w:t>
            </w:r>
          </w:p>
        </w:tc>
      </w:tr>
      <w:tr w:rsidR="00D252BC" w:rsidRPr="002040D0" w14:paraId="4CF8ED0C"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DF0BB5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Pētniecības cilvēkresursu piesaiste un kapacitātes celšana, piešķirot finanšu resursus doktorantu skaita un vienam doktorantam paredzētā finansējuma </w:t>
            </w:r>
            <w:r w:rsidRPr="002040D0">
              <w:rPr>
                <w:rFonts w:ascii="Times New Roman" w:eastAsia="Times New Roman" w:hAnsi="Times New Roman" w:cs="Times New Roman"/>
                <w:b w:val="0"/>
                <w:bCs w:val="0"/>
                <w:color w:val="000000"/>
                <w:sz w:val="24"/>
                <w:szCs w:val="24"/>
                <w:lang w:eastAsia="lv-LV"/>
              </w:rPr>
              <w:lastRenderedPageBreak/>
              <w:t xml:space="preserve">būtiskai palielināšanai, īstenojot </w:t>
            </w:r>
            <w:proofErr w:type="spellStart"/>
            <w:r w:rsidRPr="002040D0">
              <w:rPr>
                <w:rFonts w:ascii="Times New Roman" w:eastAsia="Times New Roman" w:hAnsi="Times New Roman" w:cs="Times New Roman"/>
                <w:b w:val="0"/>
                <w:bCs w:val="0"/>
                <w:color w:val="000000"/>
                <w:sz w:val="24"/>
                <w:szCs w:val="24"/>
                <w:lang w:eastAsia="lv-LV"/>
              </w:rPr>
              <w:t>pēcdoktorantūras</w:t>
            </w:r>
            <w:proofErr w:type="spellEnd"/>
            <w:r w:rsidRPr="002040D0">
              <w:rPr>
                <w:rFonts w:ascii="Times New Roman" w:eastAsia="Times New Roman" w:hAnsi="Times New Roman" w:cs="Times New Roman"/>
                <w:b w:val="0"/>
                <w:bCs w:val="0"/>
                <w:color w:val="000000"/>
                <w:sz w:val="24"/>
                <w:szCs w:val="24"/>
                <w:lang w:eastAsia="lv-LV"/>
              </w:rPr>
              <w:t xml:space="preserve"> finansēšanas programmu, piesaistot ārvalstu pētniekus, jo īpaši diasporas profesorus un jaunos zinātniekus, finansējot Latvijas talantu studijas labākajās ārvalstu universitātēs un paredzot nosacījumus šādu ieguldījumu </w:t>
            </w:r>
            <w:proofErr w:type="spellStart"/>
            <w:r w:rsidRPr="002040D0">
              <w:rPr>
                <w:rFonts w:ascii="Times New Roman" w:eastAsia="Times New Roman" w:hAnsi="Times New Roman" w:cs="Times New Roman"/>
                <w:b w:val="0"/>
                <w:bCs w:val="0"/>
                <w:color w:val="000000"/>
                <w:sz w:val="24"/>
                <w:szCs w:val="24"/>
                <w:lang w:eastAsia="lv-LV"/>
              </w:rPr>
              <w:t>atdevei</w:t>
            </w:r>
            <w:proofErr w:type="spellEnd"/>
            <w:r w:rsidRPr="002040D0">
              <w:rPr>
                <w:rFonts w:ascii="Times New Roman" w:eastAsia="Times New Roman" w:hAnsi="Times New Roman" w:cs="Times New Roman"/>
                <w:b w:val="0"/>
                <w:bCs w:val="0"/>
                <w:color w:val="000000"/>
                <w:sz w:val="24"/>
                <w:szCs w:val="24"/>
                <w:lang w:eastAsia="lv-LV"/>
              </w:rPr>
              <w:t xml:space="preserve"> valsts attīstībai, plašāk iesaistoties starptautiskajā sadarbībā, īpaši īstenojot darbu pētniecībā saistībā ar prioritārajiem virzieniem zinātnē un Viedās specializācijas stratēģijas mērķu sasniegšanu</w:t>
            </w:r>
          </w:p>
        </w:tc>
        <w:tc>
          <w:tcPr>
            <w:tcW w:w="2048" w:type="dxa"/>
            <w:tcBorders>
              <w:top w:val="none" w:sz="0" w:space="0" w:color="auto"/>
              <w:bottom w:val="none" w:sz="0" w:space="0" w:color="auto"/>
            </w:tcBorders>
            <w:noWrap/>
            <w:vAlign w:val="center"/>
            <w:hideMark/>
          </w:tcPr>
          <w:p w14:paraId="6750A0F2"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1</w:t>
            </w:r>
          </w:p>
        </w:tc>
        <w:tc>
          <w:tcPr>
            <w:tcW w:w="1632" w:type="dxa"/>
            <w:tcBorders>
              <w:top w:val="none" w:sz="0" w:space="0" w:color="auto"/>
              <w:bottom w:val="none" w:sz="0" w:space="0" w:color="auto"/>
            </w:tcBorders>
            <w:noWrap/>
            <w:vAlign w:val="center"/>
            <w:hideMark/>
          </w:tcPr>
          <w:p w14:paraId="1B3B4CAB"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0,06</w:t>
            </w:r>
          </w:p>
        </w:tc>
      </w:tr>
      <w:tr w:rsidR="00D252BC" w:rsidRPr="002040D0" w14:paraId="5639DF10"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4AAD6A8"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Pētniecības un inovācijas investīciju efektīva koordinēšana un pārvaldība, stiprinot P&amp;A pārvaldības kapacitāti un koncentrējot atbalsta programmas vienā kompetentā institūcijā, mazinot birokrātiju P&amp;A pārvaldībā, kā arī attīstot P&amp;A pārvaldības kompetenci zinātniskajās institūcijās</w:t>
            </w:r>
          </w:p>
        </w:tc>
        <w:tc>
          <w:tcPr>
            <w:tcW w:w="2048" w:type="dxa"/>
            <w:noWrap/>
            <w:vAlign w:val="center"/>
            <w:hideMark/>
          </w:tcPr>
          <w:p w14:paraId="28F990B9"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0931CAB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0,47</w:t>
            </w:r>
          </w:p>
        </w:tc>
      </w:tr>
      <w:tr w:rsidR="00D252BC" w:rsidRPr="002040D0" w14:paraId="779D0685"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52F3ED6"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Pieaugušo izglītības īstenošana tautsaimniecības attīstībai nepieciešamo prasmju apguvei, t.sk. augstskolās (elastīga mācību piedāvājuma attīstība, tostarp modulārā izglītība, e-vidē un darba vidē balstītas mācības, mūžizglītības kompetenču apguve; personu profilēšana; ārpus formālās izglītības iegūto kompetenču atzīšana)</w:t>
            </w:r>
          </w:p>
        </w:tc>
        <w:tc>
          <w:tcPr>
            <w:tcW w:w="2048" w:type="dxa"/>
            <w:tcBorders>
              <w:top w:val="none" w:sz="0" w:space="0" w:color="auto"/>
              <w:bottom w:val="none" w:sz="0" w:space="0" w:color="auto"/>
            </w:tcBorders>
            <w:noWrap/>
            <w:vAlign w:val="center"/>
            <w:hideMark/>
          </w:tcPr>
          <w:p w14:paraId="008A38F1"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51B71492"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1,92</w:t>
            </w:r>
          </w:p>
        </w:tc>
      </w:tr>
      <w:tr w:rsidR="00D252BC" w:rsidRPr="002040D0" w14:paraId="61A513F0"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E100DAE"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Pieejamas un koordinētas kultūras un sporta jomas finansēšanas sistēmas pilnveide, paaugstinot organizāciju kapacitāti un konkurētspēju, atbalsta nodrošināšana sportam, tai skaitā augstākās izglītības iestādēs, kā arī starptautisku sporta pasākumu finansēšanas sistēmas pilnveide</w:t>
            </w:r>
          </w:p>
        </w:tc>
        <w:tc>
          <w:tcPr>
            <w:tcW w:w="2048" w:type="dxa"/>
            <w:noWrap/>
            <w:vAlign w:val="center"/>
            <w:hideMark/>
          </w:tcPr>
          <w:p w14:paraId="28E9C5AC"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w:t>
            </w:r>
          </w:p>
        </w:tc>
        <w:tc>
          <w:tcPr>
            <w:tcW w:w="1632" w:type="dxa"/>
            <w:noWrap/>
            <w:vAlign w:val="center"/>
            <w:hideMark/>
          </w:tcPr>
          <w:p w14:paraId="2B511BD2"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15,02</w:t>
            </w:r>
          </w:p>
        </w:tc>
      </w:tr>
      <w:tr w:rsidR="00D252BC" w:rsidRPr="002040D0" w14:paraId="068490B3"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4FAD76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Pierādījumos balstīti efektīvi un inovatīvi risinājumi atkarību izraisošo vielu un procesu izplatības ierobežošanai un pārmērīga un kaitējoša patēriņa mazināšanai, uzlabojot sabiedrības kognitīvās spējas un psihisko veselību</w:t>
            </w:r>
          </w:p>
        </w:tc>
        <w:tc>
          <w:tcPr>
            <w:tcW w:w="2048" w:type="dxa"/>
            <w:tcBorders>
              <w:top w:val="none" w:sz="0" w:space="0" w:color="auto"/>
              <w:bottom w:val="none" w:sz="0" w:space="0" w:color="auto"/>
            </w:tcBorders>
            <w:noWrap/>
            <w:vAlign w:val="center"/>
            <w:hideMark/>
          </w:tcPr>
          <w:p w14:paraId="76272006"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5604858F"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0,20</w:t>
            </w:r>
          </w:p>
        </w:tc>
      </w:tr>
      <w:tr w:rsidR="00D252BC" w:rsidRPr="002040D0" w14:paraId="6E7375C2"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6AFDD06"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Plānošanas reģionu, pašvaldību un citu teritorijas attīstībā iesaistīto pušu kapacitātes, zināšanu un administratīvo procesu uzlabošana, lai palielinātu pašvaldību sadarbību un spēju nodrošināt iedzīvotāju mobilitāti, investīcijām labvēlīgu vidi un augstu pašvaldību sniegto pakalpojumu kvalitāti un izmaksu efektivitāti</w:t>
            </w:r>
          </w:p>
        </w:tc>
        <w:tc>
          <w:tcPr>
            <w:tcW w:w="2048" w:type="dxa"/>
            <w:noWrap/>
            <w:vAlign w:val="center"/>
            <w:hideMark/>
          </w:tcPr>
          <w:p w14:paraId="43BEF949"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w:t>
            </w:r>
          </w:p>
        </w:tc>
        <w:tc>
          <w:tcPr>
            <w:tcW w:w="1632" w:type="dxa"/>
            <w:noWrap/>
            <w:vAlign w:val="center"/>
            <w:hideMark/>
          </w:tcPr>
          <w:p w14:paraId="106E31A6"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10,79</w:t>
            </w:r>
          </w:p>
        </w:tc>
      </w:tr>
      <w:tr w:rsidR="00D252BC" w:rsidRPr="002040D0" w14:paraId="11EF2D3B"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5E79861E"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Preventīvi un intervences pasākumi izglītības pārtraukšanas riska samazināšanai un pasākumi sociālai integrācijai (skolas, atbalsta personāla, vecāku un institūciju savstarpējā sadarbība; sociālo dzīves prasmju attīstība; atbalsta personāla piesaiste; individualizēts mācību atbalsts; agrīnā izglītības vajadzību diagnostika; nelabvēlīgā situācijā nonākušu jauniešu atbalsts)</w:t>
            </w:r>
          </w:p>
        </w:tc>
        <w:tc>
          <w:tcPr>
            <w:tcW w:w="2048" w:type="dxa"/>
            <w:tcBorders>
              <w:top w:val="none" w:sz="0" w:space="0" w:color="auto"/>
              <w:bottom w:val="none" w:sz="0" w:space="0" w:color="auto"/>
            </w:tcBorders>
            <w:noWrap/>
            <w:vAlign w:val="center"/>
            <w:hideMark/>
          </w:tcPr>
          <w:p w14:paraId="771B037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625FD80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2,08</w:t>
            </w:r>
          </w:p>
        </w:tc>
      </w:tr>
      <w:tr w:rsidR="00D252BC" w:rsidRPr="002040D0" w14:paraId="44D1E8A5"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FA6FC1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lastRenderedPageBreak/>
              <w:t>Preventīvi un pastāvīgi pasākumi visu veidu vardarbības mazināšanai izglītības iestādēs un atbalsta pasākumi bērniem un jauniešiem, pedagogiem, skolas personālam un ģimenēm</w:t>
            </w:r>
          </w:p>
        </w:tc>
        <w:tc>
          <w:tcPr>
            <w:tcW w:w="2048" w:type="dxa"/>
            <w:noWrap/>
            <w:vAlign w:val="center"/>
            <w:hideMark/>
          </w:tcPr>
          <w:p w14:paraId="6422A98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20CF1E8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0,83</w:t>
            </w:r>
          </w:p>
        </w:tc>
      </w:tr>
      <w:tr w:rsidR="00D252BC" w:rsidRPr="002040D0" w14:paraId="6D3CF4AE"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3D6DB1B"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Produktivitāti paaugstinošu darbību atbalstīšana privātajā sektorā augsto tehnoloģiju pielietošanai arī  ārpus RIS3 nozarēs industrijas transformācijai</w:t>
            </w:r>
          </w:p>
        </w:tc>
        <w:tc>
          <w:tcPr>
            <w:tcW w:w="2048" w:type="dxa"/>
            <w:tcBorders>
              <w:top w:val="none" w:sz="0" w:space="0" w:color="auto"/>
              <w:bottom w:val="none" w:sz="0" w:space="0" w:color="auto"/>
            </w:tcBorders>
            <w:noWrap/>
            <w:vAlign w:val="center"/>
            <w:hideMark/>
          </w:tcPr>
          <w:p w14:paraId="24A07A7E"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w:t>
            </w:r>
          </w:p>
        </w:tc>
        <w:tc>
          <w:tcPr>
            <w:tcW w:w="1632" w:type="dxa"/>
            <w:tcBorders>
              <w:top w:val="none" w:sz="0" w:space="0" w:color="auto"/>
              <w:bottom w:val="none" w:sz="0" w:space="0" w:color="auto"/>
            </w:tcBorders>
            <w:noWrap/>
            <w:vAlign w:val="center"/>
            <w:hideMark/>
          </w:tcPr>
          <w:p w14:paraId="3B880BE4"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90,80</w:t>
            </w:r>
          </w:p>
        </w:tc>
      </w:tr>
      <w:tr w:rsidR="00D252BC" w:rsidRPr="002040D0" w14:paraId="5D62AC49"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683A2A8"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Psihiskās un emocionālās veselības stiprināšana sabiedrībā, īstenojot uz mērķa grupām orientētus profilakses pasākumus un intervenci, paplašinot sabiedrības zināšanas un nodrošinot monitoringu, tādējādi uzlabojot spēju pielāgoties mainīgiem dzīves un darba apstākļiem un vienlaikus radot izpratni par psihiskās un emocionālās veselības nozīmi personības izaugsmē, kopdarbības un iekļaujošas sabiedrības veidošanā</w:t>
            </w:r>
          </w:p>
        </w:tc>
        <w:tc>
          <w:tcPr>
            <w:tcW w:w="2048" w:type="dxa"/>
            <w:noWrap/>
            <w:vAlign w:val="center"/>
            <w:hideMark/>
          </w:tcPr>
          <w:p w14:paraId="1303F328"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1993FD21"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7,11</w:t>
            </w:r>
          </w:p>
        </w:tc>
      </w:tr>
      <w:tr w:rsidR="00D252BC" w:rsidRPr="002040D0" w14:paraId="058B53DD"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2D78496F"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Publisko pakalpojumu uzlabošana atbilstoši iedzīvotāju skaita dinamikai, attīstot alternatīvus pakalpojumu modeļus un infrastruktūru, pašvaldību pakalpojumu ēku energoefektivitāti, kā arī publiskās </w:t>
            </w:r>
            <w:proofErr w:type="spellStart"/>
            <w:r w:rsidRPr="002040D0">
              <w:rPr>
                <w:rFonts w:ascii="Times New Roman" w:eastAsia="Times New Roman" w:hAnsi="Times New Roman" w:cs="Times New Roman"/>
                <w:b w:val="0"/>
                <w:bCs w:val="0"/>
                <w:color w:val="000000"/>
                <w:sz w:val="24"/>
                <w:szCs w:val="24"/>
                <w:lang w:eastAsia="lv-LV"/>
              </w:rPr>
              <w:t>ārtelpas</w:t>
            </w:r>
            <w:proofErr w:type="spellEnd"/>
            <w:r w:rsidRPr="002040D0">
              <w:rPr>
                <w:rFonts w:ascii="Times New Roman" w:eastAsia="Times New Roman" w:hAnsi="Times New Roman" w:cs="Times New Roman"/>
                <w:b w:val="0"/>
                <w:bCs w:val="0"/>
                <w:color w:val="000000"/>
                <w:sz w:val="24"/>
                <w:szCs w:val="24"/>
                <w:lang w:eastAsia="lv-LV"/>
              </w:rPr>
              <w:t xml:space="preserve"> kvalitāti</w:t>
            </w:r>
          </w:p>
        </w:tc>
        <w:tc>
          <w:tcPr>
            <w:tcW w:w="2048" w:type="dxa"/>
            <w:tcBorders>
              <w:top w:val="none" w:sz="0" w:space="0" w:color="auto"/>
              <w:bottom w:val="none" w:sz="0" w:space="0" w:color="auto"/>
            </w:tcBorders>
            <w:noWrap/>
            <w:vAlign w:val="center"/>
            <w:hideMark/>
          </w:tcPr>
          <w:p w14:paraId="7AA5E3CA"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14</w:t>
            </w:r>
          </w:p>
        </w:tc>
        <w:tc>
          <w:tcPr>
            <w:tcW w:w="1632" w:type="dxa"/>
            <w:tcBorders>
              <w:top w:val="none" w:sz="0" w:space="0" w:color="auto"/>
              <w:bottom w:val="none" w:sz="0" w:space="0" w:color="auto"/>
            </w:tcBorders>
            <w:noWrap/>
            <w:vAlign w:val="center"/>
            <w:hideMark/>
          </w:tcPr>
          <w:p w14:paraId="4920ACA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64,27</w:t>
            </w:r>
          </w:p>
        </w:tc>
      </w:tr>
      <w:tr w:rsidR="00D252BC" w:rsidRPr="002040D0" w14:paraId="2F48B78A"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D1D01A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w:t>
            </w:r>
          </w:p>
        </w:tc>
        <w:tc>
          <w:tcPr>
            <w:tcW w:w="2048" w:type="dxa"/>
            <w:noWrap/>
            <w:vAlign w:val="center"/>
            <w:hideMark/>
          </w:tcPr>
          <w:p w14:paraId="6CD6331F"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7</w:t>
            </w:r>
          </w:p>
        </w:tc>
        <w:tc>
          <w:tcPr>
            <w:tcW w:w="1632" w:type="dxa"/>
            <w:noWrap/>
            <w:vAlign w:val="center"/>
            <w:hideMark/>
          </w:tcPr>
          <w:p w14:paraId="70740DF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12,83</w:t>
            </w:r>
          </w:p>
        </w:tc>
      </w:tr>
      <w:tr w:rsidR="00D252BC" w:rsidRPr="002040D0" w14:paraId="222A7475"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3B5F7E3"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Sabiedrības drošības un tiesībaizsardzības iestāžu reaģēšanas spēju stiprināšana, nodrošinot centrālās valsts pārvaldes un pašvaldību koordinētu rīcību apdraudējumu gadījumos, uzturot tiesībaizsardzības, drošības un robežkontroles dienestu infrastruktūru un kapacitāti (fiziskā sagatavotība, noziedzības apkarošana, kopējas apmācības un mūsdienu sabiedrības vajadzībām atbilstoša personāla kompetenču pilnveide, moderno tehnoloģiju izmantošana, </w:t>
            </w:r>
            <w:proofErr w:type="spellStart"/>
            <w:r w:rsidRPr="002040D0">
              <w:rPr>
                <w:rFonts w:ascii="Times New Roman" w:eastAsia="Times New Roman" w:hAnsi="Times New Roman" w:cs="Times New Roman"/>
                <w:b w:val="0"/>
                <w:bCs w:val="0"/>
                <w:color w:val="000000"/>
                <w:sz w:val="24"/>
                <w:szCs w:val="24"/>
                <w:lang w:eastAsia="lv-LV"/>
              </w:rPr>
              <w:t>civilmilitārā</w:t>
            </w:r>
            <w:proofErr w:type="spellEnd"/>
            <w:r w:rsidRPr="002040D0">
              <w:rPr>
                <w:rFonts w:ascii="Times New Roman" w:eastAsia="Times New Roman" w:hAnsi="Times New Roman" w:cs="Times New Roman"/>
                <w:b w:val="0"/>
                <w:bCs w:val="0"/>
                <w:color w:val="000000"/>
                <w:sz w:val="24"/>
                <w:szCs w:val="24"/>
                <w:lang w:eastAsia="lv-LV"/>
              </w:rPr>
              <w:t xml:space="preserve"> sadarbība un sadarbība visaptverošās valsts aizsardzībai)</w:t>
            </w:r>
          </w:p>
        </w:tc>
        <w:tc>
          <w:tcPr>
            <w:tcW w:w="2048" w:type="dxa"/>
            <w:tcBorders>
              <w:top w:val="none" w:sz="0" w:space="0" w:color="auto"/>
              <w:bottom w:val="none" w:sz="0" w:space="0" w:color="auto"/>
            </w:tcBorders>
            <w:noWrap/>
            <w:vAlign w:val="center"/>
            <w:hideMark/>
          </w:tcPr>
          <w:p w14:paraId="46F36F4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42</w:t>
            </w:r>
          </w:p>
        </w:tc>
        <w:tc>
          <w:tcPr>
            <w:tcW w:w="1632" w:type="dxa"/>
            <w:tcBorders>
              <w:top w:val="none" w:sz="0" w:space="0" w:color="auto"/>
              <w:bottom w:val="none" w:sz="0" w:space="0" w:color="auto"/>
            </w:tcBorders>
            <w:noWrap/>
            <w:vAlign w:val="center"/>
            <w:hideMark/>
          </w:tcPr>
          <w:p w14:paraId="04007F9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11,17</w:t>
            </w:r>
          </w:p>
        </w:tc>
      </w:tr>
      <w:tr w:rsidR="00D252BC" w:rsidRPr="002040D0" w14:paraId="1B394A37"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1C2685F"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Sabiedrības izpratnes par daudzveidību kā resursu palielināšana, stiprinot </w:t>
            </w:r>
            <w:proofErr w:type="spellStart"/>
            <w:r w:rsidRPr="002040D0">
              <w:rPr>
                <w:rFonts w:ascii="Times New Roman" w:eastAsia="Times New Roman" w:hAnsi="Times New Roman" w:cs="Times New Roman"/>
                <w:b w:val="0"/>
                <w:bCs w:val="0"/>
                <w:color w:val="000000"/>
                <w:sz w:val="24"/>
                <w:szCs w:val="24"/>
                <w:lang w:eastAsia="lv-LV"/>
              </w:rPr>
              <w:t>starpgrupu</w:t>
            </w:r>
            <w:proofErr w:type="spellEnd"/>
            <w:r w:rsidRPr="002040D0">
              <w:rPr>
                <w:rFonts w:ascii="Times New Roman" w:eastAsia="Times New Roman" w:hAnsi="Times New Roman" w:cs="Times New Roman"/>
                <w:b w:val="0"/>
                <w:bCs w:val="0"/>
                <w:color w:val="000000"/>
                <w:sz w:val="24"/>
                <w:szCs w:val="24"/>
                <w:lang w:eastAsia="lv-LV"/>
              </w:rPr>
              <w:t xml:space="preserve"> un </w:t>
            </w:r>
            <w:proofErr w:type="spellStart"/>
            <w:r w:rsidRPr="002040D0">
              <w:rPr>
                <w:rFonts w:ascii="Times New Roman" w:eastAsia="Times New Roman" w:hAnsi="Times New Roman" w:cs="Times New Roman"/>
                <w:b w:val="0"/>
                <w:bCs w:val="0"/>
                <w:color w:val="000000"/>
                <w:sz w:val="24"/>
                <w:szCs w:val="24"/>
                <w:lang w:eastAsia="lv-LV"/>
              </w:rPr>
              <w:t>starpkultūru</w:t>
            </w:r>
            <w:proofErr w:type="spellEnd"/>
            <w:r w:rsidRPr="002040D0">
              <w:rPr>
                <w:rFonts w:ascii="Times New Roman" w:eastAsia="Times New Roman" w:hAnsi="Times New Roman" w:cs="Times New Roman"/>
                <w:b w:val="0"/>
                <w:bCs w:val="0"/>
                <w:color w:val="000000"/>
                <w:sz w:val="24"/>
                <w:szCs w:val="24"/>
                <w:lang w:eastAsia="lv-LV"/>
              </w:rPr>
              <w:t xml:space="preserve"> komunikācijas prasmes un saziņas intensitāti, dažādības vadību, kā arī diskriminācijas mazināšanu</w:t>
            </w:r>
          </w:p>
        </w:tc>
        <w:tc>
          <w:tcPr>
            <w:tcW w:w="2048" w:type="dxa"/>
            <w:noWrap/>
            <w:vAlign w:val="center"/>
            <w:hideMark/>
          </w:tcPr>
          <w:p w14:paraId="2A2AE35F"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noWrap/>
            <w:vAlign w:val="center"/>
            <w:hideMark/>
          </w:tcPr>
          <w:p w14:paraId="4A618BB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1,15</w:t>
            </w:r>
          </w:p>
        </w:tc>
      </w:tr>
      <w:tr w:rsidR="00D252BC" w:rsidRPr="002040D0" w14:paraId="11E1E934"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7FE0E0F1"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Sabiedrības </w:t>
            </w:r>
            <w:proofErr w:type="spellStart"/>
            <w:r w:rsidRPr="002040D0">
              <w:rPr>
                <w:rFonts w:ascii="Times New Roman" w:eastAsia="Times New Roman" w:hAnsi="Times New Roman" w:cs="Times New Roman"/>
                <w:b w:val="0"/>
                <w:bCs w:val="0"/>
                <w:color w:val="000000"/>
                <w:sz w:val="24"/>
                <w:szCs w:val="24"/>
                <w:lang w:eastAsia="lv-LV"/>
              </w:rPr>
              <w:t>pašorganizēšanās</w:t>
            </w:r>
            <w:proofErr w:type="spellEnd"/>
            <w:r w:rsidRPr="002040D0">
              <w:rPr>
                <w:rFonts w:ascii="Times New Roman" w:eastAsia="Times New Roman" w:hAnsi="Times New Roman" w:cs="Times New Roman"/>
                <w:b w:val="0"/>
                <w:bCs w:val="0"/>
                <w:color w:val="000000"/>
                <w:sz w:val="24"/>
                <w:szCs w:val="24"/>
                <w:lang w:eastAsia="lv-LV"/>
              </w:rPr>
              <w:t xml:space="preserve">, sadarbības un līdzdarbības prasmju un iespēju paplašināšana, jo īpaši attīstot jauniešu pilsonisko izglītību, iedzīvotāju līdzdarbību nevalstiskajās organizācijās, </w:t>
            </w:r>
            <w:r w:rsidRPr="002040D0">
              <w:rPr>
                <w:rFonts w:ascii="Times New Roman" w:eastAsia="Times New Roman" w:hAnsi="Times New Roman" w:cs="Times New Roman"/>
                <w:b w:val="0"/>
                <w:bCs w:val="0"/>
                <w:color w:val="000000"/>
                <w:sz w:val="24"/>
                <w:szCs w:val="24"/>
                <w:lang w:eastAsia="lv-LV"/>
              </w:rPr>
              <w:lastRenderedPageBreak/>
              <w:t>arodbiedrībās un brīvprātīgajā darbā, valsts NVO fondu</w:t>
            </w:r>
          </w:p>
        </w:tc>
        <w:tc>
          <w:tcPr>
            <w:tcW w:w="2048" w:type="dxa"/>
            <w:tcBorders>
              <w:top w:val="none" w:sz="0" w:space="0" w:color="auto"/>
              <w:bottom w:val="none" w:sz="0" w:space="0" w:color="auto"/>
            </w:tcBorders>
            <w:noWrap/>
            <w:vAlign w:val="center"/>
            <w:hideMark/>
          </w:tcPr>
          <w:p w14:paraId="712269E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5</w:t>
            </w:r>
          </w:p>
        </w:tc>
        <w:tc>
          <w:tcPr>
            <w:tcW w:w="1632" w:type="dxa"/>
            <w:tcBorders>
              <w:top w:val="none" w:sz="0" w:space="0" w:color="auto"/>
              <w:bottom w:val="none" w:sz="0" w:space="0" w:color="auto"/>
            </w:tcBorders>
            <w:noWrap/>
            <w:vAlign w:val="center"/>
            <w:hideMark/>
          </w:tcPr>
          <w:p w14:paraId="5045693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2,23</w:t>
            </w:r>
          </w:p>
        </w:tc>
      </w:tr>
      <w:tr w:rsidR="00D252BC" w:rsidRPr="002040D0" w14:paraId="0E959459"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2BC264A" w14:textId="4A912CE4"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Sabiedrības uzvedības modeļu un paradumu maiņas veicināšana, izpratnes veidošana par vidi un ilgtspējīgu dabas resursu apsaimniekošanu</w:t>
            </w:r>
          </w:p>
        </w:tc>
        <w:tc>
          <w:tcPr>
            <w:tcW w:w="2048" w:type="dxa"/>
            <w:noWrap/>
            <w:vAlign w:val="center"/>
            <w:hideMark/>
          </w:tcPr>
          <w:p w14:paraId="2715B9C7"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0784D96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0,89</w:t>
            </w:r>
          </w:p>
        </w:tc>
      </w:tr>
      <w:tr w:rsidR="00D252BC" w:rsidRPr="002040D0" w14:paraId="6EAC6E1E"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B68CFD5" w14:textId="0D23F86F"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Sabiedrības, īpaši tās mazaktīvās daļas, iesaistīšana kultūras, sporta un fiziskajās, t.sk. aktīvā tūrisma aktivitātēs,</w:t>
            </w:r>
            <w:r w:rsidR="007B5314" w:rsidRPr="002040D0">
              <w:rPr>
                <w:rFonts w:ascii="Times New Roman" w:eastAsia="Times New Roman" w:hAnsi="Times New Roman" w:cs="Times New Roman"/>
                <w:b w:val="0"/>
                <w:bCs w:val="0"/>
                <w:color w:val="000000"/>
                <w:sz w:val="24"/>
                <w:szCs w:val="24"/>
                <w:lang w:eastAsia="lv-LV"/>
              </w:rPr>
              <w:t xml:space="preserve"> </w:t>
            </w:r>
            <w:r w:rsidRPr="002040D0">
              <w:rPr>
                <w:rFonts w:ascii="Times New Roman" w:eastAsia="Times New Roman" w:hAnsi="Times New Roman" w:cs="Times New Roman"/>
                <w:b w:val="0"/>
                <w:bCs w:val="0"/>
                <w:color w:val="000000"/>
                <w:sz w:val="24"/>
                <w:szCs w:val="24"/>
                <w:lang w:eastAsia="lv-LV"/>
              </w:rPr>
              <w:t>piedāvājot un īstenojot daudzveidīgas neformālās izglītības, kultūrpolitikas, sporta (t.sk. starptautiskus tautas sporta pasākumus) un fizisko aktivitāšu iniciatīvas</w:t>
            </w:r>
          </w:p>
        </w:tc>
        <w:tc>
          <w:tcPr>
            <w:tcW w:w="2048" w:type="dxa"/>
            <w:tcBorders>
              <w:top w:val="none" w:sz="0" w:space="0" w:color="auto"/>
              <w:bottom w:val="none" w:sz="0" w:space="0" w:color="auto"/>
            </w:tcBorders>
            <w:noWrap/>
            <w:vAlign w:val="center"/>
            <w:hideMark/>
          </w:tcPr>
          <w:p w14:paraId="1EF9EC62"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74EE2272"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6,37</w:t>
            </w:r>
          </w:p>
        </w:tc>
      </w:tr>
      <w:tr w:rsidR="00D252BC" w:rsidRPr="002040D0" w14:paraId="5BC5E767"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80954BB"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Sociālā darba speciālistu un sociālo pakalpojumu sniedzēju motivācijas sistēmas pilnveide un profesionālās kompetences stiprināšana un specializācijas nostiprināšana demogrāfijas tendencēm un iedzīvotāju vajadzībām atbilstošu inovatīvu, uz klienta vajadzībām balstītu sociālo pakalpojumu sniegšanai, pilnveidošanai un pieejamības nodrošināšanai reģionos</w:t>
            </w:r>
          </w:p>
        </w:tc>
        <w:tc>
          <w:tcPr>
            <w:tcW w:w="2048" w:type="dxa"/>
            <w:noWrap/>
            <w:vAlign w:val="center"/>
            <w:hideMark/>
          </w:tcPr>
          <w:p w14:paraId="4904701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18</w:t>
            </w:r>
          </w:p>
        </w:tc>
        <w:tc>
          <w:tcPr>
            <w:tcW w:w="1632" w:type="dxa"/>
            <w:noWrap/>
            <w:vAlign w:val="center"/>
            <w:hideMark/>
          </w:tcPr>
          <w:p w14:paraId="4A4BDF6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3,34</w:t>
            </w:r>
          </w:p>
        </w:tc>
      </w:tr>
      <w:tr w:rsidR="00D252BC" w:rsidRPr="002040D0" w14:paraId="557ABFE9"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524B3FB8"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Sociālās politikas plānošanas, uzraudzības un novērtēšanas stiprināšana, uzlabojot datu vākšanu, </w:t>
            </w:r>
            <w:proofErr w:type="spellStart"/>
            <w:r w:rsidRPr="002040D0">
              <w:rPr>
                <w:rFonts w:ascii="Times New Roman" w:eastAsia="Times New Roman" w:hAnsi="Times New Roman" w:cs="Times New Roman"/>
                <w:b w:val="0"/>
                <w:bCs w:val="0"/>
                <w:color w:val="000000"/>
                <w:sz w:val="24"/>
                <w:szCs w:val="24"/>
                <w:lang w:eastAsia="lv-LV"/>
              </w:rPr>
              <w:t>digitalizēto</w:t>
            </w:r>
            <w:proofErr w:type="spellEnd"/>
            <w:r w:rsidRPr="002040D0">
              <w:rPr>
                <w:rFonts w:ascii="Times New Roman" w:eastAsia="Times New Roman" w:hAnsi="Times New Roman" w:cs="Times New Roman"/>
                <w:b w:val="0"/>
                <w:bCs w:val="0"/>
                <w:color w:val="000000"/>
                <w:sz w:val="24"/>
                <w:szCs w:val="24"/>
                <w:lang w:eastAsia="lv-LV"/>
              </w:rPr>
              <w:t xml:space="preserve"> datu apriti un savietojamību, pakalpojumu administrēšanu, kā arī analīzi pierādījumos balstītu lēmumu pieņemšanā sociālās politikas attīstībai un sociālo pakalpojumu administrēšanai</w:t>
            </w:r>
          </w:p>
        </w:tc>
        <w:tc>
          <w:tcPr>
            <w:tcW w:w="2048" w:type="dxa"/>
            <w:tcBorders>
              <w:top w:val="none" w:sz="0" w:space="0" w:color="auto"/>
              <w:bottom w:val="none" w:sz="0" w:space="0" w:color="auto"/>
            </w:tcBorders>
            <w:noWrap/>
            <w:vAlign w:val="center"/>
            <w:hideMark/>
          </w:tcPr>
          <w:p w14:paraId="2BD865DD"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27C897F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2,27</w:t>
            </w:r>
          </w:p>
        </w:tc>
      </w:tr>
      <w:tr w:rsidR="00D252BC" w:rsidRPr="002040D0" w14:paraId="5E9A2E0E"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1213E09"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Starptautiskās savienojamības uzlabošana, īstenojot Rail </w:t>
            </w:r>
            <w:proofErr w:type="spellStart"/>
            <w:r w:rsidRPr="002040D0">
              <w:rPr>
                <w:rFonts w:ascii="Times New Roman" w:eastAsia="Times New Roman" w:hAnsi="Times New Roman" w:cs="Times New Roman"/>
                <w:b w:val="0"/>
                <w:bCs w:val="0"/>
                <w:color w:val="000000"/>
                <w:sz w:val="24"/>
                <w:szCs w:val="24"/>
                <w:lang w:eastAsia="lv-LV"/>
              </w:rPr>
              <w:t>Baltica</w:t>
            </w:r>
            <w:proofErr w:type="spellEnd"/>
            <w:r w:rsidRPr="002040D0">
              <w:rPr>
                <w:rFonts w:ascii="Times New Roman" w:eastAsia="Times New Roman" w:hAnsi="Times New Roman" w:cs="Times New Roman"/>
                <w:b w:val="0"/>
                <w:bCs w:val="0"/>
                <w:color w:val="000000"/>
                <w:sz w:val="24"/>
                <w:szCs w:val="24"/>
                <w:lang w:eastAsia="lv-LV"/>
              </w:rPr>
              <w:t xml:space="preserve"> projektu, tālāk attīstot starptautisko lidostu “Rīga” un vienlaikus paaugstinot tranzīta pakalpojumu konkurētspēju un jaunu tirgu apguvi, veidojot Rīgu par nozīmīgu un modernu multimodālu transporta mezglu, tai skaitā uzlabojot infrastruktūru, tādejādi palielinot Eiropas vienotā transporta tīkla produktivitāti un sekmējot vides mērķu ievērošanu</w:t>
            </w:r>
          </w:p>
        </w:tc>
        <w:tc>
          <w:tcPr>
            <w:tcW w:w="2048" w:type="dxa"/>
            <w:noWrap/>
            <w:vAlign w:val="center"/>
            <w:hideMark/>
          </w:tcPr>
          <w:p w14:paraId="5355CACA"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noWrap/>
            <w:vAlign w:val="center"/>
            <w:hideMark/>
          </w:tcPr>
          <w:p w14:paraId="1D519A5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32,50</w:t>
            </w:r>
          </w:p>
        </w:tc>
      </w:tr>
      <w:tr w:rsidR="00D252BC" w:rsidRPr="002040D0" w14:paraId="6846006E"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5BE5A900"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Stratēģisku inovācijas partnerību un ekosistēmu attīstības atbalstīšana, t. sk. reģionālo zināšanu partnerību attīstībai un dizaina inovācijai</w:t>
            </w:r>
          </w:p>
        </w:tc>
        <w:tc>
          <w:tcPr>
            <w:tcW w:w="2048" w:type="dxa"/>
            <w:tcBorders>
              <w:top w:val="none" w:sz="0" w:space="0" w:color="auto"/>
              <w:bottom w:val="none" w:sz="0" w:space="0" w:color="auto"/>
            </w:tcBorders>
            <w:noWrap/>
            <w:vAlign w:val="center"/>
            <w:hideMark/>
          </w:tcPr>
          <w:p w14:paraId="14913DA5"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tcBorders>
              <w:top w:val="none" w:sz="0" w:space="0" w:color="auto"/>
              <w:bottom w:val="none" w:sz="0" w:space="0" w:color="auto"/>
            </w:tcBorders>
            <w:noWrap/>
            <w:vAlign w:val="center"/>
            <w:hideMark/>
          </w:tcPr>
          <w:p w14:paraId="22F691D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0,52</w:t>
            </w:r>
          </w:p>
        </w:tc>
      </w:tr>
      <w:tr w:rsidR="00D252BC" w:rsidRPr="002040D0" w14:paraId="7977D8C4"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8B6A8E" w14:textId="3E73F3B4"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Tautsaimniecības siltumnīcefekta gāzu emisiju samazināšana, izmantojot risinājumus klimata pārmaiņu mazināšanai un  klimata tehnoloģiju atklājumus, un pieaugošas oglekļa dioksīda piesaistes nodrošināšana virzībā uz </w:t>
            </w:r>
            <w:proofErr w:type="spellStart"/>
            <w:r w:rsidRPr="002040D0">
              <w:rPr>
                <w:rFonts w:ascii="Times New Roman" w:eastAsia="Times New Roman" w:hAnsi="Times New Roman" w:cs="Times New Roman"/>
                <w:b w:val="0"/>
                <w:bCs w:val="0"/>
                <w:color w:val="000000"/>
                <w:sz w:val="24"/>
                <w:szCs w:val="24"/>
                <w:lang w:eastAsia="lv-LV"/>
              </w:rPr>
              <w:t>klimatnoturīgu</w:t>
            </w:r>
            <w:proofErr w:type="spellEnd"/>
            <w:r w:rsidRPr="002040D0">
              <w:rPr>
                <w:rFonts w:ascii="Times New Roman" w:eastAsia="Times New Roman" w:hAnsi="Times New Roman" w:cs="Times New Roman"/>
                <w:b w:val="0"/>
                <w:bCs w:val="0"/>
                <w:color w:val="000000"/>
                <w:sz w:val="24"/>
                <w:szCs w:val="24"/>
                <w:lang w:eastAsia="lv-LV"/>
              </w:rPr>
              <w:t xml:space="preserve"> ekonomikas attīstību, mērķtiecīgi sasniedzot augstu energoefektivitāti un transporta sistēmas dekarbonizāciju</w:t>
            </w:r>
          </w:p>
        </w:tc>
        <w:tc>
          <w:tcPr>
            <w:tcW w:w="2048" w:type="dxa"/>
            <w:noWrap/>
            <w:vAlign w:val="center"/>
            <w:hideMark/>
          </w:tcPr>
          <w:p w14:paraId="5F83A752"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noWrap/>
            <w:vAlign w:val="center"/>
            <w:hideMark/>
          </w:tcPr>
          <w:p w14:paraId="58B6D78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19,54</w:t>
            </w:r>
          </w:p>
        </w:tc>
      </w:tr>
      <w:tr w:rsidR="00D252BC" w:rsidRPr="002040D0" w14:paraId="384E95EC"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5C3DF47"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Tiesiskuma un demokrātiskas valsts apziņas stiprināšana sabiedrībā, īstenojot sabiedrības pilsonisko izglītību, nodrošinot Latvijas tiesību sistēmas sabalansētu attīstību (tostarp cilvēktiesību ievērošanu iepretī inovācijām un tehnoloģiju </w:t>
            </w:r>
            <w:r w:rsidRPr="002040D0">
              <w:rPr>
                <w:rFonts w:ascii="Times New Roman" w:eastAsia="Times New Roman" w:hAnsi="Times New Roman" w:cs="Times New Roman"/>
                <w:b w:val="0"/>
                <w:bCs w:val="0"/>
                <w:color w:val="000000"/>
                <w:sz w:val="24"/>
                <w:szCs w:val="24"/>
                <w:lang w:eastAsia="lv-LV"/>
              </w:rPr>
              <w:lastRenderedPageBreak/>
              <w:t>radītajām izmaiņām), mazinot birokrātiju un uzlabojot normatīvo aktu kvalitāti un pieejamību</w:t>
            </w:r>
          </w:p>
        </w:tc>
        <w:tc>
          <w:tcPr>
            <w:tcW w:w="2048" w:type="dxa"/>
            <w:tcBorders>
              <w:top w:val="none" w:sz="0" w:space="0" w:color="auto"/>
              <w:bottom w:val="none" w:sz="0" w:space="0" w:color="auto"/>
            </w:tcBorders>
            <w:noWrap/>
            <w:vAlign w:val="center"/>
            <w:hideMark/>
          </w:tcPr>
          <w:p w14:paraId="465954E0"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6</w:t>
            </w:r>
          </w:p>
        </w:tc>
        <w:tc>
          <w:tcPr>
            <w:tcW w:w="1632" w:type="dxa"/>
            <w:tcBorders>
              <w:top w:val="none" w:sz="0" w:space="0" w:color="auto"/>
              <w:bottom w:val="none" w:sz="0" w:space="0" w:color="auto"/>
            </w:tcBorders>
            <w:noWrap/>
            <w:vAlign w:val="center"/>
            <w:hideMark/>
          </w:tcPr>
          <w:p w14:paraId="6C19E40C"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1,82</w:t>
            </w:r>
          </w:p>
        </w:tc>
      </w:tr>
      <w:tr w:rsidR="00D252BC" w:rsidRPr="002040D0" w14:paraId="6B342E10"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DA586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Transporta sistēmas pilnveidošana, lai palielinātu velosipēdu un citu videi draudzīgu transporta līdzekļu lietošanu un AER izmantošanu, veidojot atbilstošu infrastruktūru un veicinot autoparka nomaiņu, vienlaikus panākot pieejamību dažādām sociālajām grupām</w:t>
            </w:r>
          </w:p>
        </w:tc>
        <w:tc>
          <w:tcPr>
            <w:tcW w:w="2048" w:type="dxa"/>
            <w:noWrap/>
            <w:vAlign w:val="center"/>
            <w:hideMark/>
          </w:tcPr>
          <w:p w14:paraId="087F1156"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noWrap/>
            <w:vAlign w:val="center"/>
            <w:hideMark/>
          </w:tcPr>
          <w:p w14:paraId="0DC8CB8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30,28</w:t>
            </w:r>
          </w:p>
        </w:tc>
      </w:tr>
      <w:tr w:rsidR="00D252BC" w:rsidRPr="002040D0" w14:paraId="26D5DE83"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BD814F9"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Uz individuālām vajadzībām vērstu sociālo pakalpojumu pieejamība un sociālās inovācijas pakalpojumu nodrošināšana prioritārām grupām, īpaši personām ar invaliditāti, paliatīvās aprūpes pacientiem un senioriem, sekmējot neatkarīgas dzīves iespējas un dzīves kvalitātes saglabāšanu vai uzlabošanu</w:t>
            </w:r>
          </w:p>
        </w:tc>
        <w:tc>
          <w:tcPr>
            <w:tcW w:w="2048" w:type="dxa"/>
            <w:tcBorders>
              <w:top w:val="none" w:sz="0" w:space="0" w:color="auto"/>
              <w:bottom w:val="none" w:sz="0" w:space="0" w:color="auto"/>
            </w:tcBorders>
            <w:noWrap/>
            <w:vAlign w:val="center"/>
            <w:hideMark/>
          </w:tcPr>
          <w:p w14:paraId="3BA9635B"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w:t>
            </w:r>
          </w:p>
        </w:tc>
        <w:tc>
          <w:tcPr>
            <w:tcW w:w="1632" w:type="dxa"/>
            <w:tcBorders>
              <w:top w:val="none" w:sz="0" w:space="0" w:color="auto"/>
              <w:bottom w:val="none" w:sz="0" w:space="0" w:color="auto"/>
            </w:tcBorders>
            <w:noWrap/>
            <w:vAlign w:val="center"/>
            <w:hideMark/>
          </w:tcPr>
          <w:p w14:paraId="6C557E29"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22,79</w:t>
            </w:r>
          </w:p>
        </w:tc>
      </w:tr>
      <w:tr w:rsidR="00D252BC" w:rsidRPr="002040D0" w14:paraId="57F5070F"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5C6058D"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Uzņēmējdarbību sekmējošas publiskās infrastruktūras izveide, balstoties uz teritoriju attīstības plānošanas dokumentos noteikto teritoriju specializāciju un aktuālo privāto investoru pieprasījumu, lai motivētu reģionos veidot jaunus produktus un pakalpojumus, paaugstināt produktivitāti, dažādot uzņēmējdarbību, izmantot inovācijas un kompetenču </w:t>
            </w:r>
            <w:proofErr w:type="spellStart"/>
            <w:r w:rsidRPr="002040D0">
              <w:rPr>
                <w:rFonts w:ascii="Times New Roman" w:eastAsia="Times New Roman" w:hAnsi="Times New Roman" w:cs="Times New Roman"/>
                <w:b w:val="0"/>
                <w:bCs w:val="0"/>
                <w:color w:val="000000"/>
                <w:sz w:val="24"/>
                <w:szCs w:val="24"/>
                <w:lang w:eastAsia="lv-LV"/>
              </w:rPr>
              <w:t>pārneses</w:t>
            </w:r>
            <w:proofErr w:type="spellEnd"/>
            <w:r w:rsidRPr="002040D0">
              <w:rPr>
                <w:rFonts w:ascii="Times New Roman" w:eastAsia="Times New Roman" w:hAnsi="Times New Roman" w:cs="Times New Roman"/>
                <w:b w:val="0"/>
                <w:bCs w:val="0"/>
                <w:color w:val="000000"/>
                <w:sz w:val="24"/>
                <w:szCs w:val="24"/>
                <w:lang w:eastAsia="lv-LV"/>
              </w:rPr>
              <w:t xml:space="preserve"> iespējas un piesaistīt kvalificētu darbaspēku</w:t>
            </w:r>
          </w:p>
        </w:tc>
        <w:tc>
          <w:tcPr>
            <w:tcW w:w="2048" w:type="dxa"/>
            <w:noWrap/>
            <w:vAlign w:val="center"/>
            <w:hideMark/>
          </w:tcPr>
          <w:p w14:paraId="48CFFABE"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w:t>
            </w:r>
          </w:p>
        </w:tc>
        <w:tc>
          <w:tcPr>
            <w:tcW w:w="1632" w:type="dxa"/>
            <w:noWrap/>
            <w:vAlign w:val="center"/>
            <w:hideMark/>
          </w:tcPr>
          <w:p w14:paraId="6DD32310"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12,90</w:t>
            </w:r>
          </w:p>
        </w:tc>
      </w:tr>
      <w:tr w:rsidR="00D252BC" w:rsidRPr="002040D0" w14:paraId="01257C00"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6E1CBA2A"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Valsts apmaksāto veselības aprūpes pakalpojumu pieejamības uzlabošana, tai skaitā zālēm, nodrošinot gan finansiālo un ģeogrāfisko pieejamību, gan pilnveidojot esošos pakalpojumus un attīstot jaunus, tai skaitā mobilo vienību pakalpojumus, prioritāri mātes un bērna veselības aprūpes jomā un jomās, kam ir būtiska ietekme uz priekšlaicīgu mirstību un darbspēju zudumu</w:t>
            </w:r>
          </w:p>
        </w:tc>
        <w:tc>
          <w:tcPr>
            <w:tcW w:w="2048" w:type="dxa"/>
            <w:tcBorders>
              <w:top w:val="none" w:sz="0" w:space="0" w:color="auto"/>
              <w:bottom w:val="none" w:sz="0" w:space="0" w:color="auto"/>
            </w:tcBorders>
            <w:noWrap/>
            <w:vAlign w:val="center"/>
            <w:hideMark/>
          </w:tcPr>
          <w:p w14:paraId="5F1ED6CA"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61</w:t>
            </w:r>
          </w:p>
        </w:tc>
        <w:tc>
          <w:tcPr>
            <w:tcW w:w="1632" w:type="dxa"/>
            <w:tcBorders>
              <w:top w:val="none" w:sz="0" w:space="0" w:color="auto"/>
              <w:bottom w:val="none" w:sz="0" w:space="0" w:color="auto"/>
            </w:tcBorders>
            <w:noWrap/>
            <w:vAlign w:val="center"/>
            <w:hideMark/>
          </w:tcPr>
          <w:p w14:paraId="3D22F533"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290,71</w:t>
            </w:r>
          </w:p>
        </w:tc>
      </w:tr>
      <w:tr w:rsidR="00D252BC" w:rsidRPr="002040D0" w14:paraId="68637D05"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612B0A5"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Valsts un pašvaldību institūciju, izglītības iestāžu, privātā sektora un nevalstisko organizāciju sadarbība koordinētai sporta un kultūras infrastruktūras (t.sk. kultūras pieminekļi, sakrālais mantojums) izmantošanai un aktīvā tūrisma attīstība iedzīvotāju dzīves kvalitātes uzlabošanai, īstenojot </w:t>
            </w:r>
            <w:proofErr w:type="spellStart"/>
            <w:r w:rsidRPr="002040D0">
              <w:rPr>
                <w:rFonts w:ascii="Times New Roman" w:eastAsia="Times New Roman" w:hAnsi="Times New Roman" w:cs="Times New Roman"/>
                <w:b w:val="0"/>
                <w:bCs w:val="0"/>
                <w:color w:val="000000"/>
                <w:sz w:val="24"/>
                <w:szCs w:val="24"/>
                <w:lang w:eastAsia="lv-LV"/>
              </w:rPr>
              <w:t>starpinstitucionālus</w:t>
            </w:r>
            <w:proofErr w:type="spellEnd"/>
            <w:r w:rsidRPr="002040D0">
              <w:rPr>
                <w:rFonts w:ascii="Times New Roman" w:eastAsia="Times New Roman" w:hAnsi="Times New Roman" w:cs="Times New Roman"/>
                <w:b w:val="0"/>
                <w:bCs w:val="0"/>
                <w:color w:val="000000"/>
                <w:sz w:val="24"/>
                <w:szCs w:val="24"/>
                <w:lang w:eastAsia="lv-LV"/>
              </w:rPr>
              <w:t xml:space="preserve"> un </w:t>
            </w:r>
            <w:proofErr w:type="spellStart"/>
            <w:r w:rsidRPr="002040D0">
              <w:rPr>
                <w:rFonts w:ascii="Times New Roman" w:eastAsia="Times New Roman" w:hAnsi="Times New Roman" w:cs="Times New Roman"/>
                <w:b w:val="0"/>
                <w:bCs w:val="0"/>
                <w:color w:val="000000"/>
                <w:sz w:val="24"/>
                <w:szCs w:val="24"/>
                <w:lang w:eastAsia="lv-LV"/>
              </w:rPr>
              <w:t>starpsektorālus</w:t>
            </w:r>
            <w:proofErr w:type="spellEnd"/>
            <w:r w:rsidRPr="002040D0">
              <w:rPr>
                <w:rFonts w:ascii="Times New Roman" w:eastAsia="Times New Roman" w:hAnsi="Times New Roman" w:cs="Times New Roman"/>
                <w:b w:val="0"/>
                <w:bCs w:val="0"/>
                <w:color w:val="000000"/>
                <w:sz w:val="24"/>
                <w:szCs w:val="24"/>
                <w:lang w:eastAsia="lv-LV"/>
              </w:rPr>
              <w:t xml:space="preserve"> kopprojektus un aktivitātes</w:t>
            </w:r>
          </w:p>
        </w:tc>
        <w:tc>
          <w:tcPr>
            <w:tcW w:w="2048" w:type="dxa"/>
            <w:noWrap/>
            <w:vAlign w:val="center"/>
            <w:hideMark/>
          </w:tcPr>
          <w:p w14:paraId="660F5699"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w:t>
            </w:r>
          </w:p>
        </w:tc>
        <w:tc>
          <w:tcPr>
            <w:tcW w:w="1632" w:type="dxa"/>
            <w:noWrap/>
            <w:vAlign w:val="center"/>
            <w:hideMark/>
          </w:tcPr>
          <w:p w14:paraId="757A1ACF"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1,24</w:t>
            </w:r>
          </w:p>
        </w:tc>
      </w:tr>
      <w:tr w:rsidR="00D252BC" w:rsidRPr="002040D0" w14:paraId="1EAAF3DF"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4BC0128A"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Valsts, uzņēmēju un zinātnes sadarbības, zināšanu </w:t>
            </w:r>
            <w:proofErr w:type="spellStart"/>
            <w:r w:rsidRPr="002040D0">
              <w:rPr>
                <w:rFonts w:ascii="Times New Roman" w:eastAsia="Times New Roman" w:hAnsi="Times New Roman" w:cs="Times New Roman"/>
                <w:b w:val="0"/>
                <w:bCs w:val="0"/>
                <w:color w:val="000000"/>
                <w:sz w:val="24"/>
                <w:szCs w:val="24"/>
                <w:lang w:eastAsia="lv-LV"/>
              </w:rPr>
              <w:t>pārneses</w:t>
            </w:r>
            <w:proofErr w:type="spellEnd"/>
            <w:r w:rsidRPr="002040D0">
              <w:rPr>
                <w:rFonts w:ascii="Times New Roman" w:eastAsia="Times New Roman" w:hAnsi="Times New Roman" w:cs="Times New Roman"/>
                <w:b w:val="0"/>
                <w:bCs w:val="0"/>
                <w:color w:val="000000"/>
                <w:sz w:val="24"/>
                <w:szCs w:val="24"/>
                <w:lang w:eastAsia="lv-LV"/>
              </w:rPr>
              <w:t>, jaunu produktu un pakalpojumu attīstības  un cilvēkresursu piesaistes reģionos atbalstīšana, koncentrējot pieejamo atbalstu un neveicinot privāto investīciju aizvietošanu</w:t>
            </w:r>
          </w:p>
        </w:tc>
        <w:tc>
          <w:tcPr>
            <w:tcW w:w="2048" w:type="dxa"/>
            <w:tcBorders>
              <w:top w:val="none" w:sz="0" w:space="0" w:color="auto"/>
              <w:bottom w:val="none" w:sz="0" w:space="0" w:color="auto"/>
            </w:tcBorders>
            <w:noWrap/>
            <w:vAlign w:val="center"/>
            <w:hideMark/>
          </w:tcPr>
          <w:p w14:paraId="22941D4A"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w:t>
            </w:r>
          </w:p>
        </w:tc>
        <w:tc>
          <w:tcPr>
            <w:tcW w:w="1632" w:type="dxa"/>
            <w:tcBorders>
              <w:top w:val="none" w:sz="0" w:space="0" w:color="auto"/>
              <w:bottom w:val="none" w:sz="0" w:space="0" w:color="auto"/>
            </w:tcBorders>
            <w:noWrap/>
            <w:vAlign w:val="center"/>
            <w:hideMark/>
          </w:tcPr>
          <w:p w14:paraId="27345B9A"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61,25</w:t>
            </w:r>
          </w:p>
        </w:tc>
      </w:tr>
      <w:tr w:rsidR="00D252BC" w:rsidRPr="002040D0" w14:paraId="367D70F6"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F5A6C15"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Veselības aprūpes kvalitātes un efektivitātes uzlabošana, attīstot veselības aprūpes kvalitātes sistēmu, plašāk pielietojot uz rezultātu vērstu pakalpojumu apmaksas sistēmu, stiprinot primāro veselības aprūpi, veicinot slimību profilaksi un agrīnu diagnostiku, lai tādējādi nodrošinātu ierobežoto </w:t>
            </w:r>
            <w:r w:rsidRPr="002040D0">
              <w:rPr>
                <w:rFonts w:ascii="Times New Roman" w:eastAsia="Times New Roman" w:hAnsi="Times New Roman" w:cs="Times New Roman"/>
                <w:b w:val="0"/>
                <w:bCs w:val="0"/>
                <w:color w:val="000000"/>
                <w:sz w:val="24"/>
                <w:szCs w:val="24"/>
                <w:lang w:eastAsia="lv-LV"/>
              </w:rPr>
              <w:lastRenderedPageBreak/>
              <w:t>veselības aprūpes resursu iespējami labāku izmantošanu, vienlaikus sekmējot ātrāku izveseļošanos, priekšlaicīgas mirstības un darbnespējas novēršanu un dzīves kvalitātes saglabāšanos</w:t>
            </w:r>
          </w:p>
        </w:tc>
        <w:tc>
          <w:tcPr>
            <w:tcW w:w="2048" w:type="dxa"/>
            <w:noWrap/>
            <w:vAlign w:val="center"/>
            <w:hideMark/>
          </w:tcPr>
          <w:p w14:paraId="6AF132B3"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21</w:t>
            </w:r>
          </w:p>
        </w:tc>
        <w:tc>
          <w:tcPr>
            <w:tcW w:w="1632" w:type="dxa"/>
            <w:noWrap/>
            <w:vAlign w:val="center"/>
            <w:hideMark/>
          </w:tcPr>
          <w:p w14:paraId="4232EB66"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2,89</w:t>
            </w:r>
          </w:p>
        </w:tc>
      </w:tr>
      <w:tr w:rsidR="00D252BC" w:rsidRPr="002040D0" w14:paraId="69305C42"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05635D18"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Veselības aprūpes pārvaldības stiprināšana, uzlabojot veselības nozares datu digitalizāciju un pierādījumos balstītu lēmumu pieņemšanu veselības aprūpē, nodrošinot ārstniecības iestāžu sadarbības teritoriju attīstību, tai skaitā veselības aprūpes infrastruktūras uzlabošanu un digitālo tehnoloģiju plašāku izmantošanu veselības aprūpē, prioritāri mātes un bērna veselības aprūpes jomā un jomās, kam ir būtiska ietekme uz priekšlaicīgu mirstību un darbspēju zudumu, jo īpaši psihiatrijā, rehabilitācijā, kā arī nedziedināmi slimo pacientu aprūpē</w:t>
            </w:r>
          </w:p>
        </w:tc>
        <w:tc>
          <w:tcPr>
            <w:tcW w:w="2048" w:type="dxa"/>
            <w:tcBorders>
              <w:top w:val="none" w:sz="0" w:space="0" w:color="auto"/>
              <w:bottom w:val="none" w:sz="0" w:space="0" w:color="auto"/>
            </w:tcBorders>
            <w:noWrap/>
            <w:vAlign w:val="center"/>
            <w:hideMark/>
          </w:tcPr>
          <w:p w14:paraId="4FF71F62"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20</w:t>
            </w:r>
          </w:p>
        </w:tc>
        <w:tc>
          <w:tcPr>
            <w:tcW w:w="1632" w:type="dxa"/>
            <w:tcBorders>
              <w:top w:val="none" w:sz="0" w:space="0" w:color="auto"/>
              <w:bottom w:val="none" w:sz="0" w:space="0" w:color="auto"/>
            </w:tcBorders>
            <w:noWrap/>
            <w:vAlign w:val="center"/>
            <w:hideMark/>
          </w:tcPr>
          <w:p w14:paraId="567BDF3F"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36,65</w:t>
            </w:r>
          </w:p>
        </w:tc>
      </w:tr>
      <w:tr w:rsidR="00D252BC" w:rsidRPr="002040D0" w14:paraId="7A2FAF01"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F505126"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Vēsturiski piesārņoto vietu sanācijas un </w:t>
            </w:r>
            <w:proofErr w:type="spellStart"/>
            <w:r w:rsidRPr="002040D0">
              <w:rPr>
                <w:rFonts w:ascii="Times New Roman" w:eastAsia="Times New Roman" w:hAnsi="Times New Roman" w:cs="Times New Roman"/>
                <w:b w:val="0"/>
                <w:bCs w:val="0"/>
                <w:color w:val="000000"/>
                <w:sz w:val="24"/>
                <w:szCs w:val="24"/>
                <w:lang w:eastAsia="lv-LV"/>
              </w:rPr>
              <w:t>revitalizācijas</w:t>
            </w:r>
            <w:proofErr w:type="spellEnd"/>
            <w:r w:rsidRPr="002040D0">
              <w:rPr>
                <w:rFonts w:ascii="Times New Roman" w:eastAsia="Times New Roman" w:hAnsi="Times New Roman" w:cs="Times New Roman"/>
                <w:b w:val="0"/>
                <w:bCs w:val="0"/>
                <w:color w:val="000000"/>
                <w:sz w:val="24"/>
                <w:szCs w:val="24"/>
                <w:lang w:eastAsia="lv-LV"/>
              </w:rPr>
              <w:t xml:space="preserve"> pasākumu īstenošana uzlabotas vides kvalitātes (augsnei, gruntij, pazemes un virszemes ūdeņiem) sasniegšanai</w:t>
            </w:r>
          </w:p>
        </w:tc>
        <w:tc>
          <w:tcPr>
            <w:tcW w:w="2048" w:type="dxa"/>
            <w:noWrap/>
            <w:vAlign w:val="center"/>
            <w:hideMark/>
          </w:tcPr>
          <w:p w14:paraId="474624B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w:t>
            </w:r>
          </w:p>
        </w:tc>
        <w:tc>
          <w:tcPr>
            <w:tcW w:w="1632" w:type="dxa"/>
            <w:noWrap/>
            <w:vAlign w:val="center"/>
            <w:hideMark/>
          </w:tcPr>
          <w:p w14:paraId="68FAD7A4"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43,53</w:t>
            </w:r>
          </w:p>
        </w:tc>
      </w:tr>
      <w:tr w:rsidR="00D252BC" w:rsidRPr="002040D0" w14:paraId="0FBD67FB"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12599FF1"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Vidējas un augstas pievienotās vērtības preču un pakalpojumu eksporta palielināšana, vietējo un ārvalstu investīciju  piesaistes zināšanu un tehnoloģiski ietilpīgai uzņēmējdarbībai Latvijā atbalstīšana, t.sk. atbalsts investīcijām ārpus Latvijas un sadarbība ar diasporas uzņēmējiem</w:t>
            </w:r>
          </w:p>
        </w:tc>
        <w:tc>
          <w:tcPr>
            <w:tcW w:w="2048" w:type="dxa"/>
            <w:tcBorders>
              <w:top w:val="none" w:sz="0" w:space="0" w:color="auto"/>
              <w:bottom w:val="none" w:sz="0" w:space="0" w:color="auto"/>
            </w:tcBorders>
            <w:noWrap/>
            <w:vAlign w:val="center"/>
            <w:hideMark/>
          </w:tcPr>
          <w:p w14:paraId="1359ADA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3</w:t>
            </w:r>
          </w:p>
        </w:tc>
        <w:tc>
          <w:tcPr>
            <w:tcW w:w="1632" w:type="dxa"/>
            <w:tcBorders>
              <w:top w:val="none" w:sz="0" w:space="0" w:color="auto"/>
              <w:bottom w:val="none" w:sz="0" w:space="0" w:color="auto"/>
            </w:tcBorders>
            <w:noWrap/>
            <w:vAlign w:val="center"/>
            <w:hideMark/>
          </w:tcPr>
          <w:p w14:paraId="7267B5FC"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10,20</w:t>
            </w:r>
          </w:p>
        </w:tc>
      </w:tr>
      <w:tr w:rsidR="00D252BC" w:rsidRPr="002040D0" w14:paraId="4485F1C6"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04ABD28"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Vienlīdzīgu iespēju radīšana bērniem un jauniešiem ar speciālām vajadzībām, stiprinot iekļaujošu izglītību, attīstot asistentu pieejamību izglītības iestādēs, kā arī sociālo un veselības aprūpes pakalpojumu sniedzēju iesaisti un sadarbības koordināciju, nodrošinot kvalitatīvu esošo un jaunu, inovatīvu sociālo pakalpojumu attīstību un pieejamību reģionos, tādējādi uzlabojot bērnu dzīves kvalitāti un pāreju uz pieaugušo dzīvi</w:t>
            </w:r>
          </w:p>
        </w:tc>
        <w:tc>
          <w:tcPr>
            <w:tcW w:w="2048" w:type="dxa"/>
            <w:noWrap/>
            <w:vAlign w:val="center"/>
            <w:hideMark/>
          </w:tcPr>
          <w:p w14:paraId="7E47917A"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w:t>
            </w:r>
          </w:p>
        </w:tc>
        <w:tc>
          <w:tcPr>
            <w:tcW w:w="1632" w:type="dxa"/>
            <w:noWrap/>
            <w:vAlign w:val="center"/>
            <w:hideMark/>
          </w:tcPr>
          <w:p w14:paraId="1AA4EF88"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1,30</w:t>
            </w:r>
          </w:p>
        </w:tc>
      </w:tr>
      <w:tr w:rsidR="00D252BC" w:rsidRPr="002040D0" w14:paraId="7A2198E9" w14:textId="77777777" w:rsidTr="005963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hideMark/>
          </w:tcPr>
          <w:p w14:paraId="619909B3"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Vietējo resursu efektīvāka izmantošana, t.sk. </w:t>
            </w:r>
            <w:proofErr w:type="spellStart"/>
            <w:r w:rsidRPr="002040D0">
              <w:rPr>
                <w:rFonts w:ascii="Times New Roman" w:eastAsia="Times New Roman" w:hAnsi="Times New Roman" w:cs="Times New Roman"/>
                <w:b w:val="0"/>
                <w:bCs w:val="0"/>
                <w:color w:val="000000"/>
                <w:sz w:val="24"/>
                <w:szCs w:val="24"/>
                <w:lang w:eastAsia="lv-LV"/>
              </w:rPr>
              <w:t>ekodizaina</w:t>
            </w:r>
            <w:proofErr w:type="spellEnd"/>
            <w:r w:rsidRPr="002040D0">
              <w:rPr>
                <w:rFonts w:ascii="Times New Roman" w:eastAsia="Times New Roman" w:hAnsi="Times New Roman" w:cs="Times New Roman"/>
                <w:b w:val="0"/>
                <w:bCs w:val="0"/>
                <w:color w:val="000000"/>
                <w:sz w:val="24"/>
                <w:szCs w:val="24"/>
                <w:lang w:eastAsia="lv-LV"/>
              </w:rPr>
              <w:t xml:space="preserve"> principu piemērošana un aprites ekonomikas ieviešana dažādos tautsaimniecības sektoros, jo īpaši sasniedzot augstāku standartu un inovāciju izmantošanu pārtikas apritē un dzīvnieku veselībā saskaņā ar “vienas veselības” principu, kā arī panākot bezatkritumu ražošanas jomas tautsaimniecībā </w:t>
            </w:r>
          </w:p>
        </w:tc>
        <w:tc>
          <w:tcPr>
            <w:tcW w:w="2048" w:type="dxa"/>
            <w:tcBorders>
              <w:top w:val="none" w:sz="0" w:space="0" w:color="auto"/>
              <w:bottom w:val="none" w:sz="0" w:space="0" w:color="auto"/>
            </w:tcBorders>
            <w:noWrap/>
            <w:vAlign w:val="center"/>
            <w:hideMark/>
          </w:tcPr>
          <w:p w14:paraId="471610E3"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5</w:t>
            </w:r>
          </w:p>
        </w:tc>
        <w:tc>
          <w:tcPr>
            <w:tcW w:w="1632" w:type="dxa"/>
            <w:tcBorders>
              <w:top w:val="none" w:sz="0" w:space="0" w:color="auto"/>
              <w:bottom w:val="none" w:sz="0" w:space="0" w:color="auto"/>
            </w:tcBorders>
            <w:noWrap/>
            <w:vAlign w:val="center"/>
            <w:hideMark/>
          </w:tcPr>
          <w:p w14:paraId="3492ADC8" w14:textId="77777777" w:rsidR="00D252BC" w:rsidRPr="002040D0" w:rsidRDefault="00D252BC" w:rsidP="006069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0,23</w:t>
            </w:r>
          </w:p>
        </w:tc>
      </w:tr>
      <w:tr w:rsidR="00D252BC" w:rsidRPr="002040D0" w14:paraId="69F07A85" w14:textId="77777777" w:rsidTr="0059637E">
        <w:trPr>
          <w:trHeight w:val="30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5F418E1" w14:textId="77777777" w:rsidR="00D252BC" w:rsidRPr="002040D0" w:rsidRDefault="00D252BC" w:rsidP="00606949">
            <w:pPr>
              <w:jc w:val="both"/>
              <w:rPr>
                <w:rFonts w:ascii="Times New Roman" w:eastAsia="Times New Roman" w:hAnsi="Times New Roman" w:cs="Times New Roman"/>
                <w:b w:val="0"/>
                <w:bCs w:val="0"/>
                <w:color w:val="000000"/>
                <w:sz w:val="24"/>
                <w:szCs w:val="24"/>
                <w:lang w:eastAsia="lv-LV"/>
              </w:rPr>
            </w:pPr>
            <w:r w:rsidRPr="002040D0">
              <w:rPr>
                <w:rFonts w:ascii="Times New Roman" w:eastAsia="Times New Roman" w:hAnsi="Times New Roman" w:cs="Times New Roman"/>
                <w:b w:val="0"/>
                <w:bCs w:val="0"/>
                <w:color w:val="000000"/>
                <w:sz w:val="24"/>
                <w:szCs w:val="24"/>
                <w:lang w:eastAsia="lv-LV"/>
              </w:rPr>
              <w:t xml:space="preserve">Zinātnes izcilības stiprināšana sabiedrības izaicinājumu risināšanai, attīstot un koplietojot nacionālas nozīmes pētniecības infrastruktūru, stratēģiski iesaistoties, tajā skaitā iesaistot diasporas zinātniekus, (līdzfinansēšana, pārfinansēšana, papildinošās darbības) Eiropas un pasaules </w:t>
            </w:r>
            <w:r w:rsidRPr="002040D0">
              <w:rPr>
                <w:rFonts w:ascii="Times New Roman" w:eastAsia="Times New Roman" w:hAnsi="Times New Roman" w:cs="Times New Roman"/>
                <w:b w:val="0"/>
                <w:bCs w:val="0"/>
                <w:color w:val="000000"/>
                <w:sz w:val="24"/>
                <w:szCs w:val="24"/>
                <w:lang w:eastAsia="lv-LV"/>
              </w:rPr>
              <w:lastRenderedPageBreak/>
              <w:t xml:space="preserve">pētniecības un inovāciju iniciatīvās un pasākumos, kas stiprina P&amp;A sistēmas konkurētspēju un starptautisko </w:t>
            </w:r>
            <w:proofErr w:type="spellStart"/>
            <w:r w:rsidRPr="002040D0">
              <w:rPr>
                <w:rFonts w:ascii="Times New Roman" w:eastAsia="Times New Roman" w:hAnsi="Times New Roman" w:cs="Times New Roman"/>
                <w:b w:val="0"/>
                <w:bCs w:val="0"/>
                <w:color w:val="000000"/>
                <w:sz w:val="24"/>
                <w:szCs w:val="24"/>
                <w:lang w:eastAsia="lv-LV"/>
              </w:rPr>
              <w:t>atvērtību</w:t>
            </w:r>
            <w:proofErr w:type="spellEnd"/>
          </w:p>
        </w:tc>
        <w:tc>
          <w:tcPr>
            <w:tcW w:w="2048" w:type="dxa"/>
            <w:noWrap/>
            <w:vAlign w:val="center"/>
            <w:hideMark/>
          </w:tcPr>
          <w:p w14:paraId="306B61DB"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lastRenderedPageBreak/>
              <w:t>6</w:t>
            </w:r>
          </w:p>
        </w:tc>
        <w:tc>
          <w:tcPr>
            <w:tcW w:w="1632" w:type="dxa"/>
            <w:noWrap/>
            <w:vAlign w:val="center"/>
            <w:hideMark/>
          </w:tcPr>
          <w:p w14:paraId="2295DA9D" w14:textId="77777777" w:rsidR="00D252BC" w:rsidRPr="002040D0" w:rsidRDefault="00D252BC" w:rsidP="006069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4,16</w:t>
            </w:r>
          </w:p>
        </w:tc>
      </w:tr>
      <w:tr w:rsidR="00D252BC" w:rsidRPr="002040D0" w14:paraId="4AA2ECA6" w14:textId="77777777" w:rsidTr="0059637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7" w:type="dxa"/>
            <w:tcBorders>
              <w:top w:val="none" w:sz="0" w:space="0" w:color="auto"/>
              <w:bottom w:val="none" w:sz="0" w:space="0" w:color="auto"/>
            </w:tcBorders>
            <w:noWrap/>
            <w:vAlign w:val="center"/>
            <w:hideMark/>
          </w:tcPr>
          <w:p w14:paraId="49993714" w14:textId="671B86AB" w:rsidR="00D252BC" w:rsidRPr="002040D0" w:rsidRDefault="00D252BC" w:rsidP="00276839">
            <w:pPr>
              <w:rPr>
                <w:rFonts w:ascii="Times New Roman" w:eastAsia="Times New Roman" w:hAnsi="Times New Roman" w:cs="Times New Roman"/>
                <w:color w:val="000000"/>
                <w:sz w:val="24"/>
                <w:szCs w:val="24"/>
                <w:lang w:eastAsia="lv-LV"/>
              </w:rPr>
            </w:pPr>
            <w:r w:rsidRPr="002040D0">
              <w:rPr>
                <w:rFonts w:ascii="Times New Roman" w:eastAsia="Times New Roman" w:hAnsi="Times New Roman" w:cs="Times New Roman"/>
                <w:color w:val="000000"/>
                <w:sz w:val="24"/>
                <w:szCs w:val="24"/>
                <w:lang w:eastAsia="lv-LV"/>
              </w:rPr>
              <w:t>K</w:t>
            </w:r>
            <w:r w:rsidR="008B1661" w:rsidRPr="002040D0">
              <w:rPr>
                <w:rFonts w:ascii="Times New Roman" w:eastAsia="Times New Roman" w:hAnsi="Times New Roman" w:cs="Times New Roman"/>
                <w:color w:val="000000"/>
                <w:sz w:val="24"/>
                <w:szCs w:val="24"/>
                <w:lang w:eastAsia="lv-LV"/>
              </w:rPr>
              <w:t>OPĀ</w:t>
            </w:r>
          </w:p>
        </w:tc>
        <w:tc>
          <w:tcPr>
            <w:tcW w:w="2048" w:type="dxa"/>
            <w:tcBorders>
              <w:top w:val="none" w:sz="0" w:space="0" w:color="auto"/>
              <w:bottom w:val="none" w:sz="0" w:space="0" w:color="auto"/>
            </w:tcBorders>
            <w:noWrap/>
            <w:vAlign w:val="center"/>
            <w:hideMark/>
          </w:tcPr>
          <w:p w14:paraId="15E2D049" w14:textId="77777777" w:rsidR="00D252BC" w:rsidRPr="002040D0" w:rsidRDefault="00D252BC" w:rsidP="002768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lv-LV"/>
              </w:rPr>
            </w:pPr>
            <w:r w:rsidRPr="002040D0">
              <w:rPr>
                <w:rFonts w:ascii="Times New Roman" w:eastAsia="Times New Roman" w:hAnsi="Times New Roman" w:cs="Times New Roman"/>
                <w:b/>
                <w:bCs/>
                <w:color w:val="000000"/>
                <w:sz w:val="24"/>
                <w:szCs w:val="24"/>
                <w:lang w:eastAsia="lv-LV"/>
              </w:rPr>
              <w:t>504</w:t>
            </w:r>
          </w:p>
        </w:tc>
        <w:tc>
          <w:tcPr>
            <w:tcW w:w="1632" w:type="dxa"/>
            <w:tcBorders>
              <w:top w:val="none" w:sz="0" w:space="0" w:color="auto"/>
              <w:bottom w:val="none" w:sz="0" w:space="0" w:color="auto"/>
            </w:tcBorders>
            <w:noWrap/>
            <w:vAlign w:val="center"/>
            <w:hideMark/>
          </w:tcPr>
          <w:p w14:paraId="395D4814" w14:textId="0159282C" w:rsidR="00D252BC" w:rsidRPr="002040D0" w:rsidRDefault="00D252BC" w:rsidP="002768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lv-LV"/>
              </w:rPr>
            </w:pPr>
            <w:r w:rsidRPr="002040D0">
              <w:rPr>
                <w:rFonts w:ascii="Times New Roman" w:eastAsia="Times New Roman" w:hAnsi="Times New Roman" w:cs="Times New Roman"/>
                <w:b/>
                <w:bCs/>
                <w:color w:val="000000"/>
                <w:sz w:val="24"/>
                <w:szCs w:val="24"/>
                <w:lang w:eastAsia="lv-LV"/>
              </w:rPr>
              <w:t>2</w:t>
            </w:r>
            <w:r w:rsidR="00606949" w:rsidRPr="002040D0">
              <w:rPr>
                <w:rFonts w:ascii="Times New Roman" w:eastAsia="Times New Roman" w:hAnsi="Times New Roman" w:cs="Times New Roman"/>
                <w:b/>
                <w:bCs/>
                <w:color w:val="000000"/>
                <w:sz w:val="24"/>
                <w:szCs w:val="24"/>
                <w:lang w:eastAsia="lv-LV"/>
              </w:rPr>
              <w:t> </w:t>
            </w:r>
            <w:r w:rsidRPr="002040D0">
              <w:rPr>
                <w:rFonts w:ascii="Times New Roman" w:eastAsia="Times New Roman" w:hAnsi="Times New Roman" w:cs="Times New Roman"/>
                <w:b/>
                <w:bCs/>
                <w:color w:val="000000"/>
                <w:sz w:val="24"/>
                <w:szCs w:val="24"/>
                <w:lang w:eastAsia="lv-LV"/>
              </w:rPr>
              <w:t>862,79</w:t>
            </w:r>
          </w:p>
        </w:tc>
      </w:tr>
    </w:tbl>
    <w:p w14:paraId="675D7DC9" w14:textId="77777777" w:rsidR="00D252BC" w:rsidRPr="002040D0" w:rsidRDefault="00D252BC" w:rsidP="00606949">
      <w:pPr>
        <w:spacing w:after="0" w:line="240" w:lineRule="auto"/>
        <w:rPr>
          <w:rFonts w:ascii="Times New Roman" w:hAnsi="Times New Roman" w:cs="Times New Roman"/>
          <w:sz w:val="24"/>
          <w:szCs w:val="24"/>
        </w:rPr>
      </w:pPr>
    </w:p>
    <w:p w14:paraId="6DF1E336" w14:textId="77777777" w:rsidR="00D252BC" w:rsidRPr="002040D0" w:rsidRDefault="00D252BC" w:rsidP="000E3A5E">
      <w:pPr>
        <w:spacing w:after="0" w:line="240" w:lineRule="auto"/>
        <w:ind w:right="-427"/>
        <w:rPr>
          <w:rFonts w:ascii="Times New Roman" w:hAnsi="Times New Roman" w:cs="Times New Roman"/>
          <w:sz w:val="24"/>
          <w:szCs w:val="24"/>
        </w:rPr>
      </w:pPr>
    </w:p>
    <w:sectPr w:rsidR="00D252BC" w:rsidRPr="002040D0" w:rsidSect="006E664F">
      <w:footerReference w:type="default" r:id="rId11"/>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0865" w14:textId="77777777" w:rsidR="006E664F" w:rsidRDefault="006E664F" w:rsidP="006E664F">
      <w:pPr>
        <w:spacing w:after="0" w:line="240" w:lineRule="auto"/>
      </w:pPr>
      <w:r>
        <w:separator/>
      </w:r>
    </w:p>
  </w:endnote>
  <w:endnote w:type="continuationSeparator" w:id="0">
    <w:p w14:paraId="069EC0B9" w14:textId="77777777" w:rsidR="006E664F" w:rsidRDefault="006E664F" w:rsidP="006E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5154"/>
      <w:docPartObj>
        <w:docPartGallery w:val="Page Numbers (Bottom of Page)"/>
        <w:docPartUnique/>
      </w:docPartObj>
    </w:sdtPr>
    <w:sdtEndPr>
      <w:rPr>
        <w:rFonts w:ascii="Times New Roman" w:hAnsi="Times New Roman" w:cs="Times New Roman"/>
        <w:noProof/>
        <w:sz w:val="20"/>
        <w:szCs w:val="20"/>
      </w:rPr>
    </w:sdtEndPr>
    <w:sdtContent>
      <w:p w14:paraId="0013B38F" w14:textId="2CBA69C9" w:rsidR="006E664F" w:rsidRPr="006E664F" w:rsidRDefault="006E664F">
        <w:pPr>
          <w:pStyle w:val="Footer"/>
          <w:jc w:val="right"/>
          <w:rPr>
            <w:rFonts w:ascii="Times New Roman" w:hAnsi="Times New Roman" w:cs="Times New Roman"/>
            <w:sz w:val="20"/>
            <w:szCs w:val="20"/>
          </w:rPr>
        </w:pPr>
        <w:r w:rsidRPr="006E664F">
          <w:rPr>
            <w:rFonts w:ascii="Times New Roman" w:hAnsi="Times New Roman" w:cs="Times New Roman"/>
            <w:sz w:val="20"/>
            <w:szCs w:val="20"/>
          </w:rPr>
          <w:fldChar w:fldCharType="begin"/>
        </w:r>
        <w:r w:rsidRPr="006E664F">
          <w:rPr>
            <w:rFonts w:ascii="Times New Roman" w:hAnsi="Times New Roman" w:cs="Times New Roman"/>
            <w:sz w:val="20"/>
            <w:szCs w:val="20"/>
          </w:rPr>
          <w:instrText xml:space="preserve"> PAGE   \* MERGEFORMAT </w:instrText>
        </w:r>
        <w:r w:rsidRPr="006E664F">
          <w:rPr>
            <w:rFonts w:ascii="Times New Roman" w:hAnsi="Times New Roman" w:cs="Times New Roman"/>
            <w:sz w:val="20"/>
            <w:szCs w:val="20"/>
          </w:rPr>
          <w:fldChar w:fldCharType="separate"/>
        </w:r>
        <w:r w:rsidRPr="006E664F">
          <w:rPr>
            <w:rFonts w:ascii="Times New Roman" w:hAnsi="Times New Roman" w:cs="Times New Roman"/>
            <w:noProof/>
            <w:sz w:val="20"/>
            <w:szCs w:val="20"/>
          </w:rPr>
          <w:t>2</w:t>
        </w:r>
        <w:r w:rsidRPr="006E664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C75E" w14:textId="77777777" w:rsidR="006E664F" w:rsidRDefault="006E664F" w:rsidP="006E664F">
      <w:pPr>
        <w:spacing w:after="0" w:line="240" w:lineRule="auto"/>
      </w:pPr>
      <w:r>
        <w:separator/>
      </w:r>
    </w:p>
  </w:footnote>
  <w:footnote w:type="continuationSeparator" w:id="0">
    <w:p w14:paraId="66D1C68F" w14:textId="77777777" w:rsidR="006E664F" w:rsidRDefault="006E664F" w:rsidP="006E664F">
      <w:pPr>
        <w:spacing w:after="0" w:line="240" w:lineRule="auto"/>
      </w:pPr>
      <w:r>
        <w:continuationSeparator/>
      </w:r>
    </w:p>
  </w:footnote>
  <w:footnote w:id="1">
    <w:p w14:paraId="53E8F1A8" w14:textId="304B06F3" w:rsidR="00F31953" w:rsidRPr="00F31953" w:rsidRDefault="00F31953">
      <w:pPr>
        <w:pStyle w:val="FootnoteText"/>
        <w:rPr>
          <w:rFonts w:ascii="Times New Roman" w:hAnsi="Times New Roman" w:cs="Times New Roman"/>
        </w:rPr>
      </w:pPr>
      <w:r w:rsidRPr="00F31953">
        <w:rPr>
          <w:rStyle w:val="FootnoteReference"/>
          <w:rFonts w:ascii="Times New Roman" w:hAnsi="Times New Roman" w:cs="Times New Roman"/>
        </w:rPr>
        <w:footnoteRef/>
      </w:r>
      <w:r w:rsidRPr="00F31953">
        <w:rPr>
          <w:rFonts w:ascii="Times New Roman" w:hAnsi="Times New Roman" w:cs="Times New Roman"/>
        </w:rPr>
        <w:t xml:space="preserve"> VB – valsts budžeta finansējums; ESF – ES fondu finansējums; CĀF – cits ārvalstu finansējums</w:t>
      </w:r>
    </w:p>
  </w:footnote>
  <w:footnote w:id="2">
    <w:p w14:paraId="513B05CF" w14:textId="38E1EDAE" w:rsidR="00F31953" w:rsidRPr="00F31953" w:rsidRDefault="00F31953">
      <w:pPr>
        <w:pStyle w:val="FootnoteText"/>
        <w:rPr>
          <w:rFonts w:ascii="Times New Roman" w:hAnsi="Times New Roman" w:cs="Times New Roman"/>
        </w:rPr>
      </w:pPr>
      <w:r w:rsidRPr="00F31953">
        <w:rPr>
          <w:rStyle w:val="FootnoteReference"/>
          <w:rFonts w:ascii="Times New Roman" w:hAnsi="Times New Roman" w:cs="Times New Roman"/>
        </w:rPr>
        <w:footnoteRef/>
      </w:r>
      <w:r w:rsidRPr="00F31953">
        <w:rPr>
          <w:rFonts w:ascii="Times New Roman" w:hAnsi="Times New Roman" w:cs="Times New Roman"/>
        </w:rPr>
        <w:t xml:space="preserve"> LNG – līdzekļi neparedzētiem gadījumiem; FT – fiskālā telpa; PP – prioritārie pasākumi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13"/>
    <w:rsid w:val="000E3A5E"/>
    <w:rsid w:val="00153AE1"/>
    <w:rsid w:val="002040D0"/>
    <w:rsid w:val="002731CF"/>
    <w:rsid w:val="00276839"/>
    <w:rsid w:val="00332A06"/>
    <w:rsid w:val="003F7973"/>
    <w:rsid w:val="0059637E"/>
    <w:rsid w:val="00606949"/>
    <w:rsid w:val="00627933"/>
    <w:rsid w:val="00667F13"/>
    <w:rsid w:val="006E664F"/>
    <w:rsid w:val="006E6CB5"/>
    <w:rsid w:val="00791D00"/>
    <w:rsid w:val="007B5314"/>
    <w:rsid w:val="008B1661"/>
    <w:rsid w:val="009450A3"/>
    <w:rsid w:val="009A6E52"/>
    <w:rsid w:val="00A83859"/>
    <w:rsid w:val="00AB7097"/>
    <w:rsid w:val="00BB042D"/>
    <w:rsid w:val="00D252BC"/>
    <w:rsid w:val="00D9539B"/>
    <w:rsid w:val="00DB538E"/>
    <w:rsid w:val="00EE139B"/>
    <w:rsid w:val="00F20F5E"/>
    <w:rsid w:val="00F319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CFAE"/>
  <w15:chartTrackingRefBased/>
  <w15:docId w15:val="{9B092F5D-B40E-47A6-AC83-F5E1BABF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D252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7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664F"/>
    <w:pPr>
      <w:spacing w:after="120" w:line="240" w:lineRule="auto"/>
      <w:ind w:left="72" w:right="72"/>
      <w:jc w:val="right"/>
    </w:pPr>
    <w:rPr>
      <w:rFonts w:ascii="Times New Roman" w:eastAsiaTheme="minorEastAsia" w:hAnsi="Times New Roman"/>
      <w:bCs/>
      <w:kern w:val="22"/>
      <w:sz w:val="24"/>
      <w:lang w:eastAsia="ja-JP"/>
      <w14:ligatures w14:val="standard"/>
    </w:rPr>
  </w:style>
  <w:style w:type="paragraph" w:styleId="Header">
    <w:name w:val="header"/>
    <w:basedOn w:val="Normal"/>
    <w:link w:val="HeaderChar"/>
    <w:uiPriority w:val="99"/>
    <w:unhideWhenUsed/>
    <w:rsid w:val="006E66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664F"/>
  </w:style>
  <w:style w:type="paragraph" w:styleId="Footer">
    <w:name w:val="footer"/>
    <w:basedOn w:val="Normal"/>
    <w:link w:val="FooterChar"/>
    <w:uiPriority w:val="99"/>
    <w:unhideWhenUsed/>
    <w:rsid w:val="006E66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664F"/>
  </w:style>
  <w:style w:type="paragraph" w:styleId="FootnoteText">
    <w:name w:val="footnote text"/>
    <w:basedOn w:val="Normal"/>
    <w:link w:val="FootnoteTextChar"/>
    <w:uiPriority w:val="99"/>
    <w:semiHidden/>
    <w:unhideWhenUsed/>
    <w:rsid w:val="00F31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953"/>
    <w:rPr>
      <w:sz w:val="20"/>
      <w:szCs w:val="20"/>
    </w:rPr>
  </w:style>
  <w:style w:type="character" w:styleId="FootnoteReference">
    <w:name w:val="footnote reference"/>
    <w:basedOn w:val="DefaultParagraphFont"/>
    <w:uiPriority w:val="99"/>
    <w:semiHidden/>
    <w:unhideWhenUsed/>
    <w:rsid w:val="00F31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NAP2021\NAP2027_fina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NAP2021\NAP2027_fina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wnloads\NAP2021\NAP2027_finan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NAP2021\NAP2027_finans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dLbl>
              <c:idx val="12"/>
              <c:layout>
                <c:manualLayout>
                  <c:x val="0"/>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F9-4106-9E54-6C7A415D5F7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Sheet2!$C$12:$C$29</c:f>
              <c:strCache>
                <c:ptCount val="18"/>
                <c:pt idx="0">
                  <c:v>1. Rīcības virziens “Uz cilvēku centrēta veselības aprūpe”</c:v>
                </c:pt>
                <c:pt idx="1">
                  <c:v>10. Rīcības virziens “Daba un Vide”</c:v>
                </c:pt>
                <c:pt idx="2">
                  <c:v>11. Rīcības virziens “Tehnoloģiskā vide un pakalpojumi”</c:v>
                </c:pt>
                <c:pt idx="3">
                  <c:v>12. Rīcības virziens “Līdzsvarota reģionālā attīstība”</c:v>
                </c:pt>
                <c:pt idx="4">
                  <c:v>13. Rīcības virziens “Mājoklis”</c:v>
                </c:pt>
                <c:pt idx="5">
                  <c:v>14. Rīcības virziens “Cilvēku līdzdalība kultūras un sporta aktivitātēs”</c:v>
                </c:pt>
                <c:pt idx="6">
                  <c:v>15. Rīcības virziens “Kultūras un sporta devums ilgtspējīgai
sabiedrībai”</c:v>
                </c:pt>
                <c:pt idx="7">
                  <c:v>16. Rīcības virziens “Saliedētība”</c:v>
                </c:pt>
                <c:pt idx="8">
                  <c:v>17. Rīcības virziens “Tiesiskums un pārvaldība”</c:v>
                </c:pt>
                <c:pt idx="9">
                  <c:v>18. Rīcības virziens “Drošība”</c:v>
                </c:pt>
                <c:pt idx="10">
                  <c:v>2. Rīcības virziens “Psiholoģiskā un emocionālā labklājība”</c:v>
                </c:pt>
                <c:pt idx="11">
                  <c:v>3. Rīcības virziens “Stipras ģimenes paaudzēs”</c:v>
                </c:pt>
                <c:pt idx="12">
                  <c:v>4. Rīcības virziens “Sociālā iekļaušana”</c:v>
                </c:pt>
                <c:pt idx="13">
                  <c:v>5. Rīcības virziens “Zinātne sabiedrības attīstībai, tautsaimniecības izaugsmei un drošībai”</c:v>
                </c:pt>
                <c:pt idx="14">
                  <c:v>6. Rīcības virziens “Kvalitatīva, pieejama, iekļaujoša izglītība” </c:v>
                </c:pt>
                <c:pt idx="15">
                  <c:v>7. Rīcības virziens “Produktivitāte, inovācija un eksports”</c:v>
                </c:pt>
                <c:pt idx="16">
                  <c:v>8. Rīcības virziens “Darbs un ienākumi”</c:v>
                </c:pt>
                <c:pt idx="17">
                  <c:v>9. Rīcības virziens “Kapitāls un uzņēmējdarbības vide”</c:v>
                </c:pt>
              </c:strCache>
            </c:strRef>
          </c:cat>
          <c:val>
            <c:numRef>
              <c:f>Sheet2!$D$12:$D$29</c:f>
              <c:numCache>
                <c:formatCode>0.0\ \ </c:formatCode>
                <c:ptCount val="18"/>
                <c:pt idx="0">
                  <c:v>683366208.44999993</c:v>
                </c:pt>
                <c:pt idx="1">
                  <c:v>154181717.70000011</c:v>
                </c:pt>
                <c:pt idx="2">
                  <c:v>298236489.62999994</c:v>
                </c:pt>
                <c:pt idx="3">
                  <c:v>87967809.334117681</c:v>
                </c:pt>
                <c:pt idx="4">
                  <c:v>5000000</c:v>
                </c:pt>
                <c:pt idx="5">
                  <c:v>8712843.320000004</c:v>
                </c:pt>
                <c:pt idx="6">
                  <c:v>58885919.43999999</c:v>
                </c:pt>
                <c:pt idx="7">
                  <c:v>20502736.18</c:v>
                </c:pt>
                <c:pt idx="8">
                  <c:v>26207341.417110413</c:v>
                </c:pt>
                <c:pt idx="9">
                  <c:v>14270021.120000001</c:v>
                </c:pt>
                <c:pt idx="10">
                  <c:v>8607909.1699999999</c:v>
                </c:pt>
                <c:pt idx="11">
                  <c:v>196206713</c:v>
                </c:pt>
                <c:pt idx="12">
                  <c:v>134442482.78000003</c:v>
                </c:pt>
                <c:pt idx="13">
                  <c:v>4688247</c:v>
                </c:pt>
                <c:pt idx="14">
                  <c:v>57552521</c:v>
                </c:pt>
                <c:pt idx="15">
                  <c:v>176346354.17000005</c:v>
                </c:pt>
                <c:pt idx="16">
                  <c:v>884629820.95000005</c:v>
                </c:pt>
                <c:pt idx="17">
                  <c:v>42981152.069999993</c:v>
                </c:pt>
              </c:numCache>
            </c:numRef>
          </c:val>
          <c:extLst>
            <c:ext xmlns:c16="http://schemas.microsoft.com/office/drawing/2014/chart" uri="{C3380CC4-5D6E-409C-BE32-E72D297353CC}">
              <c16:uniqueId val="{00000001-80F9-4106-9E54-6C7A415D5F7C}"/>
            </c:ext>
          </c:extLst>
        </c:ser>
        <c:dLbls>
          <c:dLblPos val="outEnd"/>
          <c:showLegendKey val="0"/>
          <c:showVal val="1"/>
          <c:showCatName val="0"/>
          <c:showSerName val="0"/>
          <c:showPercent val="0"/>
          <c:showBubbleSize val="0"/>
        </c:dLbls>
        <c:gapWidth val="100"/>
        <c:overlap val="-27"/>
        <c:axId val="592963560"/>
        <c:axId val="592963232"/>
      </c:barChart>
      <c:catAx>
        <c:axId val="59296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2963232"/>
        <c:crosses val="autoZero"/>
        <c:auto val="1"/>
        <c:lblAlgn val="ctr"/>
        <c:lblOffset val="100"/>
        <c:noMultiLvlLbl val="0"/>
      </c:catAx>
      <c:valAx>
        <c:axId val="592963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2963560"/>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Sheet2!$C$101:$C$104</c:f>
              <c:strCache>
                <c:ptCount val="4"/>
                <c:pt idx="0">
                  <c:v>Cits ārvastu finansējums</c:v>
                </c:pt>
                <c:pt idx="1">
                  <c:v>ES fondu finansējums</c:v>
                </c:pt>
                <c:pt idx="2">
                  <c:v>Pašvaldību budžeta finansējums</c:v>
                </c:pt>
                <c:pt idx="3">
                  <c:v>Valsts budžets finansējums</c:v>
                </c:pt>
              </c:strCache>
            </c:strRef>
          </c:cat>
          <c:val>
            <c:numRef>
              <c:f>Sheet2!$D$101:$D$104</c:f>
              <c:numCache>
                <c:formatCode>0.0\ \ </c:formatCode>
                <c:ptCount val="4"/>
                <c:pt idx="0">
                  <c:v>4922162.6399999997</c:v>
                </c:pt>
                <c:pt idx="1">
                  <c:v>662126923.09122837</c:v>
                </c:pt>
                <c:pt idx="2">
                  <c:v>25041101</c:v>
                </c:pt>
                <c:pt idx="3">
                  <c:v>2170696100</c:v>
                </c:pt>
              </c:numCache>
            </c:numRef>
          </c:val>
          <c:extLst>
            <c:ext xmlns:c16="http://schemas.microsoft.com/office/drawing/2014/chart" uri="{C3380CC4-5D6E-409C-BE32-E72D297353CC}">
              <c16:uniqueId val="{00000000-008D-4149-8252-5E970D78FF2C}"/>
            </c:ext>
          </c:extLst>
        </c:ser>
        <c:dLbls>
          <c:showLegendKey val="0"/>
          <c:showVal val="0"/>
          <c:showCatName val="0"/>
          <c:showSerName val="0"/>
          <c:showPercent val="0"/>
          <c:showBubbleSize val="0"/>
        </c:dLbls>
        <c:gapWidth val="219"/>
        <c:overlap val="-27"/>
        <c:axId val="619272016"/>
        <c:axId val="619275952"/>
      </c:barChart>
      <c:catAx>
        <c:axId val="61927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9275952"/>
        <c:crosses val="autoZero"/>
        <c:auto val="1"/>
        <c:lblAlgn val="ctr"/>
        <c:lblOffset val="100"/>
        <c:noMultiLvlLbl val="0"/>
      </c:catAx>
      <c:valAx>
        <c:axId val="6192759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9272016"/>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[NAP2027_finanses.xlsx]Sheet2!PivotTable8</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layout>
            <c:manualLayout>
              <c:x val="0"/>
              <c:y val="9.25925925925917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layout>
            <c:manualLayout>
              <c:x val="4.2769302215465909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layout>
            <c:manualLayout>
              <c:x val="-6.4153953323200039E-3"/>
              <c:y val="-2.777777777777786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layout>
            <c:manualLayout>
              <c:x val="-6.415395332320082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layout>
            <c:manualLayout>
              <c:x val="4.276930221546669E-3"/>
              <c:y val="-3.240740740740748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layout>
            <c:manualLayout>
              <c:x val="2.1384651107733345E-3"/>
              <c:y val="-2.314814814814823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layout>
            <c:manualLayout>
              <c:x val="2.1384651107733345E-3"/>
              <c:y val="-2.314814814814823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dLbl>
          <c:idx val="0"/>
          <c:layout>
            <c:manualLayout>
              <c:x val="0"/>
              <c:y val="9.25925925925917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dLbl>
          <c:idx val="0"/>
          <c:layout>
            <c:manualLayout>
              <c:x val="-6.4153953323200039E-3"/>
              <c:y val="-2.777777777777786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layout>
            <c:manualLayout>
              <c:x val="4.2769302215465909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layout>
            <c:manualLayout>
              <c:x val="-6.415395332320082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layout>
            <c:manualLayout>
              <c:x val="4.276930221546669E-3"/>
              <c:y val="-3.240740740740748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dLbl>
          <c:idx val="0"/>
          <c:layout>
            <c:manualLayout>
              <c:x val="2.1384651107733345E-3"/>
              <c:y val="-2.314814814814823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dLbl>
          <c:idx val="0"/>
          <c:layout>
            <c:manualLayout>
              <c:x val="0"/>
              <c:y val="9.2592592592591737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dLbl>
          <c:idx val="0"/>
          <c:layout>
            <c:manualLayout>
              <c:x val="-6.4153953323200039E-3"/>
              <c:y val="-2.777777777777786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dLbl>
          <c:idx val="0"/>
          <c:layout>
            <c:manualLayout>
              <c:x val="4.2769302215465909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layout>
            <c:manualLayout>
              <c:x val="-6.415395332320082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dLbl>
          <c:idx val="0"/>
          <c:layout>
            <c:manualLayout>
              <c:x val="4.276930221546669E-3"/>
              <c:y val="-3.240740740740748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05198986326098"/>
          <c:y val="3.3983549454087755E-2"/>
          <c:w val="0.85764009529604313"/>
          <c:h val="0.83029417791177584"/>
        </c:manualLayout>
      </c:layout>
      <c:barChart>
        <c:barDir val="col"/>
        <c:grouping val="clustered"/>
        <c:varyColors val="0"/>
        <c:ser>
          <c:idx val="0"/>
          <c:order val="0"/>
          <c:tx>
            <c:strRef>
              <c:f>Sheet2!$E$49</c:f>
              <c:strCache>
                <c:ptCount val="1"/>
                <c:pt idx="0">
                  <c:v>Total</c:v>
                </c:pt>
              </c:strCache>
            </c:strRef>
          </c:tx>
          <c:spPr>
            <a:solidFill>
              <a:schemeClr val="accent2"/>
            </a:solidFill>
            <a:ln>
              <a:noFill/>
            </a:ln>
            <a:effectLst/>
          </c:spPr>
          <c:invertIfNegative val="0"/>
          <c:dLbls>
            <c:dLbl>
              <c:idx val="3"/>
              <c:layout>
                <c:manualLayout>
                  <c:x val="2.138542638371464E-3"/>
                  <c:y val="4.63935148085648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29-490A-84F0-2874CD8E54D2}"/>
                </c:ext>
              </c:extLst>
            </c:dLbl>
            <c:dLbl>
              <c:idx val="9"/>
              <c:layout>
                <c:manualLayout>
                  <c:x val="0"/>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29-490A-84F0-2874CD8E54D2}"/>
                </c:ext>
              </c:extLst>
            </c:dLbl>
            <c:dLbl>
              <c:idx val="10"/>
              <c:layout>
                <c:manualLayout>
                  <c:x val="2.1306358177292789E-3"/>
                  <c:y val="1.0429857261242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29-490A-84F0-2874CD8E54D2}"/>
                </c:ext>
              </c:extLst>
            </c:dLbl>
            <c:dLbl>
              <c:idx val="11"/>
              <c:layout>
                <c:manualLayout>
                  <c:x val="4.27693022154659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29-490A-84F0-2874CD8E54D2}"/>
                </c:ext>
              </c:extLst>
            </c:dLbl>
            <c:dLbl>
              <c:idx val="15"/>
              <c:layout>
                <c:manualLayout>
                  <c:x val="2.1306358177292789E-3"/>
                  <c:y val="5.795428749593043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29-490A-84F0-2874CD8E54D2}"/>
                </c:ext>
              </c:extLst>
            </c:dLbl>
            <c:dLbl>
              <c:idx val="19"/>
              <c:layout>
                <c:manualLayout>
                  <c:x val="4.2769170465164989E-3"/>
                  <c:y val="5.80035171879999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29-490A-84F0-2874CD8E54D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Sheet2!$D$50:$D$85</c:f>
              <c:multiLvlStrCache>
                <c:ptCount val="23"/>
                <c:lvl>
                  <c:pt idx="0">
                    <c:v>VB</c:v>
                  </c:pt>
                  <c:pt idx="1">
                    <c:v>ESF</c:v>
                  </c:pt>
                  <c:pt idx="2">
                    <c:v>VB</c:v>
                  </c:pt>
                  <c:pt idx="3">
                    <c:v>ESF</c:v>
                  </c:pt>
                  <c:pt idx="4">
                    <c:v>VB</c:v>
                  </c:pt>
                  <c:pt idx="5">
                    <c:v>CĀF</c:v>
                  </c:pt>
                  <c:pt idx="6">
                    <c:v>VB</c:v>
                  </c:pt>
                  <c:pt idx="7">
                    <c:v>ESF</c:v>
                  </c:pt>
                  <c:pt idx="8">
                    <c:v>VB</c:v>
                  </c:pt>
                  <c:pt idx="9">
                    <c:v>ESF</c:v>
                  </c:pt>
                  <c:pt idx="10">
                    <c:v>VB</c:v>
                  </c:pt>
                  <c:pt idx="11">
                    <c:v>ESF</c:v>
                  </c:pt>
                  <c:pt idx="12">
                    <c:v>VB</c:v>
                  </c:pt>
                  <c:pt idx="13">
                    <c:v>ESF</c:v>
                  </c:pt>
                  <c:pt idx="14">
                    <c:v>VB</c:v>
                  </c:pt>
                  <c:pt idx="15">
                    <c:v>ESF</c:v>
                  </c:pt>
                  <c:pt idx="16">
                    <c:v>VB</c:v>
                  </c:pt>
                  <c:pt idx="17">
                    <c:v>ESF</c:v>
                  </c:pt>
                  <c:pt idx="18">
                    <c:v>VB</c:v>
                  </c:pt>
                  <c:pt idx="19">
                    <c:v>ESF</c:v>
                  </c:pt>
                  <c:pt idx="20">
                    <c:v>VB</c:v>
                  </c:pt>
                  <c:pt idx="21">
                    <c:v>ESF</c:v>
                  </c:pt>
                  <c:pt idx="22">
                    <c:v>VB</c:v>
                  </c:pt>
                </c:lvl>
                <c:lvl>
                  <c:pt idx="0">
                    <c:v>ĀM</c:v>
                  </c:pt>
                  <c:pt idx="1">
                    <c:v>EM</c:v>
                  </c:pt>
                  <c:pt idx="3">
                    <c:v>FM</c:v>
                  </c:pt>
                  <c:pt idx="5">
                    <c:v>IeM</c:v>
                  </c:pt>
                  <c:pt idx="7">
                    <c:v>IZM</c:v>
                  </c:pt>
                  <c:pt idx="9">
                    <c:v>KM</c:v>
                  </c:pt>
                  <c:pt idx="11">
                    <c:v>LM</c:v>
                  </c:pt>
                  <c:pt idx="13">
                    <c:v>SM</c:v>
                  </c:pt>
                  <c:pt idx="15">
                    <c:v>TM</c:v>
                  </c:pt>
                  <c:pt idx="17">
                    <c:v>VARAM</c:v>
                  </c:pt>
                  <c:pt idx="19">
                    <c:v>VM</c:v>
                  </c:pt>
                  <c:pt idx="21">
                    <c:v>ZM</c:v>
                  </c:pt>
                </c:lvl>
              </c:multiLvlStrCache>
            </c:multiLvlStrRef>
          </c:cat>
          <c:val>
            <c:numRef>
              <c:f>Sheet2!$E$50:$E$85</c:f>
              <c:numCache>
                <c:formatCode>0.0\ \ </c:formatCode>
                <c:ptCount val="23"/>
                <c:pt idx="0">
                  <c:v>120000</c:v>
                </c:pt>
                <c:pt idx="1">
                  <c:v>161095747.4441177</c:v>
                </c:pt>
                <c:pt idx="2">
                  <c:v>13585361</c:v>
                </c:pt>
                <c:pt idx="3">
                  <c:v>1305410.0099999984</c:v>
                </c:pt>
                <c:pt idx="4">
                  <c:v>770391142</c:v>
                </c:pt>
                <c:pt idx="5">
                  <c:v>965275</c:v>
                </c:pt>
                <c:pt idx="6">
                  <c:v>5845437</c:v>
                </c:pt>
                <c:pt idx="7">
                  <c:v>975575.11999999976</c:v>
                </c:pt>
                <c:pt idx="8">
                  <c:v>66646313</c:v>
                </c:pt>
                <c:pt idx="9">
                  <c:v>16567425.54999999</c:v>
                </c:pt>
                <c:pt idx="10">
                  <c:v>36415851</c:v>
                </c:pt>
                <c:pt idx="11">
                  <c:v>47136800.00999999</c:v>
                </c:pt>
                <c:pt idx="12">
                  <c:v>366895479</c:v>
                </c:pt>
                <c:pt idx="13">
                  <c:v>83590299.75999999</c:v>
                </c:pt>
                <c:pt idx="14">
                  <c:v>185695546</c:v>
                </c:pt>
                <c:pt idx="15">
                  <c:v>1306789.7400000012</c:v>
                </c:pt>
                <c:pt idx="16">
                  <c:v>1128886</c:v>
                </c:pt>
                <c:pt idx="17">
                  <c:v>149356960.78711051</c:v>
                </c:pt>
                <c:pt idx="18">
                  <c:v>29953611</c:v>
                </c:pt>
                <c:pt idx="19">
                  <c:v>36767115.809999935</c:v>
                </c:pt>
                <c:pt idx="20">
                  <c:v>661851845</c:v>
                </c:pt>
                <c:pt idx="21">
                  <c:v>163038969.13999999</c:v>
                </c:pt>
                <c:pt idx="22">
                  <c:v>547367</c:v>
                </c:pt>
              </c:numCache>
            </c:numRef>
          </c:val>
          <c:extLst>
            <c:ext xmlns:c16="http://schemas.microsoft.com/office/drawing/2014/chart" uri="{C3380CC4-5D6E-409C-BE32-E72D297353CC}">
              <c16:uniqueId val="{00000006-9E29-490A-84F0-2874CD8E54D2}"/>
            </c:ext>
          </c:extLst>
        </c:ser>
        <c:dLbls>
          <c:dLblPos val="outEnd"/>
          <c:showLegendKey val="0"/>
          <c:showVal val="1"/>
          <c:showCatName val="0"/>
          <c:showSerName val="0"/>
          <c:showPercent val="0"/>
          <c:showBubbleSize val="0"/>
        </c:dLbls>
        <c:gapWidth val="50"/>
        <c:overlap val="-27"/>
        <c:axId val="552065600"/>
        <c:axId val="552062976"/>
      </c:barChart>
      <c:catAx>
        <c:axId val="5520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52062976"/>
        <c:crosses val="autoZero"/>
        <c:auto val="1"/>
        <c:lblAlgn val="ctr"/>
        <c:lblOffset val="100"/>
        <c:noMultiLvlLbl val="0"/>
      </c:catAx>
      <c:valAx>
        <c:axId val="552062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52065600"/>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[NAP2027_finanses.xlsx]Sheet2!PivotTable7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Sheet2!$B$107</c:f>
              <c:strCache>
                <c:ptCount val="1"/>
                <c:pt idx="0">
                  <c:v>Total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Sheet2!$A$108:$A$140</c:f>
              <c:multiLvlStrCache>
                <c:ptCount val="20"/>
                <c:lvl>
                  <c:pt idx="0">
                    <c:v>PP</c:v>
                  </c:pt>
                  <c:pt idx="1">
                    <c:v>LNG</c:v>
                  </c:pt>
                  <c:pt idx="2">
                    <c:v>PP</c:v>
                  </c:pt>
                  <c:pt idx="3">
                    <c:v>FT</c:v>
                  </c:pt>
                  <c:pt idx="4">
                    <c:v>LNG</c:v>
                  </c:pt>
                  <c:pt idx="5">
                    <c:v>PP</c:v>
                  </c:pt>
                  <c:pt idx="6">
                    <c:v>LNG</c:v>
                  </c:pt>
                  <c:pt idx="7">
                    <c:v>LNG</c:v>
                  </c:pt>
                  <c:pt idx="8">
                    <c:v>PP</c:v>
                  </c:pt>
                  <c:pt idx="9">
                    <c:v>LNG</c:v>
                  </c:pt>
                  <c:pt idx="10">
                    <c:v>PP</c:v>
                  </c:pt>
                  <c:pt idx="11">
                    <c:v>FT</c:v>
                  </c:pt>
                  <c:pt idx="12">
                    <c:v>LNG</c:v>
                  </c:pt>
                  <c:pt idx="13">
                    <c:v>PP</c:v>
                  </c:pt>
                  <c:pt idx="14">
                    <c:v>LNG</c:v>
                  </c:pt>
                  <c:pt idx="15">
                    <c:v>PP</c:v>
                  </c:pt>
                  <c:pt idx="16">
                    <c:v>LNG</c:v>
                  </c:pt>
                  <c:pt idx="17">
                    <c:v>LNG</c:v>
                  </c:pt>
                  <c:pt idx="18">
                    <c:v>PP</c:v>
                  </c:pt>
                  <c:pt idx="19">
                    <c:v>LNG</c:v>
                  </c:pt>
                </c:lvl>
                <c:lvl>
                  <c:pt idx="0">
                    <c:v>ĀM</c:v>
                  </c:pt>
                  <c:pt idx="1">
                    <c:v>EM</c:v>
                  </c:pt>
                  <c:pt idx="3">
                    <c:v>FM</c:v>
                  </c:pt>
                  <c:pt idx="6">
                    <c:v>IeM</c:v>
                  </c:pt>
                  <c:pt idx="7">
                    <c:v>IZM</c:v>
                  </c:pt>
                  <c:pt idx="9">
                    <c:v>KM</c:v>
                  </c:pt>
                  <c:pt idx="11">
                    <c:v>LM</c:v>
                  </c:pt>
                  <c:pt idx="14">
                    <c:v>SM</c:v>
                  </c:pt>
                  <c:pt idx="15">
                    <c:v>TM</c:v>
                  </c:pt>
                  <c:pt idx="16">
                    <c:v>VARAM</c:v>
                  </c:pt>
                  <c:pt idx="17">
                    <c:v>VM</c:v>
                  </c:pt>
                  <c:pt idx="19">
                    <c:v>ZM</c:v>
                  </c:pt>
                </c:lvl>
              </c:multiLvlStrCache>
            </c:multiLvlStrRef>
          </c:cat>
          <c:val>
            <c:numRef>
              <c:f>Sheet2!$B$108:$B$140</c:f>
              <c:numCache>
                <c:formatCode>0.0\ \ </c:formatCode>
                <c:ptCount val="20"/>
                <c:pt idx="0">
                  <c:v>120000</c:v>
                </c:pt>
                <c:pt idx="1">
                  <c:v>8585361</c:v>
                </c:pt>
                <c:pt idx="2">
                  <c:v>5000000</c:v>
                </c:pt>
                <c:pt idx="3">
                  <c:v>41600000</c:v>
                </c:pt>
                <c:pt idx="4">
                  <c:v>728279522</c:v>
                </c:pt>
                <c:pt idx="5">
                  <c:v>511620</c:v>
                </c:pt>
                <c:pt idx="6">
                  <c:v>5845437</c:v>
                </c:pt>
                <c:pt idx="7">
                  <c:v>20806059</c:v>
                </c:pt>
                <c:pt idx="8">
                  <c:v>45840254</c:v>
                </c:pt>
                <c:pt idx="9">
                  <c:v>35676635</c:v>
                </c:pt>
                <c:pt idx="10">
                  <c:v>739216</c:v>
                </c:pt>
                <c:pt idx="11">
                  <c:v>87400000</c:v>
                </c:pt>
                <c:pt idx="12">
                  <c:v>209530410</c:v>
                </c:pt>
                <c:pt idx="13">
                  <c:v>69965069</c:v>
                </c:pt>
                <c:pt idx="14">
                  <c:v>185695546</c:v>
                </c:pt>
                <c:pt idx="15">
                  <c:v>1128886</c:v>
                </c:pt>
                <c:pt idx="16">
                  <c:v>29953611</c:v>
                </c:pt>
                <c:pt idx="17">
                  <c:v>473980954</c:v>
                </c:pt>
                <c:pt idx="18">
                  <c:v>187870891</c:v>
                </c:pt>
                <c:pt idx="19">
                  <c:v>547367</c:v>
                </c:pt>
              </c:numCache>
            </c:numRef>
          </c:val>
          <c:extLst>
            <c:ext xmlns:c16="http://schemas.microsoft.com/office/drawing/2014/chart" uri="{C3380CC4-5D6E-409C-BE32-E72D297353CC}">
              <c16:uniqueId val="{00000000-B01E-466B-BA2C-048C4A7AF1CD}"/>
            </c:ext>
          </c:extLst>
        </c:ser>
        <c:dLbls>
          <c:showLegendKey val="0"/>
          <c:showVal val="0"/>
          <c:showCatName val="0"/>
          <c:showSerName val="0"/>
          <c:showPercent val="0"/>
          <c:showBubbleSize val="0"/>
        </c:dLbls>
        <c:gapWidth val="50"/>
        <c:overlap val="-27"/>
        <c:axId val="460565960"/>
        <c:axId val="460567928"/>
      </c:barChart>
      <c:catAx>
        <c:axId val="46056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60567928"/>
        <c:crosses val="autoZero"/>
        <c:auto val="1"/>
        <c:lblAlgn val="ctr"/>
        <c:lblOffset val="100"/>
        <c:noMultiLvlLbl val="0"/>
      </c:catAx>
      <c:valAx>
        <c:axId val="460567928"/>
        <c:scaling>
          <c:orientation val="minMax"/>
        </c:scaling>
        <c:delete val="0"/>
        <c:axPos val="l"/>
        <c:majorGridlines>
          <c:spPr>
            <a:ln w="9525" cap="flat" cmpd="sng" algn="ctr">
              <a:solidFill>
                <a:schemeClr val="tx1">
                  <a:lumMod val="15000"/>
                  <a:lumOff val="85000"/>
                </a:schemeClr>
              </a:solidFill>
              <a:round/>
            </a:ln>
            <a:effectLst/>
          </c:spPr>
        </c:majorGridlines>
        <c:numFmt formatCode="0.0\ \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60565960"/>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0DFB-820D-434A-82D4-30C95B88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16485</Words>
  <Characters>9398</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5. pielikums informatīvajam ziņojumam</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pielikums informatīvajam ziņojumam</dc:title>
  <dc:subject/>
  <dc:creator>PKC</dc:creator>
  <cp:keywords/>
  <dc:description>Sandra.Vitola@fm.gov.lv, 25732964</dc:description>
  <cp:lastModifiedBy>Sandra Vītola</cp:lastModifiedBy>
  <cp:revision>4</cp:revision>
  <dcterms:created xsi:type="dcterms:W3CDTF">2022-12-17T18:02:00Z</dcterms:created>
  <dcterms:modified xsi:type="dcterms:W3CDTF">2022-12-19T10:09:00Z</dcterms:modified>
</cp:coreProperties>
</file>