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6DB5" w14:textId="77777777" w:rsidR="00D50B89" w:rsidRDefault="00D50B89" w:rsidP="00444DFF">
      <w:pPr>
        <w:ind w:firstLine="567"/>
        <w:jc w:val="center"/>
        <w:rPr>
          <w:rFonts w:ascii="Times New Roman" w:hAnsi="Times New Roman" w:cs="Times New Roman"/>
          <w:b/>
          <w:caps/>
          <w:sz w:val="24"/>
          <w:szCs w:val="24"/>
        </w:rPr>
      </w:pPr>
    </w:p>
    <w:p w14:paraId="61F98ACC" w14:textId="77777777" w:rsidR="00D50B89" w:rsidRDefault="00D50B89" w:rsidP="00444DFF">
      <w:pPr>
        <w:ind w:firstLine="567"/>
        <w:jc w:val="center"/>
        <w:rPr>
          <w:rFonts w:ascii="Times New Roman" w:hAnsi="Times New Roman" w:cs="Times New Roman"/>
          <w:b/>
          <w:caps/>
          <w:sz w:val="24"/>
          <w:szCs w:val="24"/>
        </w:rPr>
      </w:pPr>
    </w:p>
    <w:p w14:paraId="3D4EB057" w14:textId="543DFE48" w:rsidR="00D50B89" w:rsidRDefault="00D50B89" w:rsidP="00444DFF">
      <w:pPr>
        <w:ind w:firstLine="567"/>
        <w:jc w:val="center"/>
        <w:rPr>
          <w:rFonts w:ascii="Times New Roman" w:hAnsi="Times New Roman" w:cs="Times New Roman"/>
          <w:b/>
          <w:caps/>
          <w:sz w:val="24"/>
          <w:szCs w:val="24"/>
        </w:rPr>
      </w:pPr>
    </w:p>
    <w:p w14:paraId="6950F023" w14:textId="34DB4170" w:rsidR="00AF56CE" w:rsidRDefault="00AF56CE" w:rsidP="00444DFF">
      <w:pPr>
        <w:ind w:firstLine="567"/>
        <w:jc w:val="center"/>
        <w:rPr>
          <w:rFonts w:ascii="Times New Roman" w:hAnsi="Times New Roman" w:cs="Times New Roman"/>
          <w:b/>
          <w:caps/>
          <w:sz w:val="24"/>
          <w:szCs w:val="24"/>
        </w:rPr>
      </w:pPr>
    </w:p>
    <w:p w14:paraId="5A6A28BF" w14:textId="0F1900C4" w:rsidR="00AF56CE" w:rsidRDefault="00AF56CE" w:rsidP="00444DFF">
      <w:pPr>
        <w:ind w:firstLine="567"/>
        <w:jc w:val="center"/>
        <w:rPr>
          <w:rFonts w:ascii="Times New Roman" w:hAnsi="Times New Roman" w:cs="Times New Roman"/>
          <w:b/>
          <w:caps/>
          <w:sz w:val="24"/>
          <w:szCs w:val="24"/>
        </w:rPr>
      </w:pPr>
    </w:p>
    <w:p w14:paraId="4D3F299B" w14:textId="77777777" w:rsidR="00AF56CE" w:rsidRDefault="00AF56CE" w:rsidP="00444DFF">
      <w:pPr>
        <w:ind w:firstLine="567"/>
        <w:jc w:val="center"/>
        <w:rPr>
          <w:rFonts w:ascii="Times New Roman" w:hAnsi="Times New Roman" w:cs="Times New Roman"/>
          <w:b/>
          <w:caps/>
          <w:sz w:val="24"/>
          <w:szCs w:val="24"/>
        </w:rPr>
      </w:pPr>
    </w:p>
    <w:p w14:paraId="0ECFD998" w14:textId="77777777" w:rsidR="00D50B89" w:rsidRDefault="00D50B89" w:rsidP="00444DFF">
      <w:pPr>
        <w:ind w:firstLine="567"/>
        <w:jc w:val="center"/>
        <w:rPr>
          <w:rFonts w:ascii="Times New Roman" w:hAnsi="Times New Roman" w:cs="Times New Roman"/>
          <w:b/>
          <w:caps/>
          <w:sz w:val="24"/>
          <w:szCs w:val="24"/>
        </w:rPr>
      </w:pPr>
    </w:p>
    <w:p w14:paraId="219F7C69" w14:textId="77777777" w:rsidR="00D36866" w:rsidRDefault="00D36866" w:rsidP="00444DFF">
      <w:pPr>
        <w:jc w:val="center"/>
        <w:rPr>
          <w:rFonts w:ascii="Times New Roman" w:hAnsi="Times New Roman" w:cs="Times New Roman"/>
          <w:b/>
          <w:sz w:val="48"/>
          <w:szCs w:val="48"/>
        </w:rPr>
      </w:pPr>
    </w:p>
    <w:p w14:paraId="4BAC8266" w14:textId="77777777" w:rsidR="00D36866" w:rsidRDefault="00D36866" w:rsidP="00444DFF">
      <w:pPr>
        <w:jc w:val="center"/>
        <w:rPr>
          <w:rFonts w:ascii="Times New Roman" w:hAnsi="Times New Roman" w:cs="Times New Roman"/>
          <w:b/>
          <w:sz w:val="48"/>
          <w:szCs w:val="48"/>
        </w:rPr>
      </w:pPr>
    </w:p>
    <w:p w14:paraId="449E4D05" w14:textId="77777777" w:rsidR="00D36866" w:rsidRDefault="00D36866" w:rsidP="00444DFF">
      <w:pPr>
        <w:jc w:val="center"/>
        <w:rPr>
          <w:rFonts w:ascii="Times New Roman" w:hAnsi="Times New Roman" w:cs="Times New Roman"/>
          <w:b/>
          <w:sz w:val="48"/>
          <w:szCs w:val="48"/>
        </w:rPr>
      </w:pPr>
    </w:p>
    <w:p w14:paraId="79CC51EE" w14:textId="77777777" w:rsidR="00D36866" w:rsidRDefault="00D36866" w:rsidP="00444DFF">
      <w:pPr>
        <w:jc w:val="center"/>
        <w:rPr>
          <w:rFonts w:ascii="Times New Roman" w:hAnsi="Times New Roman" w:cs="Times New Roman"/>
          <w:b/>
          <w:sz w:val="48"/>
          <w:szCs w:val="48"/>
        </w:rPr>
      </w:pPr>
    </w:p>
    <w:p w14:paraId="56DB437B" w14:textId="5F73D557" w:rsidR="00D50B89" w:rsidRPr="00CD2AB0" w:rsidRDefault="00DC01CB" w:rsidP="00444DFF">
      <w:pPr>
        <w:jc w:val="center"/>
        <w:rPr>
          <w:rFonts w:ascii="Times New Roman" w:hAnsi="Times New Roman" w:cs="Times New Roman"/>
          <w:b/>
          <w:sz w:val="48"/>
          <w:szCs w:val="48"/>
        </w:rPr>
      </w:pPr>
      <w:r w:rsidRPr="00CD2AB0">
        <w:rPr>
          <w:rFonts w:ascii="Times New Roman" w:hAnsi="Times New Roman" w:cs="Times New Roman"/>
          <w:b/>
          <w:sz w:val="48"/>
          <w:szCs w:val="48"/>
        </w:rPr>
        <w:t xml:space="preserve">Palīgmateriāls </w:t>
      </w:r>
      <w:r w:rsidR="0092359E" w:rsidRPr="00CD2AB0">
        <w:rPr>
          <w:rFonts w:ascii="Times New Roman" w:hAnsi="Times New Roman" w:cs="Times New Roman"/>
          <w:b/>
          <w:sz w:val="48"/>
          <w:szCs w:val="48"/>
        </w:rPr>
        <w:t xml:space="preserve">nesaderīga un </w:t>
      </w:r>
      <w:r w:rsidRPr="00CD2AB0">
        <w:rPr>
          <w:rFonts w:ascii="Times New Roman" w:hAnsi="Times New Roman" w:cs="Times New Roman"/>
          <w:b/>
          <w:sz w:val="48"/>
          <w:szCs w:val="48"/>
        </w:rPr>
        <w:t xml:space="preserve">nelikumīga </w:t>
      </w:r>
    </w:p>
    <w:p w14:paraId="2AD51D75" w14:textId="7750CB57" w:rsidR="00D50B89" w:rsidRPr="00D36866" w:rsidRDefault="001142BB" w:rsidP="00444DFF">
      <w:pPr>
        <w:jc w:val="center"/>
      </w:pPr>
      <w:r w:rsidRPr="00CD2AB0">
        <w:rPr>
          <w:rFonts w:ascii="Times New Roman" w:hAnsi="Times New Roman" w:cs="Times New Roman"/>
          <w:b/>
          <w:sz w:val="48"/>
          <w:szCs w:val="48"/>
        </w:rPr>
        <w:t xml:space="preserve">komercdarbības </w:t>
      </w:r>
      <w:r w:rsidR="00DC01CB" w:rsidRPr="00CD2AB0">
        <w:rPr>
          <w:rFonts w:ascii="Times New Roman" w:hAnsi="Times New Roman" w:cs="Times New Roman"/>
          <w:b/>
          <w:sz w:val="48"/>
          <w:szCs w:val="48"/>
        </w:rPr>
        <w:t>atbalsta atgūšanai</w:t>
      </w:r>
    </w:p>
    <w:p w14:paraId="4CD7C906" w14:textId="77777777" w:rsidR="00D50B89" w:rsidRPr="0082362E" w:rsidRDefault="00D50B89" w:rsidP="00444DFF">
      <w:pPr>
        <w:pStyle w:val="Heading1"/>
        <w:keepLines w:val="0"/>
        <w:suppressAutoHyphens w:val="0"/>
        <w:spacing w:before="0" w:after="0"/>
        <w:ind w:firstLine="567"/>
        <w:rPr>
          <w:smallCaps/>
        </w:rPr>
      </w:pPr>
    </w:p>
    <w:p w14:paraId="18CADB0C" w14:textId="77777777" w:rsidR="00D50B89" w:rsidRPr="0082362E" w:rsidRDefault="00D50B89" w:rsidP="00444DFF">
      <w:pPr>
        <w:ind w:firstLine="567"/>
        <w:rPr>
          <w:rFonts w:ascii="Times New Roman" w:hAnsi="Times New Roman" w:cs="Times New Roman"/>
          <w:b/>
          <w:sz w:val="24"/>
          <w:szCs w:val="24"/>
        </w:rPr>
      </w:pPr>
    </w:p>
    <w:p w14:paraId="39421774" w14:textId="77777777" w:rsidR="00D50B89" w:rsidRPr="0082362E" w:rsidRDefault="00D50B89" w:rsidP="00444DFF">
      <w:pPr>
        <w:ind w:firstLine="567"/>
        <w:rPr>
          <w:rFonts w:ascii="Times New Roman" w:hAnsi="Times New Roman" w:cs="Times New Roman"/>
          <w:b/>
          <w:sz w:val="24"/>
          <w:szCs w:val="24"/>
        </w:rPr>
      </w:pPr>
    </w:p>
    <w:p w14:paraId="378A8A8B" w14:textId="77777777" w:rsidR="00D50B89" w:rsidRPr="0082362E" w:rsidRDefault="00D50B89" w:rsidP="00444DFF">
      <w:pPr>
        <w:ind w:firstLine="567"/>
        <w:rPr>
          <w:rFonts w:ascii="Times New Roman" w:hAnsi="Times New Roman" w:cs="Times New Roman"/>
          <w:b/>
          <w:sz w:val="24"/>
          <w:szCs w:val="24"/>
        </w:rPr>
      </w:pPr>
    </w:p>
    <w:p w14:paraId="58F1C253" w14:textId="77777777" w:rsidR="00D50B89" w:rsidRPr="0082362E" w:rsidRDefault="00D50B89" w:rsidP="00444DFF">
      <w:pPr>
        <w:ind w:firstLine="567"/>
        <w:rPr>
          <w:rFonts w:ascii="Times New Roman" w:hAnsi="Times New Roman" w:cs="Times New Roman"/>
          <w:b/>
          <w:sz w:val="24"/>
          <w:szCs w:val="24"/>
        </w:rPr>
      </w:pPr>
    </w:p>
    <w:p w14:paraId="4DB8BD19" w14:textId="77777777" w:rsidR="00D50B89" w:rsidRPr="0082362E" w:rsidRDefault="00D50B89" w:rsidP="00444DFF">
      <w:pPr>
        <w:ind w:firstLine="567"/>
        <w:rPr>
          <w:rFonts w:ascii="Times New Roman" w:hAnsi="Times New Roman" w:cs="Times New Roman"/>
          <w:b/>
          <w:sz w:val="24"/>
          <w:szCs w:val="24"/>
        </w:rPr>
      </w:pPr>
    </w:p>
    <w:p w14:paraId="433B44D8" w14:textId="77777777" w:rsidR="00D50B89" w:rsidRPr="0082362E" w:rsidRDefault="00D50B89" w:rsidP="00444DFF">
      <w:pPr>
        <w:ind w:firstLine="567"/>
        <w:rPr>
          <w:rFonts w:ascii="Times New Roman" w:hAnsi="Times New Roman" w:cs="Times New Roman"/>
          <w:b/>
          <w:sz w:val="24"/>
          <w:szCs w:val="24"/>
        </w:rPr>
      </w:pPr>
    </w:p>
    <w:p w14:paraId="6037E835" w14:textId="77777777" w:rsidR="00D50B89" w:rsidRPr="0082362E" w:rsidRDefault="00D50B89" w:rsidP="00444DFF">
      <w:pPr>
        <w:ind w:firstLine="567"/>
        <w:rPr>
          <w:rFonts w:ascii="Times New Roman" w:hAnsi="Times New Roman" w:cs="Times New Roman"/>
          <w:b/>
          <w:sz w:val="24"/>
          <w:szCs w:val="24"/>
        </w:rPr>
      </w:pPr>
    </w:p>
    <w:p w14:paraId="5BD411F8" w14:textId="77777777" w:rsidR="00D50B89" w:rsidRPr="0082362E" w:rsidRDefault="00D50B89" w:rsidP="00444DFF">
      <w:pPr>
        <w:ind w:firstLine="567"/>
        <w:rPr>
          <w:rFonts w:ascii="Times New Roman" w:hAnsi="Times New Roman" w:cs="Times New Roman"/>
          <w:b/>
          <w:sz w:val="24"/>
          <w:szCs w:val="24"/>
        </w:rPr>
      </w:pPr>
    </w:p>
    <w:p w14:paraId="71C23354" w14:textId="77777777" w:rsidR="00D50B89" w:rsidRPr="0082362E" w:rsidRDefault="00D50B89" w:rsidP="00444DFF">
      <w:pPr>
        <w:ind w:firstLine="567"/>
        <w:rPr>
          <w:rFonts w:ascii="Times New Roman" w:hAnsi="Times New Roman" w:cs="Times New Roman"/>
          <w:b/>
          <w:sz w:val="24"/>
          <w:szCs w:val="24"/>
        </w:rPr>
      </w:pPr>
    </w:p>
    <w:p w14:paraId="42380E5C" w14:textId="77777777" w:rsidR="00D50B89" w:rsidRPr="0082362E" w:rsidRDefault="00D50B89" w:rsidP="00444DFF">
      <w:pPr>
        <w:ind w:firstLine="567"/>
        <w:rPr>
          <w:rFonts w:ascii="Times New Roman" w:hAnsi="Times New Roman" w:cs="Times New Roman"/>
          <w:b/>
          <w:sz w:val="24"/>
          <w:szCs w:val="24"/>
        </w:rPr>
      </w:pPr>
    </w:p>
    <w:p w14:paraId="7B8BA82D" w14:textId="77777777" w:rsidR="00D50B89" w:rsidRPr="0082362E" w:rsidRDefault="00D50B89" w:rsidP="00444DFF">
      <w:pPr>
        <w:ind w:firstLine="567"/>
        <w:jc w:val="center"/>
        <w:rPr>
          <w:rFonts w:ascii="Times New Roman" w:hAnsi="Times New Roman" w:cs="Times New Roman"/>
          <w:b/>
          <w:sz w:val="24"/>
          <w:szCs w:val="24"/>
        </w:rPr>
      </w:pPr>
    </w:p>
    <w:p w14:paraId="37BFAE80" w14:textId="77777777" w:rsidR="00D50B89" w:rsidRPr="0082362E" w:rsidRDefault="00D50B89" w:rsidP="00444DFF">
      <w:pPr>
        <w:ind w:firstLine="567"/>
        <w:jc w:val="center"/>
        <w:rPr>
          <w:rFonts w:ascii="Times New Roman" w:hAnsi="Times New Roman" w:cs="Times New Roman"/>
          <w:b/>
          <w:sz w:val="24"/>
          <w:szCs w:val="24"/>
        </w:rPr>
      </w:pPr>
    </w:p>
    <w:p w14:paraId="4F962A8F" w14:textId="77777777" w:rsidR="00D50B89" w:rsidRPr="0082362E" w:rsidRDefault="00D50B89" w:rsidP="00444DFF">
      <w:pPr>
        <w:ind w:firstLine="567"/>
        <w:jc w:val="center"/>
        <w:rPr>
          <w:rFonts w:ascii="Times New Roman" w:hAnsi="Times New Roman" w:cs="Times New Roman"/>
          <w:b/>
          <w:sz w:val="24"/>
          <w:szCs w:val="24"/>
        </w:rPr>
      </w:pPr>
    </w:p>
    <w:p w14:paraId="4EEB836B" w14:textId="77777777" w:rsidR="00D50B89" w:rsidRPr="0082362E" w:rsidRDefault="00D50B89" w:rsidP="00444DFF">
      <w:pPr>
        <w:ind w:firstLine="567"/>
        <w:jc w:val="center"/>
        <w:rPr>
          <w:rFonts w:ascii="Times New Roman" w:hAnsi="Times New Roman" w:cs="Times New Roman"/>
          <w:b/>
          <w:sz w:val="24"/>
          <w:szCs w:val="24"/>
        </w:rPr>
      </w:pPr>
    </w:p>
    <w:p w14:paraId="3C1D870C" w14:textId="77777777" w:rsidR="00D50B89" w:rsidRPr="0082362E" w:rsidRDefault="00D50B89" w:rsidP="00444DFF">
      <w:pPr>
        <w:ind w:firstLine="567"/>
        <w:jc w:val="center"/>
        <w:rPr>
          <w:rFonts w:ascii="Times New Roman" w:hAnsi="Times New Roman" w:cs="Times New Roman"/>
          <w:b/>
          <w:sz w:val="24"/>
          <w:szCs w:val="24"/>
        </w:rPr>
      </w:pPr>
    </w:p>
    <w:p w14:paraId="53D2B5C5" w14:textId="77777777" w:rsidR="00D50B89" w:rsidRPr="0082362E" w:rsidRDefault="00D50B89" w:rsidP="00444DFF">
      <w:pPr>
        <w:ind w:firstLine="567"/>
        <w:jc w:val="center"/>
        <w:rPr>
          <w:rFonts w:ascii="Times New Roman" w:hAnsi="Times New Roman" w:cs="Times New Roman"/>
          <w:b/>
          <w:sz w:val="24"/>
          <w:szCs w:val="24"/>
        </w:rPr>
      </w:pPr>
    </w:p>
    <w:p w14:paraId="12D08FBA" w14:textId="77777777" w:rsidR="00D50B89" w:rsidRPr="0082362E" w:rsidRDefault="00D50B89" w:rsidP="00444DFF">
      <w:pPr>
        <w:ind w:firstLine="567"/>
        <w:jc w:val="center"/>
        <w:rPr>
          <w:rFonts w:ascii="Times New Roman" w:hAnsi="Times New Roman" w:cs="Times New Roman"/>
          <w:b/>
          <w:sz w:val="24"/>
          <w:szCs w:val="24"/>
        </w:rPr>
      </w:pPr>
    </w:p>
    <w:p w14:paraId="662687C4" w14:textId="77777777" w:rsidR="00D50B89" w:rsidRPr="0082362E" w:rsidRDefault="00D50B89" w:rsidP="00444DFF">
      <w:pPr>
        <w:ind w:firstLine="567"/>
        <w:jc w:val="center"/>
        <w:rPr>
          <w:rFonts w:ascii="Times New Roman" w:hAnsi="Times New Roman" w:cs="Times New Roman"/>
          <w:b/>
          <w:sz w:val="24"/>
          <w:szCs w:val="24"/>
        </w:rPr>
      </w:pPr>
    </w:p>
    <w:p w14:paraId="6F33690E" w14:textId="77777777" w:rsidR="00D50B89" w:rsidRPr="0082362E" w:rsidRDefault="00D50B89" w:rsidP="00444DFF">
      <w:pPr>
        <w:ind w:firstLine="567"/>
        <w:jc w:val="center"/>
        <w:rPr>
          <w:rFonts w:ascii="Times New Roman" w:hAnsi="Times New Roman" w:cs="Times New Roman"/>
          <w:b/>
          <w:sz w:val="24"/>
          <w:szCs w:val="24"/>
        </w:rPr>
      </w:pPr>
    </w:p>
    <w:p w14:paraId="22522BC8" w14:textId="77777777" w:rsidR="00D50B89" w:rsidRPr="0082362E" w:rsidRDefault="00D50B89" w:rsidP="00444DFF">
      <w:pPr>
        <w:ind w:firstLine="567"/>
        <w:jc w:val="center"/>
        <w:rPr>
          <w:rFonts w:ascii="Times New Roman" w:hAnsi="Times New Roman" w:cs="Times New Roman"/>
          <w:b/>
          <w:sz w:val="24"/>
          <w:szCs w:val="24"/>
        </w:rPr>
      </w:pPr>
    </w:p>
    <w:p w14:paraId="45666E80" w14:textId="77777777" w:rsidR="00D50B89" w:rsidRPr="0082362E" w:rsidRDefault="00D50B89" w:rsidP="00444DFF">
      <w:pPr>
        <w:ind w:firstLine="567"/>
        <w:jc w:val="center"/>
        <w:rPr>
          <w:rFonts w:ascii="Times New Roman" w:hAnsi="Times New Roman" w:cs="Times New Roman"/>
          <w:b/>
          <w:sz w:val="24"/>
          <w:szCs w:val="24"/>
        </w:rPr>
      </w:pPr>
    </w:p>
    <w:p w14:paraId="05A9EBFC" w14:textId="77777777" w:rsidR="00D50B89" w:rsidRPr="0082362E" w:rsidRDefault="00D50B89" w:rsidP="00444DFF">
      <w:pPr>
        <w:ind w:firstLine="567"/>
        <w:jc w:val="center"/>
        <w:rPr>
          <w:rFonts w:ascii="Times New Roman" w:hAnsi="Times New Roman" w:cs="Times New Roman"/>
          <w:b/>
          <w:sz w:val="24"/>
          <w:szCs w:val="24"/>
        </w:rPr>
      </w:pPr>
    </w:p>
    <w:p w14:paraId="62CEE0F6" w14:textId="77777777" w:rsidR="00D50B89" w:rsidRPr="0082362E" w:rsidRDefault="00D50B89" w:rsidP="00444DFF">
      <w:pPr>
        <w:ind w:firstLine="567"/>
        <w:jc w:val="center"/>
        <w:rPr>
          <w:rFonts w:ascii="Times New Roman" w:hAnsi="Times New Roman" w:cs="Times New Roman"/>
          <w:b/>
          <w:sz w:val="24"/>
          <w:szCs w:val="24"/>
        </w:rPr>
      </w:pPr>
    </w:p>
    <w:p w14:paraId="359922F9" w14:textId="77777777" w:rsidR="00D50B89" w:rsidRPr="0082362E" w:rsidRDefault="00D50B89" w:rsidP="00444DFF">
      <w:pPr>
        <w:ind w:firstLine="567"/>
        <w:jc w:val="center"/>
        <w:rPr>
          <w:rFonts w:ascii="Times New Roman" w:hAnsi="Times New Roman" w:cs="Times New Roman"/>
          <w:b/>
          <w:sz w:val="24"/>
          <w:szCs w:val="24"/>
        </w:rPr>
      </w:pPr>
    </w:p>
    <w:p w14:paraId="4EDF699F" w14:textId="77777777" w:rsidR="00D50B89" w:rsidRPr="0082362E" w:rsidRDefault="00D50B89" w:rsidP="00444DFF">
      <w:pPr>
        <w:ind w:firstLine="567"/>
        <w:jc w:val="center"/>
        <w:rPr>
          <w:rFonts w:ascii="Times New Roman" w:hAnsi="Times New Roman" w:cs="Times New Roman"/>
          <w:b/>
          <w:sz w:val="24"/>
          <w:szCs w:val="24"/>
        </w:rPr>
      </w:pPr>
    </w:p>
    <w:p w14:paraId="6BE3D752" w14:textId="77777777" w:rsidR="00D50B89" w:rsidRPr="0082362E" w:rsidRDefault="00D50B89" w:rsidP="009C200D">
      <w:pPr>
        <w:jc w:val="center"/>
        <w:rPr>
          <w:rFonts w:ascii="Times New Roman" w:hAnsi="Times New Roman" w:cs="Times New Roman"/>
          <w:b/>
          <w:sz w:val="24"/>
          <w:szCs w:val="24"/>
        </w:rPr>
      </w:pPr>
    </w:p>
    <w:p w14:paraId="1EC84779" w14:textId="44BCA380" w:rsidR="00D50B89" w:rsidRPr="0082362E" w:rsidRDefault="00DC01CB" w:rsidP="009C200D">
      <w:pPr>
        <w:jc w:val="center"/>
        <w:rPr>
          <w:rFonts w:ascii="Times New Roman" w:hAnsi="Times New Roman" w:cs="Times New Roman"/>
          <w:b/>
          <w:sz w:val="24"/>
          <w:szCs w:val="24"/>
        </w:rPr>
      </w:pPr>
      <w:r w:rsidRPr="0082362E">
        <w:rPr>
          <w:rFonts w:ascii="Times New Roman" w:hAnsi="Times New Roman" w:cs="Times New Roman"/>
          <w:b/>
          <w:sz w:val="24"/>
          <w:szCs w:val="24"/>
        </w:rPr>
        <w:t>FINANŠU MINISTRIJA</w:t>
      </w:r>
    </w:p>
    <w:p w14:paraId="046AA8FB" w14:textId="77777777" w:rsidR="00D50B89" w:rsidRPr="0082362E" w:rsidRDefault="00D50B89" w:rsidP="009C200D">
      <w:pPr>
        <w:jc w:val="center"/>
        <w:rPr>
          <w:rFonts w:ascii="Times New Roman" w:hAnsi="Times New Roman" w:cs="Times New Roman"/>
          <w:b/>
          <w:sz w:val="24"/>
          <w:szCs w:val="24"/>
        </w:rPr>
      </w:pPr>
    </w:p>
    <w:p w14:paraId="0AE14542" w14:textId="7195D11F" w:rsidR="00DC144E" w:rsidRDefault="00DC01CB" w:rsidP="009C200D">
      <w:pPr>
        <w:jc w:val="center"/>
        <w:rPr>
          <w:rFonts w:ascii="Times New Roman" w:hAnsi="Times New Roman" w:cs="Times New Roman"/>
          <w:b/>
          <w:sz w:val="24"/>
          <w:szCs w:val="24"/>
        </w:rPr>
      </w:pPr>
      <w:r w:rsidRPr="0082362E">
        <w:rPr>
          <w:rFonts w:ascii="Times New Roman" w:hAnsi="Times New Roman" w:cs="Times New Roman"/>
          <w:b/>
          <w:sz w:val="24"/>
          <w:szCs w:val="24"/>
        </w:rPr>
        <w:t>(202</w:t>
      </w:r>
      <w:r w:rsidR="00DC144E">
        <w:rPr>
          <w:rFonts w:ascii="Times New Roman" w:hAnsi="Times New Roman" w:cs="Times New Roman"/>
          <w:b/>
          <w:sz w:val="24"/>
          <w:szCs w:val="24"/>
        </w:rPr>
        <w:t>3</w:t>
      </w:r>
      <w:r w:rsidRPr="0082362E">
        <w:rPr>
          <w:rFonts w:ascii="Times New Roman" w:hAnsi="Times New Roman" w:cs="Times New Roman"/>
          <w:b/>
          <w:sz w:val="24"/>
          <w:szCs w:val="24"/>
        </w:rPr>
        <w:t>)</w:t>
      </w:r>
    </w:p>
    <w:p w14:paraId="10453927" w14:textId="71826361" w:rsidR="00D50B89" w:rsidRPr="0082362E" w:rsidRDefault="00DC144E" w:rsidP="00444DFF">
      <w:pPr>
        <w:tabs>
          <w:tab w:val="right" w:leader="dot" w:pos="8296"/>
        </w:tabs>
        <w:ind w:firstLine="567"/>
        <w:jc w:val="center"/>
        <w:rPr>
          <w:rFonts w:ascii="Times New Roman" w:hAnsi="Times New Roman" w:cs="Times New Roman"/>
          <w:b/>
          <w:caps/>
          <w:sz w:val="24"/>
          <w:szCs w:val="24"/>
        </w:rPr>
      </w:pPr>
      <w:r>
        <w:rPr>
          <w:rFonts w:ascii="Times New Roman" w:hAnsi="Times New Roman" w:cs="Times New Roman"/>
          <w:b/>
          <w:sz w:val="24"/>
          <w:szCs w:val="24"/>
        </w:rPr>
        <w:br w:type="page"/>
      </w:r>
      <w:r w:rsidR="00DC01CB" w:rsidRPr="0082362E">
        <w:rPr>
          <w:rFonts w:ascii="Times New Roman" w:hAnsi="Times New Roman" w:cs="Times New Roman"/>
          <w:b/>
          <w:caps/>
          <w:sz w:val="24"/>
          <w:szCs w:val="24"/>
        </w:rPr>
        <w:lastRenderedPageBreak/>
        <w:t>SATURS</w:t>
      </w:r>
    </w:p>
    <w:p w14:paraId="4AAE55EC" w14:textId="77777777" w:rsidR="00D50B89" w:rsidRPr="0082362E" w:rsidRDefault="00D50B89" w:rsidP="00444DFF">
      <w:pPr>
        <w:ind w:firstLine="567"/>
        <w:rPr>
          <w:rFonts w:ascii="Times New Roman" w:eastAsiaTheme="minorHAnsi" w:hAnsi="Times New Roman" w:cs="Times New Roman"/>
          <w:sz w:val="24"/>
          <w:szCs w:val="24"/>
        </w:rPr>
      </w:pPr>
    </w:p>
    <w:tbl>
      <w:tblPr>
        <w:tblStyle w:val="TableGrid1"/>
        <w:tblpPr w:leftFromText="180" w:rightFromText="180" w:vertAnchor="text" w:tblpY="1"/>
        <w:tblW w:w="9383" w:type="dxa"/>
        <w:tblLook w:val="04A0" w:firstRow="1" w:lastRow="0" w:firstColumn="1" w:lastColumn="0" w:noHBand="0" w:noVBand="1"/>
      </w:tblPr>
      <w:tblGrid>
        <w:gridCol w:w="1124"/>
        <w:gridCol w:w="7233"/>
        <w:gridCol w:w="1026"/>
      </w:tblGrid>
      <w:tr w:rsidR="00646C95" w:rsidRPr="0082362E" w14:paraId="6E286532" w14:textId="77777777" w:rsidTr="00C22968">
        <w:tc>
          <w:tcPr>
            <w:tcW w:w="1124" w:type="dxa"/>
            <w:shd w:val="clear" w:color="auto" w:fill="auto"/>
          </w:tcPr>
          <w:p w14:paraId="1D2326E3" w14:textId="77777777" w:rsidR="00646C95" w:rsidRPr="0082362E" w:rsidRDefault="00646C95" w:rsidP="00D152ED">
            <w:pPr>
              <w:ind w:firstLine="284"/>
              <w:jc w:val="center"/>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I.</w:t>
            </w:r>
          </w:p>
        </w:tc>
        <w:tc>
          <w:tcPr>
            <w:tcW w:w="7233" w:type="dxa"/>
            <w:shd w:val="clear" w:color="auto" w:fill="auto"/>
          </w:tcPr>
          <w:p w14:paraId="6897985F" w14:textId="77777777" w:rsidR="00646C95" w:rsidRPr="0082362E" w:rsidRDefault="00646C95" w:rsidP="00C22968">
            <w:pPr>
              <w:rPr>
                <w:rFonts w:ascii="Times New Roman" w:hAnsi="Times New Roman" w:cs="Times New Roman"/>
                <w:b/>
                <w:sz w:val="24"/>
                <w:szCs w:val="24"/>
              </w:rPr>
            </w:pPr>
            <w:r w:rsidRPr="0082362E">
              <w:rPr>
                <w:rFonts w:ascii="Times New Roman" w:hAnsi="Times New Roman" w:cs="Times New Roman"/>
                <w:b/>
                <w:sz w:val="24"/>
                <w:szCs w:val="24"/>
              </w:rPr>
              <w:t>VISPĀRĪGĀ INFORMĀCIJA</w:t>
            </w:r>
          </w:p>
        </w:tc>
        <w:tc>
          <w:tcPr>
            <w:tcW w:w="1026" w:type="dxa"/>
            <w:shd w:val="clear" w:color="auto" w:fill="auto"/>
          </w:tcPr>
          <w:p w14:paraId="1ABD6069" w14:textId="77777777" w:rsidR="00646C95" w:rsidRPr="0082362E" w:rsidRDefault="00646C95" w:rsidP="00C22968">
            <w:pPr>
              <w:ind w:firstLine="567"/>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3</w:t>
            </w:r>
          </w:p>
        </w:tc>
      </w:tr>
      <w:tr w:rsidR="00646C95" w:rsidRPr="0082362E" w14:paraId="4425668F" w14:textId="77777777" w:rsidTr="00C22968">
        <w:tc>
          <w:tcPr>
            <w:tcW w:w="1124" w:type="dxa"/>
            <w:shd w:val="clear" w:color="auto" w:fill="auto"/>
          </w:tcPr>
          <w:p w14:paraId="1EBF3331" w14:textId="77777777" w:rsidR="00646C95" w:rsidRPr="0082362E" w:rsidRDefault="00646C95" w:rsidP="00D152ED">
            <w:pPr>
              <w:ind w:firstLine="284"/>
              <w:jc w:val="center"/>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a)</w:t>
            </w:r>
          </w:p>
        </w:tc>
        <w:tc>
          <w:tcPr>
            <w:tcW w:w="7233" w:type="dxa"/>
            <w:shd w:val="clear" w:color="auto" w:fill="auto"/>
          </w:tcPr>
          <w:p w14:paraId="281B9460" w14:textId="540FB03C" w:rsidR="00646C95" w:rsidRPr="0082362E" w:rsidRDefault="00646C95" w:rsidP="00C22968">
            <w:pPr>
              <w:rPr>
                <w:rFonts w:ascii="Times New Roman" w:hAnsi="Times New Roman" w:cs="Times New Roman"/>
                <w:sz w:val="24"/>
                <w:szCs w:val="24"/>
              </w:rPr>
            </w:pPr>
            <w:r w:rsidRPr="0082362E">
              <w:rPr>
                <w:rFonts w:ascii="Times New Roman" w:eastAsia="Times New Roman" w:hAnsi="Times New Roman" w:cs="Times New Roman"/>
                <w:bCs/>
                <w:sz w:val="24"/>
                <w:szCs w:val="24"/>
              </w:rPr>
              <w:t xml:space="preserve">Neatbilstoša nosacījumiem par komercdarbības atbalsta saderību ar </w:t>
            </w:r>
            <w:r w:rsidRPr="0082362E">
              <w:rPr>
                <w:rFonts w:ascii="Times New Roman" w:eastAsia="Times New Roman" w:hAnsi="Times New Roman" w:cs="Times New Roman"/>
                <w:sz w:val="24"/>
                <w:szCs w:val="24"/>
                <w:lang w:eastAsia="ru-RU"/>
              </w:rPr>
              <w:t>Eiropas Savienības iekšējo tirgu (nesaderīga)</w:t>
            </w:r>
            <w:r w:rsidRPr="0082362E">
              <w:rPr>
                <w:rFonts w:ascii="Times New Roman" w:hAnsi="Times New Roman" w:cs="Times New Roman"/>
                <w:sz w:val="24"/>
                <w:szCs w:val="24"/>
              </w:rPr>
              <w:t xml:space="preserve"> un/vai nelikumīga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būtība </w:t>
            </w:r>
          </w:p>
        </w:tc>
        <w:tc>
          <w:tcPr>
            <w:tcW w:w="1026" w:type="dxa"/>
            <w:shd w:val="clear" w:color="auto" w:fill="auto"/>
          </w:tcPr>
          <w:p w14:paraId="4517FBD8" w14:textId="78E8C23D" w:rsidR="00646C95" w:rsidRPr="0082362E" w:rsidRDefault="006E319D" w:rsidP="00C22968">
            <w:pPr>
              <w:ind w:firstLine="567"/>
              <w:rPr>
                <w:rFonts w:ascii="Times New Roman" w:eastAsiaTheme="minorHAnsi" w:hAnsi="Times New Roman" w:cs="Times New Roman"/>
                <w:sz w:val="24"/>
                <w:szCs w:val="24"/>
              </w:rPr>
            </w:pPr>
            <w:r>
              <w:rPr>
                <w:rFonts w:ascii="Times New Roman" w:eastAsiaTheme="minorHAnsi" w:hAnsi="Times New Roman" w:cs="Times New Roman"/>
                <w:sz w:val="24"/>
                <w:szCs w:val="24"/>
              </w:rPr>
              <w:t>4</w:t>
            </w:r>
          </w:p>
        </w:tc>
      </w:tr>
      <w:tr w:rsidR="00646C95" w:rsidRPr="0082362E" w14:paraId="06860582" w14:textId="77777777" w:rsidTr="00C22968">
        <w:tc>
          <w:tcPr>
            <w:tcW w:w="1124" w:type="dxa"/>
            <w:shd w:val="clear" w:color="auto" w:fill="auto"/>
          </w:tcPr>
          <w:p w14:paraId="69DC54A9" w14:textId="77777777" w:rsidR="00646C95" w:rsidRPr="0082362E" w:rsidRDefault="00646C95" w:rsidP="00D152ED">
            <w:pPr>
              <w:ind w:firstLine="284"/>
              <w:jc w:val="center"/>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b)</w:t>
            </w:r>
          </w:p>
        </w:tc>
        <w:tc>
          <w:tcPr>
            <w:tcW w:w="7233" w:type="dxa"/>
            <w:shd w:val="clear" w:color="auto" w:fill="auto"/>
          </w:tcPr>
          <w:p w14:paraId="44A8D9FF" w14:textId="5098AAED" w:rsidR="00646C95" w:rsidRPr="0082362E" w:rsidRDefault="0092359E" w:rsidP="00C22968">
            <w:pPr>
              <w:rPr>
                <w:rFonts w:ascii="Times New Roman" w:hAnsi="Times New Roman" w:cs="Times New Roman"/>
                <w:sz w:val="24"/>
                <w:szCs w:val="24"/>
              </w:rPr>
            </w:pPr>
            <w:r w:rsidRPr="008236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N</w:t>
            </w:r>
            <w:r w:rsidRPr="0082362E">
              <w:rPr>
                <w:rFonts w:ascii="Times New Roman" w:eastAsia="Times New Roman" w:hAnsi="Times New Roman" w:cs="Times New Roman"/>
                <w:sz w:val="24"/>
                <w:szCs w:val="24"/>
                <w:lang w:eastAsia="ru-RU"/>
              </w:rPr>
              <w:t>esaderīga</w:t>
            </w:r>
            <w:r w:rsidRPr="0082362E">
              <w:rPr>
                <w:rFonts w:ascii="Times New Roman" w:hAnsi="Times New Roman" w:cs="Times New Roman"/>
                <w:sz w:val="24"/>
                <w:szCs w:val="24"/>
              </w:rPr>
              <w:t xml:space="preserve"> un/vai nelikumīga </w:t>
            </w:r>
            <w:r w:rsidR="00D36866">
              <w:rPr>
                <w:rFonts w:ascii="Times New Roman" w:hAnsi="Times New Roman" w:cs="Times New Roman"/>
                <w:sz w:val="24"/>
                <w:szCs w:val="24"/>
              </w:rPr>
              <w:t>komercdarbības atb</w:t>
            </w:r>
            <w:r w:rsidR="001142BB">
              <w:rPr>
                <w:rFonts w:ascii="Times New Roman" w:hAnsi="Times New Roman" w:cs="Times New Roman"/>
                <w:sz w:val="24"/>
                <w:szCs w:val="24"/>
              </w:rPr>
              <w:t>alsta</w:t>
            </w:r>
            <w:r w:rsidR="001142BB" w:rsidRPr="0082362E">
              <w:rPr>
                <w:rFonts w:ascii="Times New Roman" w:hAnsi="Times New Roman" w:cs="Times New Roman"/>
                <w:sz w:val="24"/>
                <w:szCs w:val="24"/>
              </w:rPr>
              <w:t xml:space="preserve"> </w:t>
            </w:r>
            <w:r w:rsidR="00646C95" w:rsidRPr="0082362E">
              <w:rPr>
                <w:rFonts w:ascii="Times New Roman" w:hAnsi="Times New Roman" w:cs="Times New Roman"/>
                <w:sz w:val="24"/>
                <w:szCs w:val="24"/>
              </w:rPr>
              <w:t>atgūšana</w:t>
            </w:r>
          </w:p>
        </w:tc>
        <w:tc>
          <w:tcPr>
            <w:tcW w:w="1026" w:type="dxa"/>
            <w:shd w:val="clear" w:color="auto" w:fill="auto"/>
          </w:tcPr>
          <w:p w14:paraId="1CBFD61E" w14:textId="77777777" w:rsidR="00646C95" w:rsidRPr="0082362E" w:rsidRDefault="00646C95" w:rsidP="00C22968">
            <w:pPr>
              <w:ind w:firstLine="567"/>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5</w:t>
            </w:r>
          </w:p>
        </w:tc>
      </w:tr>
      <w:tr w:rsidR="00646C95" w:rsidRPr="0082362E" w14:paraId="60916B21" w14:textId="77777777" w:rsidTr="00C22968">
        <w:tc>
          <w:tcPr>
            <w:tcW w:w="1124" w:type="dxa"/>
            <w:shd w:val="clear" w:color="auto" w:fill="auto"/>
          </w:tcPr>
          <w:p w14:paraId="5E8E0013" w14:textId="77777777" w:rsidR="00646C95" w:rsidRPr="0082362E" w:rsidRDefault="00646C95" w:rsidP="00034D7B">
            <w:pPr>
              <w:ind w:firstLine="284"/>
              <w:jc w:val="center"/>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c)</w:t>
            </w:r>
          </w:p>
        </w:tc>
        <w:tc>
          <w:tcPr>
            <w:tcW w:w="7233" w:type="dxa"/>
            <w:shd w:val="clear" w:color="auto" w:fill="auto"/>
          </w:tcPr>
          <w:p w14:paraId="08A5CD6B" w14:textId="0BE220FD" w:rsidR="00646C95" w:rsidRPr="0082362E" w:rsidRDefault="00646C95" w:rsidP="00DC144E">
            <w:pPr>
              <w:pStyle w:val="Heading2"/>
              <w:keepLines w:val="0"/>
              <w:numPr>
                <w:ilvl w:val="0"/>
                <w:numId w:val="0"/>
              </w:numPr>
              <w:spacing w:before="0" w:after="0"/>
              <w:rPr>
                <w:rFonts w:ascii="Times New Roman" w:hAnsi="Times New Roman"/>
                <w:b w:val="0"/>
                <w:smallCaps w:val="0"/>
              </w:rPr>
            </w:pPr>
            <w:r w:rsidRPr="0082362E">
              <w:rPr>
                <w:rFonts w:ascii="Times New Roman" w:hAnsi="Times New Roman"/>
                <w:b w:val="0"/>
                <w:smallCaps w:val="0"/>
              </w:rPr>
              <w:t>Saņēmēju identificēšana, no kuriem jāatgūst</w:t>
            </w:r>
            <w:r w:rsidR="0092359E">
              <w:rPr>
                <w:rFonts w:ascii="Times New Roman" w:hAnsi="Times New Roman"/>
                <w:b w:val="0"/>
                <w:smallCaps w:val="0"/>
              </w:rPr>
              <w:t xml:space="preserve"> </w:t>
            </w:r>
            <w:r w:rsidR="0092359E">
              <w:t xml:space="preserve"> </w:t>
            </w:r>
            <w:r w:rsidR="0092359E" w:rsidRPr="0092359E">
              <w:rPr>
                <w:rFonts w:ascii="Times New Roman" w:hAnsi="Times New Roman"/>
                <w:b w:val="0"/>
                <w:smallCaps w:val="0"/>
              </w:rPr>
              <w:t>nesaderīg</w:t>
            </w:r>
            <w:r w:rsidR="0092359E">
              <w:rPr>
                <w:rFonts w:ascii="Times New Roman" w:hAnsi="Times New Roman"/>
                <w:b w:val="0"/>
                <w:smallCaps w:val="0"/>
              </w:rPr>
              <w:t>s</w:t>
            </w:r>
            <w:r w:rsidR="0092359E" w:rsidRPr="0092359E">
              <w:rPr>
                <w:rFonts w:ascii="Times New Roman" w:hAnsi="Times New Roman"/>
                <w:b w:val="0"/>
                <w:smallCaps w:val="0"/>
              </w:rPr>
              <w:t xml:space="preserve"> un/vai</w:t>
            </w:r>
            <w:r w:rsidR="0092359E">
              <w:rPr>
                <w:rFonts w:ascii="Times New Roman" w:hAnsi="Times New Roman"/>
                <w:b w:val="0"/>
                <w:smallCaps w:val="0"/>
              </w:rPr>
              <w:t xml:space="preserve"> </w:t>
            </w:r>
            <w:r w:rsidR="0092359E" w:rsidRPr="0092359E">
              <w:rPr>
                <w:rFonts w:ascii="Times New Roman" w:hAnsi="Times New Roman"/>
                <w:b w:val="0"/>
                <w:smallCaps w:val="0"/>
              </w:rPr>
              <w:t>nelikumīg</w:t>
            </w:r>
            <w:r w:rsidR="0092359E">
              <w:rPr>
                <w:rFonts w:ascii="Times New Roman" w:hAnsi="Times New Roman"/>
                <w:b w:val="0"/>
                <w:smallCaps w:val="0"/>
              </w:rPr>
              <w:t>s</w:t>
            </w:r>
            <w:r w:rsidR="0092359E" w:rsidRPr="0092359E">
              <w:rPr>
                <w:rFonts w:ascii="Times New Roman" w:hAnsi="Times New Roman"/>
                <w:b w:val="0"/>
                <w:smallCaps w:val="0"/>
              </w:rPr>
              <w:t xml:space="preserve"> </w:t>
            </w:r>
            <w:r w:rsidR="00D36866">
              <w:rPr>
                <w:rFonts w:ascii="Times New Roman" w:hAnsi="Times New Roman"/>
                <w:b w:val="0"/>
                <w:smallCaps w:val="0"/>
              </w:rPr>
              <w:t>komercdarbības</w:t>
            </w:r>
            <w:r w:rsidR="0092359E" w:rsidRPr="0092359E">
              <w:rPr>
                <w:rFonts w:ascii="Times New Roman" w:hAnsi="Times New Roman"/>
                <w:b w:val="0"/>
                <w:smallCaps w:val="0"/>
              </w:rPr>
              <w:t xml:space="preserve"> </w:t>
            </w:r>
            <w:r w:rsidRPr="0082362E">
              <w:rPr>
                <w:rFonts w:ascii="Times New Roman" w:hAnsi="Times New Roman"/>
                <w:b w:val="0"/>
                <w:smallCaps w:val="0"/>
              </w:rPr>
              <w:t xml:space="preserve"> atbalsts</w:t>
            </w:r>
          </w:p>
        </w:tc>
        <w:tc>
          <w:tcPr>
            <w:tcW w:w="1026" w:type="dxa"/>
            <w:shd w:val="clear" w:color="auto" w:fill="auto"/>
          </w:tcPr>
          <w:p w14:paraId="5BC646A7" w14:textId="7D184A0C" w:rsidR="00646C95" w:rsidRPr="0082362E" w:rsidRDefault="006E319D" w:rsidP="00C22968">
            <w:pPr>
              <w:ind w:firstLine="567"/>
              <w:rPr>
                <w:rFonts w:ascii="Times New Roman" w:eastAsiaTheme="minorHAnsi" w:hAnsi="Times New Roman" w:cs="Times New Roman"/>
                <w:sz w:val="24"/>
                <w:szCs w:val="24"/>
              </w:rPr>
            </w:pPr>
            <w:r>
              <w:rPr>
                <w:rFonts w:ascii="Times New Roman" w:eastAsiaTheme="minorHAnsi" w:hAnsi="Times New Roman" w:cs="Times New Roman"/>
                <w:sz w:val="24"/>
                <w:szCs w:val="24"/>
              </w:rPr>
              <w:t>6</w:t>
            </w:r>
          </w:p>
        </w:tc>
      </w:tr>
      <w:tr w:rsidR="00646C95" w:rsidRPr="0082362E" w14:paraId="12CD13CA" w14:textId="77777777" w:rsidTr="00C22968">
        <w:tc>
          <w:tcPr>
            <w:tcW w:w="1124" w:type="dxa"/>
            <w:shd w:val="clear" w:color="auto" w:fill="auto"/>
          </w:tcPr>
          <w:p w14:paraId="45C7B17F" w14:textId="77777777" w:rsidR="00646C95" w:rsidRPr="0082362E" w:rsidRDefault="00646C95" w:rsidP="00034D7B">
            <w:pPr>
              <w:ind w:firstLine="284"/>
              <w:jc w:val="center"/>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d)</w:t>
            </w:r>
          </w:p>
        </w:tc>
        <w:tc>
          <w:tcPr>
            <w:tcW w:w="7233" w:type="dxa"/>
            <w:shd w:val="clear" w:color="auto" w:fill="auto"/>
          </w:tcPr>
          <w:p w14:paraId="18F12D2E" w14:textId="219898AD" w:rsidR="00646C95" w:rsidRPr="0082362E" w:rsidRDefault="00646C95" w:rsidP="00C22968">
            <w:pPr>
              <w:pStyle w:val="Heading1"/>
              <w:spacing w:before="0" w:after="0"/>
              <w:rPr>
                <w:rFonts w:eastAsia="Calibri"/>
                <w:b w:val="0"/>
              </w:rPr>
            </w:pPr>
            <w:r w:rsidRPr="0082362E">
              <w:rPr>
                <w:b w:val="0"/>
              </w:rPr>
              <w:t xml:space="preserve">Galvenie </w:t>
            </w:r>
            <w:r w:rsidR="0092359E" w:rsidRPr="0092359E">
              <w:rPr>
                <w:b w:val="0"/>
              </w:rPr>
              <w:t>nesaderīg</w:t>
            </w:r>
            <w:r w:rsidR="0092359E">
              <w:rPr>
                <w:b w:val="0"/>
              </w:rPr>
              <w:t>a</w:t>
            </w:r>
            <w:r w:rsidR="0092359E" w:rsidRPr="0092359E">
              <w:rPr>
                <w:b w:val="0"/>
              </w:rPr>
              <w:t xml:space="preserve"> un/vai nelikumīg</w:t>
            </w:r>
            <w:r w:rsidR="0092359E">
              <w:rPr>
                <w:b w:val="0"/>
              </w:rPr>
              <w:t>a</w:t>
            </w:r>
            <w:r w:rsidR="0092359E" w:rsidRPr="0092359E">
              <w:rPr>
                <w:b w:val="0"/>
              </w:rPr>
              <w:t xml:space="preserve"> </w:t>
            </w:r>
            <w:r w:rsidR="00D36866">
              <w:rPr>
                <w:b w:val="0"/>
              </w:rPr>
              <w:t>komercdarbības atb</w:t>
            </w:r>
            <w:r w:rsidRPr="0082362E">
              <w:rPr>
                <w:b w:val="0"/>
              </w:rPr>
              <w:t xml:space="preserve">alsta atgūšanas principi </w:t>
            </w:r>
          </w:p>
        </w:tc>
        <w:tc>
          <w:tcPr>
            <w:tcW w:w="1026" w:type="dxa"/>
            <w:shd w:val="clear" w:color="auto" w:fill="auto"/>
          </w:tcPr>
          <w:p w14:paraId="775F0198" w14:textId="7625D8EB" w:rsidR="00646C95" w:rsidRPr="0082362E" w:rsidRDefault="006E319D" w:rsidP="00C22968">
            <w:pPr>
              <w:ind w:firstLine="567"/>
              <w:rPr>
                <w:rFonts w:ascii="Times New Roman" w:eastAsiaTheme="minorHAnsi" w:hAnsi="Times New Roman" w:cs="Times New Roman"/>
                <w:sz w:val="24"/>
                <w:szCs w:val="24"/>
              </w:rPr>
            </w:pPr>
            <w:r>
              <w:rPr>
                <w:rFonts w:ascii="Times New Roman" w:eastAsiaTheme="minorHAnsi" w:hAnsi="Times New Roman" w:cs="Times New Roman"/>
                <w:sz w:val="24"/>
                <w:szCs w:val="24"/>
              </w:rPr>
              <w:t>7</w:t>
            </w:r>
          </w:p>
        </w:tc>
      </w:tr>
      <w:tr w:rsidR="00646C95" w:rsidRPr="0082362E" w14:paraId="2AC80B28" w14:textId="77777777" w:rsidTr="00C22968">
        <w:tc>
          <w:tcPr>
            <w:tcW w:w="1124" w:type="dxa"/>
            <w:shd w:val="clear" w:color="auto" w:fill="auto"/>
          </w:tcPr>
          <w:p w14:paraId="607CF1B1" w14:textId="77777777" w:rsidR="00646C95" w:rsidRPr="0082362E" w:rsidRDefault="00646C95" w:rsidP="00034D7B">
            <w:pPr>
              <w:ind w:firstLine="284"/>
              <w:jc w:val="center"/>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e)</w:t>
            </w:r>
          </w:p>
        </w:tc>
        <w:tc>
          <w:tcPr>
            <w:tcW w:w="7233" w:type="dxa"/>
            <w:shd w:val="clear" w:color="auto" w:fill="auto"/>
          </w:tcPr>
          <w:p w14:paraId="3450EDD1" w14:textId="77777777" w:rsidR="00646C95" w:rsidRPr="0082362E" w:rsidRDefault="00646C95" w:rsidP="00C22968">
            <w:pPr>
              <w:pStyle w:val="ListParagraph"/>
              <w:tabs>
                <w:tab w:val="left" w:pos="284"/>
              </w:tabs>
              <w:ind w:left="0"/>
              <w:jc w:val="left"/>
              <w:rPr>
                <w:color w:val="auto"/>
                <w:sz w:val="24"/>
                <w:szCs w:val="24"/>
              </w:rPr>
            </w:pPr>
            <w:r w:rsidRPr="0082362E">
              <w:rPr>
                <w:color w:val="auto"/>
                <w:sz w:val="24"/>
                <w:szCs w:val="24"/>
              </w:rPr>
              <w:t>Tiesiskā paļāvība</w:t>
            </w:r>
          </w:p>
        </w:tc>
        <w:tc>
          <w:tcPr>
            <w:tcW w:w="1026" w:type="dxa"/>
            <w:shd w:val="clear" w:color="auto" w:fill="auto"/>
          </w:tcPr>
          <w:p w14:paraId="1FC02E97" w14:textId="77777777" w:rsidR="00646C95" w:rsidRPr="0082362E" w:rsidRDefault="00646C95" w:rsidP="00C22968">
            <w:pPr>
              <w:ind w:firstLine="567"/>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8</w:t>
            </w:r>
          </w:p>
        </w:tc>
      </w:tr>
      <w:tr w:rsidR="00646C95" w:rsidRPr="0082362E" w14:paraId="3FD63227" w14:textId="77777777" w:rsidTr="00C22968">
        <w:tc>
          <w:tcPr>
            <w:tcW w:w="1124" w:type="dxa"/>
            <w:shd w:val="clear" w:color="auto" w:fill="auto"/>
          </w:tcPr>
          <w:p w14:paraId="5760CF21" w14:textId="77777777" w:rsidR="00646C95" w:rsidRPr="0082362E" w:rsidRDefault="00646C95" w:rsidP="00034D7B">
            <w:pPr>
              <w:ind w:firstLine="284"/>
              <w:jc w:val="center"/>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II.</w:t>
            </w:r>
          </w:p>
        </w:tc>
        <w:tc>
          <w:tcPr>
            <w:tcW w:w="7233" w:type="dxa"/>
            <w:shd w:val="clear" w:color="auto" w:fill="auto"/>
          </w:tcPr>
          <w:p w14:paraId="37F6F769" w14:textId="24FFB8CB" w:rsidR="00646C95" w:rsidRPr="0082362E" w:rsidRDefault="00D36866" w:rsidP="00C22968">
            <w:r>
              <w:rPr>
                <w:rFonts w:ascii="Times New Roman" w:hAnsi="Times New Roman" w:cs="Times New Roman"/>
                <w:b/>
                <w:caps/>
                <w:sz w:val="24"/>
                <w:szCs w:val="24"/>
              </w:rPr>
              <w:t>Komercdarbības atb</w:t>
            </w:r>
            <w:r w:rsidR="00646C95" w:rsidRPr="0082362E">
              <w:rPr>
                <w:rFonts w:ascii="Times New Roman" w:hAnsi="Times New Roman" w:cs="Times New Roman"/>
                <w:b/>
                <w:caps/>
                <w:sz w:val="24"/>
                <w:szCs w:val="24"/>
              </w:rPr>
              <w:t xml:space="preserve">alsta atgūšana gadījumos, kad NAV IEVĒROTAS </w:t>
            </w:r>
            <w:r w:rsidR="00646C95" w:rsidRPr="0082362E">
              <w:rPr>
                <w:rFonts w:ascii="Times New Roman" w:hAnsi="Times New Roman" w:cs="Times New Roman"/>
                <w:b/>
                <w:caps/>
                <w:sz w:val="24"/>
                <w:szCs w:val="24"/>
                <w:shd w:val="clear" w:color="auto" w:fill="FFFFFF"/>
              </w:rPr>
              <w:t>LESD 108.panta 3.punktā paredzētā paziņošana</w:t>
            </w:r>
            <w:r w:rsidR="00A30000" w:rsidRPr="0082362E">
              <w:rPr>
                <w:rFonts w:ascii="Times New Roman" w:hAnsi="Times New Roman" w:cs="Times New Roman"/>
                <w:b/>
                <w:caps/>
                <w:sz w:val="24"/>
                <w:szCs w:val="24"/>
                <w:shd w:val="clear" w:color="auto" w:fill="FFFFFF"/>
              </w:rPr>
              <w:t>S</w:t>
            </w:r>
            <w:r w:rsidR="00646C95" w:rsidRPr="0082362E">
              <w:rPr>
                <w:rFonts w:ascii="Times New Roman" w:hAnsi="Times New Roman" w:cs="Times New Roman"/>
                <w:b/>
                <w:caps/>
                <w:sz w:val="24"/>
                <w:szCs w:val="24"/>
                <w:shd w:val="clear" w:color="auto" w:fill="FFFFFF"/>
              </w:rPr>
              <w:t xml:space="preserve"> prasība</w:t>
            </w:r>
          </w:p>
        </w:tc>
        <w:tc>
          <w:tcPr>
            <w:tcW w:w="1026" w:type="dxa"/>
            <w:shd w:val="clear" w:color="auto" w:fill="auto"/>
          </w:tcPr>
          <w:p w14:paraId="187E497E" w14:textId="77777777" w:rsidR="00646C95" w:rsidRPr="0082362E" w:rsidRDefault="00646C95" w:rsidP="00C22968">
            <w:pPr>
              <w:ind w:firstLine="567"/>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9</w:t>
            </w:r>
          </w:p>
        </w:tc>
      </w:tr>
      <w:tr w:rsidR="00646C95" w:rsidRPr="0082362E" w14:paraId="0D1BDBA9" w14:textId="77777777" w:rsidTr="00C22968">
        <w:tc>
          <w:tcPr>
            <w:tcW w:w="1124" w:type="dxa"/>
            <w:shd w:val="clear" w:color="auto" w:fill="auto"/>
          </w:tcPr>
          <w:p w14:paraId="174ED1AB" w14:textId="77777777" w:rsidR="00646C95" w:rsidRPr="0082362E" w:rsidRDefault="00646C95" w:rsidP="00034D7B">
            <w:pPr>
              <w:ind w:firstLine="284"/>
              <w:jc w:val="center"/>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a)</w:t>
            </w:r>
          </w:p>
        </w:tc>
        <w:tc>
          <w:tcPr>
            <w:tcW w:w="7233" w:type="dxa"/>
            <w:shd w:val="clear" w:color="auto" w:fill="auto"/>
          </w:tcPr>
          <w:p w14:paraId="45CE5C3F" w14:textId="6E76F100" w:rsidR="00646C95" w:rsidRPr="0082362E" w:rsidRDefault="00646C95" w:rsidP="00C22968">
            <w:pPr>
              <w:tabs>
                <w:tab w:val="left" w:pos="709"/>
                <w:tab w:val="left" w:pos="851"/>
              </w:tabs>
              <w:rPr>
                <w:rFonts w:ascii="Times New Roman" w:hAnsi="Times New Roman" w:cs="Times New Roman"/>
                <w:sz w:val="24"/>
                <w:szCs w:val="24"/>
              </w:rPr>
            </w:pPr>
            <w:r w:rsidRPr="0082362E">
              <w:rPr>
                <w:rFonts w:ascii="Times New Roman" w:hAnsi="Times New Roman" w:cs="Times New Roman"/>
                <w:sz w:val="24"/>
                <w:szCs w:val="24"/>
              </w:rPr>
              <w:t xml:space="preserve">Sekas, ja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alsts ticis sniegts bez paziņošanas EK un pēc tam saņemts EK gala lēmums ar atzinumu par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saderību ar ES iekšējo tirgu </w:t>
            </w:r>
          </w:p>
        </w:tc>
        <w:tc>
          <w:tcPr>
            <w:tcW w:w="1026" w:type="dxa"/>
            <w:shd w:val="clear" w:color="auto" w:fill="auto"/>
          </w:tcPr>
          <w:p w14:paraId="18B5AF89" w14:textId="77777777" w:rsidR="00646C95" w:rsidRPr="0082362E" w:rsidRDefault="00646C95" w:rsidP="00C22968">
            <w:pPr>
              <w:ind w:firstLine="567"/>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9</w:t>
            </w:r>
          </w:p>
        </w:tc>
      </w:tr>
      <w:tr w:rsidR="00646C95" w:rsidRPr="0082362E" w14:paraId="75D9ABA5" w14:textId="77777777" w:rsidTr="00C22968">
        <w:tc>
          <w:tcPr>
            <w:tcW w:w="1124" w:type="dxa"/>
            <w:shd w:val="clear" w:color="auto" w:fill="auto"/>
          </w:tcPr>
          <w:p w14:paraId="00C6A16A" w14:textId="77777777" w:rsidR="00646C95" w:rsidRPr="0082362E" w:rsidRDefault="00646C95" w:rsidP="00034D7B">
            <w:pPr>
              <w:ind w:firstLine="284"/>
              <w:jc w:val="center"/>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b)</w:t>
            </w:r>
          </w:p>
        </w:tc>
        <w:tc>
          <w:tcPr>
            <w:tcW w:w="7233" w:type="dxa"/>
            <w:shd w:val="clear" w:color="auto" w:fill="auto"/>
          </w:tcPr>
          <w:p w14:paraId="5F2B09C4" w14:textId="4D5850B8" w:rsidR="00646C95" w:rsidRPr="0082362E" w:rsidRDefault="00646C95" w:rsidP="00C22968">
            <w:pPr>
              <w:rPr>
                <w:rFonts w:ascii="Times New Roman" w:hAnsi="Times New Roman" w:cs="Times New Roman"/>
                <w:sz w:val="24"/>
                <w:szCs w:val="24"/>
              </w:rPr>
            </w:pPr>
            <w:r w:rsidRPr="0082362E">
              <w:rPr>
                <w:rFonts w:ascii="Times New Roman" w:hAnsi="Times New Roman" w:cs="Times New Roman"/>
                <w:sz w:val="24"/>
                <w:szCs w:val="24"/>
              </w:rPr>
              <w:t xml:space="preserve">Sekas, ja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alsts ticis sniegts bez paziņošanas EK vai pēc tam saņemts EK lēmums ar atzinumu par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nesaderību ar EK iekšējo tirgu un sekojošu </w:t>
            </w:r>
            <w:r w:rsidR="00D36866">
              <w:rPr>
                <w:rFonts w:ascii="Times New Roman" w:hAnsi="Times New Roman" w:cs="Times New Roman"/>
                <w:sz w:val="24"/>
                <w:szCs w:val="24"/>
              </w:rPr>
              <w:t>komercdarbības atb</w:t>
            </w:r>
            <w:r w:rsidR="002133C4">
              <w:rPr>
                <w:rFonts w:ascii="Times New Roman" w:hAnsi="Times New Roman" w:cs="Times New Roman"/>
                <w:sz w:val="24"/>
                <w:szCs w:val="24"/>
              </w:rPr>
              <w:t>alst</w:t>
            </w:r>
            <w:r w:rsidRPr="0082362E">
              <w:rPr>
                <w:rFonts w:ascii="Times New Roman" w:hAnsi="Times New Roman" w:cs="Times New Roman"/>
                <w:sz w:val="24"/>
                <w:szCs w:val="24"/>
              </w:rPr>
              <w:t>a atgūšanu</w:t>
            </w:r>
          </w:p>
        </w:tc>
        <w:tc>
          <w:tcPr>
            <w:tcW w:w="1026" w:type="dxa"/>
            <w:shd w:val="clear" w:color="auto" w:fill="auto"/>
          </w:tcPr>
          <w:p w14:paraId="11228F21" w14:textId="77777777" w:rsidR="00646C95" w:rsidRPr="0082362E" w:rsidRDefault="00646C95" w:rsidP="00C22968">
            <w:pPr>
              <w:ind w:firstLine="567"/>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9</w:t>
            </w:r>
          </w:p>
        </w:tc>
      </w:tr>
      <w:tr w:rsidR="00646C95" w:rsidRPr="0082362E" w14:paraId="5315DB18" w14:textId="77777777" w:rsidTr="00C22968">
        <w:tc>
          <w:tcPr>
            <w:tcW w:w="1124" w:type="dxa"/>
            <w:shd w:val="clear" w:color="auto" w:fill="auto"/>
          </w:tcPr>
          <w:p w14:paraId="3A9ABDCC" w14:textId="77777777" w:rsidR="00646C95" w:rsidRPr="0082362E" w:rsidRDefault="00646C95" w:rsidP="00034D7B">
            <w:pPr>
              <w:ind w:firstLine="284"/>
              <w:jc w:val="center"/>
              <w:rPr>
                <w:rFonts w:ascii="Times New Roman" w:eastAsiaTheme="minorHAnsi" w:hAnsi="Times New Roman" w:cs="Times New Roman"/>
                <w:sz w:val="24"/>
                <w:szCs w:val="24"/>
              </w:rPr>
            </w:pPr>
            <w:r w:rsidRPr="0082362E">
              <w:rPr>
                <w:rFonts w:ascii="Times New Roman" w:eastAsiaTheme="minorHAnsi" w:hAnsi="Times New Roman" w:cs="Times New Roman"/>
                <w:sz w:val="24"/>
                <w:szCs w:val="24"/>
              </w:rPr>
              <w:t>c)</w:t>
            </w:r>
          </w:p>
        </w:tc>
        <w:tc>
          <w:tcPr>
            <w:tcW w:w="7233" w:type="dxa"/>
            <w:shd w:val="clear" w:color="auto" w:fill="auto"/>
          </w:tcPr>
          <w:p w14:paraId="5D700177" w14:textId="19501434" w:rsidR="00646C95" w:rsidRPr="0082362E" w:rsidRDefault="00D36866" w:rsidP="00C22968">
            <w:pPr>
              <w:pStyle w:val="Default"/>
            </w:pPr>
            <w:r>
              <w:rPr>
                <w:bCs/>
              </w:rPr>
              <w:t>Komercdarbības</w:t>
            </w:r>
            <w:r w:rsidR="002133C4">
              <w:rPr>
                <w:bCs/>
              </w:rPr>
              <w:t xml:space="preserve"> a</w:t>
            </w:r>
            <w:r w:rsidR="00646C95" w:rsidRPr="0082362E">
              <w:rPr>
                <w:bCs/>
              </w:rPr>
              <w:t xml:space="preserve">tbalsta atgūšanas nosacījumi </w:t>
            </w:r>
          </w:p>
        </w:tc>
        <w:tc>
          <w:tcPr>
            <w:tcW w:w="1026" w:type="dxa"/>
            <w:shd w:val="clear" w:color="auto" w:fill="auto"/>
          </w:tcPr>
          <w:p w14:paraId="2CF52193" w14:textId="3023BDA6" w:rsidR="00646C95" w:rsidRPr="0082362E" w:rsidRDefault="006E319D" w:rsidP="00C22968">
            <w:pPr>
              <w:ind w:firstLine="567"/>
              <w:rPr>
                <w:rFonts w:ascii="Times New Roman" w:eastAsiaTheme="minorHAnsi" w:hAnsi="Times New Roman" w:cs="Times New Roman"/>
                <w:sz w:val="24"/>
                <w:szCs w:val="24"/>
              </w:rPr>
            </w:pPr>
            <w:r>
              <w:rPr>
                <w:rFonts w:ascii="Times New Roman" w:eastAsiaTheme="minorHAnsi" w:hAnsi="Times New Roman" w:cs="Times New Roman"/>
                <w:sz w:val="24"/>
                <w:szCs w:val="24"/>
              </w:rPr>
              <w:t>10</w:t>
            </w:r>
          </w:p>
        </w:tc>
      </w:tr>
      <w:tr w:rsidR="00646C95" w:rsidRPr="0082362E" w14:paraId="61F65BD1" w14:textId="77777777" w:rsidTr="00C22968">
        <w:tc>
          <w:tcPr>
            <w:tcW w:w="1124" w:type="dxa"/>
            <w:shd w:val="clear" w:color="auto" w:fill="auto"/>
          </w:tcPr>
          <w:p w14:paraId="088307A1" w14:textId="77777777" w:rsidR="00646C95" w:rsidRPr="0082362E" w:rsidRDefault="00646C95" w:rsidP="00034D7B">
            <w:pPr>
              <w:ind w:firstLine="284"/>
              <w:jc w:val="center"/>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III.</w:t>
            </w:r>
          </w:p>
        </w:tc>
        <w:tc>
          <w:tcPr>
            <w:tcW w:w="7233" w:type="dxa"/>
            <w:shd w:val="clear" w:color="auto" w:fill="auto"/>
          </w:tcPr>
          <w:p w14:paraId="25C87226" w14:textId="3F357F91" w:rsidR="00646C95" w:rsidRPr="0082362E" w:rsidRDefault="00D36866" w:rsidP="00C22968">
            <w:pPr>
              <w:rPr>
                <w:rFonts w:ascii="Times New Roman" w:hAnsi="Times New Roman" w:cs="Times New Roman"/>
                <w:b/>
                <w:iCs/>
                <w:caps/>
                <w:sz w:val="24"/>
                <w:szCs w:val="24"/>
              </w:rPr>
            </w:pPr>
            <w:r>
              <w:rPr>
                <w:rFonts w:ascii="Times New Roman" w:hAnsi="Times New Roman" w:cs="Times New Roman"/>
                <w:b/>
                <w:caps/>
                <w:sz w:val="24"/>
                <w:szCs w:val="24"/>
              </w:rPr>
              <w:t>Komercdarbības atb</w:t>
            </w:r>
            <w:r w:rsidR="00646C95" w:rsidRPr="0082362E">
              <w:rPr>
                <w:rFonts w:ascii="Times New Roman" w:hAnsi="Times New Roman" w:cs="Times New Roman"/>
                <w:b/>
                <w:caps/>
                <w:sz w:val="24"/>
                <w:szCs w:val="24"/>
              </w:rPr>
              <w:t xml:space="preserve">alsta atgūšaNA gadījumos, kad </w:t>
            </w:r>
            <w:r>
              <w:rPr>
                <w:rFonts w:ascii="Times New Roman" w:hAnsi="Times New Roman" w:cs="Times New Roman"/>
                <w:b/>
                <w:caps/>
                <w:sz w:val="24"/>
                <w:szCs w:val="24"/>
              </w:rPr>
              <w:t>komercdarbības atb</w:t>
            </w:r>
            <w:r w:rsidR="00646C95" w:rsidRPr="0082362E">
              <w:rPr>
                <w:rFonts w:ascii="Times New Roman" w:hAnsi="Times New Roman" w:cs="Times New Roman"/>
                <w:b/>
                <w:caps/>
                <w:sz w:val="24"/>
                <w:szCs w:val="24"/>
              </w:rPr>
              <w:t xml:space="preserve">alsts ir TICIS PIEŠĶIRTS, PIEMĒROJOT </w:t>
            </w:r>
            <w:r w:rsidR="00646C95" w:rsidRPr="0082362E">
              <w:rPr>
                <w:rFonts w:ascii="Times New Roman" w:hAnsi="Times New Roman" w:cs="Times New Roman"/>
                <w:b/>
                <w:caps/>
                <w:sz w:val="24"/>
                <w:szCs w:val="24"/>
                <w:shd w:val="clear" w:color="auto" w:fill="FFFFFF"/>
              </w:rPr>
              <w:t>atbrīvoJUMU no LESD 108.panta 3.punktā paredzētās paziņošanas prasības</w:t>
            </w:r>
          </w:p>
        </w:tc>
        <w:tc>
          <w:tcPr>
            <w:tcW w:w="1026" w:type="dxa"/>
            <w:shd w:val="clear" w:color="auto" w:fill="auto"/>
          </w:tcPr>
          <w:p w14:paraId="15CFDA4C" w14:textId="026BBAAA" w:rsidR="00646C95" w:rsidRPr="0082362E" w:rsidRDefault="00646C95" w:rsidP="00C22968">
            <w:pPr>
              <w:ind w:firstLine="567"/>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1</w:t>
            </w:r>
            <w:r w:rsidR="007637FD">
              <w:rPr>
                <w:rFonts w:ascii="Times New Roman" w:eastAsiaTheme="minorHAnsi" w:hAnsi="Times New Roman" w:cs="Times New Roman"/>
                <w:b/>
                <w:sz w:val="24"/>
                <w:szCs w:val="24"/>
              </w:rPr>
              <w:t>0</w:t>
            </w:r>
          </w:p>
        </w:tc>
      </w:tr>
      <w:tr w:rsidR="00646C95" w:rsidRPr="0082362E" w14:paraId="68A025E8" w14:textId="77777777" w:rsidTr="00C22968">
        <w:tc>
          <w:tcPr>
            <w:tcW w:w="1124" w:type="dxa"/>
            <w:shd w:val="clear" w:color="auto" w:fill="auto"/>
          </w:tcPr>
          <w:p w14:paraId="432D4255" w14:textId="77777777" w:rsidR="00646C95" w:rsidRPr="0082362E" w:rsidRDefault="00646C95" w:rsidP="00034D7B">
            <w:pPr>
              <w:ind w:firstLine="284"/>
              <w:jc w:val="center"/>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IV.</w:t>
            </w:r>
          </w:p>
        </w:tc>
        <w:tc>
          <w:tcPr>
            <w:tcW w:w="7233" w:type="dxa"/>
            <w:shd w:val="clear" w:color="auto" w:fill="auto"/>
          </w:tcPr>
          <w:p w14:paraId="3A5695D0" w14:textId="77777777" w:rsidR="00646C95" w:rsidRPr="0082362E" w:rsidRDefault="00646C95" w:rsidP="00C22968">
            <w:pPr>
              <w:pStyle w:val="Heading2"/>
              <w:keepLines w:val="0"/>
              <w:numPr>
                <w:ilvl w:val="0"/>
                <w:numId w:val="0"/>
              </w:numPr>
              <w:tabs>
                <w:tab w:val="left" w:pos="851"/>
              </w:tabs>
              <w:spacing w:before="0" w:after="0"/>
              <w:ind w:left="576" w:hanging="576"/>
              <w:rPr>
                <w:rFonts w:ascii="Times New Roman" w:hAnsi="Times New Roman"/>
                <w:caps/>
              </w:rPr>
            </w:pPr>
            <w:r w:rsidRPr="0082362E">
              <w:rPr>
                <w:rFonts w:ascii="Times New Roman" w:hAnsi="Times New Roman"/>
                <w:caps/>
              </w:rPr>
              <w:t>Atgūstamo summu noteikšana</w:t>
            </w:r>
          </w:p>
        </w:tc>
        <w:tc>
          <w:tcPr>
            <w:tcW w:w="1026" w:type="dxa"/>
            <w:shd w:val="clear" w:color="auto" w:fill="auto"/>
          </w:tcPr>
          <w:p w14:paraId="26BE2BB9" w14:textId="79E4CF31" w:rsidR="00646C95" w:rsidRPr="0082362E" w:rsidRDefault="00646C95" w:rsidP="00C22968">
            <w:pPr>
              <w:ind w:firstLine="567"/>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1</w:t>
            </w:r>
            <w:r w:rsidR="007637FD">
              <w:rPr>
                <w:rFonts w:ascii="Times New Roman" w:eastAsiaTheme="minorHAnsi" w:hAnsi="Times New Roman" w:cs="Times New Roman"/>
                <w:b/>
                <w:sz w:val="24"/>
                <w:szCs w:val="24"/>
              </w:rPr>
              <w:t>2</w:t>
            </w:r>
          </w:p>
        </w:tc>
      </w:tr>
      <w:tr w:rsidR="00D152ED" w:rsidRPr="0082362E" w14:paraId="1DC9A59F" w14:textId="77777777" w:rsidTr="00C22968">
        <w:tc>
          <w:tcPr>
            <w:tcW w:w="1124" w:type="dxa"/>
            <w:shd w:val="clear" w:color="auto" w:fill="auto"/>
          </w:tcPr>
          <w:p w14:paraId="77B7200F" w14:textId="362CEE48" w:rsidR="00D152ED" w:rsidRPr="0082362E" w:rsidRDefault="00D152ED" w:rsidP="00034D7B">
            <w:pPr>
              <w:ind w:firstLine="284"/>
              <w:jc w:val="center"/>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V.</w:t>
            </w:r>
          </w:p>
        </w:tc>
        <w:tc>
          <w:tcPr>
            <w:tcW w:w="7233" w:type="dxa"/>
            <w:shd w:val="clear" w:color="auto" w:fill="auto"/>
          </w:tcPr>
          <w:p w14:paraId="4755E80B" w14:textId="59ED76EC" w:rsidR="00D152ED" w:rsidRPr="0082362E" w:rsidRDefault="00D152ED" w:rsidP="00034D7B">
            <w:pPr>
              <w:pStyle w:val="Heading2"/>
              <w:numPr>
                <w:ilvl w:val="0"/>
                <w:numId w:val="0"/>
              </w:numPr>
              <w:tabs>
                <w:tab w:val="left" w:pos="851"/>
              </w:tabs>
              <w:spacing w:before="0" w:after="0"/>
              <w:ind w:left="14"/>
              <w:rPr>
                <w:rFonts w:ascii="Times New Roman" w:hAnsi="Times New Roman"/>
                <w:caps/>
              </w:rPr>
            </w:pPr>
            <w:r w:rsidRPr="0082362E">
              <w:rPr>
                <w:rFonts w:ascii="Times New Roman" w:hAnsi="Times New Roman"/>
                <w:caps/>
              </w:rPr>
              <w:t xml:space="preserve">Nelikumīga </w:t>
            </w:r>
            <w:r w:rsidR="00D36866">
              <w:rPr>
                <w:rFonts w:ascii="Times New Roman" w:hAnsi="Times New Roman"/>
                <w:caps/>
              </w:rPr>
              <w:t>komercdarbības atb</w:t>
            </w:r>
            <w:r w:rsidRPr="0082362E">
              <w:rPr>
                <w:rFonts w:ascii="Times New Roman" w:hAnsi="Times New Roman"/>
                <w:caps/>
              </w:rPr>
              <w:t>alsta atgūšana Nodokļu atvieglojumu/atbrīvojumu pasākumos</w:t>
            </w:r>
          </w:p>
        </w:tc>
        <w:tc>
          <w:tcPr>
            <w:tcW w:w="1026" w:type="dxa"/>
            <w:shd w:val="clear" w:color="auto" w:fill="auto"/>
          </w:tcPr>
          <w:p w14:paraId="45B3CCEE" w14:textId="05F830B4" w:rsidR="00D152ED" w:rsidRPr="0082362E" w:rsidRDefault="003955A0" w:rsidP="00C22968">
            <w:pPr>
              <w:ind w:firstLine="567"/>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1</w:t>
            </w:r>
            <w:r w:rsidR="007637FD">
              <w:rPr>
                <w:rFonts w:ascii="Times New Roman" w:eastAsiaTheme="minorHAnsi" w:hAnsi="Times New Roman" w:cs="Times New Roman"/>
                <w:b/>
                <w:sz w:val="24"/>
                <w:szCs w:val="24"/>
              </w:rPr>
              <w:t>6</w:t>
            </w:r>
          </w:p>
        </w:tc>
      </w:tr>
      <w:tr w:rsidR="006A5C29" w:rsidRPr="0082362E" w14:paraId="2E6CA185" w14:textId="77777777" w:rsidTr="00C22968">
        <w:tc>
          <w:tcPr>
            <w:tcW w:w="1124" w:type="dxa"/>
            <w:shd w:val="clear" w:color="auto" w:fill="auto"/>
          </w:tcPr>
          <w:p w14:paraId="6F913037" w14:textId="79C6A161" w:rsidR="006A5C29" w:rsidRPr="0082362E" w:rsidRDefault="006A5C29" w:rsidP="006A5C29">
            <w:pPr>
              <w:ind w:firstLine="284"/>
              <w:jc w:val="center"/>
              <w:rPr>
                <w:rFonts w:ascii="Times New Roman" w:eastAsiaTheme="minorHAnsi" w:hAnsi="Times New Roman" w:cs="Times New Roman"/>
                <w:b/>
                <w:sz w:val="24"/>
                <w:szCs w:val="24"/>
              </w:rPr>
            </w:pPr>
            <w:r w:rsidRPr="0082362E">
              <w:rPr>
                <w:rFonts w:ascii="Times New Roman" w:hAnsi="Times New Roman" w:cs="Times New Roman"/>
              </w:rPr>
              <w:t>a)</w:t>
            </w:r>
          </w:p>
        </w:tc>
        <w:tc>
          <w:tcPr>
            <w:tcW w:w="7233" w:type="dxa"/>
            <w:shd w:val="clear" w:color="auto" w:fill="auto"/>
          </w:tcPr>
          <w:p w14:paraId="2FF3A3FE" w14:textId="6CDEABB0" w:rsidR="006A5C29" w:rsidRPr="0082362E" w:rsidRDefault="00021D17" w:rsidP="006A5C29">
            <w:pPr>
              <w:pStyle w:val="Heading2"/>
              <w:keepLines w:val="0"/>
              <w:numPr>
                <w:ilvl w:val="0"/>
                <w:numId w:val="0"/>
              </w:numPr>
              <w:tabs>
                <w:tab w:val="left" w:pos="851"/>
              </w:tabs>
              <w:spacing w:before="0" w:after="0"/>
              <w:rPr>
                <w:rFonts w:ascii="Times New Roman" w:hAnsi="Times New Roman"/>
              </w:rPr>
            </w:pPr>
            <w:bookmarkStart w:id="0" w:name="_Hlk116982494"/>
            <w:r w:rsidRPr="00021D17">
              <w:rPr>
                <w:rFonts w:ascii="Times New Roman" w:eastAsia="Calibri" w:hAnsi="Times New Roman"/>
                <w:b w:val="0"/>
                <w:bCs w:val="0"/>
                <w:smallCaps w:val="0"/>
              </w:rPr>
              <w:t>Nelikumīga komercdarbības atbalsta atgūstamās summas aprēķināšana nodokļu atvieglojumu/atbrīvojumu gadījumā, kad nelikumīgs komercdarbības atbalsts atgūstams saskaņā ar likumu “Par nodokļiem un nodevām” un KAKL noteikto kārtību kombināciju</w:t>
            </w:r>
            <w:bookmarkEnd w:id="0"/>
          </w:p>
        </w:tc>
        <w:tc>
          <w:tcPr>
            <w:tcW w:w="1026" w:type="dxa"/>
            <w:shd w:val="clear" w:color="auto" w:fill="auto"/>
          </w:tcPr>
          <w:p w14:paraId="30E72469" w14:textId="7D3AC389" w:rsidR="006A5C29" w:rsidRPr="0082362E" w:rsidRDefault="003955A0" w:rsidP="006A5C29">
            <w:pPr>
              <w:ind w:firstLine="567"/>
              <w:rPr>
                <w:rFonts w:ascii="Times New Roman" w:eastAsiaTheme="minorHAnsi" w:hAnsi="Times New Roman" w:cs="Times New Roman"/>
                <w:b/>
                <w:bCs/>
                <w:sz w:val="24"/>
                <w:szCs w:val="24"/>
              </w:rPr>
            </w:pPr>
            <w:r w:rsidRPr="0082362E">
              <w:rPr>
                <w:rFonts w:ascii="Times New Roman" w:hAnsi="Times New Roman" w:cs="Times New Roman"/>
                <w:b/>
                <w:bCs/>
                <w:sz w:val="24"/>
                <w:szCs w:val="24"/>
              </w:rPr>
              <w:t>1</w:t>
            </w:r>
            <w:r w:rsidR="00021D17">
              <w:rPr>
                <w:rFonts w:ascii="Times New Roman" w:hAnsi="Times New Roman" w:cs="Times New Roman"/>
                <w:b/>
                <w:bCs/>
                <w:sz w:val="24"/>
                <w:szCs w:val="24"/>
              </w:rPr>
              <w:t>7</w:t>
            </w:r>
          </w:p>
        </w:tc>
      </w:tr>
      <w:tr w:rsidR="006A5C29" w:rsidRPr="0082362E" w14:paraId="5E63428E" w14:textId="77777777" w:rsidTr="00C22968">
        <w:tc>
          <w:tcPr>
            <w:tcW w:w="1124" w:type="dxa"/>
            <w:shd w:val="clear" w:color="auto" w:fill="auto"/>
          </w:tcPr>
          <w:p w14:paraId="5B0C685B" w14:textId="526C47F8" w:rsidR="006A5C29" w:rsidRPr="0082362E" w:rsidRDefault="00021D17" w:rsidP="00034D7B">
            <w:pPr>
              <w:ind w:firstLine="284"/>
              <w:jc w:val="center"/>
              <w:rPr>
                <w:rFonts w:ascii="Times New Roman" w:hAnsi="Times New Roman" w:cs="Times New Roman"/>
                <w:sz w:val="24"/>
                <w:szCs w:val="24"/>
              </w:rPr>
            </w:pPr>
            <w:r>
              <w:rPr>
                <w:rFonts w:ascii="Times New Roman" w:hAnsi="Times New Roman" w:cs="Times New Roman"/>
                <w:sz w:val="24"/>
                <w:szCs w:val="24"/>
              </w:rPr>
              <w:t>b</w:t>
            </w:r>
            <w:r w:rsidR="006A5C29" w:rsidRPr="0082362E">
              <w:rPr>
                <w:rFonts w:ascii="Times New Roman" w:hAnsi="Times New Roman" w:cs="Times New Roman"/>
                <w:sz w:val="24"/>
                <w:szCs w:val="24"/>
              </w:rPr>
              <w:t>)</w:t>
            </w:r>
          </w:p>
        </w:tc>
        <w:tc>
          <w:tcPr>
            <w:tcW w:w="7233" w:type="dxa"/>
            <w:shd w:val="clear" w:color="auto" w:fill="auto"/>
          </w:tcPr>
          <w:p w14:paraId="060C4DBE" w14:textId="1B347037" w:rsidR="006A5C29" w:rsidRPr="0082362E" w:rsidRDefault="006A5C29" w:rsidP="00B3544D">
            <w:pPr>
              <w:pStyle w:val="Heading2"/>
              <w:keepLines w:val="0"/>
              <w:numPr>
                <w:ilvl w:val="0"/>
                <w:numId w:val="0"/>
              </w:numPr>
              <w:tabs>
                <w:tab w:val="left" w:pos="851"/>
              </w:tabs>
              <w:spacing w:before="0" w:after="0"/>
              <w:rPr>
                <w:rFonts w:ascii="Times New Roman" w:eastAsia="Calibri" w:hAnsi="Times New Roman"/>
                <w:b w:val="0"/>
                <w:bCs w:val="0"/>
                <w:smallCaps w:val="0"/>
              </w:rPr>
            </w:pPr>
            <w:r w:rsidRPr="0082362E">
              <w:rPr>
                <w:rFonts w:ascii="Times New Roman" w:eastAsia="Calibri" w:hAnsi="Times New Roman"/>
                <w:b w:val="0"/>
                <w:bCs w:val="0"/>
                <w:smallCaps w:val="0"/>
              </w:rPr>
              <w:t>Nelikumīga komercdarbības atbalsta atgūšanas piemērs</w:t>
            </w:r>
            <w:r w:rsidR="00021D17">
              <w:rPr>
                <w:rFonts w:ascii="Times New Roman" w:eastAsia="Calibri" w:hAnsi="Times New Roman"/>
                <w:b w:val="0"/>
                <w:bCs w:val="0"/>
                <w:smallCaps w:val="0"/>
              </w:rPr>
              <w:t xml:space="preserve"> nodokļu </w:t>
            </w:r>
            <w:r w:rsidR="00021D17" w:rsidRPr="00021D17">
              <w:rPr>
                <w:rFonts w:ascii="Times New Roman" w:eastAsia="Calibri" w:hAnsi="Times New Roman"/>
                <w:b w:val="0"/>
                <w:bCs w:val="0"/>
                <w:smallCaps w:val="0"/>
              </w:rPr>
              <w:t xml:space="preserve"> atvieglojumu/atbrīvojumu </w:t>
            </w:r>
            <w:r w:rsidR="00021D17">
              <w:rPr>
                <w:rFonts w:ascii="Times New Roman" w:eastAsia="Calibri" w:hAnsi="Times New Roman"/>
                <w:b w:val="0"/>
                <w:bCs w:val="0"/>
                <w:smallCaps w:val="0"/>
              </w:rPr>
              <w:t>pasākumos</w:t>
            </w:r>
          </w:p>
        </w:tc>
        <w:tc>
          <w:tcPr>
            <w:tcW w:w="1026" w:type="dxa"/>
            <w:shd w:val="clear" w:color="auto" w:fill="auto"/>
          </w:tcPr>
          <w:p w14:paraId="210F2DF8" w14:textId="12E7A911" w:rsidR="006A5C29" w:rsidRPr="0082362E" w:rsidRDefault="006E319D" w:rsidP="00C22968">
            <w:pPr>
              <w:ind w:firstLine="567"/>
              <w:rPr>
                <w:rFonts w:ascii="Times New Roman" w:hAnsi="Times New Roman" w:cs="Times New Roman"/>
                <w:b/>
                <w:bCs/>
                <w:sz w:val="24"/>
                <w:szCs w:val="24"/>
              </w:rPr>
            </w:pPr>
            <w:r>
              <w:rPr>
                <w:rFonts w:ascii="Times New Roman" w:hAnsi="Times New Roman" w:cs="Times New Roman"/>
                <w:b/>
                <w:bCs/>
                <w:sz w:val="24"/>
                <w:szCs w:val="24"/>
              </w:rPr>
              <w:t>19</w:t>
            </w:r>
          </w:p>
        </w:tc>
      </w:tr>
      <w:tr w:rsidR="00646C95" w:rsidRPr="0082362E" w14:paraId="34F7B4B8" w14:textId="77777777" w:rsidTr="00C22968">
        <w:tc>
          <w:tcPr>
            <w:tcW w:w="1124" w:type="dxa"/>
            <w:shd w:val="clear" w:color="auto" w:fill="auto"/>
          </w:tcPr>
          <w:p w14:paraId="62DB1CFB" w14:textId="24C40808" w:rsidR="00646C95" w:rsidRPr="0082362E" w:rsidRDefault="00646C95" w:rsidP="00034D7B">
            <w:pPr>
              <w:ind w:firstLine="284"/>
              <w:jc w:val="center"/>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V</w:t>
            </w:r>
            <w:r w:rsidR="00D152ED" w:rsidRPr="0082362E">
              <w:rPr>
                <w:rFonts w:ascii="Times New Roman" w:eastAsiaTheme="minorHAnsi" w:hAnsi="Times New Roman" w:cs="Times New Roman"/>
                <w:b/>
                <w:sz w:val="24"/>
                <w:szCs w:val="24"/>
              </w:rPr>
              <w:t>I</w:t>
            </w:r>
            <w:r w:rsidRPr="0082362E">
              <w:rPr>
                <w:rFonts w:ascii="Times New Roman" w:eastAsiaTheme="minorHAnsi" w:hAnsi="Times New Roman" w:cs="Times New Roman"/>
                <w:b/>
                <w:sz w:val="24"/>
                <w:szCs w:val="24"/>
              </w:rPr>
              <w:t>.</w:t>
            </w:r>
          </w:p>
        </w:tc>
        <w:tc>
          <w:tcPr>
            <w:tcW w:w="7233" w:type="dxa"/>
            <w:shd w:val="clear" w:color="auto" w:fill="auto"/>
          </w:tcPr>
          <w:p w14:paraId="0AF3B203" w14:textId="77777777" w:rsidR="00646C95" w:rsidRPr="0082362E" w:rsidRDefault="00646C95" w:rsidP="00C22968">
            <w:pPr>
              <w:pStyle w:val="Heading2"/>
              <w:keepLines w:val="0"/>
              <w:numPr>
                <w:ilvl w:val="0"/>
                <w:numId w:val="0"/>
              </w:numPr>
              <w:tabs>
                <w:tab w:val="left" w:pos="851"/>
              </w:tabs>
              <w:spacing w:before="0" w:after="0"/>
              <w:ind w:left="576" w:hanging="576"/>
              <w:rPr>
                <w:rFonts w:ascii="Times New Roman" w:hAnsi="Times New Roman"/>
                <w:caps/>
              </w:rPr>
            </w:pPr>
            <w:r w:rsidRPr="0082362E">
              <w:rPr>
                <w:rFonts w:ascii="Times New Roman" w:hAnsi="Times New Roman"/>
              </w:rPr>
              <w:t>NOILGUMA PERIODS</w:t>
            </w:r>
          </w:p>
        </w:tc>
        <w:tc>
          <w:tcPr>
            <w:tcW w:w="1026" w:type="dxa"/>
            <w:shd w:val="clear" w:color="auto" w:fill="auto"/>
          </w:tcPr>
          <w:p w14:paraId="4200D4FD" w14:textId="265DDAB6" w:rsidR="00646C95" w:rsidRPr="0082362E" w:rsidRDefault="003955A0" w:rsidP="00C22968">
            <w:pPr>
              <w:ind w:firstLine="567"/>
              <w:rPr>
                <w:rFonts w:ascii="Times New Roman" w:eastAsiaTheme="minorHAnsi" w:hAnsi="Times New Roman" w:cs="Times New Roman"/>
                <w:b/>
                <w:bCs/>
                <w:sz w:val="24"/>
                <w:szCs w:val="24"/>
              </w:rPr>
            </w:pPr>
            <w:r w:rsidRPr="0082362E">
              <w:rPr>
                <w:rFonts w:ascii="Times New Roman" w:eastAsiaTheme="minorHAnsi" w:hAnsi="Times New Roman" w:cs="Times New Roman"/>
                <w:b/>
                <w:bCs/>
                <w:sz w:val="24"/>
                <w:szCs w:val="24"/>
              </w:rPr>
              <w:t>2</w:t>
            </w:r>
            <w:r w:rsidR="00635A7D">
              <w:rPr>
                <w:rFonts w:ascii="Times New Roman" w:eastAsiaTheme="minorHAnsi" w:hAnsi="Times New Roman" w:cs="Times New Roman"/>
                <w:b/>
                <w:bCs/>
                <w:sz w:val="24"/>
                <w:szCs w:val="24"/>
              </w:rPr>
              <w:t>1</w:t>
            </w:r>
          </w:p>
        </w:tc>
      </w:tr>
      <w:tr w:rsidR="00646C95" w:rsidRPr="0082362E" w14:paraId="5466F2B9" w14:textId="77777777" w:rsidTr="00C22968">
        <w:tc>
          <w:tcPr>
            <w:tcW w:w="1124" w:type="dxa"/>
            <w:shd w:val="clear" w:color="auto" w:fill="auto"/>
          </w:tcPr>
          <w:p w14:paraId="1DDCC346" w14:textId="448194EA" w:rsidR="00646C95" w:rsidRPr="0082362E" w:rsidRDefault="00646C95" w:rsidP="00034D7B">
            <w:pPr>
              <w:ind w:firstLine="284"/>
              <w:jc w:val="center"/>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VI</w:t>
            </w:r>
            <w:r w:rsidR="00D152ED" w:rsidRPr="0082362E">
              <w:rPr>
                <w:rFonts w:ascii="Times New Roman" w:eastAsiaTheme="minorHAnsi" w:hAnsi="Times New Roman" w:cs="Times New Roman"/>
                <w:b/>
                <w:sz w:val="24"/>
                <w:szCs w:val="24"/>
              </w:rPr>
              <w:t>I</w:t>
            </w:r>
            <w:r w:rsidRPr="0082362E">
              <w:rPr>
                <w:rFonts w:ascii="Times New Roman" w:eastAsiaTheme="minorHAnsi" w:hAnsi="Times New Roman" w:cs="Times New Roman"/>
                <w:b/>
                <w:sz w:val="24"/>
                <w:szCs w:val="24"/>
              </w:rPr>
              <w:t>.</w:t>
            </w:r>
          </w:p>
        </w:tc>
        <w:tc>
          <w:tcPr>
            <w:tcW w:w="7233" w:type="dxa"/>
            <w:shd w:val="clear" w:color="auto" w:fill="auto"/>
          </w:tcPr>
          <w:p w14:paraId="393C1265" w14:textId="77777777" w:rsidR="00646C95" w:rsidRPr="0082362E" w:rsidRDefault="00646C95" w:rsidP="00C22968">
            <w:r w:rsidRPr="0082362E">
              <w:rPr>
                <w:rFonts w:ascii="Times New Roman" w:hAnsi="Times New Roman" w:cs="Times New Roman"/>
                <w:b/>
                <w:caps/>
                <w:sz w:val="24"/>
                <w:szCs w:val="24"/>
              </w:rPr>
              <w:t>PAPILDU INFORMĀCIJA</w:t>
            </w:r>
          </w:p>
        </w:tc>
        <w:tc>
          <w:tcPr>
            <w:tcW w:w="1026" w:type="dxa"/>
            <w:shd w:val="clear" w:color="auto" w:fill="auto"/>
          </w:tcPr>
          <w:p w14:paraId="509A8ED9" w14:textId="1350C70B" w:rsidR="00646C95" w:rsidRPr="0082362E" w:rsidRDefault="003955A0" w:rsidP="00C22968">
            <w:pPr>
              <w:ind w:firstLine="567"/>
              <w:rPr>
                <w:b/>
                <w:bCs/>
              </w:rPr>
            </w:pPr>
            <w:r w:rsidRPr="0082362E">
              <w:rPr>
                <w:rFonts w:ascii="Times New Roman" w:eastAsiaTheme="minorHAnsi" w:hAnsi="Times New Roman" w:cs="Times New Roman"/>
                <w:b/>
                <w:bCs/>
                <w:sz w:val="24"/>
                <w:szCs w:val="24"/>
              </w:rPr>
              <w:t>2</w:t>
            </w:r>
            <w:r w:rsidR="00635A7D">
              <w:rPr>
                <w:rFonts w:ascii="Times New Roman" w:eastAsiaTheme="minorHAnsi" w:hAnsi="Times New Roman" w:cs="Times New Roman"/>
                <w:b/>
                <w:bCs/>
                <w:sz w:val="24"/>
                <w:szCs w:val="24"/>
              </w:rPr>
              <w:t>2</w:t>
            </w:r>
          </w:p>
        </w:tc>
      </w:tr>
      <w:tr w:rsidR="008B0EA6" w:rsidRPr="0082362E" w14:paraId="7780F683" w14:textId="77777777" w:rsidTr="00C22968">
        <w:tc>
          <w:tcPr>
            <w:tcW w:w="1124" w:type="dxa"/>
            <w:shd w:val="clear" w:color="auto" w:fill="auto"/>
          </w:tcPr>
          <w:p w14:paraId="21AB68C5" w14:textId="0242DBCB" w:rsidR="008B0EA6" w:rsidRPr="0082362E" w:rsidRDefault="008B0EA6" w:rsidP="00034D7B">
            <w:pPr>
              <w:ind w:firstLine="284"/>
              <w:jc w:val="center"/>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VIII.</w:t>
            </w:r>
          </w:p>
        </w:tc>
        <w:tc>
          <w:tcPr>
            <w:tcW w:w="7233" w:type="dxa"/>
            <w:shd w:val="clear" w:color="auto" w:fill="auto"/>
          </w:tcPr>
          <w:p w14:paraId="47DF05D6" w14:textId="5FD55724" w:rsidR="008B0EA6" w:rsidRPr="0082362E" w:rsidRDefault="008B0EA6" w:rsidP="00C22968">
            <w:pPr>
              <w:rPr>
                <w:rFonts w:ascii="Times New Roman" w:hAnsi="Times New Roman" w:cs="Times New Roman"/>
                <w:b/>
                <w:caps/>
                <w:sz w:val="24"/>
                <w:szCs w:val="24"/>
              </w:rPr>
            </w:pPr>
            <w:r w:rsidRPr="0082362E">
              <w:rPr>
                <w:rFonts w:ascii="Times New Roman" w:hAnsi="Times New Roman" w:cs="Times New Roman"/>
                <w:b/>
                <w:caps/>
                <w:sz w:val="24"/>
                <w:szCs w:val="24"/>
              </w:rPr>
              <w:t>PIelikums</w:t>
            </w:r>
          </w:p>
        </w:tc>
        <w:tc>
          <w:tcPr>
            <w:tcW w:w="1026" w:type="dxa"/>
            <w:shd w:val="clear" w:color="auto" w:fill="auto"/>
          </w:tcPr>
          <w:p w14:paraId="51EFCC64" w14:textId="1A32696C" w:rsidR="008B0EA6" w:rsidRPr="0082362E" w:rsidRDefault="00AF7A22" w:rsidP="00C22968">
            <w:pPr>
              <w:ind w:firstLine="567"/>
              <w:rPr>
                <w:rFonts w:ascii="Times New Roman" w:eastAsiaTheme="minorHAnsi" w:hAnsi="Times New Roman" w:cs="Times New Roman"/>
                <w:b/>
                <w:sz w:val="24"/>
                <w:szCs w:val="24"/>
              </w:rPr>
            </w:pPr>
            <w:r w:rsidRPr="0082362E">
              <w:rPr>
                <w:rFonts w:ascii="Times New Roman" w:eastAsiaTheme="minorHAnsi" w:hAnsi="Times New Roman" w:cs="Times New Roman"/>
                <w:b/>
                <w:sz w:val="24"/>
                <w:szCs w:val="24"/>
              </w:rPr>
              <w:t>2</w:t>
            </w:r>
            <w:r w:rsidR="00635A7D">
              <w:rPr>
                <w:rFonts w:ascii="Times New Roman" w:eastAsiaTheme="minorHAnsi" w:hAnsi="Times New Roman" w:cs="Times New Roman"/>
                <w:b/>
                <w:sz w:val="24"/>
                <w:szCs w:val="24"/>
              </w:rPr>
              <w:t>3</w:t>
            </w:r>
          </w:p>
        </w:tc>
      </w:tr>
    </w:tbl>
    <w:p w14:paraId="0C7A7F86" w14:textId="52B5E14E" w:rsidR="00D36866" w:rsidRDefault="00D36866" w:rsidP="006E319D">
      <w:pPr>
        <w:pStyle w:val="ListParagraph"/>
        <w:ind w:left="284"/>
        <w:rPr>
          <w:rFonts w:eastAsiaTheme="minorHAnsi"/>
          <w:sz w:val="24"/>
          <w:szCs w:val="24"/>
        </w:rPr>
      </w:pPr>
    </w:p>
    <w:p w14:paraId="540FE872" w14:textId="77777777" w:rsidR="00D36866" w:rsidRDefault="00D36866" w:rsidP="00D36866">
      <w:pPr>
        <w:ind w:firstLine="567"/>
        <w:rPr>
          <w:rFonts w:eastAsiaTheme="minorHAnsi"/>
          <w:sz w:val="24"/>
          <w:szCs w:val="24"/>
        </w:rPr>
      </w:pPr>
      <w:r>
        <w:rPr>
          <w:rFonts w:eastAsiaTheme="minorHAnsi"/>
          <w:sz w:val="24"/>
          <w:szCs w:val="24"/>
        </w:rPr>
        <w:br w:type="page"/>
      </w:r>
    </w:p>
    <w:p w14:paraId="1AF90930" w14:textId="19EAAEDE" w:rsidR="00D36866" w:rsidRPr="0082362E" w:rsidRDefault="00D36866" w:rsidP="00D36866">
      <w:pPr>
        <w:ind w:firstLine="567"/>
        <w:rPr>
          <w:rFonts w:ascii="Times New Roman" w:hAnsi="Times New Roman" w:cs="Times New Roman"/>
          <w:b/>
          <w:iCs/>
          <w:sz w:val="24"/>
          <w:szCs w:val="24"/>
        </w:rPr>
      </w:pPr>
      <w:r w:rsidRPr="0082362E">
        <w:rPr>
          <w:rFonts w:ascii="Times New Roman" w:hAnsi="Times New Roman" w:cs="Times New Roman"/>
          <w:b/>
          <w:sz w:val="24"/>
          <w:szCs w:val="24"/>
        </w:rPr>
        <w:t xml:space="preserve">Materiāla mērķis ir vērst uzmanību uz </w:t>
      </w:r>
      <w:r w:rsidRPr="0082362E">
        <w:rPr>
          <w:rFonts w:ascii="Times New Roman" w:hAnsi="Times New Roman" w:cs="Times New Roman"/>
          <w:b/>
          <w:iCs/>
          <w:sz w:val="24"/>
          <w:szCs w:val="24"/>
        </w:rPr>
        <w:t xml:space="preserve">piemērojamiem pamatprincipiem </w:t>
      </w:r>
      <w:r>
        <w:rPr>
          <w:rFonts w:ascii="Times New Roman" w:hAnsi="Times New Roman" w:cs="Times New Roman"/>
          <w:b/>
          <w:iCs/>
          <w:sz w:val="24"/>
          <w:szCs w:val="24"/>
        </w:rPr>
        <w:t>nesaderīga un/vai nelikumīga komercdarbības atb</w:t>
      </w:r>
      <w:r w:rsidRPr="0082362E">
        <w:rPr>
          <w:rFonts w:ascii="Times New Roman" w:hAnsi="Times New Roman" w:cs="Times New Roman"/>
          <w:b/>
          <w:iCs/>
          <w:sz w:val="24"/>
          <w:szCs w:val="24"/>
        </w:rPr>
        <w:t xml:space="preserve">alsta (komercdarbības atbalsta) atgūšanā, izskaidrojot </w:t>
      </w:r>
      <w:r w:rsidRPr="0082362E">
        <w:rPr>
          <w:rFonts w:ascii="Times New Roman" w:hAnsi="Times New Roman" w:cs="Times New Roman"/>
          <w:b/>
          <w:sz w:val="24"/>
          <w:szCs w:val="24"/>
        </w:rPr>
        <w:t xml:space="preserve">vispārējos noteikumus un procedūras, kas reglamentē </w:t>
      </w:r>
      <w:r w:rsidR="002713CD">
        <w:rPr>
          <w:rFonts w:ascii="Times New Roman" w:hAnsi="Times New Roman" w:cs="Times New Roman"/>
          <w:b/>
          <w:sz w:val="24"/>
          <w:szCs w:val="24"/>
        </w:rPr>
        <w:t xml:space="preserve">valsts </w:t>
      </w:r>
      <w:r>
        <w:rPr>
          <w:rFonts w:ascii="Times New Roman" w:hAnsi="Times New Roman" w:cs="Times New Roman"/>
          <w:b/>
          <w:sz w:val="24"/>
          <w:szCs w:val="24"/>
        </w:rPr>
        <w:t>atb</w:t>
      </w:r>
      <w:r w:rsidRPr="0082362E">
        <w:rPr>
          <w:rFonts w:ascii="Times New Roman" w:hAnsi="Times New Roman" w:cs="Times New Roman"/>
          <w:b/>
          <w:sz w:val="24"/>
          <w:szCs w:val="24"/>
        </w:rPr>
        <w:t>alsta</w:t>
      </w:r>
      <w:r w:rsidRPr="0082362E">
        <w:rPr>
          <w:rStyle w:val="FootnoteReference"/>
          <w:rFonts w:ascii="Times New Roman" w:hAnsi="Times New Roman" w:cs="Times New Roman"/>
          <w:b/>
          <w:sz w:val="24"/>
          <w:szCs w:val="24"/>
        </w:rPr>
        <w:footnoteReference w:id="1"/>
      </w:r>
      <w:r w:rsidRPr="0082362E">
        <w:rPr>
          <w:rFonts w:ascii="Times New Roman" w:hAnsi="Times New Roman" w:cs="Times New Roman"/>
          <w:b/>
          <w:sz w:val="24"/>
          <w:szCs w:val="24"/>
        </w:rPr>
        <w:t xml:space="preserve"> atgūšanu</w:t>
      </w:r>
      <w:r w:rsidRPr="0082362E">
        <w:rPr>
          <w:rStyle w:val="FootnoteReference"/>
          <w:rFonts w:ascii="Times New Roman" w:hAnsi="Times New Roman" w:cs="Times New Roman"/>
          <w:b/>
          <w:sz w:val="24"/>
          <w:szCs w:val="24"/>
        </w:rPr>
        <w:footnoteReference w:id="2"/>
      </w:r>
      <w:r w:rsidRPr="0082362E">
        <w:rPr>
          <w:rFonts w:ascii="Times New Roman" w:hAnsi="Times New Roman" w:cs="Times New Roman"/>
          <w:b/>
          <w:sz w:val="24"/>
          <w:szCs w:val="24"/>
        </w:rPr>
        <w:t>.</w:t>
      </w:r>
    </w:p>
    <w:p w14:paraId="269159C2" w14:textId="5EE24662" w:rsidR="00D36866" w:rsidRDefault="00D36866">
      <w:pPr>
        <w:rPr>
          <w:rFonts w:ascii="Times New Roman" w:eastAsiaTheme="minorHAnsi" w:hAnsi="Times New Roman" w:cs="Times New Roman"/>
          <w:color w:val="808080"/>
          <w:sz w:val="24"/>
          <w:szCs w:val="24"/>
        </w:rPr>
      </w:pPr>
    </w:p>
    <w:p w14:paraId="450510AF" w14:textId="77777777" w:rsidR="00D50B89" w:rsidRPr="0082362E" w:rsidRDefault="00DC01CB" w:rsidP="00444DFF">
      <w:pPr>
        <w:pStyle w:val="ListParagraph"/>
        <w:numPr>
          <w:ilvl w:val="0"/>
          <w:numId w:val="7"/>
        </w:numPr>
        <w:ind w:left="284" w:hanging="284"/>
        <w:jc w:val="center"/>
        <w:rPr>
          <w:b/>
          <w:color w:val="auto"/>
          <w:sz w:val="24"/>
          <w:szCs w:val="24"/>
        </w:rPr>
      </w:pPr>
      <w:r w:rsidRPr="0082362E">
        <w:rPr>
          <w:b/>
          <w:color w:val="auto"/>
          <w:sz w:val="24"/>
          <w:szCs w:val="24"/>
        </w:rPr>
        <w:t>VISPĀRĪGĀ INFORMĀCIJA</w:t>
      </w:r>
    </w:p>
    <w:p w14:paraId="6E5DD014" w14:textId="77777777" w:rsidR="00D50B89" w:rsidRPr="0082362E" w:rsidRDefault="00D50B89" w:rsidP="00444DFF">
      <w:pPr>
        <w:ind w:firstLine="567"/>
        <w:jc w:val="center"/>
        <w:rPr>
          <w:rFonts w:ascii="Times New Roman" w:hAnsi="Times New Roman" w:cs="Times New Roman"/>
          <w:sz w:val="24"/>
          <w:szCs w:val="24"/>
        </w:rPr>
      </w:pPr>
    </w:p>
    <w:p w14:paraId="20048C8C" w14:textId="655880C2" w:rsidR="00D50B89" w:rsidRPr="0082362E" w:rsidRDefault="00DC01CB" w:rsidP="00444DFF">
      <w:pPr>
        <w:pStyle w:val="NumPar1"/>
        <w:tabs>
          <w:tab w:val="clear" w:pos="426"/>
          <w:tab w:val="clear" w:pos="480"/>
          <w:tab w:val="left" w:pos="0"/>
        </w:tabs>
        <w:spacing w:after="0"/>
        <w:ind w:left="0" w:right="0" w:firstLine="567"/>
        <w:outlineLvl w:val="9"/>
        <w:rPr>
          <w:szCs w:val="24"/>
        </w:rPr>
      </w:pPr>
      <w:r w:rsidRPr="0082362E">
        <w:rPr>
          <w:szCs w:val="24"/>
        </w:rPr>
        <w:t>Līgums par Eiropas Savienības darbību (</w:t>
      </w:r>
      <w:r w:rsidR="00E41F45" w:rsidRPr="0082362E">
        <w:rPr>
          <w:szCs w:val="24"/>
        </w:rPr>
        <w:t xml:space="preserve">turpmāk - </w:t>
      </w:r>
      <w:r w:rsidRPr="0082362E">
        <w:rPr>
          <w:szCs w:val="24"/>
        </w:rPr>
        <w:t>LESD) liedz dalībvalstīm piešķirt finansiālas priekšrocības uzņēmumiem tādā veidā, kas varētu izkropļot konkurenci Eiropas Savienības (</w:t>
      </w:r>
      <w:r w:rsidR="00E41F45" w:rsidRPr="0082362E">
        <w:rPr>
          <w:szCs w:val="24"/>
        </w:rPr>
        <w:t xml:space="preserve">turpmāk - </w:t>
      </w:r>
      <w:r w:rsidRPr="0082362E">
        <w:rPr>
          <w:szCs w:val="24"/>
        </w:rPr>
        <w:t xml:space="preserve">ES) iekšējā tirgū. Saskaņā ar LESD 107.panta 1.punktu </w:t>
      </w:r>
      <w:r w:rsidR="00D36866">
        <w:rPr>
          <w:szCs w:val="24"/>
        </w:rPr>
        <w:t>komercdarbības atb</w:t>
      </w:r>
      <w:r w:rsidRPr="0082362E">
        <w:rPr>
          <w:szCs w:val="24"/>
        </w:rPr>
        <w:t xml:space="preserve">alsts nav saderīgs ar iekšējo tirgu, ja vien tas neietilpst minētā panta 2. un 3.punktā paredzēto izņēmumu kategorijās. Arī LESD 93.pantā, 106.panta 2.punktā un 108.panta 4.punktā ir paredzētas procedūras, kuras ievērojot </w:t>
      </w:r>
      <w:r w:rsidR="00D36866">
        <w:rPr>
          <w:szCs w:val="24"/>
        </w:rPr>
        <w:t>komercdarbības atb</w:t>
      </w:r>
      <w:r w:rsidRPr="0082362E">
        <w:rPr>
          <w:szCs w:val="24"/>
        </w:rPr>
        <w:t>alsts ir saderīgs ar iekšējo tirgu, vai to var uzskatīt par tādu.</w:t>
      </w:r>
    </w:p>
    <w:p w14:paraId="6990A54F" w14:textId="49ECD9E8" w:rsidR="00D50B89" w:rsidRPr="0082362E" w:rsidRDefault="00DC01CB" w:rsidP="00CD2AB0">
      <w:pPr>
        <w:pStyle w:val="NormalWeb"/>
        <w:spacing w:before="100" w:after="100"/>
        <w:rPr>
          <w:rFonts w:ascii="Segoe UI" w:eastAsia="Calibri" w:hAnsi="Segoe UI" w:cs="Segoe UI"/>
          <w:sz w:val="18"/>
          <w:szCs w:val="18"/>
          <w:u w:val="single"/>
        </w:rPr>
      </w:pPr>
      <w:r w:rsidRPr="0082362E">
        <w:t>Saskaņā ar Komercdarbības atbalsta kontroles likuma 1.panta</w:t>
      </w:r>
      <w:r w:rsidR="00C22968" w:rsidRPr="0082362E">
        <w:rPr>
          <w:rStyle w:val="cf01"/>
          <w:rFonts w:eastAsia="Calibri"/>
        </w:rPr>
        <w:t xml:space="preserve"> </w:t>
      </w:r>
      <w:r w:rsidR="00C22968" w:rsidRPr="0082362E">
        <w:rPr>
          <w:rStyle w:val="cf01"/>
          <w:rFonts w:ascii="Times New Roman" w:hAnsi="Times New Roman" w:cs="Times New Roman"/>
          <w:sz w:val="24"/>
          <w:szCs w:val="24"/>
          <w:u w:val="none"/>
        </w:rPr>
        <w:t>otrās daļas 4.punkt</w:t>
      </w:r>
      <w:r w:rsidR="00977ABE" w:rsidRPr="0082362E">
        <w:rPr>
          <w:rStyle w:val="cf01"/>
          <w:rFonts w:ascii="Times New Roman" w:hAnsi="Times New Roman" w:cs="Times New Roman"/>
          <w:sz w:val="24"/>
          <w:szCs w:val="24"/>
          <w:u w:val="none"/>
        </w:rPr>
        <w:t>u</w:t>
      </w:r>
      <w:r w:rsidRPr="0082362E">
        <w:rPr>
          <w:i/>
        </w:rPr>
        <w:t>“atbalsta sniedzējs ir valsts vai pašvaldības institūcija vai tās pilnvarota juridiskā persona, kas pieņem lēmumu par komercdarbības atbalsta piešķiršanu vai kas ir atbildīga par atbalsta programmas izstrādi vai atbalsta programmas vai individuālā atbalsta projekta piemērošanu”</w:t>
      </w:r>
      <w:r w:rsidRPr="0082362E">
        <w:t xml:space="preserve">. </w:t>
      </w:r>
    </w:p>
    <w:p w14:paraId="6D22A85B" w14:textId="5F4D0085" w:rsidR="00D50B89" w:rsidRPr="0082362E" w:rsidRDefault="00DC01CB" w:rsidP="00444DFF">
      <w:pPr>
        <w:tabs>
          <w:tab w:val="left" w:pos="0"/>
        </w:tabs>
        <w:ind w:firstLine="567"/>
        <w:rPr>
          <w:rFonts w:ascii="Times New Roman" w:hAnsi="Times New Roman" w:cs="Times New Roman"/>
          <w:sz w:val="24"/>
          <w:szCs w:val="24"/>
        </w:rPr>
      </w:pPr>
      <w:r w:rsidRPr="0082362E">
        <w:rPr>
          <w:rFonts w:ascii="Times New Roman" w:hAnsi="Times New Roman" w:cs="Times New Roman"/>
          <w:sz w:val="24"/>
          <w:szCs w:val="24"/>
        </w:rPr>
        <w:t>Plānojot publiskā finansējuma</w:t>
      </w:r>
      <w:r w:rsidRPr="0082362E">
        <w:rPr>
          <w:rStyle w:val="Vresenkurs"/>
          <w:rFonts w:ascii="Times New Roman" w:hAnsi="Times New Roman" w:cs="Times New Roman"/>
          <w:sz w:val="24"/>
          <w:szCs w:val="24"/>
        </w:rPr>
        <w:footnoteReference w:id="3"/>
      </w:r>
      <w:r w:rsidRPr="0082362E">
        <w:rPr>
          <w:rFonts w:ascii="Times New Roman" w:hAnsi="Times New Roman" w:cs="Times New Roman"/>
          <w:sz w:val="24"/>
          <w:szCs w:val="24"/>
        </w:rPr>
        <w:t xml:space="preserve"> piešķiršanu, atbalsta sniedzējam visos gadījumos jāvērtē, vai uz attiecīgo publiskā finansējuma piešķiršanas pasākumu ir piemērojams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regulējums. Atbalsta sniedzējam ir nepieciešams nodrošināt, ka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alsts pretendentiem tiek sniegts atbilstoši visiem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nosacījumiem un ka </w:t>
      </w:r>
      <w:r w:rsidR="00A50682" w:rsidRPr="0082362E">
        <w:rPr>
          <w:rFonts w:ascii="Times New Roman" w:hAnsi="Times New Roman" w:cs="Times New Roman"/>
          <w:sz w:val="24"/>
          <w:szCs w:val="24"/>
        </w:rPr>
        <w:t xml:space="preserve">dokuments (piemēram, līgums), ar kuru </w:t>
      </w:r>
      <w:r w:rsidRPr="0082362E">
        <w:rPr>
          <w:rFonts w:ascii="Times New Roman" w:hAnsi="Times New Roman" w:cs="Times New Roman"/>
          <w:sz w:val="24"/>
          <w:szCs w:val="24"/>
        </w:rPr>
        <w:t xml:space="preserve">ar atbalsta saņēmējiem tiek </w:t>
      </w:r>
      <w:r w:rsidR="00A50682" w:rsidRPr="0082362E">
        <w:rPr>
          <w:rFonts w:ascii="Times New Roman" w:hAnsi="Times New Roman" w:cs="Times New Roman"/>
          <w:sz w:val="24"/>
          <w:szCs w:val="24"/>
        </w:rPr>
        <w:t xml:space="preserve">piešķirts atbalsts, </w:t>
      </w:r>
      <w:r w:rsidRPr="0082362E">
        <w:rPr>
          <w:rFonts w:ascii="Times New Roman" w:hAnsi="Times New Roman" w:cs="Times New Roman"/>
          <w:sz w:val="24"/>
          <w:szCs w:val="24"/>
        </w:rPr>
        <w:t xml:space="preserve">atbilst </w:t>
      </w:r>
      <w:r w:rsidR="00A50682" w:rsidRPr="0082362E">
        <w:rPr>
          <w:rFonts w:ascii="Times New Roman" w:hAnsi="Times New Roman" w:cs="Times New Roman"/>
          <w:sz w:val="24"/>
          <w:szCs w:val="24"/>
        </w:rPr>
        <w:t xml:space="preserve">tiesību </w:t>
      </w:r>
      <w:r w:rsidRPr="0082362E">
        <w:rPr>
          <w:rFonts w:ascii="Times New Roman" w:hAnsi="Times New Roman" w:cs="Times New Roman"/>
          <w:sz w:val="24"/>
          <w:szCs w:val="24"/>
        </w:rPr>
        <w:t xml:space="preserve">aktā par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piešķiršanu noteiktajām prasībām. Tāpat ir nepieciešams nodrošināt un uzraudzīt, lai piešķirtais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alsts tiktu izlietots atbilstoši </w:t>
      </w:r>
      <w:r w:rsidR="00693056" w:rsidRPr="0082362E">
        <w:rPr>
          <w:rFonts w:ascii="Times New Roman" w:hAnsi="Times New Roman" w:cs="Times New Roman"/>
          <w:sz w:val="24"/>
          <w:szCs w:val="24"/>
        </w:rPr>
        <w:t xml:space="preserve">tiesību </w:t>
      </w:r>
      <w:r w:rsidRPr="0082362E">
        <w:rPr>
          <w:rFonts w:ascii="Times New Roman" w:hAnsi="Times New Roman" w:cs="Times New Roman"/>
          <w:sz w:val="24"/>
          <w:szCs w:val="24"/>
        </w:rPr>
        <w:t>regulēj</w:t>
      </w:r>
      <w:r w:rsidR="001469CB">
        <w:rPr>
          <w:rFonts w:ascii="Times New Roman" w:hAnsi="Times New Roman" w:cs="Times New Roman"/>
          <w:sz w:val="24"/>
          <w:szCs w:val="24"/>
        </w:rPr>
        <w:t>um</w:t>
      </w:r>
      <w:r w:rsidRPr="0082362E">
        <w:rPr>
          <w:rFonts w:ascii="Times New Roman" w:hAnsi="Times New Roman" w:cs="Times New Roman"/>
          <w:sz w:val="24"/>
          <w:szCs w:val="24"/>
        </w:rPr>
        <w:t xml:space="preserve">am un </w:t>
      </w:r>
      <w:r w:rsidR="00A50682" w:rsidRPr="0082362E">
        <w:rPr>
          <w:rFonts w:ascii="Times New Roman" w:hAnsi="Times New Roman" w:cs="Times New Roman"/>
          <w:sz w:val="24"/>
          <w:szCs w:val="24"/>
        </w:rPr>
        <w:t xml:space="preserve">dokumentam, ar kuru atbalsta saņēmējiem tiek piešķirts </w:t>
      </w:r>
      <w:r w:rsidR="00D36866">
        <w:rPr>
          <w:rFonts w:ascii="Times New Roman" w:hAnsi="Times New Roman" w:cs="Times New Roman"/>
          <w:sz w:val="24"/>
          <w:szCs w:val="24"/>
        </w:rPr>
        <w:t>komercdarbības atb</w:t>
      </w:r>
      <w:r w:rsidR="002133C4">
        <w:rPr>
          <w:rFonts w:ascii="Times New Roman" w:hAnsi="Times New Roman" w:cs="Times New Roman"/>
          <w:sz w:val="24"/>
          <w:szCs w:val="24"/>
        </w:rPr>
        <w:t>alst</w:t>
      </w:r>
      <w:r w:rsidR="00A50682" w:rsidRPr="0082362E">
        <w:rPr>
          <w:rFonts w:ascii="Times New Roman" w:hAnsi="Times New Roman" w:cs="Times New Roman"/>
          <w:sz w:val="24"/>
          <w:szCs w:val="24"/>
        </w:rPr>
        <w:t>s</w:t>
      </w:r>
      <w:r w:rsidRPr="0082362E">
        <w:rPr>
          <w:rFonts w:ascii="Times New Roman" w:hAnsi="Times New Roman" w:cs="Times New Roman"/>
          <w:sz w:val="24"/>
          <w:szCs w:val="24"/>
        </w:rPr>
        <w:t xml:space="preserve">. Pretējā gadījumā piešķirtais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alsts var tikt uzskatīts par nelikumīgu un </w:t>
      </w:r>
      <w:r w:rsidR="00437874" w:rsidRPr="0082362E">
        <w:rPr>
          <w:rFonts w:ascii="Times New Roman" w:eastAsia="Times New Roman" w:hAnsi="Times New Roman" w:cs="Times New Roman"/>
          <w:bCs/>
          <w:sz w:val="24"/>
          <w:szCs w:val="24"/>
        </w:rPr>
        <w:t xml:space="preserve">neatbilstošu nosacījumiem par komercdarbības atbalsta saderību ar </w:t>
      </w:r>
      <w:r w:rsidR="00F94696" w:rsidRPr="0082362E">
        <w:rPr>
          <w:rFonts w:ascii="Times New Roman" w:eastAsia="Times New Roman" w:hAnsi="Times New Roman" w:cs="Times New Roman"/>
          <w:sz w:val="24"/>
          <w:szCs w:val="24"/>
          <w:lang w:eastAsia="ru-RU"/>
        </w:rPr>
        <w:t>ES</w:t>
      </w:r>
      <w:r w:rsidR="00437874" w:rsidRPr="0082362E">
        <w:rPr>
          <w:rFonts w:ascii="Times New Roman" w:eastAsia="Times New Roman" w:hAnsi="Times New Roman" w:cs="Times New Roman"/>
          <w:sz w:val="24"/>
          <w:szCs w:val="24"/>
          <w:lang w:eastAsia="ru-RU"/>
        </w:rPr>
        <w:t xml:space="preserve"> iekšējo tirgu</w:t>
      </w:r>
      <w:r w:rsidR="009F6C5C" w:rsidRPr="0082362E">
        <w:rPr>
          <w:rFonts w:ascii="Times New Roman" w:eastAsia="Times New Roman" w:hAnsi="Times New Roman" w:cs="Times New Roman"/>
          <w:sz w:val="24"/>
          <w:szCs w:val="24"/>
          <w:lang w:eastAsia="ru-RU"/>
        </w:rPr>
        <w:t xml:space="preserve"> (nesaderīgu)</w:t>
      </w:r>
      <w:r w:rsidRPr="0082362E">
        <w:rPr>
          <w:rFonts w:ascii="Times New Roman" w:hAnsi="Times New Roman" w:cs="Times New Roman"/>
          <w:sz w:val="24"/>
          <w:szCs w:val="24"/>
        </w:rPr>
        <w:t>.</w:t>
      </w:r>
    </w:p>
    <w:p w14:paraId="65A19109" w14:textId="77777777" w:rsidR="00D50B89" w:rsidRPr="0082362E" w:rsidRDefault="00D50B89" w:rsidP="00444DFF">
      <w:pPr>
        <w:ind w:firstLine="567"/>
        <w:rPr>
          <w:rFonts w:ascii="Times New Roman" w:hAnsi="Times New Roman" w:cs="Times New Roman"/>
          <w:b/>
          <w:sz w:val="24"/>
          <w:szCs w:val="24"/>
        </w:rPr>
      </w:pPr>
    </w:p>
    <w:p w14:paraId="1564A115" w14:textId="77777777" w:rsidR="00D36866" w:rsidRDefault="00D36866">
      <w:pPr>
        <w:rPr>
          <w:rFonts w:ascii="Times New Roman" w:eastAsia="Times New Roman" w:hAnsi="Times New Roman" w:cs="Times New Roman"/>
          <w:b/>
          <w:bCs/>
          <w:sz w:val="24"/>
          <w:szCs w:val="24"/>
        </w:rPr>
      </w:pPr>
      <w:r>
        <w:rPr>
          <w:rFonts w:eastAsia="Times New Roman"/>
          <w:b/>
          <w:bCs/>
          <w:sz w:val="24"/>
          <w:szCs w:val="24"/>
        </w:rPr>
        <w:br w:type="page"/>
      </w:r>
    </w:p>
    <w:p w14:paraId="0245E85B" w14:textId="1353EAD5" w:rsidR="00D50B89" w:rsidRPr="0082362E" w:rsidRDefault="00A253BE" w:rsidP="00444DFF">
      <w:pPr>
        <w:pStyle w:val="ListParagraph"/>
        <w:numPr>
          <w:ilvl w:val="0"/>
          <w:numId w:val="9"/>
        </w:numPr>
        <w:ind w:left="284" w:hanging="284"/>
        <w:rPr>
          <w:b/>
          <w:color w:val="auto"/>
          <w:sz w:val="24"/>
          <w:szCs w:val="24"/>
        </w:rPr>
      </w:pPr>
      <w:r w:rsidRPr="0082362E">
        <w:rPr>
          <w:rFonts w:eastAsia="Times New Roman"/>
          <w:b/>
          <w:bCs/>
          <w:color w:val="auto"/>
          <w:sz w:val="24"/>
          <w:szCs w:val="24"/>
        </w:rPr>
        <w:t xml:space="preserve">Neatbilstoša nosacījumiem par komercdarbības atbalsta saderību ar </w:t>
      </w:r>
      <w:r w:rsidR="00F94696" w:rsidRPr="0082362E">
        <w:rPr>
          <w:rFonts w:eastAsia="Times New Roman"/>
          <w:b/>
          <w:color w:val="auto"/>
          <w:sz w:val="24"/>
          <w:szCs w:val="24"/>
          <w:lang w:eastAsia="ru-RU"/>
        </w:rPr>
        <w:t>ES</w:t>
      </w:r>
      <w:r w:rsidRPr="0082362E">
        <w:rPr>
          <w:rFonts w:eastAsia="Times New Roman"/>
          <w:b/>
          <w:color w:val="auto"/>
          <w:sz w:val="24"/>
          <w:szCs w:val="24"/>
          <w:lang w:eastAsia="ru-RU"/>
        </w:rPr>
        <w:t xml:space="preserve"> iekšējo tirgu</w:t>
      </w:r>
      <w:r w:rsidR="00DC01CB" w:rsidRPr="0082362E">
        <w:rPr>
          <w:b/>
          <w:color w:val="auto"/>
          <w:sz w:val="24"/>
          <w:szCs w:val="24"/>
        </w:rPr>
        <w:t xml:space="preserve"> </w:t>
      </w:r>
      <w:r w:rsidR="009F6C5C" w:rsidRPr="0082362E">
        <w:rPr>
          <w:b/>
          <w:color w:val="auto"/>
          <w:sz w:val="24"/>
          <w:szCs w:val="24"/>
        </w:rPr>
        <w:t xml:space="preserve">(nesaderīga) </w:t>
      </w:r>
      <w:r w:rsidR="00DC01CB" w:rsidRPr="0082362E">
        <w:rPr>
          <w:b/>
          <w:color w:val="auto"/>
          <w:sz w:val="24"/>
          <w:szCs w:val="24"/>
        </w:rPr>
        <w:t xml:space="preserve">un/vai nelikumīga atbalsta būtība </w:t>
      </w:r>
    </w:p>
    <w:p w14:paraId="4EEF959E" w14:textId="77777777" w:rsidR="00D50B89" w:rsidRPr="0082362E" w:rsidRDefault="00D50B89" w:rsidP="00444DFF">
      <w:pPr>
        <w:ind w:left="567"/>
        <w:rPr>
          <w:rFonts w:ascii="Times New Roman" w:hAnsi="Times New Roman" w:cs="Times New Roman"/>
          <w:sz w:val="24"/>
          <w:szCs w:val="24"/>
        </w:rPr>
      </w:pPr>
    </w:p>
    <w:p w14:paraId="584BAED5" w14:textId="376E19BB" w:rsidR="00D50B89" w:rsidRPr="0082362E" w:rsidRDefault="00DC01CB" w:rsidP="00444DFF">
      <w:pPr>
        <w:rPr>
          <w:b/>
          <w:bCs/>
        </w:rPr>
      </w:pPr>
      <w:r w:rsidRPr="0082362E">
        <w:rPr>
          <w:rFonts w:ascii="Times New Roman" w:hAnsi="Times New Roman" w:cs="Times New Roman"/>
          <w:b/>
          <w:bCs/>
          <w:sz w:val="24"/>
          <w:szCs w:val="24"/>
        </w:rPr>
        <w:t xml:space="preserve">Lai </w:t>
      </w:r>
      <w:r w:rsidR="00D36866">
        <w:rPr>
          <w:rFonts w:ascii="Times New Roman" w:hAnsi="Times New Roman" w:cs="Times New Roman"/>
          <w:b/>
          <w:bCs/>
          <w:sz w:val="24"/>
          <w:szCs w:val="24"/>
        </w:rPr>
        <w:t>komercdarbības atb</w:t>
      </w:r>
      <w:r w:rsidRPr="0082362E">
        <w:rPr>
          <w:rFonts w:ascii="Times New Roman" w:hAnsi="Times New Roman" w:cs="Times New Roman"/>
          <w:b/>
          <w:bCs/>
          <w:sz w:val="24"/>
          <w:szCs w:val="24"/>
        </w:rPr>
        <w:t>alstu uzskatītu par likumīgu un saderīgu ar ES iekšējo tirgu, to var ieviest divos veidos:</w:t>
      </w:r>
    </w:p>
    <w:p w14:paraId="6A7F0974" w14:textId="6A2C3F93" w:rsidR="00D50B89" w:rsidRPr="0082362E" w:rsidRDefault="00DC01CB" w:rsidP="00444DFF">
      <w:pPr>
        <w:pStyle w:val="CM1"/>
        <w:numPr>
          <w:ilvl w:val="0"/>
          <w:numId w:val="5"/>
        </w:numPr>
        <w:tabs>
          <w:tab w:val="left" w:pos="851"/>
        </w:tabs>
        <w:ind w:left="0" w:firstLine="567"/>
        <w:rPr>
          <w:rFonts w:ascii="Times New Roman" w:hAnsi="Times New Roman"/>
        </w:rPr>
      </w:pPr>
      <w:r w:rsidRPr="0082362E">
        <w:rPr>
          <w:rFonts w:ascii="Times New Roman" w:hAnsi="Times New Roman"/>
          <w:bCs/>
        </w:rPr>
        <w:t>Saskaņā ar LESD 108.pantu, par plānoto atbalsta pasākumu jāpaziņo Eiropas Komisijai (turpmāk – EK).</w:t>
      </w:r>
      <w:r w:rsidRPr="0082362E">
        <w:rPr>
          <w:rFonts w:ascii="Times New Roman" w:eastAsiaTheme="minorHAnsi" w:hAnsi="Times New Roman"/>
        </w:rPr>
        <w:t xml:space="preserve"> EK atbilstoši izstrādātai vērtēšanas metodikai</w:t>
      </w:r>
      <w:r w:rsidR="004D0B6C" w:rsidRPr="0082362E">
        <w:rPr>
          <w:rStyle w:val="FootnoteReference"/>
          <w:rFonts w:ascii="Times New Roman" w:eastAsiaTheme="minorHAnsi" w:hAnsi="Times New Roman"/>
        </w:rPr>
        <w:footnoteReference w:id="4"/>
      </w:r>
      <w:r w:rsidRPr="0082362E">
        <w:rPr>
          <w:rFonts w:ascii="Times New Roman" w:eastAsiaTheme="minorHAnsi" w:hAnsi="Times New Roman"/>
        </w:rPr>
        <w:t xml:space="preserve">, kas balstās uz EK vērtēšanas prakses pamatprincipiem, un kritērijiem, kas noteikti vadlīnijās, paziņojumos u.c. EK dokumentos, veic </w:t>
      </w:r>
      <w:r w:rsidR="00D36866">
        <w:rPr>
          <w:rFonts w:ascii="Times New Roman" w:eastAsiaTheme="minorHAnsi" w:hAnsi="Times New Roman"/>
        </w:rPr>
        <w:t>komercdarbības atb</w:t>
      </w:r>
      <w:r w:rsidR="002133C4">
        <w:rPr>
          <w:rFonts w:ascii="Times New Roman" w:eastAsiaTheme="minorHAnsi" w:hAnsi="Times New Roman"/>
        </w:rPr>
        <w:t>alst</w:t>
      </w:r>
      <w:r w:rsidRPr="0082362E">
        <w:rPr>
          <w:rFonts w:ascii="Times New Roman" w:eastAsiaTheme="minorHAnsi" w:hAnsi="Times New Roman"/>
        </w:rPr>
        <w:t>a saderības analīzi/izvērtējumu un pieņem lēmumu par</w:t>
      </w:r>
      <w:r w:rsidR="002133C4">
        <w:rPr>
          <w:rFonts w:ascii="Times New Roman" w:eastAsiaTheme="minorHAnsi" w:hAnsi="Times New Roman"/>
        </w:rPr>
        <w:t xml:space="preserve"> </w:t>
      </w:r>
      <w:r w:rsidR="00D36866">
        <w:rPr>
          <w:rFonts w:ascii="Times New Roman" w:eastAsiaTheme="minorHAnsi" w:hAnsi="Times New Roman"/>
        </w:rPr>
        <w:t>komercdarbības atb</w:t>
      </w:r>
      <w:r w:rsidRPr="0082362E">
        <w:rPr>
          <w:rFonts w:ascii="Times New Roman" w:eastAsiaTheme="minorHAnsi" w:hAnsi="Times New Roman"/>
        </w:rPr>
        <w:t>alsta saderību ar ES iekšējo tirgu.</w:t>
      </w:r>
    </w:p>
    <w:p w14:paraId="120ABB12" w14:textId="56D7CC42" w:rsidR="00D50B89" w:rsidRPr="0082362E" w:rsidRDefault="00DC01CB" w:rsidP="0082362E">
      <w:pPr>
        <w:pStyle w:val="ListParagraph"/>
        <w:numPr>
          <w:ilvl w:val="0"/>
          <w:numId w:val="5"/>
        </w:numPr>
        <w:tabs>
          <w:tab w:val="left" w:pos="851"/>
        </w:tabs>
        <w:ind w:left="0" w:firstLine="567"/>
        <w:rPr>
          <w:rFonts w:eastAsia="Times New Roman"/>
          <w:vanish/>
          <w:sz w:val="24"/>
          <w:szCs w:val="24"/>
        </w:rPr>
      </w:pPr>
      <w:r w:rsidRPr="0082362E">
        <w:rPr>
          <w:color w:val="auto"/>
          <w:sz w:val="24"/>
          <w:szCs w:val="24"/>
        </w:rPr>
        <w:t xml:space="preserve">EK ir definējusi dažādas atbalsta kategorijas, kas ir atbrīvotas no LESD 108.panta 3.punktā ietvertā paziņošanas pienākuma, ietverot konkrētus nosacījumus regulās </w:t>
      </w:r>
      <w:r w:rsidRPr="0082362E">
        <w:rPr>
          <w:bCs/>
          <w:color w:val="auto"/>
          <w:sz w:val="24"/>
          <w:szCs w:val="24"/>
        </w:rPr>
        <w:t>(“atbrīvojumu regulas”)</w:t>
      </w:r>
      <w:r w:rsidRPr="0082362E">
        <w:rPr>
          <w:rStyle w:val="Vresenkurs"/>
          <w:color w:val="auto"/>
          <w:sz w:val="24"/>
          <w:szCs w:val="24"/>
        </w:rPr>
        <w:footnoteReference w:id="5"/>
      </w:r>
      <w:r w:rsidRPr="0082362E">
        <w:rPr>
          <w:color w:val="auto"/>
          <w:sz w:val="24"/>
          <w:szCs w:val="24"/>
        </w:rPr>
        <w:t xml:space="preserve">. </w:t>
      </w:r>
      <w:r w:rsidRPr="0082362E">
        <w:rPr>
          <w:color w:val="auto"/>
          <w:sz w:val="24"/>
          <w:szCs w:val="24"/>
          <w:shd w:val="clear" w:color="auto" w:fill="FFFFFF"/>
        </w:rPr>
        <w:t xml:space="preserve">Attiecīgi, tātad, </w:t>
      </w:r>
      <w:r w:rsidRPr="0082362E">
        <w:rPr>
          <w:bCs/>
          <w:color w:val="auto"/>
          <w:sz w:val="24"/>
          <w:szCs w:val="24"/>
        </w:rPr>
        <w:t xml:space="preserve">otrs </w:t>
      </w:r>
      <w:r w:rsidR="00D36866">
        <w:rPr>
          <w:bCs/>
          <w:color w:val="auto"/>
          <w:sz w:val="24"/>
          <w:szCs w:val="24"/>
        </w:rPr>
        <w:t>komercdarbības atb</w:t>
      </w:r>
      <w:r w:rsidRPr="0082362E">
        <w:rPr>
          <w:bCs/>
          <w:color w:val="auto"/>
          <w:sz w:val="24"/>
          <w:szCs w:val="24"/>
        </w:rPr>
        <w:t xml:space="preserve">alsta ieviešanas veids ir, ievērojot šo EK </w:t>
      </w:r>
      <w:r w:rsidR="00D36866">
        <w:rPr>
          <w:bCs/>
          <w:color w:val="auto"/>
          <w:sz w:val="24"/>
          <w:szCs w:val="24"/>
        </w:rPr>
        <w:t>komercdarbības atb</w:t>
      </w:r>
      <w:r w:rsidRPr="0082362E">
        <w:rPr>
          <w:bCs/>
          <w:color w:val="auto"/>
          <w:sz w:val="24"/>
          <w:szCs w:val="24"/>
        </w:rPr>
        <w:t>alsta regulu nosacījumus, kurus a</w:t>
      </w:r>
      <w:r w:rsidRPr="0082362E">
        <w:rPr>
          <w:color w:val="auto"/>
          <w:sz w:val="24"/>
          <w:szCs w:val="24"/>
        </w:rPr>
        <w:t xml:space="preserve">tbalsta sniedzējs iekļauj izstrādātajā </w:t>
      </w:r>
      <w:r w:rsidR="00693056" w:rsidRPr="0082362E">
        <w:rPr>
          <w:color w:val="auto"/>
          <w:sz w:val="24"/>
          <w:szCs w:val="24"/>
        </w:rPr>
        <w:t xml:space="preserve">tiesību </w:t>
      </w:r>
      <w:r w:rsidRPr="0082362E">
        <w:rPr>
          <w:color w:val="auto"/>
          <w:sz w:val="24"/>
          <w:szCs w:val="24"/>
        </w:rPr>
        <w:t xml:space="preserve">aktā. </w:t>
      </w:r>
      <w:r w:rsidRPr="0082362E">
        <w:rPr>
          <w:color w:val="auto"/>
          <w:sz w:val="24"/>
          <w:szCs w:val="24"/>
          <w:shd w:val="clear" w:color="auto" w:fill="FFFFFF"/>
        </w:rPr>
        <w:t xml:space="preserve">Piemēram, </w:t>
      </w:r>
      <w:r w:rsidRPr="0082362E">
        <w:rPr>
          <w:color w:val="auto"/>
          <w:sz w:val="24"/>
          <w:szCs w:val="24"/>
        </w:rPr>
        <w:t>Komisijas regulā Nr.651/2014 ir minēts</w:t>
      </w:r>
      <w:r w:rsidRPr="0082362E">
        <w:rPr>
          <w:rStyle w:val="Vresenkurs"/>
          <w:color w:val="auto"/>
          <w:sz w:val="24"/>
          <w:szCs w:val="24"/>
        </w:rPr>
        <w:footnoteReference w:id="6"/>
      </w:r>
      <w:r w:rsidRPr="0082362E">
        <w:rPr>
          <w:color w:val="auto"/>
          <w:sz w:val="24"/>
          <w:szCs w:val="24"/>
        </w:rPr>
        <w:t>, ka atbalsta shēmas, atbalsta shēmu ietvaros piešķirts individuālais atbalsts un </w:t>
      </w:r>
      <w:r w:rsidRPr="0082362E">
        <w:rPr>
          <w:rStyle w:val="italic"/>
          <w:i/>
          <w:iCs/>
          <w:color w:val="auto"/>
          <w:sz w:val="24"/>
          <w:szCs w:val="24"/>
        </w:rPr>
        <w:t>ad hoc</w:t>
      </w:r>
      <w:r w:rsidRPr="0082362E">
        <w:rPr>
          <w:color w:val="auto"/>
          <w:sz w:val="24"/>
          <w:szCs w:val="24"/>
        </w:rPr>
        <w:t> atbalsts ir saderīgi ar iekšējo tirgu LESD 107.panta 2. vai 3.punkta nozīmē un ir atbrīvoti no L</w:t>
      </w:r>
      <w:r w:rsidR="00F94696" w:rsidRPr="0082362E">
        <w:rPr>
          <w:color w:val="auto"/>
          <w:sz w:val="24"/>
          <w:szCs w:val="24"/>
        </w:rPr>
        <w:t>ESD</w:t>
      </w:r>
      <w:r w:rsidRPr="0082362E">
        <w:rPr>
          <w:color w:val="auto"/>
          <w:sz w:val="24"/>
          <w:szCs w:val="24"/>
        </w:rPr>
        <w:t xml:space="preserve"> 108.panta 3.punktā noteiktās paziņošanas prasības, ja minētais atbalsts atbilst visiem šīs regulas attiecīgajai atbalsta kategorijai noteiktajiem vispārīgajiem un īpašajiem nosacījumiem attiecīgajās nodaļās paredzētajiem nosacījumiem. Proti, </w:t>
      </w:r>
      <w:r w:rsidR="00D36866">
        <w:rPr>
          <w:color w:val="auto"/>
          <w:sz w:val="24"/>
          <w:szCs w:val="24"/>
        </w:rPr>
        <w:t>komercdarbības atb</w:t>
      </w:r>
      <w:r w:rsidRPr="0082362E">
        <w:rPr>
          <w:color w:val="auto"/>
          <w:sz w:val="24"/>
          <w:szCs w:val="24"/>
          <w:shd w:val="clear" w:color="auto" w:fill="FFFFFF"/>
        </w:rPr>
        <w:t xml:space="preserve">alsts gan atbalsta shēmu ietvaros, gan katrs </w:t>
      </w:r>
      <w:r w:rsidRPr="0082362E">
        <w:rPr>
          <w:i/>
          <w:iCs/>
          <w:color w:val="auto"/>
          <w:sz w:val="24"/>
          <w:szCs w:val="24"/>
          <w:shd w:val="clear" w:color="auto" w:fill="FFFFFF"/>
        </w:rPr>
        <w:t>ad hoc</w:t>
      </w:r>
      <w:r w:rsidRPr="0082362E">
        <w:rPr>
          <w:color w:val="auto"/>
          <w:sz w:val="24"/>
          <w:szCs w:val="24"/>
          <w:shd w:val="clear" w:color="auto" w:fill="FFFFFF"/>
        </w:rPr>
        <w:t xml:space="preserve"> atbalsts, kas atbilst visiem konkrētās regulas nosacījumiem, kā arī </w:t>
      </w:r>
      <w:r w:rsidR="00E41F45" w:rsidRPr="0082362E">
        <w:rPr>
          <w:color w:val="auto"/>
          <w:sz w:val="24"/>
          <w:szCs w:val="24"/>
          <w:shd w:val="clear" w:color="auto" w:fill="FFFFFF"/>
        </w:rPr>
        <w:t xml:space="preserve">ja </w:t>
      </w:r>
      <w:r w:rsidRPr="0082362E">
        <w:rPr>
          <w:color w:val="auto"/>
          <w:sz w:val="24"/>
          <w:szCs w:val="24"/>
          <w:shd w:val="clear" w:color="auto" w:fill="FFFFFF"/>
        </w:rPr>
        <w:t xml:space="preserve">attiecīgajā shēmā vai </w:t>
      </w:r>
      <w:r w:rsidRPr="0082362E">
        <w:rPr>
          <w:i/>
          <w:iCs/>
          <w:color w:val="auto"/>
          <w:sz w:val="24"/>
          <w:szCs w:val="24"/>
          <w:shd w:val="clear" w:color="auto" w:fill="FFFFFF"/>
        </w:rPr>
        <w:t>ad hoc</w:t>
      </w:r>
      <w:r w:rsidRPr="0082362E">
        <w:rPr>
          <w:color w:val="auto"/>
          <w:sz w:val="24"/>
          <w:szCs w:val="24"/>
          <w:shd w:val="clear" w:color="auto" w:fill="FFFFFF"/>
        </w:rPr>
        <w:t xml:space="preserve"> piešķiršanas </w:t>
      </w:r>
      <w:r w:rsidR="002E2114" w:rsidRPr="0082362E">
        <w:rPr>
          <w:color w:val="auto"/>
          <w:sz w:val="24"/>
          <w:szCs w:val="24"/>
          <w:shd w:val="clear" w:color="auto" w:fill="FFFFFF"/>
        </w:rPr>
        <w:t xml:space="preserve">dokumentā (piemēram, lēmumā) </w:t>
      </w:r>
      <w:r w:rsidRPr="0082362E">
        <w:rPr>
          <w:color w:val="auto"/>
          <w:sz w:val="24"/>
          <w:szCs w:val="24"/>
          <w:shd w:val="clear" w:color="auto" w:fill="FFFFFF"/>
        </w:rPr>
        <w:t xml:space="preserve">ir tieša atsauce uz konkrēto regulu, ir kvalificējams kā likumīgs un tiek ievēroti regulā minētie saderības ar </w:t>
      </w:r>
      <w:r w:rsidR="00F94696" w:rsidRPr="0082362E">
        <w:rPr>
          <w:color w:val="auto"/>
          <w:sz w:val="24"/>
          <w:szCs w:val="24"/>
          <w:shd w:val="clear" w:color="auto" w:fill="FFFFFF"/>
        </w:rPr>
        <w:t>ES</w:t>
      </w:r>
      <w:r w:rsidRPr="0082362E">
        <w:rPr>
          <w:color w:val="auto"/>
          <w:sz w:val="24"/>
          <w:szCs w:val="24"/>
          <w:shd w:val="clear" w:color="auto" w:fill="FFFFFF"/>
        </w:rPr>
        <w:t xml:space="preserve"> kopējo tirgu LESD 107.panta 3.punkta nozīmē nosacījumi</w:t>
      </w:r>
      <w:r w:rsidR="00693056" w:rsidRPr="0082362E">
        <w:rPr>
          <w:color w:val="auto"/>
          <w:sz w:val="24"/>
          <w:szCs w:val="24"/>
          <w:shd w:val="clear" w:color="auto" w:fill="FFFFFF"/>
        </w:rPr>
        <w:t>,</w:t>
      </w:r>
      <w:r w:rsidRPr="0082362E">
        <w:rPr>
          <w:color w:val="auto"/>
          <w:sz w:val="24"/>
          <w:szCs w:val="24"/>
          <w:shd w:val="clear" w:color="auto" w:fill="FFFFFF"/>
        </w:rPr>
        <w:t xml:space="preserve"> un attiecīgi ir atbrīvots no LESD 108.panta 3.punktā paredzētās paziņošanas prasības.</w:t>
      </w:r>
    </w:p>
    <w:p w14:paraId="40B76A38" w14:textId="77777777" w:rsidR="00D50B89" w:rsidRPr="0082362E" w:rsidRDefault="00D50B89" w:rsidP="00444DFF">
      <w:pPr>
        <w:pStyle w:val="ListParagraph"/>
        <w:ind w:left="0" w:firstLine="567"/>
        <w:rPr>
          <w:color w:val="auto"/>
          <w:sz w:val="24"/>
          <w:szCs w:val="24"/>
        </w:rPr>
      </w:pPr>
    </w:p>
    <w:p w14:paraId="5772C786" w14:textId="2FC3E2CF" w:rsidR="00D50B89" w:rsidRPr="0082362E" w:rsidRDefault="00DC01CB" w:rsidP="00444DFF">
      <w:pPr>
        <w:pStyle w:val="ListParagraph"/>
        <w:ind w:left="0" w:firstLine="567"/>
        <w:rPr>
          <w:color w:val="auto"/>
          <w:sz w:val="24"/>
          <w:szCs w:val="24"/>
          <w:u w:val="single"/>
        </w:rPr>
      </w:pPr>
      <w:r w:rsidRPr="0082362E">
        <w:rPr>
          <w:color w:val="auto"/>
          <w:sz w:val="24"/>
          <w:szCs w:val="24"/>
        </w:rPr>
        <w:t>LESD 108.panta 3.punktā noteikts, ka “</w:t>
      </w:r>
      <w:r w:rsidRPr="0082362E">
        <w:rPr>
          <w:i/>
          <w:iCs/>
          <w:color w:val="auto"/>
          <w:sz w:val="24"/>
          <w:szCs w:val="24"/>
        </w:rPr>
        <w:t>visi plāni piešķirt vai mainīt atbalstu ir jādara zināmi Komisijai laikus, lai Komisija varētu iesniegt savas piezīmes. Ja Komisija atzīst, ka, ievērojot 107.pantu, šādi plāni nav saderīgi ar iekšējo tirgu, tā nevilcinoties sāk LESD 108.panta 2.punktā paredzēto procedūru. Attiecīgā dalībvalsts nesāk īstenot pašas ierosinātos pasākumus, kamēr šī procedūra nav beigusies ar galīgo lēmumu</w:t>
      </w:r>
      <w:r w:rsidRPr="0082362E">
        <w:rPr>
          <w:color w:val="auto"/>
          <w:sz w:val="24"/>
          <w:szCs w:val="24"/>
        </w:rPr>
        <w:t>”, savukārt Procedūras regulas</w:t>
      </w:r>
      <w:r w:rsidRPr="0082362E">
        <w:rPr>
          <w:rStyle w:val="Vresenkurs"/>
          <w:color w:val="auto"/>
          <w:sz w:val="24"/>
          <w:szCs w:val="24"/>
        </w:rPr>
        <w:footnoteReference w:id="7"/>
      </w:r>
      <w:r w:rsidRPr="0082362E">
        <w:rPr>
          <w:color w:val="auto"/>
          <w:sz w:val="24"/>
          <w:szCs w:val="24"/>
        </w:rPr>
        <w:t xml:space="preserve"> 1.panta f) apakšpunktā ir sniegta nelikumīga atbalsta definīcija, proti, “</w:t>
      </w:r>
      <w:r w:rsidRPr="0082362E">
        <w:rPr>
          <w:i/>
          <w:color w:val="auto"/>
          <w:sz w:val="24"/>
          <w:szCs w:val="24"/>
        </w:rPr>
        <w:t>nelikumīgs atbalsts ir jauns atbalsts, kas ieviests, pārkāpjot LESD 108.panta 3.punktu</w:t>
      </w:r>
      <w:r w:rsidRPr="0082362E">
        <w:rPr>
          <w:color w:val="auto"/>
          <w:sz w:val="24"/>
          <w:szCs w:val="24"/>
        </w:rPr>
        <w:t xml:space="preserve">.” Tas nozīmē, ka </w:t>
      </w:r>
      <w:r w:rsidRPr="0082362E">
        <w:rPr>
          <w:b/>
          <w:color w:val="auto"/>
          <w:sz w:val="24"/>
          <w:szCs w:val="24"/>
          <w:u w:val="single"/>
        </w:rPr>
        <w:t>nelikumīgs atbalsts</w:t>
      </w:r>
      <w:r w:rsidRPr="0082362E">
        <w:rPr>
          <w:color w:val="auto"/>
          <w:sz w:val="24"/>
          <w:szCs w:val="24"/>
          <w:u w:val="single"/>
        </w:rPr>
        <w:t xml:space="preserve"> ir tāds </w:t>
      </w:r>
      <w:r w:rsidR="00D36866">
        <w:rPr>
          <w:color w:val="auto"/>
          <w:sz w:val="24"/>
          <w:szCs w:val="24"/>
          <w:u w:val="single"/>
        </w:rPr>
        <w:t>komercdarbības atb</w:t>
      </w:r>
      <w:r w:rsidRPr="0082362E">
        <w:rPr>
          <w:color w:val="auto"/>
          <w:sz w:val="24"/>
          <w:szCs w:val="24"/>
          <w:u w:val="single"/>
        </w:rPr>
        <w:t xml:space="preserve">alsts, kas ir piešķirts, pārkāpjot un/vai neievērojot noteiktas </w:t>
      </w:r>
      <w:r w:rsidR="009E6C2A" w:rsidRPr="0082362E">
        <w:rPr>
          <w:color w:val="auto"/>
          <w:sz w:val="24"/>
          <w:szCs w:val="24"/>
          <w:u w:val="single"/>
        </w:rPr>
        <w:t xml:space="preserve">paziņošanas </w:t>
      </w:r>
      <w:r w:rsidRPr="0082362E">
        <w:rPr>
          <w:color w:val="auto"/>
          <w:sz w:val="24"/>
          <w:szCs w:val="24"/>
          <w:u w:val="single"/>
        </w:rPr>
        <w:t>procedūras.</w:t>
      </w:r>
    </w:p>
    <w:p w14:paraId="695D5012" w14:textId="77777777" w:rsidR="00D50B89" w:rsidRPr="0082362E" w:rsidRDefault="00D50B89" w:rsidP="00444DFF">
      <w:pPr>
        <w:ind w:firstLine="720"/>
        <w:rPr>
          <w:rFonts w:ascii="Times New Roman" w:hAnsi="Times New Roman" w:cs="Times New Roman"/>
          <w:sz w:val="24"/>
          <w:szCs w:val="24"/>
        </w:rPr>
      </w:pPr>
    </w:p>
    <w:p w14:paraId="3BD5AE10" w14:textId="375A81DA" w:rsidR="00D50B89" w:rsidRPr="0082362E" w:rsidRDefault="00DC01CB" w:rsidP="00444DFF">
      <w:pPr>
        <w:pStyle w:val="Default"/>
        <w:ind w:firstLine="567"/>
      </w:pPr>
      <w:r w:rsidRPr="0082362E">
        <w:t xml:space="preserve">Parasti nelikumīga </w:t>
      </w:r>
      <w:r w:rsidR="00D36866">
        <w:t>komercdarbības atb</w:t>
      </w:r>
      <w:r w:rsidR="00811859">
        <w:t>alst</w:t>
      </w:r>
      <w:r w:rsidRPr="0082362E">
        <w:t xml:space="preserve">a lieta tiek ierosināta: </w:t>
      </w:r>
    </w:p>
    <w:p w14:paraId="0F836864" w14:textId="016C815F" w:rsidR="00D50B89" w:rsidRPr="0082362E" w:rsidRDefault="00DC01CB" w:rsidP="00444DFF">
      <w:pPr>
        <w:pStyle w:val="Default"/>
        <w:ind w:firstLine="567"/>
      </w:pPr>
      <w:r w:rsidRPr="0082362E">
        <w:t xml:space="preserve">1) pamatojoties uz konkurentu iesniegtu sūdzību EK; </w:t>
      </w:r>
    </w:p>
    <w:p w14:paraId="3F48903B" w14:textId="769F7443" w:rsidR="00D50B89" w:rsidRPr="0082362E" w:rsidRDefault="00DC01CB" w:rsidP="00444DFF">
      <w:pPr>
        <w:pStyle w:val="Default"/>
        <w:ind w:firstLine="567"/>
      </w:pPr>
      <w:r w:rsidRPr="0082362E">
        <w:t xml:space="preserve">2) par paziņotām atbalsta lietām, kuras jākvalificē kā nelikumīgs </w:t>
      </w:r>
      <w:r w:rsidR="00D36866">
        <w:t>komercdarbības atb</w:t>
      </w:r>
      <w:r w:rsidR="00811859">
        <w:t>alst</w:t>
      </w:r>
      <w:r w:rsidRPr="0082362E">
        <w:t>s, jo atbalsta pasākums jau ir ieviests pirms EK lēmuma saņemšanas (nav ievērots pasākuma neuzsākšanas pirms EK lēmuma pieņemšanas princips (</w:t>
      </w:r>
      <w:r w:rsidRPr="0082362E">
        <w:rPr>
          <w:i/>
          <w:iCs/>
        </w:rPr>
        <w:t>stand-still</w:t>
      </w:r>
      <w:r w:rsidRPr="0082362E">
        <w:t xml:space="preserve">)). Šāds </w:t>
      </w:r>
      <w:r w:rsidR="00D36866">
        <w:t>komercdarbības atb</w:t>
      </w:r>
      <w:r w:rsidRPr="0082362E">
        <w:t xml:space="preserve">alsts ir nelikumīgs, bet ne vienmēr tas ir </w:t>
      </w:r>
      <w:r w:rsidR="00A253BE" w:rsidRPr="0082362E">
        <w:rPr>
          <w:rFonts w:eastAsia="Times New Roman"/>
          <w:bCs/>
        </w:rPr>
        <w:t xml:space="preserve">neatbilstošs nosacījumiem par komercdarbības atbalsta saderību ar </w:t>
      </w:r>
      <w:r w:rsidR="00E41F45" w:rsidRPr="0082362E">
        <w:rPr>
          <w:rFonts w:eastAsia="Times New Roman"/>
          <w:lang w:eastAsia="ru-RU"/>
        </w:rPr>
        <w:t>ES</w:t>
      </w:r>
      <w:r w:rsidR="00A253BE" w:rsidRPr="0082362E">
        <w:rPr>
          <w:rFonts w:eastAsia="Times New Roman"/>
          <w:lang w:eastAsia="ru-RU"/>
        </w:rPr>
        <w:t xml:space="preserve"> iekšējo tirgu</w:t>
      </w:r>
      <w:r w:rsidRPr="0082362E">
        <w:t xml:space="preserve">; </w:t>
      </w:r>
    </w:p>
    <w:p w14:paraId="5DD20159" w14:textId="77777777" w:rsidR="00D50B89" w:rsidRPr="0082362E" w:rsidRDefault="00DC01CB" w:rsidP="00444DFF">
      <w:pPr>
        <w:pStyle w:val="Default"/>
        <w:ind w:firstLine="567"/>
      </w:pPr>
      <w:r w:rsidRPr="0082362E">
        <w:t xml:space="preserve">3) pēc EK iniciatīvas atbilstoši Procedūras regulas 12.pantam. </w:t>
      </w:r>
    </w:p>
    <w:p w14:paraId="5C8A8BF9" w14:textId="77777777" w:rsidR="00D50B89" w:rsidRPr="0082362E" w:rsidRDefault="00D50B89" w:rsidP="00444DFF">
      <w:pPr>
        <w:ind w:firstLine="720"/>
        <w:rPr>
          <w:rFonts w:ascii="Times New Roman" w:hAnsi="Times New Roman" w:cs="Times New Roman"/>
          <w:sz w:val="24"/>
          <w:szCs w:val="24"/>
        </w:rPr>
      </w:pPr>
    </w:p>
    <w:p w14:paraId="4A28A4BA" w14:textId="7A25B6FF" w:rsidR="00D50B89" w:rsidRPr="0082362E" w:rsidRDefault="00D36866" w:rsidP="00444DFF">
      <w:pPr>
        <w:ind w:firstLine="720"/>
        <w:rPr>
          <w:rFonts w:ascii="Times New Roman" w:hAnsi="Times New Roman" w:cs="Times New Roman"/>
          <w:sz w:val="24"/>
          <w:szCs w:val="24"/>
        </w:rPr>
      </w:pPr>
      <w:r>
        <w:rPr>
          <w:rFonts w:ascii="Times New Roman" w:hAnsi="Times New Roman" w:cs="Times New Roman"/>
          <w:sz w:val="24"/>
          <w:szCs w:val="24"/>
        </w:rPr>
        <w:t>Komercdarbības atb</w:t>
      </w:r>
      <w:r w:rsidR="00811859">
        <w:rPr>
          <w:rFonts w:ascii="Times New Roman" w:hAnsi="Times New Roman" w:cs="Times New Roman"/>
          <w:sz w:val="24"/>
          <w:szCs w:val="24"/>
        </w:rPr>
        <w:t>alst</w:t>
      </w:r>
      <w:r w:rsidR="00DC01CB" w:rsidRPr="0082362E">
        <w:rPr>
          <w:rFonts w:ascii="Times New Roman" w:hAnsi="Times New Roman" w:cs="Times New Roman"/>
          <w:sz w:val="24"/>
          <w:szCs w:val="24"/>
        </w:rPr>
        <w:t xml:space="preserve">a nelikumīgums ir attiecināms tikai uz procesuālām nepilnībām (nepaziņots atbalsts). Līdz ar to, kā minēts iepriekš, tas, ka </w:t>
      </w:r>
      <w:r>
        <w:rPr>
          <w:rFonts w:ascii="Times New Roman" w:hAnsi="Times New Roman" w:cs="Times New Roman"/>
          <w:sz w:val="24"/>
          <w:szCs w:val="24"/>
        </w:rPr>
        <w:t>komercdarbības atb</w:t>
      </w:r>
      <w:r w:rsidR="00811859">
        <w:rPr>
          <w:rFonts w:ascii="Times New Roman" w:hAnsi="Times New Roman" w:cs="Times New Roman"/>
          <w:sz w:val="24"/>
          <w:szCs w:val="24"/>
        </w:rPr>
        <w:t>alst</w:t>
      </w:r>
      <w:r w:rsidR="00DC01CB" w:rsidRPr="0082362E">
        <w:rPr>
          <w:rFonts w:ascii="Times New Roman" w:hAnsi="Times New Roman" w:cs="Times New Roman"/>
          <w:sz w:val="24"/>
          <w:szCs w:val="24"/>
        </w:rPr>
        <w:t xml:space="preserve">s ir nelikumīgs, ne vienmēr nozīmē, ka tas ir arī </w:t>
      </w:r>
      <w:r w:rsidR="00A253BE" w:rsidRPr="0082362E">
        <w:rPr>
          <w:rFonts w:ascii="Times New Roman" w:eastAsia="Times New Roman" w:hAnsi="Times New Roman" w:cs="Times New Roman"/>
          <w:bCs/>
          <w:sz w:val="24"/>
          <w:szCs w:val="24"/>
        </w:rPr>
        <w:t xml:space="preserve">neatbilstošs nosacījumiem par komercdarbības atbalsta saderību ar </w:t>
      </w:r>
      <w:r w:rsidR="00F94696" w:rsidRPr="0082362E">
        <w:rPr>
          <w:rFonts w:ascii="Times New Roman" w:eastAsia="Times New Roman" w:hAnsi="Times New Roman" w:cs="Times New Roman"/>
          <w:sz w:val="24"/>
          <w:szCs w:val="24"/>
          <w:lang w:eastAsia="ru-RU"/>
        </w:rPr>
        <w:t>ES</w:t>
      </w:r>
      <w:r w:rsidR="00A253BE" w:rsidRPr="0082362E">
        <w:rPr>
          <w:rFonts w:ascii="Times New Roman" w:eastAsia="Times New Roman" w:hAnsi="Times New Roman" w:cs="Times New Roman"/>
          <w:sz w:val="24"/>
          <w:szCs w:val="24"/>
          <w:lang w:eastAsia="ru-RU"/>
        </w:rPr>
        <w:t xml:space="preserve"> iekšējo tirgu (</w:t>
      </w:r>
      <w:r w:rsidR="00DC01CB" w:rsidRPr="0082362E">
        <w:rPr>
          <w:rFonts w:ascii="Times New Roman" w:hAnsi="Times New Roman" w:cs="Times New Roman"/>
          <w:sz w:val="24"/>
          <w:szCs w:val="24"/>
        </w:rPr>
        <w:t>nesaderīgs</w:t>
      </w:r>
      <w:r w:rsidR="00A253BE" w:rsidRPr="0082362E">
        <w:rPr>
          <w:rFonts w:ascii="Times New Roman" w:hAnsi="Times New Roman" w:cs="Times New Roman"/>
          <w:sz w:val="24"/>
          <w:szCs w:val="24"/>
        </w:rPr>
        <w:t>)</w:t>
      </w:r>
      <w:r w:rsidR="00DC01CB" w:rsidRPr="0082362E">
        <w:rPr>
          <w:rFonts w:ascii="Times New Roman" w:hAnsi="Times New Roman" w:cs="Times New Roman"/>
          <w:sz w:val="24"/>
          <w:szCs w:val="24"/>
        </w:rPr>
        <w:t xml:space="preserve">, jo par </w:t>
      </w:r>
      <w:r>
        <w:rPr>
          <w:rFonts w:ascii="Times New Roman" w:hAnsi="Times New Roman" w:cs="Times New Roman"/>
          <w:sz w:val="24"/>
          <w:szCs w:val="24"/>
        </w:rPr>
        <w:t>komercdarbības atb</w:t>
      </w:r>
      <w:r w:rsidR="00811859">
        <w:rPr>
          <w:rFonts w:ascii="Times New Roman" w:hAnsi="Times New Roman" w:cs="Times New Roman"/>
          <w:sz w:val="24"/>
          <w:szCs w:val="24"/>
        </w:rPr>
        <w:t>alst</w:t>
      </w:r>
      <w:r w:rsidR="00DC01CB" w:rsidRPr="0082362E">
        <w:rPr>
          <w:rFonts w:ascii="Times New Roman" w:hAnsi="Times New Roman" w:cs="Times New Roman"/>
          <w:sz w:val="24"/>
          <w:szCs w:val="24"/>
        </w:rPr>
        <w:t xml:space="preserve">a saderību ar </w:t>
      </w:r>
      <w:r w:rsidR="00F94696" w:rsidRPr="0082362E">
        <w:rPr>
          <w:rFonts w:ascii="Times New Roman" w:hAnsi="Times New Roman" w:cs="Times New Roman"/>
          <w:sz w:val="24"/>
          <w:szCs w:val="24"/>
          <w:shd w:val="clear" w:color="auto" w:fill="FFFFFF"/>
        </w:rPr>
        <w:t>ES</w:t>
      </w:r>
      <w:r w:rsidR="00DC01CB" w:rsidRPr="0082362E">
        <w:rPr>
          <w:rFonts w:ascii="Times New Roman" w:hAnsi="Times New Roman" w:cs="Times New Roman"/>
          <w:sz w:val="24"/>
          <w:szCs w:val="24"/>
          <w:shd w:val="clear" w:color="auto" w:fill="FFFFFF"/>
        </w:rPr>
        <w:t xml:space="preserve"> kopējo tirgu LESD 107.panta 3.punkta nozīmē lemj </w:t>
      </w:r>
      <w:r w:rsidR="00E41F45" w:rsidRPr="0082362E">
        <w:rPr>
          <w:rFonts w:ascii="Times New Roman" w:hAnsi="Times New Roman" w:cs="Times New Roman"/>
          <w:sz w:val="24"/>
          <w:szCs w:val="24"/>
          <w:shd w:val="clear" w:color="auto" w:fill="FFFFFF"/>
        </w:rPr>
        <w:t>EK</w:t>
      </w:r>
      <w:r w:rsidR="00DC01CB" w:rsidRPr="0082362E">
        <w:rPr>
          <w:rFonts w:ascii="Times New Roman" w:hAnsi="Times New Roman" w:cs="Times New Roman"/>
          <w:sz w:val="24"/>
          <w:szCs w:val="24"/>
          <w:shd w:val="clear" w:color="auto" w:fill="FFFFFF"/>
        </w:rPr>
        <w:t>.</w:t>
      </w:r>
    </w:p>
    <w:p w14:paraId="1444422C" w14:textId="2819E7A1" w:rsidR="00D50B89" w:rsidRPr="0082362E" w:rsidRDefault="00DC01CB" w:rsidP="00444DFF">
      <w:pPr>
        <w:pStyle w:val="ListParagraph"/>
        <w:ind w:left="0" w:firstLine="567"/>
        <w:rPr>
          <w:color w:val="auto"/>
          <w:sz w:val="24"/>
          <w:szCs w:val="24"/>
          <w:shd w:val="clear" w:color="auto" w:fill="FFFFFF"/>
        </w:rPr>
      </w:pPr>
      <w:r w:rsidRPr="0082362E">
        <w:rPr>
          <w:color w:val="auto"/>
          <w:sz w:val="24"/>
          <w:szCs w:val="24"/>
        </w:rPr>
        <w:t>Savukārt</w:t>
      </w:r>
      <w:r w:rsidRPr="0082362E">
        <w:rPr>
          <w:color w:val="auto"/>
          <w:sz w:val="24"/>
          <w:szCs w:val="24"/>
          <w:shd w:val="clear" w:color="auto" w:fill="FFFFFF"/>
        </w:rPr>
        <w:t xml:space="preserve">, ja </w:t>
      </w:r>
      <w:r w:rsidR="00D36866">
        <w:rPr>
          <w:color w:val="auto"/>
          <w:sz w:val="24"/>
          <w:szCs w:val="24"/>
          <w:shd w:val="clear" w:color="auto" w:fill="FFFFFF"/>
        </w:rPr>
        <w:t>komercdarbības atb</w:t>
      </w:r>
      <w:r w:rsidR="00811859">
        <w:rPr>
          <w:color w:val="auto"/>
          <w:sz w:val="24"/>
          <w:szCs w:val="24"/>
          <w:shd w:val="clear" w:color="auto" w:fill="FFFFFF"/>
        </w:rPr>
        <w:t>alst</w:t>
      </w:r>
      <w:r w:rsidRPr="0082362E">
        <w:rPr>
          <w:color w:val="auto"/>
          <w:sz w:val="24"/>
          <w:szCs w:val="24"/>
          <w:shd w:val="clear" w:color="auto" w:fill="FFFFFF"/>
        </w:rPr>
        <w:t>s ir piešķirts, piemērojot kādu no iepriekšminētajām “atbrīvojuma regulām”, vienlaikus neizpildot visus nosacījumus atbrīvojuma saņemšanai atbilstoši šīm regulām, tād</w:t>
      </w:r>
      <w:r w:rsidR="001469CB">
        <w:rPr>
          <w:color w:val="auto"/>
          <w:sz w:val="24"/>
          <w:szCs w:val="24"/>
          <w:shd w:val="clear" w:color="auto" w:fill="FFFFFF"/>
        </w:rPr>
        <w:t>ē</w:t>
      </w:r>
      <w:r w:rsidRPr="0082362E">
        <w:rPr>
          <w:color w:val="auto"/>
          <w:sz w:val="24"/>
          <w:szCs w:val="24"/>
          <w:shd w:val="clear" w:color="auto" w:fill="FFFFFF"/>
        </w:rPr>
        <w:t xml:space="preserve">jādi </w:t>
      </w:r>
      <w:r w:rsidRPr="0082362E">
        <w:rPr>
          <w:color w:val="auto"/>
          <w:sz w:val="24"/>
          <w:szCs w:val="24"/>
          <w:u w:val="single"/>
          <w:shd w:val="clear" w:color="auto" w:fill="FFFFFF"/>
        </w:rPr>
        <w:t>neizpildot paziņošanas pienākumu,</w:t>
      </w:r>
      <w:r w:rsidRPr="0082362E">
        <w:rPr>
          <w:color w:val="auto"/>
          <w:sz w:val="24"/>
          <w:szCs w:val="24"/>
          <w:shd w:val="clear" w:color="auto" w:fill="FFFFFF"/>
        </w:rPr>
        <w:t xml:space="preserve"> </w:t>
      </w:r>
      <w:r w:rsidRPr="0082362E">
        <w:rPr>
          <w:color w:val="auto"/>
          <w:sz w:val="24"/>
          <w:szCs w:val="24"/>
          <w:u w:val="single"/>
          <w:shd w:val="clear" w:color="auto" w:fill="FFFFFF"/>
        </w:rPr>
        <w:t xml:space="preserve">sniegtais </w:t>
      </w:r>
      <w:r w:rsidR="00D36866">
        <w:rPr>
          <w:color w:val="auto"/>
          <w:sz w:val="24"/>
          <w:szCs w:val="24"/>
          <w:u w:val="single"/>
          <w:shd w:val="clear" w:color="auto" w:fill="FFFFFF"/>
        </w:rPr>
        <w:t>komercdarbības atb</w:t>
      </w:r>
      <w:r w:rsidRPr="0082362E">
        <w:rPr>
          <w:color w:val="auto"/>
          <w:sz w:val="24"/>
          <w:szCs w:val="24"/>
          <w:u w:val="single"/>
          <w:shd w:val="clear" w:color="auto" w:fill="FFFFFF"/>
        </w:rPr>
        <w:t xml:space="preserve">alsts atzīstams par </w:t>
      </w:r>
      <w:r w:rsidRPr="0082362E">
        <w:rPr>
          <w:b/>
          <w:color w:val="auto"/>
          <w:sz w:val="24"/>
          <w:szCs w:val="24"/>
          <w:u w:val="single"/>
          <w:shd w:val="clear" w:color="auto" w:fill="FFFFFF"/>
        </w:rPr>
        <w:t xml:space="preserve">nelikumīgu un </w:t>
      </w:r>
      <w:r w:rsidR="00A253BE" w:rsidRPr="0082362E">
        <w:rPr>
          <w:rFonts w:eastAsia="Times New Roman"/>
          <w:b/>
          <w:bCs/>
          <w:color w:val="auto"/>
          <w:sz w:val="24"/>
          <w:szCs w:val="24"/>
          <w:u w:val="single"/>
        </w:rPr>
        <w:t xml:space="preserve">neatbilstošu nosacījumiem par komercdarbības atbalsta saderību ar </w:t>
      </w:r>
      <w:r w:rsidR="00F94696" w:rsidRPr="0082362E">
        <w:rPr>
          <w:rFonts w:eastAsia="Times New Roman"/>
          <w:b/>
          <w:color w:val="auto"/>
          <w:sz w:val="24"/>
          <w:szCs w:val="24"/>
          <w:u w:val="single"/>
          <w:lang w:eastAsia="ru-RU"/>
        </w:rPr>
        <w:t>ES</w:t>
      </w:r>
      <w:r w:rsidR="00A253BE" w:rsidRPr="0082362E">
        <w:rPr>
          <w:rFonts w:eastAsia="Times New Roman"/>
          <w:b/>
          <w:color w:val="auto"/>
          <w:sz w:val="24"/>
          <w:szCs w:val="24"/>
          <w:u w:val="single"/>
          <w:lang w:eastAsia="ru-RU"/>
        </w:rPr>
        <w:t xml:space="preserve"> iekšējo tirgu</w:t>
      </w:r>
      <w:r w:rsidRPr="0082362E">
        <w:rPr>
          <w:b/>
          <w:color w:val="auto"/>
          <w:sz w:val="24"/>
          <w:szCs w:val="24"/>
          <w:u w:val="single"/>
          <w:shd w:val="clear" w:color="auto" w:fill="FFFFFF"/>
        </w:rPr>
        <w:t xml:space="preserve"> </w:t>
      </w:r>
      <w:r w:rsidR="00D36866">
        <w:rPr>
          <w:b/>
          <w:color w:val="auto"/>
          <w:sz w:val="24"/>
          <w:szCs w:val="24"/>
          <w:u w:val="single"/>
          <w:shd w:val="clear" w:color="auto" w:fill="FFFFFF"/>
        </w:rPr>
        <w:t>komercdarbības atb</w:t>
      </w:r>
      <w:r w:rsidR="00811859">
        <w:rPr>
          <w:b/>
          <w:color w:val="auto"/>
          <w:sz w:val="24"/>
          <w:szCs w:val="24"/>
          <w:u w:val="single"/>
          <w:shd w:val="clear" w:color="auto" w:fill="FFFFFF"/>
        </w:rPr>
        <w:t>alst</w:t>
      </w:r>
      <w:r w:rsidRPr="0082362E">
        <w:rPr>
          <w:b/>
          <w:color w:val="auto"/>
          <w:sz w:val="24"/>
          <w:szCs w:val="24"/>
          <w:u w:val="single"/>
          <w:shd w:val="clear" w:color="auto" w:fill="FFFFFF"/>
        </w:rPr>
        <w:t>u</w:t>
      </w:r>
      <w:r w:rsidRPr="0082362E">
        <w:rPr>
          <w:rStyle w:val="Vresenkurs"/>
          <w:b/>
          <w:color w:val="auto"/>
          <w:sz w:val="24"/>
          <w:szCs w:val="24"/>
          <w:u w:val="single"/>
          <w:shd w:val="clear" w:color="auto" w:fill="FFFFFF"/>
        </w:rPr>
        <w:footnoteReference w:id="8"/>
      </w:r>
      <w:r w:rsidRPr="0082362E">
        <w:rPr>
          <w:b/>
          <w:color w:val="auto"/>
          <w:sz w:val="24"/>
          <w:szCs w:val="24"/>
          <w:u w:val="single"/>
          <w:shd w:val="clear" w:color="auto" w:fill="FFFFFF"/>
        </w:rPr>
        <w:t xml:space="preserve"> </w:t>
      </w:r>
      <w:r w:rsidRPr="0082362E">
        <w:rPr>
          <w:color w:val="auto"/>
          <w:sz w:val="24"/>
          <w:szCs w:val="24"/>
        </w:rPr>
        <w:t>(skat. tabulu Nr.1)</w:t>
      </w:r>
      <w:r w:rsidRPr="0082362E">
        <w:rPr>
          <w:color w:val="auto"/>
          <w:sz w:val="24"/>
          <w:szCs w:val="24"/>
          <w:shd w:val="clear" w:color="auto" w:fill="FFFFFF"/>
        </w:rPr>
        <w:t>.</w:t>
      </w:r>
    </w:p>
    <w:p w14:paraId="3720F962" w14:textId="7261A560" w:rsidR="00E8151F" w:rsidRDefault="00E8151F" w:rsidP="00444DFF">
      <w:pPr>
        <w:pStyle w:val="ListParagraph"/>
        <w:ind w:left="0" w:firstLine="567"/>
        <w:rPr>
          <w:color w:val="auto"/>
          <w:sz w:val="24"/>
          <w:szCs w:val="24"/>
          <w:shd w:val="clear" w:color="auto" w:fill="FFFFFF"/>
        </w:rPr>
      </w:pPr>
    </w:p>
    <w:p w14:paraId="5DB0CDB7" w14:textId="6C842A1B" w:rsidR="00D50B89" w:rsidRPr="0082362E" w:rsidRDefault="00DC01CB" w:rsidP="00444DFF">
      <w:pPr>
        <w:jc w:val="right"/>
        <w:rPr>
          <w:rFonts w:ascii="Times New Roman" w:hAnsi="Times New Roman" w:cs="Times New Roman"/>
          <w:i/>
          <w:sz w:val="24"/>
          <w:szCs w:val="24"/>
        </w:rPr>
      </w:pPr>
      <w:r w:rsidRPr="0082362E">
        <w:rPr>
          <w:rFonts w:ascii="Times New Roman" w:hAnsi="Times New Roman" w:cs="Times New Roman"/>
          <w:i/>
          <w:sz w:val="24"/>
          <w:szCs w:val="24"/>
        </w:rPr>
        <w:t>Tabula Nr.1</w:t>
      </w:r>
    </w:p>
    <w:tbl>
      <w:tblPr>
        <w:tblStyle w:val="TableGrid"/>
        <w:tblW w:w="9639" w:type="dxa"/>
        <w:tblCellMar>
          <w:left w:w="0" w:type="dxa"/>
          <w:right w:w="0" w:type="dxa"/>
        </w:tblCellMar>
        <w:tblLook w:val="04A0" w:firstRow="1" w:lastRow="0" w:firstColumn="1" w:lastColumn="0" w:noHBand="0" w:noVBand="1"/>
      </w:tblPr>
      <w:tblGrid>
        <w:gridCol w:w="1261"/>
        <w:gridCol w:w="2567"/>
        <w:gridCol w:w="3118"/>
        <w:gridCol w:w="2693"/>
      </w:tblGrid>
      <w:tr w:rsidR="00D50B89" w:rsidRPr="0082362E" w14:paraId="21BE9B8E" w14:textId="77777777" w:rsidTr="00FD62BE">
        <w:tc>
          <w:tcPr>
            <w:tcW w:w="1261" w:type="dxa"/>
            <w:tcBorders>
              <w:top w:val="nil"/>
              <w:left w:val="nil"/>
              <w:bottom w:val="nil"/>
              <w:right w:val="nil"/>
            </w:tcBorders>
            <w:shd w:val="clear" w:color="auto" w:fill="auto"/>
          </w:tcPr>
          <w:p w14:paraId="62D0C83C" w14:textId="77777777" w:rsidR="00D50B89" w:rsidRPr="0082362E" w:rsidRDefault="00D50B89" w:rsidP="00444DFF">
            <w:pPr>
              <w:jc w:val="center"/>
              <w:rPr>
                <w:rFonts w:ascii="Times New Roman" w:hAnsi="Times New Roman" w:cs="Times New Roman"/>
                <w:b/>
                <w:sz w:val="24"/>
                <w:szCs w:val="24"/>
              </w:rPr>
            </w:pPr>
          </w:p>
        </w:tc>
        <w:tc>
          <w:tcPr>
            <w:tcW w:w="2567"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7E9E8F11" w14:textId="77777777" w:rsidR="00D50B89" w:rsidRPr="0082362E" w:rsidRDefault="00DC01CB" w:rsidP="00444DFF">
            <w:pPr>
              <w:jc w:val="center"/>
              <w:rPr>
                <w:rFonts w:ascii="Times New Roman" w:hAnsi="Times New Roman" w:cs="Times New Roman"/>
                <w:b/>
                <w:sz w:val="24"/>
                <w:szCs w:val="24"/>
              </w:rPr>
            </w:pPr>
            <w:r w:rsidRPr="0082362E">
              <w:rPr>
                <w:rFonts w:ascii="Times New Roman" w:hAnsi="Times New Roman" w:cs="Times New Roman"/>
                <w:b/>
                <w:sz w:val="24"/>
                <w:szCs w:val="24"/>
              </w:rPr>
              <w:t>Likumība</w:t>
            </w:r>
          </w:p>
        </w:tc>
        <w:tc>
          <w:tcPr>
            <w:tcW w:w="3118"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23E3873F" w14:textId="77777777" w:rsidR="00D50B89" w:rsidRPr="0082362E" w:rsidRDefault="00A253BE" w:rsidP="00F94696">
            <w:pPr>
              <w:jc w:val="center"/>
              <w:rPr>
                <w:rFonts w:ascii="Times New Roman" w:hAnsi="Times New Roman" w:cs="Times New Roman"/>
                <w:b/>
                <w:sz w:val="24"/>
                <w:szCs w:val="24"/>
              </w:rPr>
            </w:pPr>
            <w:r w:rsidRPr="0082362E">
              <w:rPr>
                <w:rFonts w:ascii="Times New Roman" w:eastAsia="Times New Roman" w:hAnsi="Times New Roman" w:cs="Times New Roman"/>
                <w:bCs/>
                <w:sz w:val="24"/>
                <w:szCs w:val="24"/>
              </w:rPr>
              <w:t xml:space="preserve">Atbilstība nosacījumiem par komercdarbības atbalsta saderību ar </w:t>
            </w:r>
            <w:r w:rsidR="00F94696" w:rsidRPr="0082362E">
              <w:rPr>
                <w:rFonts w:ascii="Times New Roman" w:eastAsia="Times New Roman" w:hAnsi="Times New Roman" w:cs="Times New Roman"/>
                <w:sz w:val="24"/>
                <w:szCs w:val="24"/>
                <w:lang w:eastAsia="ru-RU"/>
              </w:rPr>
              <w:t>ES</w:t>
            </w:r>
            <w:r w:rsidRPr="0082362E">
              <w:rPr>
                <w:rFonts w:ascii="Times New Roman" w:eastAsia="Times New Roman" w:hAnsi="Times New Roman" w:cs="Times New Roman"/>
                <w:sz w:val="24"/>
                <w:szCs w:val="24"/>
                <w:lang w:eastAsia="ru-RU"/>
              </w:rPr>
              <w:t xml:space="preserve"> iekšējo tirgu (</w:t>
            </w:r>
            <w:r w:rsidRPr="0082362E">
              <w:rPr>
                <w:rFonts w:ascii="Times New Roman" w:hAnsi="Times New Roman" w:cs="Times New Roman"/>
                <w:b/>
                <w:sz w:val="24"/>
                <w:szCs w:val="24"/>
              </w:rPr>
              <w:t>s</w:t>
            </w:r>
            <w:r w:rsidR="00DC01CB" w:rsidRPr="0082362E">
              <w:rPr>
                <w:rFonts w:ascii="Times New Roman" w:hAnsi="Times New Roman" w:cs="Times New Roman"/>
                <w:b/>
                <w:sz w:val="24"/>
                <w:szCs w:val="24"/>
              </w:rPr>
              <w:t>aderīgums</w:t>
            </w:r>
            <w:r w:rsidRPr="0082362E">
              <w:rPr>
                <w:rFonts w:ascii="Times New Roman" w:hAnsi="Times New Roman" w:cs="Times New Roman"/>
                <w:b/>
                <w:sz w:val="24"/>
                <w:szCs w:val="24"/>
              </w:rPr>
              <w:t>)</w:t>
            </w:r>
          </w:p>
        </w:tc>
        <w:tc>
          <w:tcPr>
            <w:tcW w:w="2693"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6AC85054" w14:textId="77777777" w:rsidR="00D50B89" w:rsidRPr="0082362E" w:rsidRDefault="00DC01CB" w:rsidP="00444DFF">
            <w:pPr>
              <w:jc w:val="center"/>
              <w:rPr>
                <w:rFonts w:ascii="Times New Roman" w:hAnsi="Times New Roman" w:cs="Times New Roman"/>
                <w:b/>
                <w:sz w:val="24"/>
                <w:szCs w:val="24"/>
              </w:rPr>
            </w:pPr>
            <w:r w:rsidRPr="0082362E">
              <w:rPr>
                <w:rFonts w:ascii="Times New Roman" w:hAnsi="Times New Roman" w:cs="Times New Roman"/>
                <w:b/>
                <w:sz w:val="24"/>
                <w:szCs w:val="24"/>
              </w:rPr>
              <w:t>Sekas</w:t>
            </w:r>
          </w:p>
        </w:tc>
      </w:tr>
      <w:tr w:rsidR="00D50B89" w:rsidRPr="0082362E" w14:paraId="10182B08" w14:textId="77777777" w:rsidTr="00FD62BE">
        <w:tc>
          <w:tcPr>
            <w:tcW w:w="1261" w:type="dxa"/>
            <w:tcBorders>
              <w:top w:val="single" w:sz="18" w:space="0" w:color="000000"/>
            </w:tcBorders>
            <w:shd w:val="clear" w:color="auto" w:fill="auto"/>
            <w:tcMar>
              <w:left w:w="108" w:type="dxa"/>
              <w:right w:w="108" w:type="dxa"/>
            </w:tcMar>
          </w:tcPr>
          <w:p w14:paraId="286265F0"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1.variants</w:t>
            </w:r>
          </w:p>
        </w:tc>
        <w:tc>
          <w:tcPr>
            <w:tcW w:w="2567" w:type="dxa"/>
            <w:tcBorders>
              <w:top w:val="single" w:sz="18" w:space="0" w:color="000000"/>
            </w:tcBorders>
            <w:shd w:val="clear" w:color="auto" w:fill="auto"/>
            <w:tcMar>
              <w:left w:w="108" w:type="dxa"/>
              <w:right w:w="108" w:type="dxa"/>
            </w:tcMar>
          </w:tcPr>
          <w:p w14:paraId="61ED6960"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Nepaziņots/nelikumīgs</w:t>
            </w:r>
          </w:p>
        </w:tc>
        <w:tc>
          <w:tcPr>
            <w:tcW w:w="3118" w:type="dxa"/>
            <w:tcBorders>
              <w:top w:val="single" w:sz="18" w:space="0" w:color="000000"/>
            </w:tcBorders>
            <w:shd w:val="clear" w:color="auto" w:fill="auto"/>
            <w:tcMar>
              <w:left w:w="108" w:type="dxa"/>
              <w:right w:w="108" w:type="dxa"/>
            </w:tcMar>
          </w:tcPr>
          <w:p w14:paraId="6BF062C3"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Saderīgs</w:t>
            </w:r>
          </w:p>
        </w:tc>
        <w:tc>
          <w:tcPr>
            <w:tcW w:w="2693" w:type="dxa"/>
            <w:tcBorders>
              <w:top w:val="single" w:sz="18" w:space="0" w:color="000000"/>
            </w:tcBorders>
            <w:shd w:val="clear" w:color="auto" w:fill="auto"/>
            <w:tcMar>
              <w:left w:w="108" w:type="dxa"/>
              <w:right w:w="108" w:type="dxa"/>
            </w:tcMar>
          </w:tcPr>
          <w:p w14:paraId="0009B959"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EK apstiprinājums</w:t>
            </w:r>
          </w:p>
        </w:tc>
      </w:tr>
      <w:tr w:rsidR="00D50B89" w:rsidRPr="0082362E" w14:paraId="213F3847" w14:textId="77777777" w:rsidTr="00FD62BE">
        <w:tc>
          <w:tcPr>
            <w:tcW w:w="1261" w:type="dxa"/>
            <w:shd w:val="clear" w:color="auto" w:fill="auto"/>
            <w:tcMar>
              <w:left w:w="108" w:type="dxa"/>
              <w:right w:w="108" w:type="dxa"/>
            </w:tcMar>
          </w:tcPr>
          <w:p w14:paraId="0A377F05"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2.variants</w:t>
            </w:r>
          </w:p>
        </w:tc>
        <w:tc>
          <w:tcPr>
            <w:tcW w:w="2567" w:type="dxa"/>
            <w:shd w:val="clear" w:color="auto" w:fill="auto"/>
            <w:tcMar>
              <w:left w:w="108" w:type="dxa"/>
              <w:right w:w="108" w:type="dxa"/>
            </w:tcMar>
          </w:tcPr>
          <w:p w14:paraId="0E108AED"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Nepaziņots/nelikumīgs</w:t>
            </w:r>
          </w:p>
        </w:tc>
        <w:tc>
          <w:tcPr>
            <w:tcW w:w="3118" w:type="dxa"/>
            <w:shd w:val="clear" w:color="auto" w:fill="auto"/>
            <w:tcMar>
              <w:left w:w="108" w:type="dxa"/>
              <w:right w:w="108" w:type="dxa"/>
            </w:tcMar>
          </w:tcPr>
          <w:p w14:paraId="2BAE588B" w14:textId="77777777" w:rsidR="00D50B89" w:rsidRPr="0082362E" w:rsidRDefault="00711552" w:rsidP="00F94696">
            <w:pPr>
              <w:jc w:val="center"/>
              <w:rPr>
                <w:rFonts w:ascii="Times New Roman" w:hAnsi="Times New Roman" w:cs="Times New Roman"/>
                <w:sz w:val="24"/>
                <w:szCs w:val="24"/>
              </w:rPr>
            </w:pPr>
            <w:r w:rsidRPr="0082362E">
              <w:rPr>
                <w:rFonts w:ascii="Times New Roman" w:eastAsia="Times New Roman" w:hAnsi="Times New Roman" w:cs="Times New Roman"/>
                <w:bCs/>
                <w:sz w:val="24"/>
                <w:szCs w:val="24"/>
              </w:rPr>
              <w:t xml:space="preserve">Neatbilst nosacījumiem par komercdarbības atbalsta saderību ar </w:t>
            </w:r>
            <w:r w:rsidR="00F94696" w:rsidRPr="0082362E">
              <w:rPr>
                <w:rFonts w:ascii="Times New Roman" w:eastAsia="Times New Roman" w:hAnsi="Times New Roman" w:cs="Times New Roman"/>
                <w:sz w:val="24"/>
                <w:szCs w:val="24"/>
                <w:lang w:eastAsia="ru-RU"/>
              </w:rPr>
              <w:t>ES</w:t>
            </w:r>
            <w:r w:rsidRPr="0082362E">
              <w:rPr>
                <w:rFonts w:ascii="Times New Roman" w:eastAsia="Times New Roman" w:hAnsi="Times New Roman" w:cs="Times New Roman"/>
                <w:sz w:val="24"/>
                <w:szCs w:val="24"/>
                <w:lang w:eastAsia="ru-RU"/>
              </w:rPr>
              <w:t xml:space="preserve"> iekšējo tirgu</w:t>
            </w:r>
            <w:r w:rsidRPr="0082362E">
              <w:rPr>
                <w:rFonts w:ascii="Times New Roman" w:hAnsi="Times New Roman" w:cs="Times New Roman"/>
                <w:sz w:val="24"/>
                <w:szCs w:val="24"/>
              </w:rPr>
              <w:t xml:space="preserve"> (n</w:t>
            </w:r>
            <w:r w:rsidR="00DC01CB" w:rsidRPr="0082362E">
              <w:rPr>
                <w:rFonts w:ascii="Times New Roman" w:hAnsi="Times New Roman" w:cs="Times New Roman"/>
                <w:sz w:val="24"/>
                <w:szCs w:val="24"/>
              </w:rPr>
              <w:t>esaderīgs</w:t>
            </w:r>
            <w:r w:rsidRPr="0082362E">
              <w:rPr>
                <w:rFonts w:ascii="Times New Roman" w:hAnsi="Times New Roman" w:cs="Times New Roman"/>
                <w:sz w:val="24"/>
                <w:szCs w:val="24"/>
              </w:rPr>
              <w:t>)</w:t>
            </w:r>
          </w:p>
        </w:tc>
        <w:tc>
          <w:tcPr>
            <w:tcW w:w="2693" w:type="dxa"/>
            <w:shd w:val="clear" w:color="auto" w:fill="auto"/>
            <w:tcMar>
              <w:left w:w="108" w:type="dxa"/>
              <w:right w:w="108" w:type="dxa"/>
            </w:tcMar>
          </w:tcPr>
          <w:p w14:paraId="5A87A7DA"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Atgūšana</w:t>
            </w:r>
          </w:p>
        </w:tc>
      </w:tr>
      <w:tr w:rsidR="00D50B89" w:rsidRPr="0082362E" w14:paraId="173688CA" w14:textId="77777777" w:rsidTr="00FD62BE">
        <w:tc>
          <w:tcPr>
            <w:tcW w:w="1261" w:type="dxa"/>
            <w:shd w:val="clear" w:color="auto" w:fill="auto"/>
            <w:tcMar>
              <w:left w:w="108" w:type="dxa"/>
              <w:right w:w="108" w:type="dxa"/>
            </w:tcMar>
          </w:tcPr>
          <w:p w14:paraId="115ECCB8"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3.varinats</w:t>
            </w:r>
          </w:p>
        </w:tc>
        <w:tc>
          <w:tcPr>
            <w:tcW w:w="2567" w:type="dxa"/>
            <w:shd w:val="clear" w:color="auto" w:fill="auto"/>
            <w:tcMar>
              <w:left w:w="108" w:type="dxa"/>
              <w:right w:w="108" w:type="dxa"/>
            </w:tcMar>
          </w:tcPr>
          <w:p w14:paraId="7CE068E9"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Paziņots</w:t>
            </w:r>
          </w:p>
        </w:tc>
        <w:tc>
          <w:tcPr>
            <w:tcW w:w="3118" w:type="dxa"/>
            <w:shd w:val="clear" w:color="auto" w:fill="auto"/>
            <w:tcMar>
              <w:left w:w="108" w:type="dxa"/>
              <w:right w:w="108" w:type="dxa"/>
            </w:tcMar>
          </w:tcPr>
          <w:p w14:paraId="4825AA14"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Saderīgs</w:t>
            </w:r>
          </w:p>
        </w:tc>
        <w:tc>
          <w:tcPr>
            <w:tcW w:w="2693" w:type="dxa"/>
            <w:shd w:val="clear" w:color="auto" w:fill="auto"/>
            <w:tcMar>
              <w:left w:w="108" w:type="dxa"/>
              <w:right w:w="108" w:type="dxa"/>
            </w:tcMar>
          </w:tcPr>
          <w:p w14:paraId="67FAAFC8"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EK apstiprinājums</w:t>
            </w:r>
          </w:p>
        </w:tc>
      </w:tr>
      <w:tr w:rsidR="00D50B89" w:rsidRPr="0082362E" w14:paraId="3CB848AA" w14:textId="77777777" w:rsidTr="00FD62BE">
        <w:tc>
          <w:tcPr>
            <w:tcW w:w="1261" w:type="dxa"/>
            <w:shd w:val="clear" w:color="auto" w:fill="auto"/>
            <w:tcMar>
              <w:left w:w="108" w:type="dxa"/>
              <w:right w:w="108" w:type="dxa"/>
            </w:tcMar>
          </w:tcPr>
          <w:p w14:paraId="222A6DE6"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4.variants</w:t>
            </w:r>
          </w:p>
        </w:tc>
        <w:tc>
          <w:tcPr>
            <w:tcW w:w="2567" w:type="dxa"/>
            <w:shd w:val="clear" w:color="auto" w:fill="auto"/>
            <w:tcMar>
              <w:left w:w="108" w:type="dxa"/>
              <w:right w:w="108" w:type="dxa"/>
            </w:tcMar>
          </w:tcPr>
          <w:p w14:paraId="50C6D317"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Paziņots</w:t>
            </w:r>
          </w:p>
        </w:tc>
        <w:tc>
          <w:tcPr>
            <w:tcW w:w="3118" w:type="dxa"/>
            <w:shd w:val="clear" w:color="auto" w:fill="auto"/>
            <w:tcMar>
              <w:left w:w="108" w:type="dxa"/>
              <w:right w:w="108" w:type="dxa"/>
            </w:tcMar>
          </w:tcPr>
          <w:p w14:paraId="769CFE95" w14:textId="77777777"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Nesaderīgs</w:t>
            </w:r>
          </w:p>
        </w:tc>
        <w:tc>
          <w:tcPr>
            <w:tcW w:w="2693" w:type="dxa"/>
            <w:shd w:val="clear" w:color="auto" w:fill="auto"/>
            <w:tcMar>
              <w:left w:w="108" w:type="dxa"/>
              <w:right w:w="108" w:type="dxa"/>
            </w:tcMar>
          </w:tcPr>
          <w:p w14:paraId="7FDF832D" w14:textId="6D3AAE36" w:rsidR="00D50B89" w:rsidRPr="0082362E" w:rsidRDefault="00DC01CB" w:rsidP="00444DFF">
            <w:pPr>
              <w:jc w:val="center"/>
              <w:rPr>
                <w:rFonts w:ascii="Times New Roman" w:hAnsi="Times New Roman" w:cs="Times New Roman"/>
                <w:sz w:val="24"/>
                <w:szCs w:val="24"/>
              </w:rPr>
            </w:pPr>
            <w:r w:rsidRPr="0082362E">
              <w:rPr>
                <w:rFonts w:ascii="Times New Roman" w:hAnsi="Times New Roman" w:cs="Times New Roman"/>
                <w:sz w:val="24"/>
                <w:szCs w:val="24"/>
              </w:rPr>
              <w:t xml:space="preserve">Aizliegums sniegt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alstu</w:t>
            </w:r>
          </w:p>
        </w:tc>
      </w:tr>
    </w:tbl>
    <w:p w14:paraId="04C86A38" w14:textId="77777777" w:rsidR="00D50B89" w:rsidRPr="0082362E" w:rsidRDefault="00D50B89" w:rsidP="00444DFF">
      <w:pPr>
        <w:pStyle w:val="Default"/>
        <w:rPr>
          <w:b/>
        </w:rPr>
      </w:pPr>
      <w:bookmarkStart w:id="1" w:name="_Toc536633587"/>
      <w:bookmarkStart w:id="2" w:name="_Toc535941119"/>
      <w:bookmarkEnd w:id="1"/>
      <w:bookmarkEnd w:id="2"/>
    </w:p>
    <w:p w14:paraId="179F8C43" w14:textId="7F3A511D" w:rsidR="00D50B89" w:rsidRPr="0082362E" w:rsidRDefault="0024466A" w:rsidP="00444DFF">
      <w:pPr>
        <w:pStyle w:val="ListParagraph"/>
        <w:numPr>
          <w:ilvl w:val="0"/>
          <w:numId w:val="9"/>
        </w:numPr>
        <w:ind w:left="284" w:hanging="284"/>
        <w:rPr>
          <w:b/>
          <w:color w:val="auto"/>
          <w:sz w:val="24"/>
          <w:szCs w:val="24"/>
        </w:rPr>
      </w:pPr>
      <w:r w:rsidRPr="0024466A">
        <w:rPr>
          <w:b/>
          <w:color w:val="auto"/>
          <w:sz w:val="24"/>
          <w:szCs w:val="24"/>
        </w:rPr>
        <w:t xml:space="preserve">Nesaderīga un/vai nelikumīga komercdarbības atbalsta </w:t>
      </w:r>
      <w:r>
        <w:rPr>
          <w:b/>
          <w:color w:val="auto"/>
          <w:sz w:val="24"/>
          <w:szCs w:val="24"/>
        </w:rPr>
        <w:t>a</w:t>
      </w:r>
      <w:r w:rsidR="00DC01CB" w:rsidRPr="0082362E">
        <w:rPr>
          <w:b/>
          <w:color w:val="auto"/>
          <w:sz w:val="24"/>
          <w:szCs w:val="24"/>
        </w:rPr>
        <w:t>tbalsta atgūšana</w:t>
      </w:r>
    </w:p>
    <w:p w14:paraId="0A8D0924" w14:textId="77777777" w:rsidR="007637FD" w:rsidRDefault="007637FD" w:rsidP="00444DFF">
      <w:pPr>
        <w:pStyle w:val="NumPar1"/>
        <w:tabs>
          <w:tab w:val="clear" w:pos="426"/>
          <w:tab w:val="clear" w:pos="480"/>
        </w:tabs>
        <w:spacing w:after="0"/>
        <w:ind w:left="0" w:right="0" w:firstLine="567"/>
        <w:outlineLvl w:val="9"/>
        <w:rPr>
          <w:szCs w:val="24"/>
        </w:rPr>
      </w:pPr>
    </w:p>
    <w:p w14:paraId="1C997E8D" w14:textId="674A5C51" w:rsidR="00D50B89" w:rsidRPr="0082362E" w:rsidRDefault="00DC01CB" w:rsidP="00444DFF">
      <w:pPr>
        <w:pStyle w:val="NumPar1"/>
        <w:tabs>
          <w:tab w:val="clear" w:pos="426"/>
          <w:tab w:val="clear" w:pos="480"/>
        </w:tabs>
        <w:spacing w:after="0"/>
        <w:ind w:left="0" w:right="0" w:firstLine="567"/>
        <w:outlineLvl w:val="9"/>
      </w:pPr>
      <w:r w:rsidRPr="0082362E">
        <w:rPr>
          <w:szCs w:val="24"/>
        </w:rPr>
        <w:t xml:space="preserve">Atbilstoši </w:t>
      </w:r>
      <w:r w:rsidR="00015247" w:rsidRPr="0082362E">
        <w:rPr>
          <w:szCs w:val="24"/>
        </w:rPr>
        <w:t xml:space="preserve">ES </w:t>
      </w:r>
      <w:r w:rsidRPr="0082362E">
        <w:rPr>
          <w:szCs w:val="24"/>
        </w:rPr>
        <w:t xml:space="preserve">Tiesu judikatūrai, </w:t>
      </w:r>
      <w:r w:rsidRPr="0082362E">
        <w:rPr>
          <w:b/>
          <w:szCs w:val="24"/>
        </w:rPr>
        <w:t xml:space="preserve">nelikumīgs un </w:t>
      </w:r>
      <w:r w:rsidR="00E37C8F" w:rsidRPr="0082362E">
        <w:rPr>
          <w:b/>
          <w:bCs/>
          <w:szCs w:val="24"/>
        </w:rPr>
        <w:t xml:space="preserve">neatbilstošs nosacījumiem par komercdarbības atbalsta saderību ar </w:t>
      </w:r>
      <w:r w:rsidR="00CF3060" w:rsidRPr="0082362E">
        <w:rPr>
          <w:b/>
          <w:szCs w:val="24"/>
          <w:lang w:eastAsia="ru-RU"/>
        </w:rPr>
        <w:t>ES</w:t>
      </w:r>
      <w:r w:rsidR="00E37C8F" w:rsidRPr="0082362E">
        <w:rPr>
          <w:b/>
          <w:szCs w:val="24"/>
          <w:lang w:eastAsia="ru-RU"/>
        </w:rPr>
        <w:t xml:space="preserve"> iekšējo tirgu</w:t>
      </w:r>
      <w:r w:rsidRPr="0082362E">
        <w:rPr>
          <w:b/>
          <w:szCs w:val="24"/>
        </w:rPr>
        <w:t xml:space="preserve"> </w:t>
      </w:r>
      <w:r w:rsidR="00E37C8F" w:rsidRPr="0082362E">
        <w:rPr>
          <w:b/>
          <w:szCs w:val="24"/>
        </w:rPr>
        <w:t xml:space="preserve">(nesaderīgs) </w:t>
      </w:r>
      <w:r w:rsidR="00D36866">
        <w:rPr>
          <w:b/>
          <w:szCs w:val="24"/>
        </w:rPr>
        <w:t>komercdarbības atb</w:t>
      </w:r>
      <w:r w:rsidR="00811859">
        <w:rPr>
          <w:b/>
          <w:szCs w:val="24"/>
        </w:rPr>
        <w:t>alst</w:t>
      </w:r>
      <w:r w:rsidRPr="0082362E">
        <w:rPr>
          <w:b/>
          <w:szCs w:val="24"/>
        </w:rPr>
        <w:t>s ir atgūstams</w:t>
      </w:r>
      <w:r w:rsidRPr="0082362E">
        <w:rPr>
          <w:szCs w:val="24"/>
        </w:rPr>
        <w:t>.</w:t>
      </w:r>
      <w:r w:rsidRPr="0082362E">
        <w:rPr>
          <w:szCs w:val="24"/>
          <w:lang w:bidi="ar-SA"/>
        </w:rPr>
        <w:t xml:space="preserve"> </w:t>
      </w:r>
      <w:r w:rsidR="00015247" w:rsidRPr="0082362E">
        <w:rPr>
          <w:szCs w:val="24"/>
          <w:lang w:bidi="ar-SA"/>
        </w:rPr>
        <w:t xml:space="preserve">ES </w:t>
      </w:r>
      <w:r w:rsidRPr="0082362E">
        <w:rPr>
          <w:szCs w:val="24"/>
          <w:lang w:bidi="ar-SA"/>
        </w:rPr>
        <w:t>Tiesa ir secinājusi, “</w:t>
      </w:r>
      <w:r w:rsidRPr="0082362E">
        <w:rPr>
          <w:i/>
          <w:szCs w:val="24"/>
          <w:lang w:bidi="ar-SA"/>
        </w:rPr>
        <w:t>ka valstu tiesām ir jānodrošina, lai atbilstoši to valsts tiesībām tiktu izdarīti visi no LESD 108.panta 3.punkta pēdējā teikuma pārkāpuma izrietošie secinājumi gan saistībā ar izpildes aktu spēkā esamību, gan saistībā ar tāda finanšu atbalsta atgūšanu, kas ir piešķirts, pārkāpjot šo tiesību normu, līdz ar to valstu tiesu uzdevums ir veikt pasākumus, ar kuriem var tikt novērsts atbalsta īstenošanas prettiesiskums</w:t>
      </w:r>
      <w:r w:rsidRPr="0082362E">
        <w:rPr>
          <w:rStyle w:val="Vresenkurs"/>
          <w:szCs w:val="24"/>
          <w:lang w:bidi="ar-SA"/>
        </w:rPr>
        <w:footnoteReference w:id="9"/>
      </w:r>
      <w:r w:rsidRPr="0082362E">
        <w:rPr>
          <w:szCs w:val="24"/>
          <w:lang w:bidi="ar-SA"/>
        </w:rPr>
        <w:t xml:space="preserve">”. </w:t>
      </w:r>
    </w:p>
    <w:p w14:paraId="47989800" w14:textId="04D7C1E4" w:rsidR="00D50B89" w:rsidRPr="0082362E" w:rsidRDefault="00DC01CB" w:rsidP="00444DFF">
      <w:pPr>
        <w:pStyle w:val="NumPar1"/>
        <w:tabs>
          <w:tab w:val="clear" w:pos="426"/>
          <w:tab w:val="clear" w:pos="480"/>
        </w:tabs>
        <w:spacing w:after="0"/>
        <w:ind w:left="0" w:right="0" w:firstLine="567"/>
        <w:outlineLvl w:val="9"/>
      </w:pPr>
      <w:r w:rsidRPr="0082362E">
        <w:rPr>
          <w:szCs w:val="24"/>
        </w:rPr>
        <w:t xml:space="preserve">Saskaņā ar EK izstrādātajā </w:t>
      </w:r>
      <w:r w:rsidRPr="0082362E">
        <w:rPr>
          <w:color w:val="222222"/>
          <w:szCs w:val="24"/>
        </w:rPr>
        <w:t xml:space="preserve">2019.gada 23.jūlija Komisijas paziņojumā </w:t>
      </w:r>
      <w:r w:rsidRPr="0082362E">
        <w:rPr>
          <w:szCs w:val="24"/>
        </w:rPr>
        <w:t xml:space="preserve">“Komisijas paziņojums par nelikumīga un nesaderīga </w:t>
      </w:r>
      <w:r w:rsidR="003F0423">
        <w:rPr>
          <w:szCs w:val="24"/>
        </w:rPr>
        <w:t xml:space="preserve">valsts </w:t>
      </w:r>
      <w:r w:rsidR="00D36866">
        <w:rPr>
          <w:szCs w:val="24"/>
        </w:rPr>
        <w:t>atb</w:t>
      </w:r>
      <w:r w:rsidRPr="0082362E">
        <w:rPr>
          <w:szCs w:val="24"/>
        </w:rPr>
        <w:t>alsta atgūšanu” (2019/C 247/01) minēto ES Tiesu judikatūru, atgūšanas mērķis ir atjaunot situāciju, kas pastāvēja iekšējā tirgū pirms atbalsta izmaksāšanas</w:t>
      </w:r>
      <w:bookmarkStart w:id="3" w:name="_Ref516840902"/>
      <w:bookmarkStart w:id="4" w:name="_Ref505175118"/>
      <w:bookmarkEnd w:id="3"/>
      <w:bookmarkEnd w:id="4"/>
      <w:r w:rsidRPr="0082362E">
        <w:rPr>
          <w:rStyle w:val="Vresenkurs"/>
          <w:szCs w:val="24"/>
        </w:rPr>
        <w:footnoteReference w:id="10"/>
      </w:r>
      <w:r w:rsidRPr="0082362E">
        <w:rPr>
          <w:szCs w:val="24"/>
        </w:rPr>
        <w:t>. Atmaksājot atbalstu, tā saņēmējs faktiski zaudē priekšrocības, ko bija ieguvis pār konkuren</w:t>
      </w:r>
      <w:bookmarkStart w:id="5" w:name="_Ref505780401"/>
      <w:bookmarkEnd w:id="5"/>
      <w:r w:rsidRPr="0082362E">
        <w:rPr>
          <w:szCs w:val="24"/>
        </w:rPr>
        <w:t>tiem</w:t>
      </w:r>
      <w:r w:rsidRPr="0082362E">
        <w:rPr>
          <w:rStyle w:val="Vresenkurs"/>
          <w:szCs w:val="24"/>
        </w:rPr>
        <w:footnoteReference w:id="11"/>
      </w:r>
      <w:r w:rsidRPr="0082362E">
        <w:rPr>
          <w:szCs w:val="24"/>
        </w:rPr>
        <w:t xml:space="preserve">. Lai novērstu nelikumīga atbalsta radītās priekšrocības, jāatgūst arī procenti par nelikumīgi </w:t>
      </w:r>
      <w:r w:rsidR="00645303" w:rsidRPr="0082362E">
        <w:rPr>
          <w:szCs w:val="24"/>
        </w:rPr>
        <w:t>saņemtā</w:t>
      </w:r>
      <w:r w:rsidRPr="0082362E">
        <w:rPr>
          <w:szCs w:val="24"/>
        </w:rPr>
        <w:t xml:space="preserve"> atbalsta summu (“atgūšanas procenti”). Atmaksājot atgūšanas procentus, atbalsta saņēmējs zaudē arī finansiālo priekšrocību, ko no dienas, kad atbalsts tika nodots saņēmēja rīcībā, līdz tā atmaksāšanai radīja attiecīgā atbalsta bezmaksas pieej</w:t>
      </w:r>
      <w:bookmarkStart w:id="6" w:name="_Ref505163868"/>
      <w:bookmarkEnd w:id="6"/>
      <w:r w:rsidRPr="0082362E">
        <w:rPr>
          <w:szCs w:val="24"/>
        </w:rPr>
        <w:t>amība</w:t>
      </w:r>
      <w:r w:rsidRPr="0082362E">
        <w:rPr>
          <w:rStyle w:val="Vresenkurs"/>
          <w:szCs w:val="24"/>
        </w:rPr>
        <w:footnoteReference w:id="12"/>
      </w:r>
      <w:r w:rsidRPr="0082362E">
        <w:rPr>
          <w:szCs w:val="24"/>
        </w:rPr>
        <w:t>.</w:t>
      </w:r>
    </w:p>
    <w:p w14:paraId="440C1B5B" w14:textId="0440B8AE" w:rsidR="00D50B89" w:rsidRPr="0082362E" w:rsidRDefault="00D36866" w:rsidP="00444DFF">
      <w:pPr>
        <w:pStyle w:val="NumPar1"/>
        <w:tabs>
          <w:tab w:val="clear" w:pos="426"/>
          <w:tab w:val="clear" w:pos="480"/>
        </w:tabs>
        <w:spacing w:after="0"/>
        <w:ind w:left="0" w:right="0" w:firstLine="567"/>
        <w:outlineLvl w:val="9"/>
        <w:rPr>
          <w:szCs w:val="24"/>
        </w:rPr>
      </w:pPr>
      <w:bookmarkStart w:id="7" w:name="_Toc536633591"/>
      <w:bookmarkStart w:id="8" w:name="_Toc535941123"/>
      <w:bookmarkStart w:id="9" w:name="_Toc501113660"/>
      <w:bookmarkStart w:id="10" w:name="_Toc501113625"/>
      <w:bookmarkStart w:id="11" w:name="_Toc501113555"/>
      <w:bookmarkStart w:id="12" w:name="_Toc505696460"/>
      <w:bookmarkStart w:id="13" w:name="_Toc505352122"/>
      <w:bookmarkStart w:id="14" w:name="_Toc505335010"/>
      <w:bookmarkStart w:id="15" w:name="_Toc505095851"/>
      <w:bookmarkStart w:id="16" w:name="_Toc504488523"/>
      <w:bookmarkStart w:id="17" w:name="_Toc517100028"/>
      <w:bookmarkStart w:id="18" w:name="_Toc526513334"/>
      <w:bookmarkStart w:id="19" w:name="_Toc526501867"/>
      <w:bookmarkStart w:id="20" w:name="_Toc506902427"/>
      <w:bookmarkEnd w:id="7"/>
      <w:bookmarkEnd w:id="8"/>
      <w:bookmarkEnd w:id="9"/>
      <w:bookmarkEnd w:id="10"/>
      <w:bookmarkEnd w:id="11"/>
      <w:bookmarkEnd w:id="12"/>
      <w:bookmarkEnd w:id="13"/>
      <w:bookmarkEnd w:id="14"/>
      <w:bookmarkEnd w:id="15"/>
      <w:bookmarkEnd w:id="16"/>
      <w:bookmarkEnd w:id="17"/>
      <w:bookmarkEnd w:id="18"/>
      <w:bookmarkEnd w:id="19"/>
      <w:bookmarkEnd w:id="20"/>
      <w:r>
        <w:rPr>
          <w:szCs w:val="24"/>
        </w:rPr>
        <w:t>Komercdarbības atb</w:t>
      </w:r>
      <w:r w:rsidR="00DC01CB" w:rsidRPr="0082362E">
        <w:rPr>
          <w:szCs w:val="24"/>
        </w:rPr>
        <w:t>alsta atgūšana nav sods</w:t>
      </w:r>
      <w:bookmarkStart w:id="21" w:name="_Ref505177288"/>
      <w:bookmarkEnd w:id="21"/>
      <w:r w:rsidR="00DC01CB" w:rsidRPr="0082362E">
        <w:rPr>
          <w:rStyle w:val="Vresenkurs"/>
          <w:szCs w:val="24"/>
        </w:rPr>
        <w:footnoteReference w:id="13"/>
      </w:r>
      <w:r w:rsidR="00DC01CB" w:rsidRPr="0082362E">
        <w:rPr>
          <w:szCs w:val="24"/>
        </w:rPr>
        <w:t>, bet gan loģiskās sekas, kas izriet no konstatējuma, ka šis atbalsts ir neliku</w:t>
      </w:r>
      <w:bookmarkStart w:id="22" w:name="_Ref505177421"/>
      <w:bookmarkEnd w:id="22"/>
      <w:r w:rsidR="00DC01CB" w:rsidRPr="0082362E">
        <w:rPr>
          <w:szCs w:val="24"/>
        </w:rPr>
        <w:t>mīgs</w:t>
      </w:r>
      <w:r w:rsidR="00DC01CB" w:rsidRPr="0082362E">
        <w:rPr>
          <w:rStyle w:val="Vresenkurs"/>
          <w:szCs w:val="24"/>
        </w:rPr>
        <w:footnoteReference w:id="14"/>
      </w:r>
      <w:r w:rsidR="00DC01CB" w:rsidRPr="0082362E">
        <w:rPr>
          <w:szCs w:val="24"/>
        </w:rPr>
        <w:t>, un atgūšana nav atkarīga no veida, kādā atbalsts ir piešķ</w:t>
      </w:r>
      <w:bookmarkStart w:id="23" w:name="_Ref506556782"/>
      <w:bookmarkStart w:id="24" w:name="_Ref505177553"/>
      <w:bookmarkEnd w:id="23"/>
      <w:bookmarkEnd w:id="24"/>
      <w:r w:rsidR="00DC01CB" w:rsidRPr="0082362E">
        <w:rPr>
          <w:szCs w:val="24"/>
        </w:rPr>
        <w:t>irts</w:t>
      </w:r>
      <w:r w:rsidR="00DC01CB" w:rsidRPr="0082362E">
        <w:rPr>
          <w:rStyle w:val="Vresenkurs"/>
          <w:szCs w:val="24"/>
        </w:rPr>
        <w:footnoteReference w:id="15"/>
      </w:r>
      <w:r w:rsidR="00DC01CB" w:rsidRPr="0082362E">
        <w:rPr>
          <w:szCs w:val="24"/>
        </w:rPr>
        <w:t xml:space="preserve">. Tādējādi atgūšanu nevar uzskatīt par nesamērīgu salīdzinājumā ar LESD mērķiem attiecībā uz </w:t>
      </w:r>
      <w:r>
        <w:rPr>
          <w:szCs w:val="24"/>
        </w:rPr>
        <w:t>komercdarbības atb</w:t>
      </w:r>
      <w:r w:rsidR="00DC01CB" w:rsidRPr="0082362E">
        <w:rPr>
          <w:szCs w:val="24"/>
        </w:rPr>
        <w:t>a</w:t>
      </w:r>
      <w:bookmarkStart w:id="25" w:name="_Ref505178082"/>
      <w:bookmarkEnd w:id="25"/>
      <w:r w:rsidR="00DC01CB" w:rsidRPr="0082362E">
        <w:rPr>
          <w:szCs w:val="24"/>
        </w:rPr>
        <w:t>lstu</w:t>
      </w:r>
      <w:r w:rsidR="00DC01CB" w:rsidRPr="0082362E">
        <w:rPr>
          <w:rStyle w:val="Vresenkurs"/>
          <w:szCs w:val="24"/>
        </w:rPr>
        <w:footnoteReference w:id="16"/>
      </w:r>
      <w:r w:rsidR="00DC01CB" w:rsidRPr="0082362E">
        <w:rPr>
          <w:szCs w:val="24"/>
        </w:rPr>
        <w:t xml:space="preserve">, ne arī par tādu, kas </w:t>
      </w:r>
      <w:r w:rsidR="00327498" w:rsidRPr="0082362E">
        <w:rPr>
          <w:i/>
          <w:szCs w:val="24"/>
        </w:rPr>
        <w:t>“</w:t>
      </w:r>
      <w:r w:rsidR="00DC01CB" w:rsidRPr="0082362E">
        <w:rPr>
          <w:i/>
          <w:szCs w:val="24"/>
        </w:rPr>
        <w:t>izraisa attiecīgās dalībvalsts nepamatotu iedzīvošanos</w:t>
      </w:r>
      <w:r w:rsidR="00327498" w:rsidRPr="0082362E">
        <w:rPr>
          <w:i/>
          <w:szCs w:val="24"/>
        </w:rPr>
        <w:t>”</w:t>
      </w:r>
      <w:r w:rsidR="00DC01CB" w:rsidRPr="0082362E">
        <w:rPr>
          <w:szCs w:val="24"/>
        </w:rPr>
        <w:t>, jo tā tikai paredz atgūt summas, kuras saņēmējam nebūtu bijis jāsaņem</w:t>
      </w:r>
      <w:r w:rsidR="00DC01CB" w:rsidRPr="0082362E">
        <w:rPr>
          <w:rStyle w:val="Vresenkurs"/>
          <w:szCs w:val="24"/>
        </w:rPr>
        <w:footnoteReference w:id="17"/>
      </w:r>
      <w:r w:rsidR="00DC01CB" w:rsidRPr="0082362E">
        <w:rPr>
          <w:szCs w:val="24"/>
        </w:rPr>
        <w:t>.</w:t>
      </w:r>
    </w:p>
    <w:p w14:paraId="1F82465B" w14:textId="77777777" w:rsidR="00D50B89" w:rsidRPr="0082362E" w:rsidRDefault="00DC01CB" w:rsidP="00444DFF">
      <w:pPr>
        <w:pStyle w:val="NumPar1"/>
        <w:tabs>
          <w:tab w:val="clear" w:pos="426"/>
          <w:tab w:val="clear" w:pos="480"/>
          <w:tab w:val="left" w:pos="0"/>
        </w:tabs>
        <w:spacing w:after="0"/>
        <w:ind w:left="0" w:right="0" w:firstLine="567"/>
        <w:outlineLvl w:val="9"/>
        <w:rPr>
          <w:szCs w:val="24"/>
        </w:rPr>
      </w:pPr>
      <w:r w:rsidRPr="0082362E">
        <w:rPr>
          <w:szCs w:val="24"/>
        </w:rPr>
        <w:t>Tādēļ dalībvalstij automātiski un bez kavēšanās ir jāatgūst šāds atbalsts, kas ir nesaderīgs ar iekšējo tirgu, dalībvalstij šādi rīkojoties ir jānovērš pārkāpums un jāatjauno situācija, kāda būtu bijusi, ja ES tiesības būtu tikušas ievērotas. Šis pienākums dalībvalstij ir noteikts saskaņā ar lojālas sadarbības principu, saskaņā ar ko dalībvalstīm ir jāveic visi vajadzīgie pasākumi, lai garantētu ES tiesību aktu piemērošanu un efektivitāti</w:t>
      </w:r>
      <w:r w:rsidRPr="0082362E">
        <w:rPr>
          <w:rStyle w:val="Vresenkurs"/>
          <w:szCs w:val="24"/>
        </w:rPr>
        <w:footnoteReference w:id="18"/>
      </w:r>
      <w:r w:rsidRPr="0082362E">
        <w:rPr>
          <w:szCs w:val="24"/>
        </w:rPr>
        <w:t>.</w:t>
      </w:r>
    </w:p>
    <w:p w14:paraId="63D1D1CB" w14:textId="77777777" w:rsidR="00D50B89" w:rsidRPr="0082362E" w:rsidRDefault="00D50B89" w:rsidP="00444DFF">
      <w:pPr>
        <w:ind w:left="567"/>
        <w:rPr>
          <w:rFonts w:ascii="Times New Roman" w:hAnsi="Times New Roman" w:cs="Times New Roman"/>
          <w:b/>
          <w:sz w:val="24"/>
          <w:szCs w:val="24"/>
        </w:rPr>
      </w:pPr>
    </w:p>
    <w:p w14:paraId="036A568E" w14:textId="4ABEE92E" w:rsidR="00D50B89" w:rsidRPr="0082362E" w:rsidRDefault="00DC01CB" w:rsidP="00444DFF">
      <w:pPr>
        <w:pStyle w:val="Heading2"/>
        <w:keepLines w:val="0"/>
        <w:numPr>
          <w:ilvl w:val="0"/>
          <w:numId w:val="9"/>
        </w:numPr>
        <w:tabs>
          <w:tab w:val="left" w:pos="0"/>
        </w:tabs>
        <w:spacing w:before="0" w:after="0"/>
        <w:ind w:left="284" w:hanging="284"/>
        <w:rPr>
          <w:rFonts w:ascii="Times New Roman" w:hAnsi="Times New Roman"/>
          <w:smallCaps w:val="0"/>
        </w:rPr>
      </w:pPr>
      <w:r w:rsidRPr="0082362E">
        <w:rPr>
          <w:rFonts w:ascii="Times New Roman" w:hAnsi="Times New Roman"/>
          <w:smallCaps w:val="0"/>
        </w:rPr>
        <w:t xml:space="preserve">Saņēmēju identificēšana, no kuriem jāatgūst </w:t>
      </w:r>
      <w:r w:rsidR="0024466A" w:rsidRPr="0024466A">
        <w:rPr>
          <w:rFonts w:ascii="Times New Roman" w:hAnsi="Times New Roman"/>
          <w:smallCaps w:val="0"/>
        </w:rPr>
        <w:t xml:space="preserve">nesaderīgs un/vai nelikumīgs komercdarbības </w:t>
      </w:r>
      <w:r w:rsidRPr="0082362E">
        <w:rPr>
          <w:rFonts w:ascii="Times New Roman" w:hAnsi="Times New Roman"/>
          <w:smallCaps w:val="0"/>
        </w:rPr>
        <w:t>atbalsts</w:t>
      </w:r>
    </w:p>
    <w:p w14:paraId="21873817" w14:textId="77777777" w:rsidR="00D50B89" w:rsidRPr="0082362E" w:rsidRDefault="00D50B89" w:rsidP="00444DFF">
      <w:pPr>
        <w:pStyle w:val="NumPar1"/>
        <w:tabs>
          <w:tab w:val="left" w:pos="851"/>
        </w:tabs>
        <w:spacing w:after="0"/>
        <w:ind w:left="0" w:right="0" w:firstLine="567"/>
        <w:outlineLvl w:val="9"/>
        <w:rPr>
          <w:szCs w:val="24"/>
        </w:rPr>
      </w:pPr>
    </w:p>
    <w:p w14:paraId="5B7F8E2A" w14:textId="56F1A0E9" w:rsidR="00D50B89" w:rsidRPr="0082362E" w:rsidRDefault="00DC01CB" w:rsidP="00444DFF">
      <w:pPr>
        <w:pStyle w:val="NumPar1"/>
        <w:tabs>
          <w:tab w:val="clear" w:pos="426"/>
          <w:tab w:val="clear" w:pos="480"/>
        </w:tabs>
        <w:spacing w:after="0"/>
        <w:ind w:left="0" w:right="0" w:firstLine="567"/>
        <w:outlineLvl w:val="9"/>
        <w:rPr>
          <w:szCs w:val="24"/>
        </w:rPr>
      </w:pPr>
      <w:r w:rsidRPr="0082362E">
        <w:rPr>
          <w:szCs w:val="24"/>
        </w:rPr>
        <w:t xml:space="preserve">Nelikumīgs </w:t>
      </w:r>
      <w:r w:rsidR="00D36866">
        <w:rPr>
          <w:szCs w:val="24"/>
        </w:rPr>
        <w:t>komercdarbības atb</w:t>
      </w:r>
      <w:r w:rsidR="00811859">
        <w:rPr>
          <w:szCs w:val="24"/>
        </w:rPr>
        <w:t>alst</w:t>
      </w:r>
      <w:r w:rsidRPr="0082362E">
        <w:rPr>
          <w:szCs w:val="24"/>
        </w:rPr>
        <w:t>s, kas atzīts par nesaderīgu ar iekšējo tirgu, jāatgūst no tiem saņēmējiem, kuri faktiski guvuši no tā labumu</w:t>
      </w:r>
      <w:bookmarkStart w:id="26" w:name="_Ref505164607"/>
      <w:bookmarkEnd w:id="26"/>
      <w:r w:rsidRPr="0082362E">
        <w:rPr>
          <w:szCs w:val="24"/>
        </w:rPr>
        <w:t xml:space="preserve">. Saskaņā ar LESD 345.pantu uz privātiem un valsts uzņēmumiem attiecas vieni un tie paši </w:t>
      </w:r>
      <w:r w:rsidR="00D36866">
        <w:rPr>
          <w:szCs w:val="24"/>
        </w:rPr>
        <w:t>komercdarbības atb</w:t>
      </w:r>
      <w:r w:rsidRPr="0082362E">
        <w:rPr>
          <w:szCs w:val="24"/>
        </w:rPr>
        <w:t xml:space="preserve">alsta noteikumi, tādējādi nelikumīga </w:t>
      </w:r>
      <w:r w:rsidR="00D36866">
        <w:rPr>
          <w:szCs w:val="24"/>
        </w:rPr>
        <w:t>komercdarbības atb</w:t>
      </w:r>
      <w:r w:rsidRPr="0082362E">
        <w:rPr>
          <w:szCs w:val="24"/>
        </w:rPr>
        <w:t>alsta atgūšanas ziņā  starp tiem nav nekādas atšķirības.</w:t>
      </w:r>
    </w:p>
    <w:p w14:paraId="477DC9DC" w14:textId="3F387656" w:rsidR="00D50B89" w:rsidRPr="0082362E" w:rsidRDefault="00DC01CB" w:rsidP="00444DFF">
      <w:pPr>
        <w:pStyle w:val="NumPar1"/>
        <w:tabs>
          <w:tab w:val="clear" w:pos="426"/>
          <w:tab w:val="clear" w:pos="480"/>
        </w:tabs>
        <w:spacing w:after="0"/>
        <w:ind w:left="0" w:right="0" w:firstLine="567"/>
        <w:outlineLvl w:val="9"/>
        <w:rPr>
          <w:szCs w:val="24"/>
        </w:rPr>
      </w:pPr>
      <w:bookmarkStart w:id="27" w:name="_Toc536633607"/>
      <w:bookmarkStart w:id="28" w:name="_Toc535941139"/>
      <w:bookmarkStart w:id="29" w:name="_Toc517100047"/>
      <w:bookmarkStart w:id="30" w:name="_Toc526513351"/>
      <w:bookmarkStart w:id="31" w:name="_Toc526501884"/>
      <w:bookmarkEnd w:id="27"/>
      <w:bookmarkEnd w:id="28"/>
      <w:bookmarkEnd w:id="29"/>
      <w:bookmarkEnd w:id="30"/>
      <w:bookmarkEnd w:id="31"/>
      <w:r w:rsidRPr="0082362E">
        <w:rPr>
          <w:szCs w:val="24"/>
        </w:rPr>
        <w:t>Parasti atbalsta saņēmēja identificēšana nav sarežģīta. Tomēr dažos gadījumos var</w:t>
      </w:r>
      <w:r w:rsidR="00645303" w:rsidRPr="0082362E">
        <w:rPr>
          <w:szCs w:val="24"/>
        </w:rPr>
        <w:t xml:space="preserve"> nākties vērtēt, kurš uzņēmums n</w:t>
      </w:r>
      <w:r w:rsidRPr="0082362E">
        <w:rPr>
          <w:szCs w:val="24"/>
        </w:rPr>
        <w:t>o tiem, kas pieder uzņēmumu grupai un kas veido saimniecisku vienību, ir guvis labumu no konkrētā atbalsta</w:t>
      </w:r>
      <w:r w:rsidRPr="0082362E">
        <w:rPr>
          <w:rStyle w:val="Vresenkurs"/>
          <w:szCs w:val="24"/>
        </w:rPr>
        <w:footnoteReference w:id="19"/>
      </w:r>
      <w:r w:rsidRPr="0082362E">
        <w:rPr>
          <w:szCs w:val="24"/>
        </w:rPr>
        <w:t xml:space="preserve">. </w:t>
      </w:r>
      <w:r w:rsidR="00D36866">
        <w:rPr>
          <w:szCs w:val="24"/>
        </w:rPr>
        <w:t>Komercdarbības atb</w:t>
      </w:r>
      <w:r w:rsidR="00811859">
        <w:rPr>
          <w:szCs w:val="24"/>
        </w:rPr>
        <w:t>alst</w:t>
      </w:r>
      <w:r w:rsidRPr="0082362E">
        <w:rPr>
          <w:szCs w:val="24"/>
        </w:rPr>
        <w:t xml:space="preserve">a atgūšanu var attiecināt gan tikai uz vienu atbalsta saņēmēju šīs grupas ietvaros, kas tiešā veidā ir guvis no </w:t>
      </w:r>
      <w:r w:rsidR="00D36866">
        <w:rPr>
          <w:szCs w:val="24"/>
        </w:rPr>
        <w:t>komercdarbības atb</w:t>
      </w:r>
      <w:r w:rsidR="00811859">
        <w:rPr>
          <w:szCs w:val="24"/>
        </w:rPr>
        <w:t>alst</w:t>
      </w:r>
      <w:r w:rsidRPr="0082362E">
        <w:rPr>
          <w:szCs w:val="24"/>
        </w:rPr>
        <w:t>a labumu, gan var arī secināt, ka grupas sastāvā ietilpstošie uzņēmumi veido saimniecisku vienību konkurences tiesību izpr</w:t>
      </w:r>
      <w:bookmarkStart w:id="32" w:name="_Ref505333635"/>
      <w:bookmarkEnd w:id="32"/>
      <w:r w:rsidRPr="0082362E">
        <w:rPr>
          <w:szCs w:val="24"/>
        </w:rPr>
        <w:t xml:space="preserve">atnē un arī citi grupas uzņēmumi ir guvuši labumu no </w:t>
      </w:r>
      <w:r w:rsidR="00D36866">
        <w:rPr>
          <w:szCs w:val="24"/>
        </w:rPr>
        <w:t>komercdarbības atb</w:t>
      </w:r>
      <w:r w:rsidR="00811859">
        <w:rPr>
          <w:szCs w:val="24"/>
        </w:rPr>
        <w:t>alst</w:t>
      </w:r>
      <w:r w:rsidRPr="0082362E">
        <w:rPr>
          <w:szCs w:val="24"/>
        </w:rPr>
        <w:t xml:space="preserve">a, attiecīgi </w:t>
      </w:r>
      <w:r w:rsidR="00D36866">
        <w:rPr>
          <w:szCs w:val="24"/>
        </w:rPr>
        <w:t>komercdarbības atb</w:t>
      </w:r>
      <w:r w:rsidR="00811859">
        <w:rPr>
          <w:szCs w:val="24"/>
        </w:rPr>
        <w:t>alst</w:t>
      </w:r>
      <w:r w:rsidRPr="0082362E">
        <w:rPr>
          <w:szCs w:val="24"/>
        </w:rPr>
        <w:t>s atgūstams no visas uzņēmumu gru</w:t>
      </w:r>
      <w:bookmarkStart w:id="33" w:name="_Ref504987432"/>
      <w:bookmarkStart w:id="34" w:name="_Ref528327867"/>
      <w:bookmarkEnd w:id="33"/>
      <w:bookmarkEnd w:id="34"/>
      <w:r w:rsidRPr="0082362E">
        <w:rPr>
          <w:szCs w:val="24"/>
        </w:rPr>
        <w:t>pas.</w:t>
      </w:r>
    </w:p>
    <w:p w14:paraId="3FB5C647" w14:textId="7B940153" w:rsidR="00D50B89" w:rsidRPr="0082362E" w:rsidRDefault="00DC01CB" w:rsidP="00444DFF">
      <w:pPr>
        <w:pStyle w:val="NumPar1"/>
        <w:tabs>
          <w:tab w:val="clear" w:pos="426"/>
          <w:tab w:val="clear" w:pos="480"/>
        </w:tabs>
        <w:spacing w:after="0"/>
        <w:ind w:left="0" w:right="0" w:firstLine="567"/>
        <w:outlineLvl w:val="9"/>
      </w:pPr>
      <w:r w:rsidRPr="0082362E">
        <w:rPr>
          <w:szCs w:val="24"/>
        </w:rPr>
        <w:t xml:space="preserve">Ja </w:t>
      </w:r>
      <w:r w:rsidR="00D36866">
        <w:rPr>
          <w:szCs w:val="24"/>
        </w:rPr>
        <w:t>komercdarbības atb</w:t>
      </w:r>
      <w:r w:rsidR="00811859">
        <w:rPr>
          <w:szCs w:val="24"/>
        </w:rPr>
        <w:t>alst</w:t>
      </w:r>
      <w:r w:rsidRPr="0082362E">
        <w:rPr>
          <w:szCs w:val="24"/>
        </w:rPr>
        <w:t xml:space="preserve">a atgūšanas procesā </w:t>
      </w:r>
      <w:r w:rsidR="00D36866">
        <w:rPr>
          <w:szCs w:val="24"/>
        </w:rPr>
        <w:t>komercdarbības atb</w:t>
      </w:r>
      <w:r w:rsidR="00811859">
        <w:rPr>
          <w:szCs w:val="24"/>
        </w:rPr>
        <w:t>alst</w:t>
      </w:r>
      <w:r w:rsidRPr="0082362E">
        <w:rPr>
          <w:szCs w:val="24"/>
        </w:rPr>
        <w:t xml:space="preserve">u no sākotnējā saņēmēja nevar atgūt un viss liecina, ka </w:t>
      </w:r>
      <w:r w:rsidR="00D36866">
        <w:rPr>
          <w:szCs w:val="24"/>
        </w:rPr>
        <w:t>komercdarbības atb</w:t>
      </w:r>
      <w:r w:rsidR="00811859">
        <w:rPr>
          <w:szCs w:val="24"/>
        </w:rPr>
        <w:t>alst</w:t>
      </w:r>
      <w:r w:rsidRPr="0082362E">
        <w:rPr>
          <w:szCs w:val="24"/>
        </w:rPr>
        <w:t xml:space="preserve">s ir nodots citam uzņēmumam, </w:t>
      </w:r>
      <w:r w:rsidR="00D36866">
        <w:rPr>
          <w:szCs w:val="24"/>
        </w:rPr>
        <w:t>komercdarbības atb</w:t>
      </w:r>
      <w:r w:rsidR="00811859">
        <w:rPr>
          <w:szCs w:val="24"/>
        </w:rPr>
        <w:t>alst</w:t>
      </w:r>
      <w:r w:rsidRPr="0082362E">
        <w:rPr>
          <w:szCs w:val="24"/>
        </w:rPr>
        <w:t>a atgūšanas lēmums jāattiecina uz uzņēmumu, kas ir guvis priekšrocības, un jānodrošina, lai atgūšanas pienākums netiktu apiets</w:t>
      </w:r>
      <w:r w:rsidRPr="0082362E">
        <w:rPr>
          <w:rStyle w:val="Vresenkurs"/>
          <w:szCs w:val="24"/>
        </w:rPr>
        <w:footnoteReference w:id="20"/>
      </w:r>
      <w:r w:rsidRPr="0082362E">
        <w:rPr>
          <w:szCs w:val="24"/>
        </w:rPr>
        <w:t>. ES Tiesa ir izdalījusi divus veidus, kā var tikt nodotas uzņēmuma darbības</w:t>
      </w:r>
      <w:r w:rsidR="00015247" w:rsidRPr="0082362E">
        <w:rPr>
          <w:szCs w:val="24"/>
        </w:rPr>
        <w:t>, proti,</w:t>
      </w:r>
      <w:r w:rsidRPr="0082362E">
        <w:rPr>
          <w:szCs w:val="24"/>
        </w:rPr>
        <w:t xml:space="preserve"> nodrošināta ekonomiskā pēctecība</w:t>
      </w:r>
      <w:r w:rsidR="002E2114" w:rsidRPr="0082362E">
        <w:rPr>
          <w:rStyle w:val="FootnoteReference"/>
          <w:szCs w:val="24"/>
        </w:rPr>
        <w:footnoteReference w:id="21"/>
      </w:r>
      <w:r w:rsidRPr="0082362E">
        <w:rPr>
          <w:szCs w:val="24"/>
        </w:rPr>
        <w:t>. Tie ir: i) visu aktīvu vai to daļas pārdošana, pēc kuras darbību vairs neveic tā pati juridiskā persona (“aktīvu pārdošanas darījums”); un ii) savu kapitāldaļu pārdošana, pēc kuras uzņēmums, kas guvis labumu no atbalsta, saglabā savu juridisko statusu un turpina veikt savu darbību (“kapitāldaļu pārdošanas darījums”)</w:t>
      </w:r>
      <w:r w:rsidRPr="0082362E">
        <w:rPr>
          <w:rStyle w:val="Vresenkurs"/>
          <w:szCs w:val="24"/>
        </w:rPr>
        <w:footnoteReference w:id="22"/>
      </w:r>
      <w:r w:rsidRPr="0082362E">
        <w:rPr>
          <w:szCs w:val="24"/>
        </w:rPr>
        <w:t>. Savukārt, l</w:t>
      </w:r>
      <w:r w:rsidRPr="0082362E">
        <w:rPr>
          <w:color w:val="000000"/>
          <w:szCs w:val="24"/>
        </w:rPr>
        <w:t xml:space="preserve">ai </w:t>
      </w:r>
      <w:r w:rsidRPr="0082362E">
        <w:rPr>
          <w:color w:val="000000"/>
          <w:szCs w:val="24"/>
          <w:shd w:val="clear" w:color="auto" w:fill="FFFFFF"/>
        </w:rPr>
        <w:t>secinātu</w:t>
      </w:r>
      <w:r w:rsidRPr="0082362E">
        <w:rPr>
          <w:color w:val="000000"/>
          <w:szCs w:val="24"/>
        </w:rPr>
        <w:t>, vai</w:t>
      </w:r>
      <w:r w:rsidRPr="0082362E">
        <w:rPr>
          <w:szCs w:val="24"/>
        </w:rPr>
        <w:t xml:space="preserve"> notikusi ekonomiskā pēctecība starp uzņēmumiem</w:t>
      </w:r>
      <w:r w:rsidRPr="0082362E">
        <w:rPr>
          <w:sz w:val="27"/>
          <w:szCs w:val="27"/>
          <w:shd w:val="clear" w:color="auto" w:fill="FFFFFF"/>
        </w:rPr>
        <w:t xml:space="preserve">, </w:t>
      </w:r>
      <w:r w:rsidRPr="0082362E">
        <w:rPr>
          <w:i/>
          <w:szCs w:val="24"/>
          <w:shd w:val="clear" w:color="auto" w:fill="FFFFFF"/>
        </w:rPr>
        <w:t>“[..] var tikt ņemti vērā šādi faktori: īpašuma tiesību pārejas priekšmets (aktīvi un pasīvi, darbaspēka saglabāšana, grupētie aktīvi), īpašuma tiesību pārejas cena, uzņēmuma, kas pārņem, un uzņēmuma, kas nodod īpašuma tiesības, akcionāru vai īpašnieku identiskums, brīdis, kad notiek īpašuma tiesību nodošana (pēc izmeklēšanas uzsākšanas, procedūras uzsākšanas vai pēc galīgā lēmuma), vai arī darījuma ekonomiskā loģika (šajā ziņā skat. Vispārējās tiesas 2010. gada 13. septembra spriedumu apvienotajās lietās </w:t>
      </w:r>
      <w:hyperlink r:id="rId8">
        <w:r w:rsidRPr="0082362E">
          <w:rPr>
            <w:rStyle w:val="Internetasaite"/>
            <w:i/>
            <w:color w:val="auto"/>
            <w:szCs w:val="24"/>
            <w:u w:val="none"/>
          </w:rPr>
          <w:t>T-415/05, T-416/05 un T-423/05 Grieķija u.c./Komisija, Krājums, II-4749. lpp.</w:t>
        </w:r>
      </w:hyperlink>
      <w:r w:rsidRPr="0082362E">
        <w:rPr>
          <w:i/>
          <w:szCs w:val="24"/>
          <w:shd w:val="clear" w:color="auto" w:fill="FFFFFF"/>
        </w:rPr>
        <w:t>, 135. punkts)”.</w:t>
      </w:r>
      <w:r w:rsidR="00742573" w:rsidRPr="0082362E">
        <w:rPr>
          <w:i/>
          <w:szCs w:val="24"/>
          <w:shd w:val="clear" w:color="auto" w:fill="FFFFFF"/>
        </w:rPr>
        <w:t xml:space="preserve"> </w:t>
      </w:r>
      <w:r w:rsidR="005272DE" w:rsidRPr="0082362E">
        <w:rPr>
          <w:iCs/>
          <w:szCs w:val="24"/>
          <w:shd w:val="clear" w:color="auto" w:fill="FFFFFF"/>
        </w:rPr>
        <w:t>Komercdarbības atbalsta programmu gadījum</w:t>
      </w:r>
      <w:r w:rsidR="009C200D" w:rsidRPr="0082362E">
        <w:rPr>
          <w:iCs/>
          <w:szCs w:val="24"/>
          <w:shd w:val="clear" w:color="auto" w:fill="FFFFFF"/>
        </w:rPr>
        <w:t>o</w:t>
      </w:r>
      <w:r w:rsidR="005272DE" w:rsidRPr="0082362E">
        <w:rPr>
          <w:iCs/>
          <w:szCs w:val="24"/>
          <w:shd w:val="clear" w:color="auto" w:fill="FFFFFF"/>
        </w:rPr>
        <w:t>s parasti d</w:t>
      </w:r>
      <w:r w:rsidR="00995C19" w:rsidRPr="0082362E">
        <w:rPr>
          <w:szCs w:val="24"/>
          <w:shd w:val="clear" w:color="auto" w:fill="FFFFFF"/>
        </w:rPr>
        <w:t xml:space="preserve">alībvalsts pienākums ir noskaidrot nelikumīgā un nesaderīgā </w:t>
      </w:r>
      <w:r w:rsidR="00D36866">
        <w:rPr>
          <w:szCs w:val="24"/>
          <w:shd w:val="clear" w:color="auto" w:fill="FFFFFF"/>
        </w:rPr>
        <w:t>komercdarbības atb</w:t>
      </w:r>
      <w:r w:rsidR="00995C19" w:rsidRPr="0082362E">
        <w:rPr>
          <w:szCs w:val="24"/>
          <w:shd w:val="clear" w:color="auto" w:fill="FFFFFF"/>
        </w:rPr>
        <w:t>alsta saņēmēju loku</w:t>
      </w:r>
      <w:r w:rsidR="005272DE" w:rsidRPr="0082362E">
        <w:rPr>
          <w:szCs w:val="24"/>
          <w:shd w:val="clear" w:color="auto" w:fill="FFFFFF"/>
        </w:rPr>
        <w:t xml:space="preserve">. </w:t>
      </w:r>
    </w:p>
    <w:p w14:paraId="3B8464F7" w14:textId="77777777" w:rsidR="00D50B89" w:rsidRPr="0082362E" w:rsidRDefault="00D50B89" w:rsidP="00444DFF"/>
    <w:p w14:paraId="61222308" w14:textId="69B4BCEE" w:rsidR="00D50B89" w:rsidRPr="0082362E" w:rsidRDefault="00DC01CB" w:rsidP="00444DFF">
      <w:pPr>
        <w:pStyle w:val="Heading1"/>
        <w:numPr>
          <w:ilvl w:val="0"/>
          <w:numId w:val="9"/>
        </w:numPr>
        <w:spacing w:before="0" w:after="0"/>
        <w:ind w:hanging="927"/>
        <w:rPr>
          <w:rFonts w:eastAsia="Calibri"/>
        </w:rPr>
      </w:pPr>
      <w:bookmarkStart w:id="35" w:name="_Toc536633599"/>
      <w:bookmarkStart w:id="36" w:name="_Toc535941131"/>
      <w:bookmarkStart w:id="37" w:name="_Toc505095856"/>
      <w:bookmarkStart w:id="38" w:name="_Toc504488528"/>
      <w:bookmarkStart w:id="39" w:name="_Toc501113665"/>
      <w:bookmarkStart w:id="40" w:name="_Toc501113626"/>
      <w:bookmarkStart w:id="41" w:name="_Toc501113556"/>
      <w:bookmarkStart w:id="42" w:name="_Toc517100037"/>
      <w:bookmarkStart w:id="43" w:name="_Toc526513343"/>
      <w:bookmarkStart w:id="44" w:name="_Toc526501876"/>
      <w:bookmarkStart w:id="45" w:name="_Toc506902432"/>
      <w:bookmarkStart w:id="46" w:name="_Toc505696465"/>
      <w:bookmarkStart w:id="47" w:name="_Toc505352127"/>
      <w:bookmarkStart w:id="48" w:name="_Toc505335015"/>
      <w:bookmarkStart w:id="49" w:name="_Toc536633603"/>
      <w:bookmarkStart w:id="50" w:name="_Toc535941135"/>
      <w:bookmarkStart w:id="51" w:name="_Toc517100041"/>
      <w:bookmarkStart w:id="52" w:name="_Toc526513347"/>
      <w:bookmarkStart w:id="53" w:name="_Toc526501880"/>
      <w:bookmarkStart w:id="54" w:name="_Toc506902436"/>
      <w:bookmarkStart w:id="55" w:name="_Toc505696469"/>
      <w:bookmarkStart w:id="56" w:name="_Toc505352131"/>
      <w:bookmarkStart w:id="57" w:name="_Toc505335019"/>
      <w:bookmarkStart w:id="58" w:name="_Toc505095860"/>
      <w:bookmarkStart w:id="59" w:name="_Toc504488532"/>
      <w:bookmarkStart w:id="60" w:name="_Toc501113669"/>
      <w:bookmarkStart w:id="61" w:name="_Toc536633606"/>
      <w:bookmarkStart w:id="62" w:name="_Toc535941138"/>
      <w:bookmarkStart w:id="63" w:name="_Toc517100046"/>
      <w:bookmarkStart w:id="64" w:name="_Toc526513350"/>
      <w:bookmarkStart w:id="65" w:name="_Toc526501883"/>
      <w:bookmarkStart w:id="66" w:name="_Toc536633609"/>
      <w:bookmarkStart w:id="67" w:name="_Toc535941141"/>
      <w:bookmarkStart w:id="68" w:name="_Toc517100049"/>
      <w:bookmarkStart w:id="69" w:name="_Toc526513354"/>
      <w:bookmarkStart w:id="70" w:name="_Toc526501886"/>
      <w:bookmarkStart w:id="71" w:name="_Toc526753720"/>
      <w:bookmarkStart w:id="72" w:name="_Toc526513835"/>
      <w:bookmarkStart w:id="73" w:name="_Toc526513726"/>
      <w:bookmarkStart w:id="74" w:name="_Toc526513655"/>
      <w:bookmarkStart w:id="75" w:name="_Toc526513603"/>
      <w:bookmarkStart w:id="76" w:name="_Toc526513546"/>
      <w:bookmarkStart w:id="77" w:name="_Toc526513475"/>
      <w:bookmarkStart w:id="78" w:name="_Toc526513358"/>
      <w:bookmarkStart w:id="79" w:name="_Toc526501890"/>
      <w:bookmarkStart w:id="80" w:name="_Toc526753719"/>
      <w:bookmarkStart w:id="81" w:name="_Toc526513834"/>
      <w:bookmarkStart w:id="82" w:name="_Toc526513725"/>
      <w:bookmarkStart w:id="83" w:name="_Toc526513654"/>
      <w:bookmarkStart w:id="84" w:name="_Toc526513602"/>
      <w:bookmarkStart w:id="85" w:name="_Toc526513545"/>
      <w:bookmarkStart w:id="86" w:name="_Toc526513474"/>
      <w:bookmarkStart w:id="87" w:name="_Toc526513357"/>
      <w:bookmarkStart w:id="88" w:name="_Toc526501889"/>
      <w:bookmarkStart w:id="89" w:name="_Toc536633612"/>
      <w:bookmarkStart w:id="90" w:name="_Toc535941144"/>
      <w:bookmarkStart w:id="91" w:name="_Toc517100052"/>
      <w:bookmarkStart w:id="92" w:name="_Toc526513359"/>
      <w:bookmarkStart w:id="93" w:name="_Toc526501891"/>
      <w:bookmarkStart w:id="94" w:name="_Toc514059990"/>
      <w:bookmarkStart w:id="95" w:name="_Toc536633613"/>
      <w:bookmarkStart w:id="96" w:name="_Toc535941145"/>
      <w:bookmarkStart w:id="97" w:name="_Toc517100053"/>
      <w:bookmarkStart w:id="98" w:name="_Toc526513360"/>
      <w:bookmarkStart w:id="99" w:name="_Toc526501892"/>
      <w:bookmarkStart w:id="100" w:name="_Toc506902437"/>
      <w:bookmarkStart w:id="101" w:name="_Toc505696470"/>
      <w:bookmarkStart w:id="102" w:name="_Toc505352132"/>
      <w:bookmarkStart w:id="103" w:name="_Toc505335020"/>
      <w:bookmarkStart w:id="104" w:name="_Toc505095861"/>
      <w:bookmarkStart w:id="105" w:name="_Toc504488533"/>
      <w:bookmarkStart w:id="106" w:name="_Toc501113670"/>
      <w:bookmarkStart w:id="107" w:name="_Toc529549563"/>
      <w:bookmarkStart w:id="108" w:name="_Toc526753726"/>
      <w:bookmarkStart w:id="109" w:name="_Toc526513841"/>
      <w:bookmarkStart w:id="110" w:name="_Toc526513732"/>
      <w:bookmarkStart w:id="111" w:name="_Toc526513661"/>
      <w:bookmarkStart w:id="112" w:name="_Toc526513609"/>
      <w:bookmarkStart w:id="113" w:name="_Toc526513552"/>
      <w:bookmarkStart w:id="114" w:name="_Toc526513481"/>
      <w:bookmarkStart w:id="115" w:name="_Toc526513364"/>
      <w:bookmarkStart w:id="116" w:name="_Toc526753725"/>
      <w:bookmarkStart w:id="117" w:name="_Toc526513840"/>
      <w:bookmarkStart w:id="118" w:name="_Toc526513731"/>
      <w:bookmarkStart w:id="119" w:name="_Toc526513660"/>
      <w:bookmarkStart w:id="120" w:name="_Toc526513608"/>
      <w:bookmarkStart w:id="121" w:name="_Toc526513551"/>
      <w:bookmarkStart w:id="122" w:name="_Toc526513480"/>
      <w:bookmarkStart w:id="123" w:name="_Toc526513363"/>
      <w:bookmarkStart w:id="124" w:name="_Toc526753724"/>
      <w:bookmarkStart w:id="125" w:name="_Toc526513839"/>
      <w:bookmarkStart w:id="126" w:name="_Toc526513730"/>
      <w:bookmarkStart w:id="127" w:name="_Toc526513659"/>
      <w:bookmarkStart w:id="128" w:name="_Toc526513607"/>
      <w:bookmarkStart w:id="129" w:name="_Toc526513550"/>
      <w:bookmarkStart w:id="130" w:name="_Toc526513479"/>
      <w:bookmarkStart w:id="131" w:name="_Toc526513362"/>
      <w:bookmarkStart w:id="132" w:name="_Toc526753723"/>
      <w:bookmarkStart w:id="133" w:name="_Toc526513838"/>
      <w:bookmarkStart w:id="134" w:name="_Toc526513729"/>
      <w:bookmarkStart w:id="135" w:name="_Toc526513658"/>
      <w:bookmarkStart w:id="136" w:name="_Toc526513606"/>
      <w:bookmarkStart w:id="137" w:name="_Toc526513549"/>
      <w:bookmarkStart w:id="138" w:name="_Toc526513478"/>
      <w:bookmarkStart w:id="139" w:name="_Toc526513361"/>
      <w:bookmarkStart w:id="140" w:name="_Toc536633614"/>
      <w:bookmarkStart w:id="141" w:name="_Toc535941146"/>
      <w:bookmarkStart w:id="142" w:name="_Toc517100054"/>
      <w:bookmarkStart w:id="143" w:name="_Toc526513365"/>
      <w:bookmarkStart w:id="144" w:name="_Toc526501893"/>
      <w:bookmarkStart w:id="145" w:name="_Toc536633615"/>
      <w:bookmarkStart w:id="146" w:name="_Toc535941147"/>
      <w:bookmarkStart w:id="147" w:name="_Toc517100055"/>
      <w:bookmarkStart w:id="148" w:name="_Toc526513366"/>
      <w:bookmarkStart w:id="149" w:name="_Toc526501894"/>
      <w:bookmarkStart w:id="150" w:name="_Ref516839225"/>
      <w:bookmarkStart w:id="151" w:name="_Toc536633619"/>
      <w:bookmarkStart w:id="152" w:name="_Toc535941151"/>
      <w:bookmarkStart w:id="153" w:name="_Toc517100059"/>
      <w:bookmarkStart w:id="154" w:name="_Toc526513370"/>
      <w:bookmarkStart w:id="155" w:name="_Toc526501898"/>
      <w:bookmarkStart w:id="156" w:name="_Ref517344324"/>
      <w:bookmarkStart w:id="157" w:name="_Ref516843502"/>
      <w:bookmarkStart w:id="158" w:name="_Ref506975671"/>
      <w:bookmarkStart w:id="159" w:name="_Toc506902455"/>
      <w:bookmarkStart w:id="160" w:name="_Toc505696488"/>
      <w:bookmarkStart w:id="161" w:name="_Ref505353513"/>
      <w:bookmarkStart w:id="162" w:name="_Toc505352149"/>
      <w:bookmarkStart w:id="163" w:name="_Toc505335037"/>
      <w:bookmarkStart w:id="164" w:name="_Toc505095878"/>
      <w:bookmarkStart w:id="165" w:name="_Toc504488550"/>
      <w:bookmarkStart w:id="166" w:name="_Toc501113687"/>
      <w:bookmarkStart w:id="167" w:name="_Toc514060057"/>
      <w:bookmarkStart w:id="168" w:name="_Toc504488546"/>
      <w:bookmarkStart w:id="169" w:name="_Toc514060056"/>
      <w:bookmarkStart w:id="170" w:name="_Toc514060000"/>
      <w:bookmarkStart w:id="171" w:name="_Toc526753735"/>
      <w:bookmarkStart w:id="172" w:name="_Toc526753734"/>
      <w:bookmarkStart w:id="173" w:name="_Toc536633621"/>
      <w:bookmarkStart w:id="174" w:name="_Toc535941153"/>
      <w:bookmarkStart w:id="175" w:name="_Toc517100061"/>
      <w:bookmarkStart w:id="176" w:name="_Toc526513372"/>
      <w:bookmarkStart w:id="177" w:name="_Toc526501900"/>
      <w:bookmarkStart w:id="178" w:name="_Toc506902457"/>
      <w:bookmarkStart w:id="179" w:name="_Toc505696489"/>
      <w:bookmarkStart w:id="180" w:name="_Toc505352150"/>
      <w:bookmarkStart w:id="181" w:name="_Toc505335038"/>
      <w:bookmarkStart w:id="182" w:name="_Toc505095879"/>
      <w:bookmarkStart w:id="183" w:name="_Toc504488551"/>
      <w:bookmarkStart w:id="184" w:name="_Toc501113707"/>
      <w:bookmarkStart w:id="185" w:name="_Toc501113649"/>
      <w:bookmarkStart w:id="186" w:name="_Toc50111357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82362E">
        <w:t xml:space="preserve">Galvenie </w:t>
      </w:r>
      <w:r w:rsidR="0024466A" w:rsidRPr="0024466A">
        <w:t xml:space="preserve">nesaderīga un/vai nelikumīga komercdarbības  </w:t>
      </w:r>
      <w:r w:rsidRPr="0082362E">
        <w:t xml:space="preserve">atbalsta atgūšanas principi </w:t>
      </w:r>
    </w:p>
    <w:p w14:paraId="75A6D8CC" w14:textId="77777777" w:rsidR="00D50B89" w:rsidRPr="0082362E" w:rsidRDefault="00D50B89" w:rsidP="00444DFF">
      <w:pPr>
        <w:ind w:firstLine="567"/>
        <w:contextualSpacing/>
        <w:rPr>
          <w:rFonts w:ascii="Times New Roman" w:hAnsi="Times New Roman" w:cs="Times New Roman"/>
          <w:sz w:val="24"/>
          <w:szCs w:val="24"/>
        </w:rPr>
      </w:pPr>
    </w:p>
    <w:p w14:paraId="1CD803B8" w14:textId="5FCB9FDF" w:rsidR="00CE18CA" w:rsidRPr="0082362E" w:rsidRDefault="00DC01CB" w:rsidP="00444DFF">
      <w:pPr>
        <w:ind w:firstLine="567"/>
        <w:contextualSpacing/>
        <w:rPr>
          <w:rFonts w:ascii="Times New Roman" w:hAnsi="Times New Roman" w:cs="Times New Roman"/>
          <w:sz w:val="24"/>
          <w:szCs w:val="24"/>
        </w:rPr>
      </w:pPr>
      <w:r w:rsidRPr="0082362E">
        <w:rPr>
          <w:rFonts w:ascii="Times New Roman" w:hAnsi="Times New Roman" w:cs="Times New Roman"/>
          <w:sz w:val="24"/>
          <w:szCs w:val="24"/>
        </w:rPr>
        <w:t xml:space="preserve">Latvijā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sniedzējs pamatā ir publisko tiesību juridiskā persona – tiešās vai pastarpinātas valsts pārvaldes iestādes (atsevišķos gadījumos tās var būt arī institūcijas, </w:t>
      </w:r>
      <w:r w:rsidRPr="0082362E">
        <w:rPr>
          <w:rFonts w:ascii="Times New Roman" w:eastAsia="Times New Roman" w:hAnsi="Times New Roman" w:cs="Times New Roman"/>
          <w:sz w:val="24"/>
          <w:szCs w:val="24"/>
          <w:lang w:bidi="ar-SA"/>
        </w:rPr>
        <w:t>kam deleģētas atbalsta sniedzēja funkcijas, piemēram, kompetences centri, valsts kapitālsabiedrības, bankas, u.c.)</w:t>
      </w:r>
      <w:r w:rsidRPr="0082362E">
        <w:rPr>
          <w:rFonts w:ascii="Times New Roman" w:hAnsi="Times New Roman" w:cs="Times New Roman"/>
          <w:sz w:val="24"/>
          <w:szCs w:val="24"/>
        </w:rPr>
        <w:t xml:space="preserve">.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piešķiršana</w:t>
      </w:r>
      <w:r w:rsidR="00CE18CA" w:rsidRPr="0082362E">
        <w:rPr>
          <w:rStyle w:val="FootnoteReference"/>
          <w:rFonts w:ascii="Times New Roman" w:hAnsi="Times New Roman" w:cs="Times New Roman"/>
          <w:sz w:val="24"/>
          <w:szCs w:val="24"/>
        </w:rPr>
        <w:footnoteReference w:id="23"/>
      </w:r>
      <w:r w:rsidRPr="0082362E">
        <w:rPr>
          <w:rFonts w:ascii="Times New Roman" w:hAnsi="Times New Roman" w:cs="Times New Roman"/>
          <w:sz w:val="24"/>
          <w:szCs w:val="24"/>
        </w:rPr>
        <w:t xml:space="preserve"> Latvijā pārsvarā tiek autorizēta ar Ministru kabineta noteikumu vai pašvaldību saistošo noteikumu starpniecību</w:t>
      </w:r>
      <w:r w:rsidR="00672110" w:rsidRPr="0082362E">
        <w:rPr>
          <w:rFonts w:ascii="Times New Roman" w:hAnsi="Times New Roman" w:cs="Times New Roman"/>
          <w:sz w:val="24"/>
          <w:szCs w:val="24"/>
        </w:rPr>
        <w:t xml:space="preserve">, taču </w:t>
      </w:r>
      <w:r w:rsidR="00672110" w:rsidRPr="0082362E">
        <w:rPr>
          <w:rFonts w:ascii="Times New Roman" w:hAnsi="Times New Roman" w:cs="Times New Roman"/>
          <w:sz w:val="24"/>
          <w:szCs w:val="24"/>
          <w:lang w:eastAsia="ru-RU"/>
        </w:rPr>
        <w:t xml:space="preserve">lēmumu </w:t>
      </w:r>
      <w:r w:rsidR="00672110" w:rsidRPr="0082362E">
        <w:rPr>
          <w:rFonts w:ascii="Times New Roman" w:eastAsia="Times New Roman" w:hAnsi="Times New Roman" w:cs="Times New Roman"/>
          <w:sz w:val="24"/>
          <w:szCs w:val="24"/>
          <w:lang w:eastAsia="ru-RU"/>
        </w:rPr>
        <w:t xml:space="preserve">sniegt </w:t>
      </w:r>
      <w:r w:rsidR="00D36866">
        <w:rPr>
          <w:rFonts w:ascii="Times New Roman" w:eastAsia="Times New Roman" w:hAnsi="Times New Roman" w:cs="Times New Roman"/>
          <w:sz w:val="24"/>
          <w:szCs w:val="24"/>
          <w:lang w:eastAsia="ru-RU"/>
        </w:rPr>
        <w:t>komercdarbības atb</w:t>
      </w:r>
      <w:r w:rsidR="00672110" w:rsidRPr="0082362E">
        <w:rPr>
          <w:rFonts w:ascii="Times New Roman" w:eastAsia="Times New Roman" w:hAnsi="Times New Roman" w:cs="Times New Roman"/>
          <w:sz w:val="24"/>
          <w:szCs w:val="24"/>
          <w:lang w:eastAsia="ru-RU"/>
        </w:rPr>
        <w:t>alstu var pieņemt arī</w:t>
      </w:r>
      <w:r w:rsidR="00000897" w:rsidRPr="0082362E">
        <w:rPr>
          <w:rFonts w:ascii="Times New Roman" w:eastAsia="Times New Roman" w:hAnsi="Times New Roman" w:cs="Times New Roman"/>
          <w:sz w:val="24"/>
          <w:szCs w:val="24"/>
          <w:lang w:eastAsia="ru-RU"/>
        </w:rPr>
        <w:t>, piemēram,</w:t>
      </w:r>
      <w:r w:rsidR="00672110" w:rsidRPr="0082362E">
        <w:rPr>
          <w:rFonts w:ascii="Times New Roman" w:eastAsia="Times New Roman" w:hAnsi="Times New Roman" w:cs="Times New Roman"/>
          <w:sz w:val="24"/>
          <w:szCs w:val="24"/>
          <w:lang w:eastAsia="ru-RU"/>
        </w:rPr>
        <w:t xml:space="preserve"> Saeima vai tiesa</w:t>
      </w:r>
      <w:r w:rsidRPr="0082362E">
        <w:rPr>
          <w:rFonts w:ascii="Times New Roman" w:hAnsi="Times New Roman" w:cs="Times New Roman"/>
          <w:sz w:val="24"/>
          <w:szCs w:val="24"/>
        </w:rPr>
        <w:t>.</w:t>
      </w:r>
    </w:p>
    <w:p w14:paraId="26137C31" w14:textId="486AE8AD" w:rsidR="00672110" w:rsidRPr="0082362E" w:rsidRDefault="00DC01CB" w:rsidP="008160F5">
      <w:pPr>
        <w:ind w:firstLine="567"/>
        <w:contextualSpacing/>
        <w:rPr>
          <w:rFonts w:ascii="Times New Roman" w:hAnsi="Times New Roman" w:cs="Times New Roman"/>
          <w:sz w:val="24"/>
          <w:szCs w:val="24"/>
        </w:rPr>
      </w:pPr>
      <w:r w:rsidRPr="0082362E">
        <w:rPr>
          <w:rFonts w:ascii="Times New Roman" w:hAnsi="Times New Roman" w:cs="Times New Roman"/>
          <w:sz w:val="24"/>
          <w:szCs w:val="24"/>
        </w:rPr>
        <w:t xml:space="preserve"> Ja tiek konstatēts, ka ir ticis piešķirts nelikumīgs un </w:t>
      </w:r>
      <w:r w:rsidR="00E37C8F" w:rsidRPr="0082362E">
        <w:rPr>
          <w:rFonts w:ascii="Times New Roman" w:eastAsia="Times New Roman" w:hAnsi="Times New Roman" w:cs="Times New Roman"/>
          <w:bCs/>
          <w:sz w:val="24"/>
          <w:szCs w:val="24"/>
        </w:rPr>
        <w:t xml:space="preserve">neatbilstošs nosacījumiem par </w:t>
      </w:r>
      <w:r w:rsidR="00D36866">
        <w:rPr>
          <w:rFonts w:ascii="Times New Roman" w:eastAsia="Times New Roman" w:hAnsi="Times New Roman" w:cs="Times New Roman"/>
          <w:bCs/>
          <w:sz w:val="24"/>
          <w:szCs w:val="24"/>
        </w:rPr>
        <w:t>komercdarbības atb</w:t>
      </w:r>
      <w:r w:rsidR="00E37C8F" w:rsidRPr="0082362E">
        <w:rPr>
          <w:rFonts w:ascii="Times New Roman" w:eastAsia="Times New Roman" w:hAnsi="Times New Roman" w:cs="Times New Roman"/>
          <w:bCs/>
          <w:sz w:val="24"/>
          <w:szCs w:val="24"/>
        </w:rPr>
        <w:t xml:space="preserve">alsta saderību ar </w:t>
      </w:r>
      <w:r w:rsidR="008160F5" w:rsidRPr="0082362E">
        <w:rPr>
          <w:rFonts w:ascii="Times New Roman" w:eastAsia="Times New Roman" w:hAnsi="Times New Roman" w:cs="Times New Roman"/>
          <w:sz w:val="24"/>
          <w:szCs w:val="24"/>
          <w:lang w:eastAsia="ru-RU"/>
        </w:rPr>
        <w:t>ES</w:t>
      </w:r>
      <w:r w:rsidR="00E37C8F" w:rsidRPr="0082362E">
        <w:rPr>
          <w:rFonts w:ascii="Times New Roman" w:eastAsia="Times New Roman" w:hAnsi="Times New Roman" w:cs="Times New Roman"/>
          <w:sz w:val="24"/>
          <w:szCs w:val="24"/>
          <w:lang w:eastAsia="ru-RU"/>
        </w:rPr>
        <w:t xml:space="preserve"> iekšējo tirgu </w:t>
      </w:r>
      <w:r w:rsidRPr="0082362E">
        <w:rPr>
          <w:rFonts w:ascii="Times New Roman" w:hAnsi="Times New Roman" w:cs="Times New Roman"/>
          <w:sz w:val="24"/>
          <w:szCs w:val="24"/>
        </w:rPr>
        <w:t xml:space="preserve">atbalsts, kā rezultātā </w:t>
      </w:r>
      <w:r w:rsidR="008160F5" w:rsidRPr="0082362E">
        <w:rPr>
          <w:rFonts w:ascii="Times New Roman" w:hAnsi="Times New Roman" w:cs="Times New Roman"/>
          <w:sz w:val="24"/>
          <w:szCs w:val="24"/>
        </w:rPr>
        <w:t xml:space="preserve">atbalsta sniedzējam </w:t>
      </w:r>
      <w:r w:rsidRPr="0082362E">
        <w:rPr>
          <w:rFonts w:ascii="Times New Roman" w:hAnsi="Times New Roman" w:cs="Times New Roman"/>
          <w:sz w:val="24"/>
          <w:szCs w:val="24"/>
        </w:rPr>
        <w:t xml:space="preserve">jāveic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a atgūšana</w:t>
      </w:r>
      <w:r w:rsidR="0014275C" w:rsidRPr="0082362E">
        <w:rPr>
          <w:rFonts w:ascii="Times New Roman" w:hAnsi="Times New Roman" w:cs="Times New Roman"/>
          <w:sz w:val="24"/>
          <w:szCs w:val="24"/>
        </w:rPr>
        <w:t>, un</w:t>
      </w:r>
      <w:r w:rsidRPr="0082362E">
        <w:rPr>
          <w:rFonts w:ascii="Times New Roman" w:hAnsi="Times New Roman" w:cs="Times New Roman"/>
          <w:sz w:val="24"/>
          <w:szCs w:val="24"/>
        </w:rPr>
        <w:t xml:space="preserve"> </w:t>
      </w:r>
      <w:r w:rsidR="0014275C" w:rsidRPr="0082362E">
        <w:rPr>
          <w:rFonts w:ascii="Times New Roman" w:hAnsi="Times New Roman" w:cs="Times New Roman"/>
          <w:sz w:val="24"/>
          <w:szCs w:val="24"/>
        </w:rPr>
        <w:t>g</w:t>
      </w:r>
      <w:r w:rsidR="00672110" w:rsidRPr="0082362E">
        <w:rPr>
          <w:rFonts w:ascii="Times New Roman" w:hAnsi="Times New Roman" w:cs="Times New Roman"/>
          <w:sz w:val="24"/>
          <w:szCs w:val="24"/>
        </w:rPr>
        <w:t>adījumos, ja</w:t>
      </w:r>
      <w:r w:rsidR="00672110" w:rsidRPr="0082362E">
        <w:rPr>
          <w:rFonts w:ascii="Times New Roman" w:eastAsia="Times New Roman" w:hAnsi="Times New Roman" w:cs="Times New Roman"/>
          <w:sz w:val="24"/>
          <w:szCs w:val="24"/>
          <w:lang w:eastAsia="ru-RU"/>
        </w:rPr>
        <w:t xml:space="preserve"> </w:t>
      </w:r>
      <w:r w:rsidR="00D36866">
        <w:rPr>
          <w:rFonts w:ascii="Times New Roman" w:eastAsia="Times New Roman" w:hAnsi="Times New Roman" w:cs="Times New Roman"/>
          <w:sz w:val="24"/>
          <w:szCs w:val="24"/>
          <w:lang w:eastAsia="ru-RU"/>
        </w:rPr>
        <w:t>komercdarbības atb</w:t>
      </w:r>
      <w:r w:rsidR="00672110" w:rsidRPr="0082362E">
        <w:rPr>
          <w:rFonts w:ascii="Times New Roman" w:eastAsia="Times New Roman" w:hAnsi="Times New Roman" w:cs="Times New Roman"/>
          <w:sz w:val="24"/>
          <w:szCs w:val="24"/>
          <w:lang w:eastAsia="ru-RU"/>
        </w:rPr>
        <w:t xml:space="preserve">alstu piešķirošajā tiesību aktā nav norādīta institūcija, kas nepieciešamības gadījumā veiktu nelikumīgā </w:t>
      </w:r>
      <w:r w:rsidR="00D36866">
        <w:rPr>
          <w:rFonts w:ascii="Times New Roman" w:eastAsia="Times New Roman" w:hAnsi="Times New Roman" w:cs="Times New Roman"/>
          <w:sz w:val="24"/>
          <w:szCs w:val="24"/>
          <w:lang w:eastAsia="ru-RU"/>
        </w:rPr>
        <w:t>komercdarbības atb</w:t>
      </w:r>
      <w:r w:rsidR="00672110" w:rsidRPr="0082362E">
        <w:rPr>
          <w:rFonts w:ascii="Times New Roman" w:eastAsia="Times New Roman" w:hAnsi="Times New Roman" w:cs="Times New Roman"/>
          <w:sz w:val="24"/>
          <w:szCs w:val="24"/>
          <w:lang w:eastAsia="ru-RU"/>
        </w:rPr>
        <w:t xml:space="preserve">alsta atgūšanu, to nodrošina ministrija, kuras atbildības jomā lēmums pieņemts. Ar ministriju, kuras atbildības jomā lēmums sniegt </w:t>
      </w:r>
      <w:r w:rsidR="00D36866">
        <w:rPr>
          <w:rFonts w:ascii="Times New Roman" w:eastAsia="Times New Roman" w:hAnsi="Times New Roman" w:cs="Times New Roman"/>
          <w:sz w:val="24"/>
          <w:szCs w:val="24"/>
          <w:lang w:eastAsia="ru-RU"/>
        </w:rPr>
        <w:t>komercdarbības atb</w:t>
      </w:r>
      <w:r w:rsidR="00672110" w:rsidRPr="0082362E">
        <w:rPr>
          <w:rFonts w:ascii="Times New Roman" w:eastAsia="Times New Roman" w:hAnsi="Times New Roman" w:cs="Times New Roman"/>
          <w:sz w:val="24"/>
          <w:szCs w:val="24"/>
          <w:lang w:eastAsia="ru-RU"/>
        </w:rPr>
        <w:t xml:space="preserve">alstu pieņemts, </w:t>
      </w:r>
      <w:r w:rsidR="00F81708" w:rsidRPr="0082362E">
        <w:rPr>
          <w:rFonts w:ascii="Times New Roman" w:eastAsia="Times New Roman" w:hAnsi="Times New Roman" w:cs="Times New Roman"/>
          <w:sz w:val="24"/>
          <w:szCs w:val="24"/>
          <w:lang w:eastAsia="ru-RU"/>
        </w:rPr>
        <w:t>ir</w:t>
      </w:r>
      <w:r w:rsidR="00672110" w:rsidRPr="0082362E">
        <w:rPr>
          <w:rFonts w:ascii="Times New Roman" w:eastAsia="Times New Roman" w:hAnsi="Times New Roman" w:cs="Times New Roman"/>
          <w:sz w:val="24"/>
          <w:szCs w:val="24"/>
          <w:lang w:eastAsia="ru-RU"/>
        </w:rPr>
        <w:t xml:space="preserve"> jāsaprot attiecīgās nozares ministrija, kuras kompetencē būtu attiecīgā </w:t>
      </w:r>
      <w:r w:rsidR="00D36866">
        <w:rPr>
          <w:rFonts w:ascii="Times New Roman" w:eastAsia="Times New Roman" w:hAnsi="Times New Roman" w:cs="Times New Roman"/>
          <w:sz w:val="24"/>
          <w:szCs w:val="24"/>
          <w:lang w:eastAsia="ru-RU"/>
        </w:rPr>
        <w:t>komercdarbības atb</w:t>
      </w:r>
      <w:r w:rsidR="00672110" w:rsidRPr="0082362E">
        <w:rPr>
          <w:rFonts w:ascii="Times New Roman" w:eastAsia="Times New Roman" w:hAnsi="Times New Roman" w:cs="Times New Roman"/>
          <w:sz w:val="24"/>
          <w:szCs w:val="24"/>
          <w:lang w:eastAsia="ru-RU"/>
        </w:rPr>
        <w:t xml:space="preserve">alsta pasākuma ieviešana. </w:t>
      </w:r>
    </w:p>
    <w:p w14:paraId="3A6EC736" w14:textId="1D90E851" w:rsidR="00BA6431" w:rsidRPr="0082362E" w:rsidRDefault="00DC01CB" w:rsidP="00BA6431">
      <w:pPr>
        <w:ind w:firstLine="567"/>
        <w:rPr>
          <w:rFonts w:ascii="Times New Roman" w:hAnsi="Times New Roman" w:cs="Times New Roman"/>
          <w:bCs/>
          <w:sz w:val="24"/>
          <w:szCs w:val="24"/>
        </w:rPr>
      </w:pPr>
      <w:r w:rsidRPr="0082362E">
        <w:rPr>
          <w:rFonts w:ascii="Times New Roman" w:hAnsi="Times New Roman" w:cs="Times New Roman"/>
          <w:sz w:val="24"/>
          <w:szCs w:val="24"/>
        </w:rPr>
        <w:t xml:space="preserve">Atgūšana ir veicama attiecīgās dalībvalsts nacionālajos </w:t>
      </w:r>
      <w:r w:rsidR="00693056" w:rsidRPr="0082362E">
        <w:rPr>
          <w:rFonts w:ascii="Times New Roman" w:hAnsi="Times New Roman" w:cs="Times New Roman"/>
          <w:sz w:val="24"/>
          <w:szCs w:val="24"/>
        </w:rPr>
        <w:t xml:space="preserve">tiesību </w:t>
      </w:r>
      <w:r w:rsidRPr="0082362E">
        <w:rPr>
          <w:rFonts w:ascii="Times New Roman" w:hAnsi="Times New Roman" w:cs="Times New Roman"/>
          <w:sz w:val="24"/>
          <w:szCs w:val="24"/>
        </w:rPr>
        <w:t xml:space="preserve">aktos noteiktajā kārtībā. Latvijas Republikā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nozarē galvenais </w:t>
      </w:r>
      <w:r w:rsidR="00693056" w:rsidRPr="0082362E">
        <w:rPr>
          <w:rFonts w:ascii="Times New Roman" w:hAnsi="Times New Roman" w:cs="Times New Roman"/>
          <w:sz w:val="24"/>
          <w:szCs w:val="24"/>
        </w:rPr>
        <w:t xml:space="preserve">tiesību </w:t>
      </w:r>
      <w:r w:rsidRPr="0082362E">
        <w:rPr>
          <w:rFonts w:ascii="Times New Roman" w:hAnsi="Times New Roman" w:cs="Times New Roman"/>
          <w:sz w:val="24"/>
          <w:szCs w:val="24"/>
        </w:rPr>
        <w:t xml:space="preserve">akts jeb </w:t>
      </w:r>
      <w:r w:rsidR="00550A2F" w:rsidRPr="0082362E">
        <w:rPr>
          <w:rFonts w:ascii="Times New Roman" w:hAnsi="Times New Roman" w:cs="Times New Roman"/>
          <w:sz w:val="24"/>
          <w:szCs w:val="24"/>
        </w:rPr>
        <w:t>“</w:t>
      </w:r>
      <w:r w:rsidRPr="0082362E">
        <w:rPr>
          <w:rFonts w:ascii="Times New Roman" w:hAnsi="Times New Roman" w:cs="Times New Roman"/>
          <w:sz w:val="24"/>
          <w:szCs w:val="24"/>
        </w:rPr>
        <w:t>jumta likums</w:t>
      </w:r>
      <w:r w:rsidR="00550A2F" w:rsidRPr="0082362E">
        <w:rPr>
          <w:rFonts w:ascii="Times New Roman" w:hAnsi="Times New Roman" w:cs="Times New Roman"/>
          <w:sz w:val="24"/>
          <w:szCs w:val="24"/>
        </w:rPr>
        <w:t>”</w:t>
      </w:r>
      <w:r w:rsidRPr="0082362E">
        <w:rPr>
          <w:rFonts w:ascii="Times New Roman" w:hAnsi="Times New Roman" w:cs="Times New Roman"/>
          <w:sz w:val="24"/>
          <w:szCs w:val="24"/>
        </w:rPr>
        <w:t xml:space="preserve"> ir Komercdarbības atbalsta kontroles likums</w:t>
      </w:r>
      <w:r w:rsidR="00F81708" w:rsidRPr="0082362E">
        <w:rPr>
          <w:rFonts w:ascii="Times New Roman" w:hAnsi="Times New Roman" w:cs="Times New Roman"/>
          <w:sz w:val="24"/>
          <w:szCs w:val="24"/>
        </w:rPr>
        <w:t xml:space="preserve"> (turpmāk – KAKL)</w:t>
      </w:r>
      <w:r w:rsidRPr="0082362E">
        <w:rPr>
          <w:rFonts w:ascii="Times New Roman" w:hAnsi="Times New Roman" w:cs="Times New Roman"/>
          <w:sz w:val="24"/>
          <w:szCs w:val="24"/>
        </w:rPr>
        <w:t xml:space="preserve">. </w:t>
      </w:r>
      <w:r w:rsidR="00BA6431" w:rsidRPr="0082362E">
        <w:rPr>
          <w:rFonts w:ascii="Times New Roman" w:hAnsi="Times New Roman" w:cs="Times New Roman"/>
          <w:sz w:val="24"/>
          <w:szCs w:val="24"/>
        </w:rPr>
        <w:t>KAKL</w:t>
      </w:r>
      <w:r w:rsidRPr="0082362E">
        <w:rPr>
          <w:rFonts w:ascii="Times New Roman" w:hAnsi="Times New Roman" w:cs="Times New Roman"/>
          <w:sz w:val="24"/>
          <w:szCs w:val="24"/>
        </w:rPr>
        <w:t xml:space="preserve"> nosaka, ka atbalsta sniedzējs nelikumīga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alstu atgūst</w:t>
      </w:r>
      <w:r w:rsidR="00BA6431" w:rsidRPr="0082362E">
        <w:rPr>
          <w:rFonts w:ascii="Times New Roman" w:hAnsi="Times New Roman" w:cs="Times New Roman"/>
          <w:bCs/>
          <w:sz w:val="24"/>
          <w:szCs w:val="24"/>
        </w:rPr>
        <w:t xml:space="preserve"> </w:t>
      </w:r>
      <w:r w:rsidR="00BA6431" w:rsidRPr="0082362E">
        <w:rPr>
          <w:rFonts w:ascii="Times New Roman" w:hAnsi="Times New Roman"/>
          <w:sz w:val="24"/>
          <w:u w:val="single"/>
        </w:rPr>
        <w:t xml:space="preserve">civilprocesa vai administratīvā procesa kārtībā, ja citos </w:t>
      </w:r>
      <w:r w:rsidR="00693056" w:rsidRPr="0082362E">
        <w:rPr>
          <w:rFonts w:ascii="Times New Roman" w:hAnsi="Times New Roman"/>
          <w:sz w:val="24"/>
          <w:u w:val="single"/>
        </w:rPr>
        <w:t xml:space="preserve">tiesību </w:t>
      </w:r>
      <w:r w:rsidR="00BA6431" w:rsidRPr="0082362E">
        <w:rPr>
          <w:rFonts w:ascii="Times New Roman" w:hAnsi="Times New Roman"/>
          <w:sz w:val="24"/>
          <w:u w:val="single"/>
        </w:rPr>
        <w:t>aktos nav noteikts citādi</w:t>
      </w:r>
      <w:r w:rsidR="00BA6431" w:rsidRPr="0082362E">
        <w:rPr>
          <w:rStyle w:val="FootnoteReference"/>
          <w:rFonts w:ascii="Times New Roman" w:hAnsi="Times New Roman"/>
          <w:sz w:val="24"/>
          <w:u w:val="single"/>
        </w:rPr>
        <w:footnoteReference w:id="24"/>
      </w:r>
      <w:r w:rsidR="00BA6431" w:rsidRPr="0082362E">
        <w:rPr>
          <w:rFonts w:ascii="Times New Roman" w:hAnsi="Times New Roman" w:cs="Times New Roman"/>
          <w:bCs/>
          <w:sz w:val="24"/>
          <w:szCs w:val="24"/>
        </w:rPr>
        <w:t xml:space="preserve">. </w:t>
      </w:r>
    </w:p>
    <w:p w14:paraId="46DD31BE" w14:textId="1578FCAF" w:rsidR="00496265" w:rsidRPr="0082362E" w:rsidRDefault="00496D1A" w:rsidP="00496265">
      <w:pPr>
        <w:tabs>
          <w:tab w:val="left" w:pos="426"/>
        </w:tabs>
        <w:ind w:firstLine="567"/>
        <w:rPr>
          <w:rFonts w:ascii="Times New Roman" w:eastAsia="Times New Roman" w:hAnsi="Times New Roman" w:cs="Times New Roman"/>
          <w:sz w:val="24"/>
          <w:szCs w:val="24"/>
          <w:lang w:eastAsia="ru-RU"/>
        </w:rPr>
      </w:pPr>
      <w:r w:rsidRPr="0082362E">
        <w:rPr>
          <w:rFonts w:ascii="Times New Roman" w:hAnsi="Times New Roman" w:cs="Times New Roman"/>
          <w:sz w:val="24"/>
          <w:szCs w:val="24"/>
        </w:rPr>
        <w:t>J</w:t>
      </w:r>
      <w:r w:rsidR="00DC01CB" w:rsidRPr="0082362E">
        <w:rPr>
          <w:rFonts w:ascii="Times New Roman" w:hAnsi="Times New Roman" w:cs="Times New Roman"/>
          <w:sz w:val="24"/>
          <w:szCs w:val="24"/>
        </w:rPr>
        <w:t xml:space="preserve">a </w:t>
      </w:r>
      <w:r w:rsidR="00D36866">
        <w:rPr>
          <w:rFonts w:ascii="Times New Roman" w:hAnsi="Times New Roman" w:cs="Times New Roman"/>
          <w:sz w:val="24"/>
          <w:szCs w:val="24"/>
        </w:rPr>
        <w:t>komercdarbības atb</w:t>
      </w:r>
      <w:r w:rsidR="00DC01CB" w:rsidRPr="0082362E">
        <w:rPr>
          <w:rFonts w:ascii="Times New Roman" w:hAnsi="Times New Roman" w:cs="Times New Roman"/>
          <w:sz w:val="24"/>
          <w:szCs w:val="24"/>
        </w:rPr>
        <w:t xml:space="preserve">alsts ir piešķirts saskaņā ar civiltiesisku līgumu, tad </w:t>
      </w:r>
      <w:r w:rsidRPr="0082362E">
        <w:rPr>
          <w:rFonts w:ascii="Times New Roman" w:eastAsia="Times New Roman" w:hAnsi="Times New Roman" w:cs="Times New Roman"/>
          <w:sz w:val="24"/>
          <w:szCs w:val="24"/>
          <w:lang w:eastAsia="ru-RU"/>
        </w:rPr>
        <w:t xml:space="preserve">nelikumīgu un nesaderīgu </w:t>
      </w:r>
      <w:r w:rsidR="00D36866">
        <w:rPr>
          <w:rFonts w:ascii="Times New Roman" w:hAnsi="Times New Roman" w:cs="Times New Roman"/>
          <w:sz w:val="24"/>
          <w:szCs w:val="24"/>
        </w:rPr>
        <w:t>komercdarbības atb</w:t>
      </w:r>
      <w:r w:rsidR="00DC01CB" w:rsidRPr="0082362E">
        <w:rPr>
          <w:rFonts w:ascii="Times New Roman" w:hAnsi="Times New Roman" w:cs="Times New Roman"/>
          <w:sz w:val="24"/>
          <w:szCs w:val="24"/>
        </w:rPr>
        <w:t xml:space="preserve">alstu </w:t>
      </w:r>
      <w:r w:rsidRPr="0082362E">
        <w:rPr>
          <w:rFonts w:ascii="Times New Roman" w:eastAsia="Times New Roman" w:hAnsi="Times New Roman" w:cs="Times New Roman"/>
          <w:sz w:val="24"/>
          <w:szCs w:val="24"/>
          <w:lang w:eastAsia="ru-RU"/>
        </w:rPr>
        <w:t xml:space="preserve">kopā ar procentiem </w:t>
      </w:r>
      <w:r w:rsidR="00DC01CB" w:rsidRPr="0082362E">
        <w:rPr>
          <w:rFonts w:ascii="Times New Roman" w:hAnsi="Times New Roman" w:cs="Times New Roman"/>
          <w:sz w:val="24"/>
          <w:szCs w:val="24"/>
        </w:rPr>
        <w:t xml:space="preserve">atgūst un citus ar šo līgumu saistītos strīdus risina Civilprocesa likumā un citos </w:t>
      </w:r>
      <w:r w:rsidR="00693056" w:rsidRPr="0082362E">
        <w:rPr>
          <w:rFonts w:ascii="Times New Roman" w:hAnsi="Times New Roman" w:cs="Times New Roman"/>
          <w:sz w:val="24"/>
          <w:szCs w:val="24"/>
        </w:rPr>
        <w:t xml:space="preserve">tiesību </w:t>
      </w:r>
      <w:r w:rsidR="00DC01CB" w:rsidRPr="0082362E">
        <w:rPr>
          <w:rFonts w:ascii="Times New Roman" w:hAnsi="Times New Roman" w:cs="Times New Roman"/>
          <w:sz w:val="24"/>
          <w:szCs w:val="24"/>
        </w:rPr>
        <w:t>aktos noteiktajā kārtībā</w:t>
      </w:r>
      <w:r w:rsidRPr="0082362E">
        <w:rPr>
          <w:rFonts w:ascii="Times New Roman" w:hAnsi="Times New Roman" w:cs="Times New Roman"/>
          <w:sz w:val="24"/>
          <w:szCs w:val="24"/>
        </w:rPr>
        <w:t xml:space="preserve">, </w:t>
      </w:r>
      <w:r w:rsidRPr="0082362E">
        <w:rPr>
          <w:rFonts w:ascii="Times New Roman" w:eastAsia="Times New Roman" w:hAnsi="Times New Roman" w:cs="Times New Roman"/>
          <w:sz w:val="24"/>
          <w:szCs w:val="24"/>
          <w:lang w:eastAsia="ru-RU"/>
        </w:rPr>
        <w:t>ievērojot KAKL noteiktos nosacījumus</w:t>
      </w:r>
      <w:r w:rsidR="00DC01CB" w:rsidRPr="0082362E">
        <w:rPr>
          <w:rFonts w:ascii="Times New Roman" w:hAnsi="Times New Roman" w:cs="Times New Roman"/>
          <w:sz w:val="24"/>
          <w:szCs w:val="24"/>
        </w:rPr>
        <w:t xml:space="preserve">. </w:t>
      </w:r>
      <w:r w:rsidRPr="0082362E">
        <w:rPr>
          <w:rFonts w:ascii="Times New Roman" w:hAnsi="Times New Roman" w:cs="Times New Roman"/>
          <w:sz w:val="24"/>
          <w:szCs w:val="24"/>
        </w:rPr>
        <w:t xml:space="preserve">Savukārt, ja </w:t>
      </w:r>
      <w:r w:rsidR="000E6653" w:rsidRPr="0082362E">
        <w:rPr>
          <w:rFonts w:ascii="Times New Roman" w:eastAsia="Times New Roman" w:hAnsi="Times New Roman" w:cs="Times New Roman"/>
          <w:sz w:val="24"/>
          <w:szCs w:val="24"/>
          <w:lang w:eastAsia="ru-RU"/>
        </w:rPr>
        <w:t xml:space="preserve">nelikumīgs un nesaderīgs </w:t>
      </w:r>
      <w:r w:rsidR="00D36866">
        <w:rPr>
          <w:rFonts w:ascii="Times New Roman" w:eastAsia="Times New Roman" w:hAnsi="Times New Roman" w:cs="Times New Roman"/>
          <w:sz w:val="24"/>
          <w:szCs w:val="24"/>
          <w:lang w:eastAsia="ru-RU"/>
        </w:rPr>
        <w:t>komercdarbības atb</w:t>
      </w:r>
      <w:r w:rsidR="000E6653" w:rsidRPr="0082362E">
        <w:rPr>
          <w:rFonts w:ascii="Times New Roman" w:eastAsia="Times New Roman" w:hAnsi="Times New Roman" w:cs="Times New Roman"/>
          <w:sz w:val="24"/>
          <w:szCs w:val="24"/>
          <w:lang w:eastAsia="ru-RU"/>
        </w:rPr>
        <w:t xml:space="preserve">alsts saņemts </w:t>
      </w:r>
      <w:r w:rsidR="00496265" w:rsidRPr="0082362E">
        <w:rPr>
          <w:rFonts w:ascii="Times New Roman" w:eastAsia="Times New Roman" w:hAnsi="Times New Roman" w:cs="Times New Roman"/>
          <w:sz w:val="24"/>
          <w:szCs w:val="24"/>
          <w:lang w:bidi="ar-SA"/>
        </w:rPr>
        <w:t>pamatojoties uz normatīvo aktu, administratīvo aktu vai citu tiesību aktu publisko tiesību jomā, vai tas izriet no tiesas nolēmuma</w:t>
      </w:r>
      <w:r w:rsidR="000E6653" w:rsidRPr="0082362E">
        <w:rPr>
          <w:rFonts w:ascii="Times New Roman" w:eastAsia="Times New Roman" w:hAnsi="Times New Roman" w:cs="Times New Roman"/>
          <w:sz w:val="24"/>
          <w:szCs w:val="24"/>
          <w:lang w:eastAsia="ru-RU"/>
        </w:rPr>
        <w:t xml:space="preserve">, administratīvo aktu par nelikumīga un nesaderīga </w:t>
      </w:r>
      <w:r w:rsidR="00D36866">
        <w:rPr>
          <w:rFonts w:ascii="Times New Roman" w:eastAsia="Times New Roman" w:hAnsi="Times New Roman" w:cs="Times New Roman"/>
          <w:sz w:val="24"/>
          <w:szCs w:val="24"/>
          <w:lang w:eastAsia="ru-RU"/>
        </w:rPr>
        <w:t>komercdarbības atb</w:t>
      </w:r>
      <w:r w:rsidR="000E6653" w:rsidRPr="0082362E">
        <w:rPr>
          <w:rFonts w:ascii="Times New Roman" w:eastAsia="Times New Roman" w:hAnsi="Times New Roman" w:cs="Times New Roman"/>
          <w:sz w:val="24"/>
          <w:szCs w:val="24"/>
          <w:lang w:eastAsia="ru-RU"/>
        </w:rPr>
        <w:t xml:space="preserve">alsta atgūšanu pieņem un šādu </w:t>
      </w:r>
      <w:r w:rsidR="00D36866">
        <w:rPr>
          <w:rFonts w:ascii="Times New Roman" w:eastAsia="Times New Roman" w:hAnsi="Times New Roman" w:cs="Times New Roman"/>
          <w:sz w:val="24"/>
          <w:szCs w:val="24"/>
          <w:lang w:eastAsia="ru-RU"/>
        </w:rPr>
        <w:t>komercdarbības atb</w:t>
      </w:r>
      <w:r w:rsidR="000E6653" w:rsidRPr="0082362E">
        <w:rPr>
          <w:rFonts w:ascii="Times New Roman" w:eastAsia="Times New Roman" w:hAnsi="Times New Roman" w:cs="Times New Roman"/>
          <w:sz w:val="24"/>
          <w:szCs w:val="24"/>
          <w:lang w:eastAsia="ru-RU"/>
        </w:rPr>
        <w:t xml:space="preserve">alstu kopā ar procentiem atgūst Administratīvā procesa likumā </w:t>
      </w:r>
      <w:r w:rsidR="00695FF3" w:rsidRPr="0082362E">
        <w:rPr>
          <w:rFonts w:ascii="Times New Roman" w:eastAsia="Times New Roman" w:hAnsi="Times New Roman" w:cs="Times New Roman"/>
          <w:sz w:val="24"/>
          <w:szCs w:val="24"/>
          <w:lang w:eastAsia="ru-RU"/>
        </w:rPr>
        <w:t xml:space="preserve">(turpmāk - APL) </w:t>
      </w:r>
      <w:r w:rsidR="000E6653" w:rsidRPr="0082362E">
        <w:rPr>
          <w:rFonts w:ascii="Times New Roman" w:eastAsia="Times New Roman" w:hAnsi="Times New Roman" w:cs="Times New Roman"/>
          <w:sz w:val="24"/>
          <w:szCs w:val="24"/>
          <w:lang w:eastAsia="ru-RU"/>
        </w:rPr>
        <w:t>un citos tiesību aktos noteiktajā kārtībā, ievērojot KAKL noteiktos nosacījumus.</w:t>
      </w:r>
    </w:p>
    <w:p w14:paraId="2ECA18AC" w14:textId="75530C63" w:rsidR="00F81708" w:rsidRPr="0082362E" w:rsidRDefault="00E9654A" w:rsidP="00E9654A">
      <w:pPr>
        <w:ind w:firstLine="567"/>
        <w:contextualSpacing/>
      </w:pPr>
      <w:r w:rsidRPr="0082362E">
        <w:rPr>
          <w:rFonts w:ascii="Times New Roman" w:hAnsi="Times New Roman" w:cs="Times New Roman"/>
          <w:sz w:val="24"/>
          <w:szCs w:val="24"/>
        </w:rPr>
        <w:t xml:space="preserve">Ja </w:t>
      </w:r>
      <w:r w:rsidR="00F81708" w:rsidRPr="0082362E">
        <w:rPr>
          <w:rFonts w:ascii="Times New Roman" w:hAnsi="Times New Roman" w:cs="Times New Roman"/>
          <w:sz w:val="24"/>
          <w:szCs w:val="24"/>
        </w:rPr>
        <w:t xml:space="preserve">atbalsta saņēmējs gatavs sadarboties, tad atkarībā no tā, vai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00F81708" w:rsidRPr="0082362E">
        <w:rPr>
          <w:rFonts w:ascii="Times New Roman" w:hAnsi="Times New Roman" w:cs="Times New Roman"/>
          <w:sz w:val="24"/>
          <w:szCs w:val="24"/>
        </w:rPr>
        <w:t xml:space="preserve">s ticis piešķirts, pieņemot administratīvu aktu vai arī slēdzot civiltiesisku līgumu, par atbalsta atmaksāšanu var vienoties privāttiesiskā </w:t>
      </w:r>
      <w:r w:rsidR="005B372E" w:rsidRPr="0082362E">
        <w:rPr>
          <w:rFonts w:ascii="Times New Roman" w:hAnsi="Times New Roman" w:cs="Times New Roman"/>
          <w:sz w:val="24"/>
          <w:szCs w:val="24"/>
        </w:rPr>
        <w:t xml:space="preserve">(civiltiesiskā) </w:t>
      </w:r>
      <w:r w:rsidR="00F81708" w:rsidRPr="0082362E">
        <w:rPr>
          <w:rFonts w:ascii="Times New Roman" w:hAnsi="Times New Roman" w:cs="Times New Roman"/>
          <w:sz w:val="24"/>
          <w:szCs w:val="24"/>
        </w:rPr>
        <w:t>darījumā vai administratīvā procesa ietvaros.</w:t>
      </w:r>
    </w:p>
    <w:p w14:paraId="1A213F60" w14:textId="2D2AEF60" w:rsidR="00F81708" w:rsidRPr="0082362E" w:rsidRDefault="00F81708" w:rsidP="00F81708">
      <w:pPr>
        <w:pStyle w:val="NumPar1"/>
        <w:tabs>
          <w:tab w:val="left" w:pos="851"/>
        </w:tabs>
        <w:spacing w:after="0"/>
        <w:ind w:left="0" w:right="0" w:firstLine="567"/>
        <w:outlineLvl w:val="9"/>
        <w:rPr>
          <w:szCs w:val="24"/>
        </w:rPr>
      </w:pPr>
      <w:r w:rsidRPr="0082362E">
        <w:rPr>
          <w:szCs w:val="24"/>
        </w:rPr>
        <w:t xml:space="preserve">Saistībā ar </w:t>
      </w:r>
      <w:r w:rsidR="00BD61D4">
        <w:rPr>
          <w:szCs w:val="24"/>
        </w:rPr>
        <w:t>komercdarbības atbalsta</w:t>
      </w:r>
      <w:r w:rsidR="00BD61D4" w:rsidRPr="0082362E">
        <w:rPr>
          <w:szCs w:val="24"/>
        </w:rPr>
        <w:t xml:space="preserve"> </w:t>
      </w:r>
      <w:r w:rsidRPr="0082362E">
        <w:rPr>
          <w:szCs w:val="24"/>
        </w:rPr>
        <w:t xml:space="preserve">atgūšanas izpildi var rasties tiesvedības valsts tiesās. Var izšķirt divas galvenās ar atgūšanu saistītās tiesvedības kategorijas: i) prasības, ko atgūšanas iestāde ceļ, lūdzot izdot tiesas nolēmumu, ar kuru saņēmējs, kas nesadarbojas, tiek piespiests atmaksāt </w:t>
      </w:r>
      <w:r w:rsidR="00D36866">
        <w:rPr>
          <w:szCs w:val="24"/>
        </w:rPr>
        <w:t>komercdarbības atb</w:t>
      </w:r>
      <w:r w:rsidR="00304E0A">
        <w:rPr>
          <w:szCs w:val="24"/>
        </w:rPr>
        <w:t>alst</w:t>
      </w:r>
      <w:r w:rsidRPr="0082362E">
        <w:rPr>
          <w:szCs w:val="24"/>
        </w:rPr>
        <w:t xml:space="preserve">u; un ii) prasības, ko ceļ saņēmēji, kas apstrīd atgūšanas </w:t>
      </w:r>
      <w:r w:rsidR="001D61EB" w:rsidRPr="0082362E">
        <w:rPr>
          <w:szCs w:val="24"/>
        </w:rPr>
        <w:t>procedūru</w:t>
      </w:r>
      <w:r w:rsidRPr="0082362E">
        <w:rPr>
          <w:szCs w:val="24"/>
        </w:rPr>
        <w:t>, tostarp individuālos pasākumus atgūšanas nodrošināšanai.</w:t>
      </w:r>
    </w:p>
    <w:p w14:paraId="0B8D6F74" w14:textId="6435F65B" w:rsidR="00D50B89" w:rsidRPr="0082362E" w:rsidRDefault="00DC01CB" w:rsidP="00695FF3">
      <w:pPr>
        <w:ind w:firstLine="567"/>
      </w:pPr>
      <w:r w:rsidRPr="0082362E">
        <w:rPr>
          <w:rFonts w:ascii="Times New Roman" w:hAnsi="Times New Roman" w:cs="Times New Roman"/>
          <w:sz w:val="24"/>
          <w:szCs w:val="24"/>
        </w:rPr>
        <w:t>ES Tiesa ir uzsvērusi, ka atgūšanas lēmuma pilnīgai īstenošanai ir nepieciešamas konkrētās dalībvalsts darbības ar nolūku atgūt nelikumīgi piešķirto atbalstu</w:t>
      </w:r>
      <w:r w:rsidRPr="0082362E">
        <w:rPr>
          <w:rStyle w:val="Vresenkurs"/>
          <w:rFonts w:ascii="Times New Roman" w:hAnsi="Times New Roman" w:cs="Times New Roman"/>
          <w:sz w:val="24"/>
          <w:szCs w:val="24"/>
        </w:rPr>
        <w:footnoteReference w:id="25"/>
      </w:r>
      <w:r w:rsidRPr="0082362E">
        <w:rPr>
          <w:rFonts w:ascii="Times New Roman" w:hAnsi="Times New Roman" w:cs="Times New Roman"/>
          <w:sz w:val="24"/>
          <w:szCs w:val="24"/>
        </w:rPr>
        <w:t xml:space="preserve"> un atgūšanai ir jānotiek nekavējoši</w:t>
      </w:r>
      <w:r w:rsidRPr="0082362E">
        <w:rPr>
          <w:rStyle w:val="Vresenkurs"/>
          <w:rFonts w:ascii="Times New Roman" w:hAnsi="Times New Roman" w:cs="Times New Roman"/>
          <w:sz w:val="24"/>
          <w:szCs w:val="24"/>
        </w:rPr>
        <w:footnoteReference w:id="26"/>
      </w:r>
      <w:r w:rsidR="00695FF3" w:rsidRPr="0082362E">
        <w:rPr>
          <w:rFonts w:ascii="Times New Roman" w:hAnsi="Times New Roman" w:cs="Times New Roman"/>
          <w:sz w:val="24"/>
          <w:szCs w:val="24"/>
        </w:rPr>
        <w:t xml:space="preserve">, proti,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atgūšana ir uzsākama nekavējoties, lai tiktu pēc iespējas efektīvāk sasniegts tā atgūšanas mērķis. Tāpat ES Tiesa savā judikatūrā ir likusi uzsvaru uz to, ka dalībvalstu īstenotajiem atgūšanas pasākumiem ir jābūt iedarbīgiem un tūlītējiem un atgūšanas procesa rezultātā jānotiek faktiskai nelikumīgā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a kopējās summas atgūšanai.</w:t>
      </w:r>
      <w:r w:rsidRPr="0082362E">
        <w:rPr>
          <w:rStyle w:val="Vresenkurs"/>
          <w:rFonts w:ascii="Times New Roman" w:hAnsi="Times New Roman" w:cs="Times New Roman"/>
          <w:sz w:val="24"/>
          <w:szCs w:val="24"/>
        </w:rPr>
        <w:footnoteReference w:id="27"/>
      </w:r>
      <w:r w:rsidRPr="0082362E">
        <w:rPr>
          <w:rFonts w:ascii="Times New Roman" w:hAnsi="Times New Roman" w:cs="Times New Roman"/>
          <w:sz w:val="24"/>
          <w:szCs w:val="24"/>
        </w:rPr>
        <w:t xml:space="preserve"> </w:t>
      </w:r>
      <w:r w:rsidRPr="0082362E">
        <w:rPr>
          <w:rFonts w:ascii="Times New Roman" w:eastAsia="Times New Roman" w:hAnsi="Times New Roman" w:cs="Times New Roman"/>
          <w:sz w:val="24"/>
          <w:szCs w:val="24"/>
          <w:lang w:bidi="ar-SA"/>
        </w:rPr>
        <w:t>Saskaņā ar ES Tiesu pastāvīgo judikatūru “</w:t>
      </w:r>
      <w:r w:rsidRPr="0082362E">
        <w:rPr>
          <w:rFonts w:ascii="Times New Roman" w:eastAsia="Times New Roman" w:hAnsi="Times New Roman" w:cs="Times New Roman"/>
          <w:i/>
          <w:sz w:val="24"/>
          <w:szCs w:val="24"/>
          <w:lang w:bidi="ar-SA"/>
        </w:rPr>
        <w:t xml:space="preserve">loģiskās sekas atbalsta atzīšanai par nelikumīgu ir tā pārtraukšana, to atgūstot nolūkā atjaunot iepriekšējo situāciju. Būtībā nelikumīgi piešķirta </w:t>
      </w:r>
      <w:r w:rsidR="00D36866">
        <w:rPr>
          <w:rFonts w:ascii="Times New Roman" w:eastAsia="Times New Roman" w:hAnsi="Times New Roman" w:cs="Times New Roman"/>
          <w:i/>
          <w:sz w:val="24"/>
          <w:szCs w:val="24"/>
          <w:lang w:bidi="ar-SA"/>
        </w:rPr>
        <w:t>komercdarbības atb</w:t>
      </w:r>
      <w:r w:rsidRPr="0082362E">
        <w:rPr>
          <w:rFonts w:ascii="Times New Roman" w:eastAsia="Times New Roman" w:hAnsi="Times New Roman" w:cs="Times New Roman"/>
          <w:i/>
          <w:sz w:val="24"/>
          <w:szCs w:val="24"/>
          <w:lang w:bidi="ar-SA"/>
        </w:rPr>
        <w:t>alsta atgūšanas pamatmērķis ir novērst konkurences traucējumu, ko radījusi šāda atbalsta sniegtā konkurences priekšrocība. Faktiski ar atbalsta atmaksu tā saņēmējs zaudē priekšrocību, kas tam iepriekš bija tirgū salīdzinājumā ar tā konkurentiem, un tiek atjaunota situācija, kāda pastāvēja pirms atbalsta izmaksas</w:t>
      </w:r>
      <w:r w:rsidRPr="0082362E">
        <w:rPr>
          <w:rStyle w:val="Vresenkurs"/>
          <w:rFonts w:ascii="Times New Roman" w:eastAsia="Times New Roman" w:hAnsi="Times New Roman" w:cs="Times New Roman"/>
          <w:i/>
          <w:sz w:val="24"/>
          <w:szCs w:val="24"/>
          <w:lang w:bidi="ar-SA"/>
        </w:rPr>
        <w:footnoteReference w:id="28"/>
      </w:r>
      <w:r w:rsidRPr="0082362E">
        <w:rPr>
          <w:rFonts w:ascii="Times New Roman" w:eastAsia="Times New Roman" w:hAnsi="Times New Roman" w:cs="Times New Roman"/>
          <w:i/>
          <w:sz w:val="24"/>
          <w:szCs w:val="24"/>
          <w:lang w:bidi="ar-SA"/>
        </w:rPr>
        <w:t>”</w:t>
      </w:r>
      <w:r w:rsidRPr="0082362E">
        <w:rPr>
          <w:rFonts w:ascii="Times New Roman" w:eastAsia="Times New Roman" w:hAnsi="Times New Roman" w:cs="Times New Roman"/>
          <w:sz w:val="24"/>
          <w:szCs w:val="24"/>
          <w:lang w:bidi="ar-SA"/>
        </w:rPr>
        <w:t xml:space="preserve">. </w:t>
      </w:r>
      <w:r w:rsidRPr="0082362E">
        <w:rPr>
          <w:rFonts w:ascii="Times New Roman" w:eastAsia="Times New Roman" w:hAnsi="Times New Roman" w:cs="Times New Roman"/>
          <w:i/>
          <w:sz w:val="24"/>
          <w:szCs w:val="24"/>
          <w:lang w:bidi="ar-SA"/>
        </w:rPr>
        <w:t>“[..] no atbalsta saņēmēja viedokļa nepamatotā priekšrocība rastos arī no procentu par saņemtajām attiecīgā atbalsta summām nemaksāšanas, ja tam šāda summa būtu jāaizņemas tirgū visā atbalsta nelikumības periodā, kā arī no tā konkurētspējas pozīcijas uzlabošanas attiecībā pret citiem tirgus dalībniekiem minētajā periodā</w:t>
      </w:r>
      <w:r w:rsidRPr="0082362E">
        <w:rPr>
          <w:rStyle w:val="Vresenkurs"/>
          <w:rFonts w:ascii="Times New Roman" w:eastAsia="Times New Roman" w:hAnsi="Times New Roman" w:cs="Times New Roman"/>
          <w:i/>
          <w:sz w:val="24"/>
          <w:szCs w:val="24"/>
          <w:lang w:bidi="ar-SA"/>
        </w:rPr>
        <w:footnoteReference w:id="29"/>
      </w:r>
      <w:r w:rsidRPr="0082362E">
        <w:rPr>
          <w:rFonts w:ascii="Times New Roman" w:eastAsia="Times New Roman" w:hAnsi="Times New Roman" w:cs="Times New Roman"/>
          <w:sz w:val="24"/>
          <w:szCs w:val="24"/>
          <w:lang w:bidi="ar-SA"/>
        </w:rPr>
        <w:t>”.</w:t>
      </w:r>
      <w:r w:rsidRPr="0082362E">
        <w:rPr>
          <w:rFonts w:ascii="Times New Roman" w:hAnsi="Times New Roman" w:cs="Times New Roman"/>
          <w:color w:val="222222"/>
          <w:sz w:val="24"/>
          <w:szCs w:val="24"/>
        </w:rPr>
        <w:t xml:space="preserve"> </w:t>
      </w:r>
      <w:r w:rsidR="00DB5F4F" w:rsidRPr="0082362E">
        <w:rPr>
          <w:rFonts w:ascii="Times New Roman" w:hAnsi="Times New Roman" w:cs="Times New Roman"/>
          <w:color w:val="222222"/>
          <w:sz w:val="24"/>
          <w:szCs w:val="24"/>
        </w:rPr>
        <w:t>A</w:t>
      </w:r>
      <w:r w:rsidRPr="0082362E">
        <w:rPr>
          <w:rFonts w:ascii="Times New Roman" w:hAnsi="Times New Roman" w:cs="Times New Roman"/>
          <w:color w:val="222222"/>
          <w:sz w:val="24"/>
          <w:szCs w:val="24"/>
          <w:u w:val="single"/>
        </w:rPr>
        <w:t xml:space="preserve">tgūšanas pienākums atbalsta sniedzējam būtu </w:t>
      </w:r>
      <w:r w:rsidR="00FC7C30" w:rsidRPr="0082362E">
        <w:rPr>
          <w:rFonts w:ascii="Times New Roman" w:hAnsi="Times New Roman" w:cs="Times New Roman"/>
          <w:color w:val="222222"/>
          <w:sz w:val="24"/>
          <w:szCs w:val="24"/>
          <w:u w:val="single"/>
        </w:rPr>
        <w:t xml:space="preserve">parasti </w:t>
      </w:r>
      <w:r w:rsidRPr="0082362E">
        <w:rPr>
          <w:rFonts w:ascii="Times New Roman" w:hAnsi="Times New Roman" w:cs="Times New Roman"/>
          <w:color w:val="222222"/>
          <w:sz w:val="24"/>
          <w:szCs w:val="24"/>
          <w:u w:val="single"/>
        </w:rPr>
        <w:t>jāizpilda 4 mēnešu laikā no atgūšanas lēmuma izsniegšanas brīža</w:t>
      </w:r>
      <w:r w:rsidRPr="0082362E">
        <w:rPr>
          <w:rFonts w:ascii="Times New Roman" w:hAnsi="Times New Roman" w:cs="Times New Roman"/>
          <w:color w:val="222222"/>
          <w:sz w:val="24"/>
          <w:szCs w:val="24"/>
        </w:rPr>
        <w:t xml:space="preserve"> (Sk. 2019.gada 23.jūlija Komisijas paziņojuma “Komisijas paziņojums par nelikumīga un nesaderīga </w:t>
      </w:r>
      <w:r w:rsidR="003F0423">
        <w:rPr>
          <w:rFonts w:ascii="Times New Roman" w:hAnsi="Times New Roman" w:cs="Times New Roman"/>
          <w:color w:val="222222"/>
          <w:sz w:val="24"/>
          <w:szCs w:val="24"/>
        </w:rPr>
        <w:t xml:space="preserve">valsts </w:t>
      </w:r>
      <w:r w:rsidR="00D36866">
        <w:rPr>
          <w:rFonts w:ascii="Times New Roman" w:hAnsi="Times New Roman" w:cs="Times New Roman"/>
          <w:color w:val="222222"/>
          <w:sz w:val="24"/>
          <w:szCs w:val="24"/>
        </w:rPr>
        <w:t>atb</w:t>
      </w:r>
      <w:r w:rsidRPr="0082362E">
        <w:rPr>
          <w:rFonts w:ascii="Times New Roman" w:hAnsi="Times New Roman" w:cs="Times New Roman"/>
          <w:color w:val="222222"/>
          <w:sz w:val="24"/>
          <w:szCs w:val="24"/>
        </w:rPr>
        <w:t>alsta atgūšanu” (2019/C 247/01) 72.punktu).</w:t>
      </w:r>
    </w:p>
    <w:p w14:paraId="1641B45E" w14:textId="222A5D3A" w:rsidR="00B11A21" w:rsidRPr="0082362E" w:rsidRDefault="00DB5F4F" w:rsidP="00A34BED">
      <w:pPr>
        <w:pStyle w:val="ListParagraph"/>
        <w:ind w:left="0" w:firstLine="567"/>
        <w:rPr>
          <w:color w:val="auto"/>
          <w:sz w:val="24"/>
          <w:szCs w:val="24"/>
          <w:lang w:eastAsia="ru-RU"/>
        </w:rPr>
      </w:pPr>
      <w:r w:rsidRPr="0082362E">
        <w:rPr>
          <w:color w:val="222222"/>
          <w:sz w:val="24"/>
          <w:szCs w:val="24"/>
        </w:rPr>
        <w:t>Gan gadījumā, ja EK ir izdevusi atgūšanas lēmumu</w:t>
      </w:r>
      <w:r w:rsidRPr="0082362E">
        <w:rPr>
          <w:color w:val="auto"/>
          <w:sz w:val="24"/>
          <w:szCs w:val="24"/>
          <w:lang w:eastAsia="ru-RU"/>
        </w:rPr>
        <w:t xml:space="preserve"> (sīkāk sk. šī materiāla II sadaļu), gan gadījumos, kad nelikumīgu </w:t>
      </w:r>
      <w:r w:rsidR="00D36866">
        <w:rPr>
          <w:color w:val="auto"/>
          <w:sz w:val="24"/>
          <w:szCs w:val="24"/>
          <w:lang w:eastAsia="ru-RU"/>
        </w:rPr>
        <w:t>komercdarbības atb</w:t>
      </w:r>
      <w:r w:rsidR="00304E0A">
        <w:rPr>
          <w:color w:val="auto"/>
          <w:sz w:val="24"/>
          <w:szCs w:val="24"/>
          <w:lang w:eastAsia="ru-RU"/>
        </w:rPr>
        <w:t>alst</w:t>
      </w:r>
      <w:r w:rsidRPr="0082362E">
        <w:rPr>
          <w:color w:val="auto"/>
          <w:sz w:val="24"/>
          <w:szCs w:val="24"/>
          <w:lang w:eastAsia="ru-RU"/>
        </w:rPr>
        <w:t>u atbalsta sniedzējs atgūst pēc savas iniciatīvas (sīkāk sk. šī materiāla III sadaļu), š</w:t>
      </w:r>
      <w:r w:rsidR="00695FF3" w:rsidRPr="0082362E">
        <w:rPr>
          <w:color w:val="auto"/>
          <w:sz w:val="24"/>
          <w:szCs w:val="24"/>
          <w:lang w:eastAsia="ru-RU"/>
        </w:rPr>
        <w:t xml:space="preserve">im mērķim KAKL ir noteikta speciāla kārtība, lai atbalsta sniedzējiem būtu skaidra procesuālā kārtībā un termiņi, kādi ir jāievēro, lai nodrošinātu nekavējošu nelikumīga (un nesaderīga) </w:t>
      </w:r>
      <w:r w:rsidR="00D36866">
        <w:rPr>
          <w:color w:val="auto"/>
          <w:sz w:val="24"/>
          <w:szCs w:val="24"/>
          <w:lang w:eastAsia="ru-RU"/>
        </w:rPr>
        <w:t>komercdarbības atb</w:t>
      </w:r>
      <w:r w:rsidR="00695FF3" w:rsidRPr="0082362E">
        <w:rPr>
          <w:color w:val="auto"/>
          <w:sz w:val="24"/>
          <w:szCs w:val="24"/>
          <w:lang w:eastAsia="ru-RU"/>
        </w:rPr>
        <w:t>alsta atgūšanu.</w:t>
      </w:r>
      <w:r w:rsidR="00D667DB" w:rsidRPr="0082362E">
        <w:rPr>
          <w:color w:val="auto"/>
          <w:sz w:val="24"/>
          <w:szCs w:val="24"/>
          <w:lang w:eastAsia="ru-RU"/>
        </w:rPr>
        <w:t xml:space="preserve"> </w:t>
      </w:r>
    </w:p>
    <w:p w14:paraId="4BF979B3" w14:textId="12B0733D" w:rsidR="00695FF3" w:rsidRPr="0082362E" w:rsidRDefault="00D667DB" w:rsidP="00A34BED">
      <w:pPr>
        <w:pStyle w:val="ListParagraph"/>
        <w:ind w:left="0" w:firstLine="567"/>
        <w:rPr>
          <w:color w:val="auto"/>
          <w:sz w:val="24"/>
          <w:szCs w:val="24"/>
          <w:lang w:eastAsia="ru-RU"/>
        </w:rPr>
      </w:pPr>
      <w:r w:rsidRPr="0082362E">
        <w:rPr>
          <w:color w:val="auto"/>
          <w:sz w:val="24"/>
          <w:szCs w:val="24"/>
          <w:lang w:eastAsia="ru-RU"/>
        </w:rPr>
        <w:t xml:space="preserve">Pamata nosacījumi, kas </w:t>
      </w:r>
      <w:r w:rsidR="006A034D" w:rsidRPr="0082362E">
        <w:rPr>
          <w:color w:val="auto"/>
          <w:sz w:val="24"/>
          <w:szCs w:val="24"/>
          <w:lang w:eastAsia="ru-RU"/>
        </w:rPr>
        <w:t xml:space="preserve">citu starpā </w:t>
      </w:r>
      <w:r w:rsidRPr="0082362E">
        <w:rPr>
          <w:color w:val="auto"/>
          <w:sz w:val="24"/>
          <w:szCs w:val="24"/>
          <w:lang w:eastAsia="ru-RU"/>
        </w:rPr>
        <w:t>ietverti KAKL:</w:t>
      </w:r>
    </w:p>
    <w:p w14:paraId="3CBEA996" w14:textId="77777777" w:rsidR="00D667DB" w:rsidRPr="0082362E" w:rsidRDefault="00D667DB" w:rsidP="00A34BED">
      <w:pPr>
        <w:pStyle w:val="ListParagraph"/>
        <w:numPr>
          <w:ilvl w:val="0"/>
          <w:numId w:val="11"/>
        </w:numPr>
        <w:rPr>
          <w:bCs/>
          <w:color w:val="auto"/>
          <w:sz w:val="24"/>
          <w:szCs w:val="24"/>
          <w:lang w:eastAsia="ru-RU"/>
        </w:rPr>
      </w:pPr>
      <w:r w:rsidRPr="0082362E">
        <w:rPr>
          <w:bCs/>
          <w:color w:val="auto"/>
          <w:sz w:val="24"/>
          <w:szCs w:val="24"/>
        </w:rPr>
        <w:t>administratīvā akta par nelikumīga (un nesaderīga) atbalsta atgūšanu apstrīdēšana vai pārsūdzēšana neaptur tā darbību</w:t>
      </w:r>
      <w:r w:rsidR="006A034D" w:rsidRPr="0082362E">
        <w:rPr>
          <w:bCs/>
          <w:color w:val="auto"/>
          <w:sz w:val="24"/>
          <w:szCs w:val="24"/>
        </w:rPr>
        <w:t xml:space="preserve"> (ja atgūšana notiek APL noteiktajā kārtībā)</w:t>
      </w:r>
      <w:r w:rsidRPr="0082362E">
        <w:rPr>
          <w:bCs/>
          <w:color w:val="auto"/>
          <w:sz w:val="24"/>
          <w:szCs w:val="24"/>
        </w:rPr>
        <w:t>;</w:t>
      </w:r>
    </w:p>
    <w:p w14:paraId="797CA5FF" w14:textId="77777777" w:rsidR="00D667DB" w:rsidRPr="0082362E" w:rsidRDefault="00D667DB" w:rsidP="00A34BED">
      <w:pPr>
        <w:pStyle w:val="ListParagraph"/>
        <w:numPr>
          <w:ilvl w:val="0"/>
          <w:numId w:val="11"/>
        </w:numPr>
        <w:rPr>
          <w:color w:val="auto"/>
          <w:sz w:val="24"/>
          <w:szCs w:val="24"/>
          <w:lang w:eastAsia="ru-RU"/>
        </w:rPr>
      </w:pPr>
      <w:r w:rsidRPr="0082362E">
        <w:rPr>
          <w:bCs/>
          <w:color w:val="auto"/>
          <w:sz w:val="24"/>
          <w:szCs w:val="24"/>
        </w:rPr>
        <w:t xml:space="preserve">noteikts </w:t>
      </w:r>
      <w:r w:rsidRPr="0082362E">
        <w:rPr>
          <w:bCs/>
          <w:color w:val="auto"/>
          <w:sz w:val="24"/>
          <w:szCs w:val="24"/>
          <w:lang w:eastAsia="ru-RU"/>
        </w:rPr>
        <w:t>noilguma termiņš saskaņā</w:t>
      </w:r>
      <w:r w:rsidRPr="0082362E">
        <w:rPr>
          <w:color w:val="auto"/>
          <w:sz w:val="24"/>
          <w:szCs w:val="24"/>
          <w:lang w:eastAsia="ru-RU"/>
        </w:rPr>
        <w:t xml:space="preserve"> ar ES tiesību normām (sīkāk sk. šī dokumenta V sadaļā);</w:t>
      </w:r>
    </w:p>
    <w:p w14:paraId="108D6DF3" w14:textId="67D008CE" w:rsidR="00E50D63" w:rsidRPr="0082362E" w:rsidRDefault="00E50D63" w:rsidP="00A34BED">
      <w:pPr>
        <w:pStyle w:val="ListParagraph"/>
        <w:numPr>
          <w:ilvl w:val="0"/>
          <w:numId w:val="11"/>
        </w:numPr>
        <w:rPr>
          <w:color w:val="auto"/>
          <w:sz w:val="24"/>
          <w:szCs w:val="24"/>
          <w:lang w:eastAsia="ru-RU"/>
        </w:rPr>
      </w:pPr>
      <w:r w:rsidRPr="0082362E">
        <w:rPr>
          <w:bCs/>
          <w:color w:val="auto"/>
          <w:sz w:val="24"/>
          <w:szCs w:val="24"/>
        </w:rPr>
        <w:t xml:space="preserve">nelikumīga </w:t>
      </w:r>
      <w:r w:rsidR="00D36866">
        <w:rPr>
          <w:bCs/>
          <w:color w:val="auto"/>
          <w:sz w:val="24"/>
          <w:szCs w:val="24"/>
        </w:rPr>
        <w:t>komercdarbības atb</w:t>
      </w:r>
      <w:r w:rsidR="00304E0A">
        <w:rPr>
          <w:bCs/>
          <w:color w:val="auto"/>
          <w:sz w:val="24"/>
          <w:szCs w:val="24"/>
        </w:rPr>
        <w:t>alst</w:t>
      </w:r>
      <w:r w:rsidRPr="0082362E">
        <w:rPr>
          <w:bCs/>
          <w:color w:val="auto"/>
          <w:sz w:val="24"/>
          <w:szCs w:val="24"/>
        </w:rPr>
        <w:t>a – nelikumīgi piešķirto publisko līdzekļu atgūšana notiek, neskatoties uz komercsabiedrības finansiālām grūtībām un ar to saistītajām tiesiskajām procedūrām, kas tūlītēju  un efektīvu atgūšanu var kavēt.</w:t>
      </w:r>
    </w:p>
    <w:p w14:paraId="1CBFC2E5" w14:textId="77777777" w:rsidR="005C4632" w:rsidRPr="0082362E" w:rsidRDefault="005C4632" w:rsidP="00444DFF">
      <w:pPr>
        <w:rPr>
          <w:rFonts w:ascii="Times New Roman" w:hAnsi="Times New Roman" w:cs="Times New Roman"/>
          <w:sz w:val="24"/>
          <w:szCs w:val="24"/>
        </w:rPr>
      </w:pPr>
    </w:p>
    <w:p w14:paraId="03A486D7" w14:textId="77777777" w:rsidR="00D50B89" w:rsidRPr="0082362E" w:rsidRDefault="00DC01CB" w:rsidP="00444DFF">
      <w:pPr>
        <w:pStyle w:val="ListParagraph"/>
        <w:numPr>
          <w:ilvl w:val="0"/>
          <w:numId w:val="9"/>
        </w:numPr>
        <w:tabs>
          <w:tab w:val="left" w:pos="284"/>
        </w:tabs>
        <w:ind w:left="0" w:firstLine="0"/>
        <w:jc w:val="left"/>
        <w:rPr>
          <w:b/>
          <w:color w:val="auto"/>
          <w:sz w:val="24"/>
          <w:szCs w:val="24"/>
        </w:rPr>
      </w:pPr>
      <w:r w:rsidRPr="0082362E">
        <w:rPr>
          <w:b/>
          <w:color w:val="auto"/>
          <w:sz w:val="24"/>
          <w:szCs w:val="24"/>
        </w:rPr>
        <w:t>Tiesiskā paļāvība</w:t>
      </w:r>
    </w:p>
    <w:p w14:paraId="59D589B2" w14:textId="77777777" w:rsidR="00D50B89" w:rsidRPr="0082362E" w:rsidRDefault="00D50B89" w:rsidP="00444DFF">
      <w:pPr>
        <w:pStyle w:val="ListParagraph"/>
        <w:ind w:left="0" w:firstLine="567"/>
        <w:rPr>
          <w:b/>
          <w:caps/>
          <w:color w:val="auto"/>
          <w:sz w:val="24"/>
          <w:szCs w:val="24"/>
        </w:rPr>
      </w:pPr>
    </w:p>
    <w:p w14:paraId="70105637" w14:textId="0C510814" w:rsidR="00D50B89" w:rsidRPr="0082362E" w:rsidRDefault="00DC01CB" w:rsidP="00444DFF">
      <w:pPr>
        <w:ind w:firstLine="567"/>
        <w:rPr>
          <w:rFonts w:ascii="Times New Roman" w:hAnsi="Times New Roman" w:cs="Times New Roman"/>
          <w:sz w:val="24"/>
          <w:szCs w:val="24"/>
        </w:rPr>
      </w:pPr>
      <w:r w:rsidRPr="0082362E">
        <w:rPr>
          <w:rFonts w:ascii="Times New Roman" w:eastAsia="Times New Roman" w:hAnsi="Times New Roman" w:cs="Times New Roman"/>
          <w:sz w:val="24"/>
          <w:szCs w:val="24"/>
          <w:lang w:bidi="ar-SA"/>
        </w:rPr>
        <w:t xml:space="preserve">No ES Tiesas pastāvīgās judikatūras izriet, ka, ņemot vērā EK saskaņā ar LESD 108.pantu veiktās </w:t>
      </w:r>
      <w:r w:rsidR="00D36866">
        <w:rPr>
          <w:rFonts w:ascii="Times New Roman" w:eastAsia="Times New Roman" w:hAnsi="Times New Roman" w:cs="Times New Roman"/>
          <w:sz w:val="24"/>
          <w:szCs w:val="24"/>
          <w:lang w:bidi="ar-SA"/>
        </w:rPr>
        <w:t>komercdarbības atb</w:t>
      </w:r>
      <w:r w:rsidRPr="0082362E">
        <w:rPr>
          <w:rFonts w:ascii="Times New Roman" w:eastAsia="Times New Roman" w:hAnsi="Times New Roman" w:cs="Times New Roman"/>
          <w:sz w:val="24"/>
          <w:szCs w:val="24"/>
          <w:lang w:bidi="ar-SA"/>
        </w:rPr>
        <w:t>alsta kontroles obligāto raksturu, pirmkārt, uzņēmumiem, kuri saņem atbalstu, principā tiesiskā paļāvība par to, ka atbalsts ir likumīgs, varētu būt tikai tad, ja atbalsts tiek piešķirts, ievērojot šajā pantā noteikto procedūru, un, otrkārt, rūpīgam saimnieciskās darbības subjektam parasti būtu jāspēj pārliecināties, vai šī procedūra ir ievērota. Īpaši gadījumā, ja atbalsts ir piešķirts, par to iepriekš nepaziņojot EK, un tādējādi tas ir nelikumīgs saskaņā ar LESD 108.panta 3.punktu, atbalsta saņēmējam tajā laikā nevar pastāvēt tiesiskā paļāvība par atbalsta piešķiršanas likumību.</w:t>
      </w:r>
      <w:r w:rsidRPr="0082362E">
        <w:rPr>
          <w:rStyle w:val="Vresenkurs"/>
          <w:rFonts w:ascii="Times New Roman" w:eastAsia="Times New Roman" w:hAnsi="Times New Roman" w:cs="Times New Roman"/>
          <w:sz w:val="24"/>
          <w:szCs w:val="24"/>
          <w:lang w:bidi="ar-SA"/>
        </w:rPr>
        <w:footnoteReference w:id="30"/>
      </w:r>
      <w:r w:rsidRPr="0082362E">
        <w:rPr>
          <w:rFonts w:ascii="Times New Roman" w:eastAsia="Times New Roman" w:hAnsi="Times New Roman" w:cs="Times New Roman"/>
          <w:sz w:val="24"/>
          <w:szCs w:val="24"/>
          <w:lang w:bidi="ar-SA"/>
        </w:rPr>
        <w:t xml:space="preserve"> No tā arī izriet, ka – ja valsts iestāde piešķir atbalstu, kļūdaini piemērojot kādu no regulām, kas ietver nosacījumus atbalstam, uz ko neattiecas paziņošanas pienākums EK, – tiek pārkāpti gan šīs regulas, gan LESD 108.panta 3.punkta noteikumi, tad šāda </w:t>
      </w:r>
      <w:r w:rsidR="00D36866">
        <w:rPr>
          <w:rFonts w:ascii="Times New Roman" w:eastAsia="Times New Roman" w:hAnsi="Times New Roman" w:cs="Times New Roman"/>
          <w:sz w:val="24"/>
          <w:szCs w:val="24"/>
          <w:lang w:bidi="ar-SA"/>
        </w:rPr>
        <w:t>komercdarbības atb</w:t>
      </w:r>
      <w:r w:rsidRPr="0082362E">
        <w:rPr>
          <w:rFonts w:ascii="Times New Roman" w:eastAsia="Times New Roman" w:hAnsi="Times New Roman" w:cs="Times New Roman"/>
          <w:sz w:val="24"/>
          <w:szCs w:val="24"/>
          <w:lang w:bidi="ar-SA"/>
        </w:rPr>
        <w:t xml:space="preserve">alsta </w:t>
      </w:r>
      <w:r w:rsidR="00444F4F" w:rsidRPr="0082362E">
        <w:rPr>
          <w:rFonts w:ascii="Times New Roman" w:eastAsia="Times New Roman" w:hAnsi="Times New Roman" w:cs="Times New Roman"/>
          <w:sz w:val="24"/>
          <w:szCs w:val="24"/>
          <w:lang w:bidi="ar-SA"/>
        </w:rPr>
        <w:t>piešķir</w:t>
      </w:r>
      <w:r w:rsidRPr="0082362E">
        <w:rPr>
          <w:rFonts w:ascii="Times New Roman" w:eastAsia="Times New Roman" w:hAnsi="Times New Roman" w:cs="Times New Roman"/>
          <w:sz w:val="24"/>
          <w:szCs w:val="24"/>
          <w:lang w:bidi="ar-SA"/>
        </w:rPr>
        <w:t>šana</w:t>
      </w:r>
      <w:r w:rsidRPr="0082362E">
        <w:rPr>
          <w:rFonts w:ascii="Times New Roman" w:hAnsi="Times New Roman" w:cs="Times New Roman"/>
          <w:sz w:val="24"/>
          <w:szCs w:val="24"/>
          <w:shd w:val="clear" w:color="auto" w:fill="FFFFFF"/>
        </w:rPr>
        <w:t xml:space="preserve"> nevar radīt šī atbalsta saņēmējam tiesisko paļāvību par šī atbalsta likumību.</w:t>
      </w:r>
      <w:r w:rsidRPr="0082362E">
        <w:rPr>
          <w:rStyle w:val="Vresenkurs"/>
          <w:rFonts w:ascii="Times New Roman" w:hAnsi="Times New Roman" w:cs="Times New Roman"/>
          <w:sz w:val="24"/>
          <w:szCs w:val="24"/>
          <w:shd w:val="clear" w:color="auto" w:fill="FFFFFF"/>
        </w:rPr>
        <w:footnoteReference w:id="31"/>
      </w:r>
    </w:p>
    <w:p w14:paraId="3DC8730B" w14:textId="77777777" w:rsidR="00D50B89" w:rsidRPr="0082362E" w:rsidRDefault="00D50B89" w:rsidP="00444DFF">
      <w:pPr>
        <w:ind w:left="567"/>
        <w:rPr>
          <w:rFonts w:ascii="Times New Roman" w:hAnsi="Times New Roman" w:cs="Times New Roman"/>
          <w:b/>
          <w:sz w:val="24"/>
          <w:szCs w:val="24"/>
        </w:rPr>
      </w:pPr>
    </w:p>
    <w:p w14:paraId="607229FC" w14:textId="2A4F3452" w:rsidR="00D36866" w:rsidRDefault="00D36866">
      <w:pPr>
        <w:rPr>
          <w:rFonts w:ascii="Times New Roman" w:hAnsi="Times New Roman" w:cs="Times New Roman"/>
          <w:b/>
          <w:color w:val="808080"/>
          <w:sz w:val="24"/>
          <w:szCs w:val="24"/>
        </w:rPr>
      </w:pPr>
    </w:p>
    <w:p w14:paraId="7500AAA9" w14:textId="1BAF91AD" w:rsidR="00D50B89" w:rsidRPr="0082362E" w:rsidRDefault="00D36866" w:rsidP="00444DFF">
      <w:pPr>
        <w:pStyle w:val="ListParagraph"/>
        <w:numPr>
          <w:ilvl w:val="0"/>
          <w:numId w:val="7"/>
        </w:numPr>
        <w:ind w:left="284" w:hanging="284"/>
        <w:jc w:val="center"/>
        <w:rPr>
          <w:b/>
          <w:iCs/>
          <w:caps/>
          <w:color w:val="auto"/>
          <w:sz w:val="24"/>
          <w:szCs w:val="24"/>
        </w:rPr>
      </w:pPr>
      <w:r>
        <w:rPr>
          <w:b/>
          <w:caps/>
          <w:color w:val="auto"/>
          <w:sz w:val="24"/>
          <w:szCs w:val="24"/>
        </w:rPr>
        <w:t>Komercdarbības atb</w:t>
      </w:r>
      <w:r w:rsidR="00DC01CB" w:rsidRPr="0082362E">
        <w:rPr>
          <w:b/>
          <w:caps/>
          <w:color w:val="auto"/>
          <w:sz w:val="24"/>
          <w:szCs w:val="24"/>
        </w:rPr>
        <w:t xml:space="preserve">alsta atgūšana gadījumos, kad NAV IEVĒROTAS </w:t>
      </w:r>
      <w:r w:rsidR="00DC01CB" w:rsidRPr="0082362E">
        <w:rPr>
          <w:b/>
          <w:caps/>
          <w:color w:val="auto"/>
          <w:sz w:val="24"/>
          <w:szCs w:val="24"/>
          <w:shd w:val="clear" w:color="auto" w:fill="FFFFFF"/>
        </w:rPr>
        <w:t>LESD 108.panta 3.punktā paredzētās paziņošanas prasības</w:t>
      </w:r>
    </w:p>
    <w:p w14:paraId="35A0003E" w14:textId="77777777" w:rsidR="00D50B89" w:rsidRPr="0082362E" w:rsidRDefault="00D50B89" w:rsidP="00444DFF">
      <w:pPr>
        <w:ind w:left="567"/>
        <w:rPr>
          <w:rFonts w:ascii="Times New Roman" w:hAnsi="Times New Roman" w:cs="Times New Roman"/>
          <w:b/>
          <w:sz w:val="24"/>
          <w:szCs w:val="24"/>
        </w:rPr>
      </w:pPr>
    </w:p>
    <w:p w14:paraId="56362543" w14:textId="46AE4A2B" w:rsidR="00D50B89" w:rsidRPr="0082362E" w:rsidRDefault="00DC01CB" w:rsidP="00444DFF">
      <w:pPr>
        <w:pStyle w:val="ListParagraph"/>
        <w:numPr>
          <w:ilvl w:val="0"/>
          <w:numId w:val="6"/>
        </w:numPr>
        <w:tabs>
          <w:tab w:val="left" w:pos="709"/>
          <w:tab w:val="left" w:pos="851"/>
        </w:tabs>
        <w:ind w:left="0" w:firstLine="284"/>
        <w:rPr>
          <w:b/>
          <w:color w:val="auto"/>
          <w:sz w:val="24"/>
          <w:szCs w:val="24"/>
        </w:rPr>
      </w:pPr>
      <w:r w:rsidRPr="0082362E">
        <w:rPr>
          <w:b/>
          <w:color w:val="auto"/>
          <w:sz w:val="24"/>
          <w:szCs w:val="24"/>
        </w:rPr>
        <w:t xml:space="preserve">Sekas, ja </w:t>
      </w:r>
      <w:r w:rsidR="00D36866">
        <w:rPr>
          <w:b/>
          <w:color w:val="auto"/>
          <w:sz w:val="24"/>
          <w:szCs w:val="24"/>
        </w:rPr>
        <w:t>komercdarbības atb</w:t>
      </w:r>
      <w:r w:rsidR="00304E0A">
        <w:rPr>
          <w:b/>
          <w:color w:val="auto"/>
          <w:sz w:val="24"/>
          <w:szCs w:val="24"/>
        </w:rPr>
        <w:t>alst</w:t>
      </w:r>
      <w:r w:rsidRPr="0082362E">
        <w:rPr>
          <w:b/>
          <w:color w:val="auto"/>
          <w:sz w:val="24"/>
          <w:szCs w:val="24"/>
        </w:rPr>
        <w:t xml:space="preserve">s ticis sniegts bez paziņošanas EK un pēc tam saņemts EK gala lēmums ar atzinumu par </w:t>
      </w:r>
      <w:r w:rsidR="00D36866">
        <w:rPr>
          <w:b/>
          <w:color w:val="auto"/>
          <w:sz w:val="24"/>
          <w:szCs w:val="24"/>
        </w:rPr>
        <w:t>komercdarbības atb</w:t>
      </w:r>
      <w:r w:rsidR="00304E0A">
        <w:rPr>
          <w:b/>
          <w:color w:val="auto"/>
          <w:sz w:val="24"/>
          <w:szCs w:val="24"/>
        </w:rPr>
        <w:t>alst</w:t>
      </w:r>
      <w:r w:rsidRPr="0082362E">
        <w:rPr>
          <w:b/>
          <w:color w:val="auto"/>
          <w:sz w:val="24"/>
          <w:szCs w:val="24"/>
        </w:rPr>
        <w:t xml:space="preserve">a saderību ar ES iekšējo tirgu </w:t>
      </w:r>
    </w:p>
    <w:p w14:paraId="764053E7" w14:textId="77777777" w:rsidR="00D50B89" w:rsidRPr="0082362E" w:rsidRDefault="00D50B89" w:rsidP="00444DFF">
      <w:pPr>
        <w:pStyle w:val="ListParagraph"/>
        <w:tabs>
          <w:tab w:val="left" w:pos="709"/>
          <w:tab w:val="left" w:pos="851"/>
        </w:tabs>
        <w:ind w:left="284"/>
        <w:rPr>
          <w:b/>
          <w:color w:val="auto"/>
          <w:sz w:val="24"/>
          <w:szCs w:val="24"/>
        </w:rPr>
      </w:pPr>
    </w:p>
    <w:p w14:paraId="1CDFB995" w14:textId="52C968C9" w:rsidR="00D50B89" w:rsidRPr="0082362E" w:rsidRDefault="00DC01CB" w:rsidP="00444DFF">
      <w:pPr>
        <w:pStyle w:val="ListParagraph"/>
        <w:numPr>
          <w:ilvl w:val="0"/>
          <w:numId w:val="3"/>
        </w:numPr>
        <w:rPr>
          <w:color w:val="auto"/>
          <w:sz w:val="24"/>
          <w:szCs w:val="24"/>
        </w:rPr>
      </w:pPr>
      <w:r w:rsidRPr="0082362E">
        <w:rPr>
          <w:color w:val="auto"/>
          <w:sz w:val="24"/>
          <w:szCs w:val="24"/>
        </w:rPr>
        <w:t xml:space="preserve">Šāds </w:t>
      </w:r>
      <w:r w:rsidR="00D36866">
        <w:rPr>
          <w:color w:val="auto"/>
          <w:sz w:val="24"/>
          <w:szCs w:val="24"/>
        </w:rPr>
        <w:t>komercdarbības atb</w:t>
      </w:r>
      <w:r w:rsidR="00304E0A">
        <w:rPr>
          <w:color w:val="auto"/>
          <w:sz w:val="24"/>
          <w:szCs w:val="24"/>
        </w:rPr>
        <w:t>alst</w:t>
      </w:r>
      <w:r w:rsidRPr="0082362E">
        <w:rPr>
          <w:color w:val="auto"/>
          <w:sz w:val="24"/>
          <w:szCs w:val="24"/>
        </w:rPr>
        <w:t xml:space="preserve">s kvalificējas kā </w:t>
      </w:r>
      <w:r w:rsidRPr="0082362E">
        <w:rPr>
          <w:color w:val="auto"/>
          <w:sz w:val="24"/>
          <w:szCs w:val="24"/>
          <w:u w:val="single"/>
        </w:rPr>
        <w:t>nelikumīgs, bet saderīgs</w:t>
      </w:r>
      <w:r w:rsidRPr="0082362E">
        <w:rPr>
          <w:color w:val="auto"/>
          <w:sz w:val="24"/>
          <w:szCs w:val="24"/>
        </w:rPr>
        <w:t xml:space="preserve"> </w:t>
      </w:r>
      <w:r w:rsidR="00D36866">
        <w:rPr>
          <w:color w:val="auto"/>
          <w:sz w:val="24"/>
          <w:szCs w:val="24"/>
        </w:rPr>
        <w:t>komercdarbības atb</w:t>
      </w:r>
      <w:r w:rsidR="00304E0A">
        <w:rPr>
          <w:color w:val="auto"/>
          <w:sz w:val="24"/>
          <w:szCs w:val="24"/>
        </w:rPr>
        <w:t>alst</w:t>
      </w:r>
      <w:r w:rsidRPr="0082362E">
        <w:rPr>
          <w:color w:val="auto"/>
          <w:sz w:val="24"/>
          <w:szCs w:val="24"/>
        </w:rPr>
        <w:t xml:space="preserve">s (skat. tabulā Nr.1 pirmo variantu). </w:t>
      </w:r>
    </w:p>
    <w:p w14:paraId="4DDF5BED" w14:textId="003A6DEC" w:rsidR="00D50B89" w:rsidRPr="0082362E" w:rsidRDefault="00DC01CB" w:rsidP="00444DFF">
      <w:pPr>
        <w:pStyle w:val="ListParagraph"/>
        <w:numPr>
          <w:ilvl w:val="0"/>
          <w:numId w:val="3"/>
        </w:numPr>
        <w:rPr>
          <w:color w:val="auto"/>
          <w:sz w:val="24"/>
          <w:szCs w:val="24"/>
        </w:rPr>
      </w:pPr>
      <w:r w:rsidRPr="0082362E">
        <w:rPr>
          <w:color w:val="auto"/>
          <w:sz w:val="24"/>
          <w:szCs w:val="24"/>
        </w:rPr>
        <w:t xml:space="preserve">Nacionālā tiesa pieprasa </w:t>
      </w:r>
      <w:r w:rsidR="00B85B05" w:rsidRPr="00B85B05">
        <w:rPr>
          <w:color w:val="auto"/>
          <w:sz w:val="24"/>
          <w:szCs w:val="24"/>
        </w:rPr>
        <w:t xml:space="preserve"> </w:t>
      </w:r>
      <w:r w:rsidR="00B85B05" w:rsidRPr="0082362E">
        <w:rPr>
          <w:color w:val="auto"/>
          <w:sz w:val="24"/>
          <w:szCs w:val="24"/>
        </w:rPr>
        <w:t xml:space="preserve">atbalsta saņēmējam </w:t>
      </w:r>
      <w:r w:rsidRPr="0082362E">
        <w:rPr>
          <w:color w:val="auto"/>
          <w:sz w:val="24"/>
          <w:szCs w:val="24"/>
        </w:rPr>
        <w:t xml:space="preserve">atmaksāt procentus no nelikumīgi piešķirtās atbalsta summas (“atgūšanas procenti”) par atbalsta periodu no brīža, kad </w:t>
      </w:r>
      <w:r w:rsidR="00D36866">
        <w:rPr>
          <w:color w:val="auto"/>
          <w:sz w:val="24"/>
          <w:szCs w:val="24"/>
        </w:rPr>
        <w:t>komercdarbības atb</w:t>
      </w:r>
      <w:r w:rsidR="00304E0A">
        <w:rPr>
          <w:color w:val="auto"/>
          <w:sz w:val="24"/>
          <w:szCs w:val="24"/>
        </w:rPr>
        <w:t>alst</w:t>
      </w:r>
      <w:r w:rsidRPr="0082362E">
        <w:rPr>
          <w:color w:val="auto"/>
          <w:sz w:val="24"/>
          <w:szCs w:val="24"/>
        </w:rPr>
        <w:t xml:space="preserve">s ir nodots atbalsta saņēmēja rīcībā līdz brīdim, kad EK pieņēmusi lēmumu par </w:t>
      </w:r>
      <w:r w:rsidR="00D36866">
        <w:rPr>
          <w:color w:val="auto"/>
          <w:sz w:val="24"/>
          <w:szCs w:val="24"/>
        </w:rPr>
        <w:t>komercdarbības atb</w:t>
      </w:r>
      <w:r w:rsidR="00304E0A">
        <w:rPr>
          <w:color w:val="auto"/>
          <w:sz w:val="24"/>
          <w:szCs w:val="24"/>
        </w:rPr>
        <w:t>alst</w:t>
      </w:r>
      <w:r w:rsidRPr="0082362E">
        <w:rPr>
          <w:color w:val="auto"/>
          <w:sz w:val="24"/>
          <w:szCs w:val="24"/>
        </w:rPr>
        <w:t>a saderību</w:t>
      </w:r>
      <w:r w:rsidR="00822352">
        <w:rPr>
          <w:color w:val="auto"/>
          <w:sz w:val="24"/>
          <w:szCs w:val="24"/>
        </w:rPr>
        <w:t xml:space="preserve">, ja to prasa </w:t>
      </w:r>
      <w:r w:rsidR="00B85B05">
        <w:rPr>
          <w:color w:val="auto"/>
          <w:sz w:val="24"/>
          <w:szCs w:val="24"/>
        </w:rPr>
        <w:t>trešā persona</w:t>
      </w:r>
      <w:r w:rsidRPr="0082362E">
        <w:rPr>
          <w:rStyle w:val="Vresenkurs"/>
          <w:color w:val="auto"/>
          <w:sz w:val="24"/>
          <w:szCs w:val="24"/>
        </w:rPr>
        <w:footnoteReference w:id="32"/>
      </w:r>
      <w:r w:rsidRPr="0082362E">
        <w:rPr>
          <w:color w:val="auto"/>
          <w:sz w:val="24"/>
          <w:szCs w:val="24"/>
        </w:rPr>
        <w:t xml:space="preserve">. </w:t>
      </w:r>
    </w:p>
    <w:p w14:paraId="0CD661ED" w14:textId="5C979514" w:rsidR="00D50B89" w:rsidRPr="0082362E" w:rsidRDefault="00DC01CB" w:rsidP="00444DFF">
      <w:pPr>
        <w:pStyle w:val="ListParagraph"/>
        <w:numPr>
          <w:ilvl w:val="0"/>
          <w:numId w:val="3"/>
        </w:numPr>
        <w:rPr>
          <w:color w:val="auto"/>
          <w:sz w:val="24"/>
          <w:szCs w:val="24"/>
        </w:rPr>
      </w:pPr>
      <w:r w:rsidRPr="0082362E">
        <w:rPr>
          <w:color w:val="auto"/>
          <w:sz w:val="24"/>
          <w:szCs w:val="24"/>
        </w:rPr>
        <w:t xml:space="preserve">Papildus, nelikumīga un vēlāk EK atzīta par saderīgu </w:t>
      </w:r>
      <w:r w:rsidR="00D36866">
        <w:rPr>
          <w:color w:val="auto"/>
          <w:sz w:val="24"/>
          <w:szCs w:val="24"/>
        </w:rPr>
        <w:t>komercdarbības atb</w:t>
      </w:r>
      <w:r w:rsidRPr="0082362E">
        <w:rPr>
          <w:color w:val="auto"/>
          <w:sz w:val="24"/>
          <w:szCs w:val="24"/>
        </w:rPr>
        <w:t xml:space="preserve">alsta gadījumā trešajām personām – atbalsta saņēmēja konkurentam/-iem ir tiesības griezties nacionālajā tiesā un prasīt zaudējumu kompensāciju, </w:t>
      </w:r>
      <w:r w:rsidRPr="0082362E">
        <w:rPr>
          <w:color w:val="auto"/>
          <w:sz w:val="24"/>
          <w:szCs w:val="24"/>
          <w:shd w:val="clear" w:color="auto" w:fill="FFFFFF"/>
        </w:rPr>
        <w:t>kas radušies sakarā ar atbalsta pasākuma nelikumību</w:t>
      </w:r>
      <w:r w:rsidRPr="0082362E">
        <w:rPr>
          <w:rStyle w:val="Vresenkurs"/>
          <w:color w:val="auto"/>
          <w:sz w:val="24"/>
          <w:szCs w:val="24"/>
          <w:shd w:val="clear" w:color="auto" w:fill="FFFFFF"/>
        </w:rPr>
        <w:footnoteReference w:id="33"/>
      </w:r>
      <w:r w:rsidRPr="0082362E">
        <w:rPr>
          <w:color w:val="auto"/>
          <w:sz w:val="24"/>
          <w:szCs w:val="24"/>
        </w:rPr>
        <w:t xml:space="preserve"> (ja </w:t>
      </w:r>
      <w:r w:rsidR="0085299A" w:rsidRPr="0082362E">
        <w:rPr>
          <w:color w:val="auto"/>
          <w:sz w:val="24"/>
          <w:szCs w:val="24"/>
        </w:rPr>
        <w:t>šis apstāklis iestājas</w:t>
      </w:r>
      <w:r w:rsidRPr="0082362E">
        <w:rPr>
          <w:color w:val="auto"/>
          <w:sz w:val="24"/>
          <w:szCs w:val="24"/>
        </w:rPr>
        <w:t>).</w:t>
      </w:r>
    </w:p>
    <w:p w14:paraId="177777DF" w14:textId="77777777" w:rsidR="00D50B89" w:rsidRPr="0082362E" w:rsidRDefault="00D50B89" w:rsidP="00444DFF">
      <w:pPr>
        <w:rPr>
          <w:rFonts w:ascii="Times New Roman" w:hAnsi="Times New Roman" w:cs="Times New Roman"/>
          <w:sz w:val="24"/>
          <w:szCs w:val="24"/>
        </w:rPr>
      </w:pPr>
    </w:p>
    <w:p w14:paraId="5D3E7762" w14:textId="4AC262CF" w:rsidR="00D50B89" w:rsidRPr="0082362E" w:rsidRDefault="00DC01CB" w:rsidP="00444DFF">
      <w:pPr>
        <w:pStyle w:val="ListParagraph"/>
        <w:numPr>
          <w:ilvl w:val="0"/>
          <w:numId w:val="6"/>
        </w:numPr>
        <w:ind w:left="0" w:firstLine="360"/>
        <w:rPr>
          <w:b/>
          <w:color w:val="auto"/>
          <w:sz w:val="24"/>
          <w:szCs w:val="24"/>
        </w:rPr>
      </w:pPr>
      <w:r w:rsidRPr="0082362E">
        <w:rPr>
          <w:b/>
          <w:color w:val="auto"/>
          <w:sz w:val="24"/>
          <w:szCs w:val="24"/>
        </w:rPr>
        <w:t xml:space="preserve">Sekas, ja </w:t>
      </w:r>
      <w:r w:rsidR="00D36866">
        <w:rPr>
          <w:b/>
          <w:color w:val="auto"/>
          <w:sz w:val="24"/>
          <w:szCs w:val="24"/>
        </w:rPr>
        <w:t>komercdarbības atb</w:t>
      </w:r>
      <w:r w:rsidR="00304E0A">
        <w:rPr>
          <w:b/>
          <w:color w:val="auto"/>
          <w:sz w:val="24"/>
          <w:szCs w:val="24"/>
        </w:rPr>
        <w:t>alst</w:t>
      </w:r>
      <w:r w:rsidRPr="0082362E">
        <w:rPr>
          <w:b/>
          <w:color w:val="auto"/>
          <w:sz w:val="24"/>
          <w:szCs w:val="24"/>
        </w:rPr>
        <w:t xml:space="preserve">s ticis sniegts bez paziņošanas EK </w:t>
      </w:r>
      <w:r w:rsidR="00266DCE" w:rsidRPr="0082362E">
        <w:rPr>
          <w:b/>
          <w:color w:val="auto"/>
          <w:sz w:val="24"/>
          <w:szCs w:val="24"/>
        </w:rPr>
        <w:t xml:space="preserve">un </w:t>
      </w:r>
      <w:r w:rsidRPr="0082362E">
        <w:rPr>
          <w:b/>
          <w:color w:val="auto"/>
          <w:sz w:val="24"/>
          <w:szCs w:val="24"/>
        </w:rPr>
        <w:t xml:space="preserve">pēc tam saņemts EK lēmums ar atzinumu par </w:t>
      </w:r>
      <w:r w:rsidR="00D36866">
        <w:rPr>
          <w:b/>
          <w:color w:val="auto"/>
          <w:sz w:val="24"/>
          <w:szCs w:val="24"/>
        </w:rPr>
        <w:t>komercdarbības atb</w:t>
      </w:r>
      <w:r w:rsidR="00304E0A">
        <w:rPr>
          <w:b/>
          <w:color w:val="auto"/>
          <w:sz w:val="24"/>
          <w:szCs w:val="24"/>
        </w:rPr>
        <w:t>alst</w:t>
      </w:r>
      <w:r w:rsidRPr="0082362E">
        <w:rPr>
          <w:b/>
          <w:color w:val="auto"/>
          <w:sz w:val="24"/>
          <w:szCs w:val="24"/>
        </w:rPr>
        <w:t xml:space="preserve">a nesaderību ar EK iekšējo tirgu un sekojošu </w:t>
      </w:r>
      <w:r w:rsidR="00D36866">
        <w:rPr>
          <w:b/>
          <w:color w:val="auto"/>
          <w:sz w:val="24"/>
          <w:szCs w:val="24"/>
        </w:rPr>
        <w:t>komercdarbības atb</w:t>
      </w:r>
      <w:r w:rsidR="00304E0A">
        <w:rPr>
          <w:b/>
          <w:color w:val="auto"/>
          <w:sz w:val="24"/>
          <w:szCs w:val="24"/>
        </w:rPr>
        <w:t>alst</w:t>
      </w:r>
      <w:r w:rsidRPr="0082362E">
        <w:rPr>
          <w:b/>
          <w:color w:val="auto"/>
          <w:sz w:val="24"/>
          <w:szCs w:val="24"/>
        </w:rPr>
        <w:t>a atgūšanu</w:t>
      </w:r>
    </w:p>
    <w:p w14:paraId="4076CE7B" w14:textId="77777777" w:rsidR="00D50B89" w:rsidRPr="0082362E" w:rsidRDefault="00D50B89" w:rsidP="00444DFF">
      <w:pPr>
        <w:pStyle w:val="ListParagraph"/>
        <w:ind w:left="360"/>
        <w:rPr>
          <w:b/>
          <w:color w:val="auto"/>
          <w:sz w:val="24"/>
          <w:szCs w:val="24"/>
        </w:rPr>
      </w:pPr>
    </w:p>
    <w:p w14:paraId="28DC2365" w14:textId="0E95AA71" w:rsidR="00D50B89" w:rsidRPr="0082362E" w:rsidRDefault="00DC01CB" w:rsidP="00444DFF">
      <w:pPr>
        <w:pStyle w:val="ListParagraph"/>
        <w:numPr>
          <w:ilvl w:val="0"/>
          <w:numId w:val="4"/>
        </w:numPr>
        <w:rPr>
          <w:color w:val="auto"/>
          <w:sz w:val="24"/>
          <w:szCs w:val="24"/>
        </w:rPr>
      </w:pPr>
      <w:r w:rsidRPr="0082362E">
        <w:rPr>
          <w:color w:val="auto"/>
          <w:sz w:val="24"/>
          <w:szCs w:val="24"/>
        </w:rPr>
        <w:t xml:space="preserve">Šāds </w:t>
      </w:r>
      <w:r w:rsidR="00D36866">
        <w:rPr>
          <w:color w:val="auto"/>
          <w:sz w:val="24"/>
          <w:szCs w:val="24"/>
        </w:rPr>
        <w:t>komercdarbības atb</w:t>
      </w:r>
      <w:r w:rsidR="00304E0A">
        <w:rPr>
          <w:color w:val="auto"/>
          <w:sz w:val="24"/>
          <w:szCs w:val="24"/>
        </w:rPr>
        <w:t>alst</w:t>
      </w:r>
      <w:r w:rsidRPr="0082362E">
        <w:rPr>
          <w:color w:val="auto"/>
          <w:sz w:val="24"/>
          <w:szCs w:val="24"/>
        </w:rPr>
        <w:t xml:space="preserve">s kvalificējas kā </w:t>
      </w:r>
      <w:r w:rsidRPr="0082362E">
        <w:rPr>
          <w:color w:val="auto"/>
          <w:sz w:val="24"/>
          <w:szCs w:val="24"/>
          <w:u w:val="single"/>
        </w:rPr>
        <w:t>nelikumīgs un nesaderīgs</w:t>
      </w:r>
      <w:r w:rsidRPr="0082362E">
        <w:rPr>
          <w:color w:val="auto"/>
          <w:sz w:val="24"/>
          <w:szCs w:val="24"/>
        </w:rPr>
        <w:t xml:space="preserve"> </w:t>
      </w:r>
      <w:r w:rsidR="00D36866">
        <w:rPr>
          <w:color w:val="auto"/>
          <w:sz w:val="24"/>
          <w:szCs w:val="24"/>
        </w:rPr>
        <w:t>komercdarbības atb</w:t>
      </w:r>
      <w:r w:rsidR="00304E0A">
        <w:rPr>
          <w:color w:val="auto"/>
          <w:sz w:val="24"/>
          <w:szCs w:val="24"/>
        </w:rPr>
        <w:t>alst</w:t>
      </w:r>
      <w:r w:rsidRPr="0082362E">
        <w:rPr>
          <w:color w:val="auto"/>
          <w:sz w:val="24"/>
          <w:szCs w:val="24"/>
        </w:rPr>
        <w:t xml:space="preserve">s (skat. tabulā Nr.1 otro variantu). </w:t>
      </w:r>
    </w:p>
    <w:p w14:paraId="2046A3F3" w14:textId="45F9AD79" w:rsidR="00D50B89" w:rsidRPr="0082362E" w:rsidRDefault="00DC01CB" w:rsidP="00444DFF">
      <w:pPr>
        <w:pStyle w:val="ListParagraph"/>
        <w:numPr>
          <w:ilvl w:val="0"/>
          <w:numId w:val="4"/>
        </w:numPr>
      </w:pPr>
      <w:r w:rsidRPr="0082362E">
        <w:rPr>
          <w:color w:val="auto"/>
          <w:sz w:val="24"/>
          <w:szCs w:val="24"/>
        </w:rPr>
        <w:t xml:space="preserve">Atbalsta sniedzējam šāds </w:t>
      </w:r>
      <w:r w:rsidR="00D36866">
        <w:rPr>
          <w:color w:val="auto"/>
          <w:sz w:val="24"/>
          <w:szCs w:val="24"/>
        </w:rPr>
        <w:t>komercdarbības atb</w:t>
      </w:r>
      <w:r w:rsidR="00304E0A">
        <w:rPr>
          <w:color w:val="auto"/>
          <w:sz w:val="24"/>
          <w:szCs w:val="24"/>
        </w:rPr>
        <w:t>alst</w:t>
      </w:r>
      <w:r w:rsidRPr="0082362E">
        <w:rPr>
          <w:color w:val="auto"/>
          <w:sz w:val="24"/>
          <w:szCs w:val="24"/>
        </w:rPr>
        <w:t xml:space="preserve">s no saņēmēja jāatgūst bez kavēšanās un </w:t>
      </w:r>
      <w:r w:rsidR="00D36866">
        <w:rPr>
          <w:color w:val="auto"/>
          <w:sz w:val="24"/>
          <w:szCs w:val="24"/>
        </w:rPr>
        <w:t>komercdarbības atb</w:t>
      </w:r>
      <w:r w:rsidR="00304E0A">
        <w:rPr>
          <w:color w:val="auto"/>
          <w:sz w:val="24"/>
          <w:szCs w:val="24"/>
        </w:rPr>
        <w:t>alst</w:t>
      </w:r>
      <w:r w:rsidRPr="0082362E">
        <w:rPr>
          <w:color w:val="auto"/>
          <w:sz w:val="24"/>
          <w:szCs w:val="24"/>
        </w:rPr>
        <w:t xml:space="preserve">a atgūšanas termiņš tiek noteikts EK lēmumā. Nacionālās tiesvedības procedūras nedrīkst aizkavēt </w:t>
      </w:r>
      <w:r w:rsidR="00D36866">
        <w:rPr>
          <w:color w:val="auto"/>
          <w:sz w:val="24"/>
          <w:szCs w:val="24"/>
        </w:rPr>
        <w:t>komercdarbības atb</w:t>
      </w:r>
      <w:r w:rsidR="00304E0A">
        <w:rPr>
          <w:color w:val="auto"/>
          <w:sz w:val="24"/>
          <w:szCs w:val="24"/>
        </w:rPr>
        <w:t>alst</w:t>
      </w:r>
      <w:r w:rsidRPr="0082362E">
        <w:rPr>
          <w:color w:val="auto"/>
          <w:sz w:val="24"/>
          <w:szCs w:val="24"/>
        </w:rPr>
        <w:t xml:space="preserve">a atgūšanu. </w:t>
      </w:r>
    </w:p>
    <w:p w14:paraId="510C54FA" w14:textId="127D627F" w:rsidR="00D50B89" w:rsidRPr="0082362E" w:rsidRDefault="00DC01CB" w:rsidP="00444DFF">
      <w:pPr>
        <w:pStyle w:val="ListParagraph"/>
        <w:numPr>
          <w:ilvl w:val="0"/>
          <w:numId w:val="4"/>
        </w:numPr>
        <w:rPr>
          <w:color w:val="auto"/>
          <w:sz w:val="24"/>
          <w:szCs w:val="24"/>
        </w:rPr>
      </w:pPr>
      <w:r w:rsidRPr="0082362E">
        <w:rPr>
          <w:color w:val="auto"/>
          <w:sz w:val="24"/>
          <w:szCs w:val="24"/>
        </w:rPr>
        <w:t xml:space="preserve">Šāds </w:t>
      </w:r>
      <w:r w:rsidR="00D36866">
        <w:rPr>
          <w:color w:val="auto"/>
          <w:sz w:val="24"/>
          <w:szCs w:val="24"/>
        </w:rPr>
        <w:t>komercdarbības atb</w:t>
      </w:r>
      <w:r w:rsidR="00304E0A">
        <w:rPr>
          <w:color w:val="auto"/>
          <w:sz w:val="24"/>
          <w:szCs w:val="24"/>
        </w:rPr>
        <w:t>alst</w:t>
      </w:r>
      <w:r w:rsidRPr="0082362E">
        <w:rPr>
          <w:color w:val="auto"/>
          <w:sz w:val="24"/>
          <w:szCs w:val="24"/>
        </w:rPr>
        <w:t xml:space="preserve">s ir atmaksājams kopā ar atgūšanas procentiem no </w:t>
      </w:r>
      <w:r w:rsidR="00D36866">
        <w:rPr>
          <w:color w:val="auto"/>
          <w:sz w:val="24"/>
          <w:szCs w:val="24"/>
        </w:rPr>
        <w:t>komercdarbības atb</w:t>
      </w:r>
      <w:r w:rsidR="00304E0A">
        <w:rPr>
          <w:color w:val="auto"/>
          <w:sz w:val="24"/>
          <w:szCs w:val="24"/>
        </w:rPr>
        <w:t>alst</w:t>
      </w:r>
      <w:r w:rsidRPr="0082362E">
        <w:rPr>
          <w:color w:val="auto"/>
          <w:sz w:val="24"/>
          <w:szCs w:val="24"/>
        </w:rPr>
        <w:t xml:space="preserve">a summas, kas aprēķināti par atbalsta periodu no brīža, kad </w:t>
      </w:r>
      <w:r w:rsidR="00D36866">
        <w:rPr>
          <w:color w:val="auto"/>
          <w:sz w:val="24"/>
          <w:szCs w:val="24"/>
        </w:rPr>
        <w:t>komercdarbības atb</w:t>
      </w:r>
      <w:r w:rsidR="00304E0A">
        <w:rPr>
          <w:color w:val="auto"/>
          <w:sz w:val="24"/>
          <w:szCs w:val="24"/>
        </w:rPr>
        <w:t>alst</w:t>
      </w:r>
      <w:r w:rsidRPr="0082362E">
        <w:rPr>
          <w:color w:val="auto"/>
          <w:sz w:val="24"/>
          <w:szCs w:val="24"/>
        </w:rPr>
        <w:t xml:space="preserve">s ir nodots atbalsta saņēmēja rīcībā līdz pilnīgam </w:t>
      </w:r>
      <w:r w:rsidR="00D36866">
        <w:rPr>
          <w:color w:val="auto"/>
          <w:sz w:val="24"/>
          <w:szCs w:val="24"/>
        </w:rPr>
        <w:t>komercdarbības atb</w:t>
      </w:r>
      <w:r w:rsidR="00304E0A">
        <w:rPr>
          <w:color w:val="auto"/>
          <w:sz w:val="24"/>
          <w:szCs w:val="24"/>
        </w:rPr>
        <w:t>alst</w:t>
      </w:r>
      <w:r w:rsidRPr="0082362E">
        <w:rPr>
          <w:color w:val="auto"/>
          <w:sz w:val="24"/>
          <w:szCs w:val="24"/>
        </w:rPr>
        <w:t xml:space="preserve">a atmaksāšanas brīdim. </w:t>
      </w:r>
    </w:p>
    <w:p w14:paraId="53DA0769" w14:textId="5E4AA471" w:rsidR="007B5D09" w:rsidRPr="0082362E" w:rsidRDefault="00DC01CB" w:rsidP="001C660C">
      <w:pPr>
        <w:pStyle w:val="ListParagraph"/>
        <w:numPr>
          <w:ilvl w:val="0"/>
          <w:numId w:val="4"/>
        </w:numPr>
        <w:rPr>
          <w:color w:val="auto"/>
          <w:sz w:val="24"/>
          <w:szCs w:val="24"/>
        </w:rPr>
      </w:pPr>
      <w:r w:rsidRPr="0082362E">
        <w:rPr>
          <w:color w:val="auto"/>
          <w:sz w:val="24"/>
          <w:szCs w:val="24"/>
        </w:rPr>
        <w:t xml:space="preserve">Ja netiek nodrošināta nekavējoša EK lēmuma izpilde par </w:t>
      </w:r>
      <w:r w:rsidR="00D36866">
        <w:rPr>
          <w:color w:val="auto"/>
          <w:sz w:val="24"/>
          <w:szCs w:val="24"/>
        </w:rPr>
        <w:t>komercdarbības atb</w:t>
      </w:r>
      <w:r w:rsidR="00304E0A">
        <w:rPr>
          <w:color w:val="auto"/>
          <w:sz w:val="24"/>
          <w:szCs w:val="24"/>
        </w:rPr>
        <w:t>alst</w:t>
      </w:r>
      <w:r w:rsidRPr="0082362E">
        <w:rPr>
          <w:color w:val="auto"/>
          <w:sz w:val="24"/>
          <w:szCs w:val="24"/>
        </w:rPr>
        <w:t>a atgūšanu, EK vēršas ar neizpildes prasību ES tiesā</w:t>
      </w:r>
      <w:r w:rsidR="007B5D09" w:rsidRPr="0082362E">
        <w:rPr>
          <w:color w:val="auto"/>
          <w:sz w:val="24"/>
          <w:szCs w:val="24"/>
        </w:rPr>
        <w:t xml:space="preserve"> (LESD 108.panta 2.punkts).</w:t>
      </w:r>
    </w:p>
    <w:p w14:paraId="5EE7D314" w14:textId="4F6AFE1B" w:rsidR="00D50B89" w:rsidRPr="0082362E" w:rsidRDefault="00A7478E" w:rsidP="001C660C">
      <w:pPr>
        <w:pStyle w:val="ListParagraph"/>
        <w:numPr>
          <w:ilvl w:val="0"/>
          <w:numId w:val="4"/>
        </w:numPr>
        <w:rPr>
          <w:color w:val="auto"/>
          <w:sz w:val="24"/>
          <w:szCs w:val="24"/>
        </w:rPr>
      </w:pPr>
      <w:r w:rsidRPr="0082362E">
        <w:rPr>
          <w:color w:val="auto"/>
          <w:sz w:val="24"/>
          <w:szCs w:val="24"/>
          <w:shd w:val="clear" w:color="auto" w:fill="FFFFFF"/>
        </w:rPr>
        <w:t xml:space="preserve">Ja </w:t>
      </w:r>
      <w:r w:rsidR="007B5D09" w:rsidRPr="0082362E">
        <w:rPr>
          <w:color w:val="auto"/>
          <w:sz w:val="24"/>
          <w:szCs w:val="24"/>
          <w:shd w:val="clear" w:color="auto" w:fill="FFFFFF"/>
        </w:rPr>
        <w:t>EK</w:t>
      </w:r>
      <w:r w:rsidRPr="0082362E">
        <w:rPr>
          <w:color w:val="auto"/>
          <w:sz w:val="24"/>
          <w:szCs w:val="24"/>
          <w:shd w:val="clear" w:color="auto" w:fill="FFFFFF"/>
        </w:rPr>
        <w:t xml:space="preserve"> uzskata, ka attiecīgā dalībvalsts nav veikusi vajadzīgos pasākumus, lai izpildītu </w:t>
      </w:r>
      <w:r w:rsidR="007B5D09" w:rsidRPr="0082362E">
        <w:rPr>
          <w:color w:val="auto"/>
          <w:sz w:val="24"/>
          <w:szCs w:val="24"/>
          <w:shd w:val="clear" w:color="auto" w:fill="FFFFFF"/>
        </w:rPr>
        <w:t>ES t</w:t>
      </w:r>
      <w:r w:rsidRPr="0082362E">
        <w:rPr>
          <w:color w:val="auto"/>
          <w:sz w:val="24"/>
          <w:szCs w:val="24"/>
          <w:shd w:val="clear" w:color="auto" w:fill="FFFFFF"/>
        </w:rPr>
        <w:t>iesas spriedumu, tā vēr</w:t>
      </w:r>
      <w:r w:rsidR="007B5D09" w:rsidRPr="0082362E">
        <w:rPr>
          <w:color w:val="auto"/>
          <w:sz w:val="24"/>
          <w:szCs w:val="24"/>
          <w:shd w:val="clear" w:color="auto" w:fill="FFFFFF"/>
        </w:rPr>
        <w:t>ša</w:t>
      </w:r>
      <w:r w:rsidRPr="0082362E">
        <w:rPr>
          <w:color w:val="auto"/>
          <w:sz w:val="24"/>
          <w:szCs w:val="24"/>
          <w:shd w:val="clear" w:color="auto" w:fill="FFFFFF"/>
        </w:rPr>
        <w:t xml:space="preserve">s </w:t>
      </w:r>
      <w:r w:rsidR="007B5D09" w:rsidRPr="0082362E">
        <w:rPr>
          <w:color w:val="auto"/>
          <w:sz w:val="24"/>
          <w:szCs w:val="24"/>
          <w:shd w:val="clear" w:color="auto" w:fill="FFFFFF"/>
        </w:rPr>
        <w:t>ES t</w:t>
      </w:r>
      <w:r w:rsidRPr="0082362E">
        <w:rPr>
          <w:color w:val="auto"/>
          <w:sz w:val="24"/>
          <w:szCs w:val="24"/>
          <w:shd w:val="clear" w:color="auto" w:fill="FFFFFF"/>
        </w:rPr>
        <w:t>iesā norād</w:t>
      </w:r>
      <w:r w:rsidR="007B5D09" w:rsidRPr="0082362E">
        <w:rPr>
          <w:color w:val="auto"/>
          <w:sz w:val="24"/>
          <w:szCs w:val="24"/>
          <w:shd w:val="clear" w:color="auto" w:fill="FFFFFF"/>
        </w:rPr>
        <w:t>ot</w:t>
      </w:r>
      <w:r w:rsidRPr="0082362E">
        <w:rPr>
          <w:color w:val="auto"/>
          <w:sz w:val="24"/>
          <w:szCs w:val="24"/>
          <w:shd w:val="clear" w:color="auto" w:fill="FFFFFF"/>
        </w:rPr>
        <w:t xml:space="preserve"> sodanaudu vai kavējuma naudu, kas jāmaksā attiecīgajai dalībvalstij</w:t>
      </w:r>
      <w:r w:rsidR="007B5D09" w:rsidRPr="0082362E">
        <w:rPr>
          <w:color w:val="auto"/>
          <w:sz w:val="24"/>
          <w:szCs w:val="24"/>
          <w:shd w:val="clear" w:color="auto" w:fill="FFFFFF"/>
        </w:rPr>
        <w:t>,</w:t>
      </w:r>
      <w:r w:rsidRPr="0082362E">
        <w:rPr>
          <w:color w:val="auto"/>
          <w:sz w:val="24"/>
          <w:szCs w:val="24"/>
          <w:shd w:val="clear" w:color="auto" w:fill="FFFFFF"/>
        </w:rPr>
        <w:t xml:space="preserve"> un</w:t>
      </w:r>
      <w:r w:rsidR="007B5D09" w:rsidRPr="0082362E">
        <w:rPr>
          <w:color w:val="auto"/>
          <w:sz w:val="24"/>
          <w:szCs w:val="24"/>
          <w:shd w:val="clear" w:color="auto" w:fill="FFFFFF"/>
        </w:rPr>
        <w:t>, attiecīgi,</w:t>
      </w:r>
      <w:r w:rsidRPr="0082362E">
        <w:rPr>
          <w:color w:val="auto"/>
          <w:sz w:val="24"/>
          <w:szCs w:val="24"/>
          <w:shd w:val="clear" w:color="auto" w:fill="FFFFFF"/>
        </w:rPr>
        <w:t xml:space="preserve"> </w:t>
      </w:r>
      <w:r w:rsidR="007B5D09" w:rsidRPr="0082362E">
        <w:rPr>
          <w:color w:val="auto"/>
          <w:sz w:val="24"/>
          <w:szCs w:val="24"/>
          <w:shd w:val="clear" w:color="auto" w:fill="FFFFFF"/>
        </w:rPr>
        <w:t>j</w:t>
      </w:r>
      <w:r w:rsidRPr="0082362E">
        <w:rPr>
          <w:color w:val="auto"/>
          <w:sz w:val="24"/>
          <w:szCs w:val="24"/>
          <w:shd w:val="clear" w:color="auto" w:fill="FFFFFF"/>
        </w:rPr>
        <w:t xml:space="preserve">a </w:t>
      </w:r>
      <w:r w:rsidR="007B5D09" w:rsidRPr="0082362E">
        <w:rPr>
          <w:color w:val="auto"/>
          <w:sz w:val="24"/>
          <w:szCs w:val="24"/>
          <w:shd w:val="clear" w:color="auto" w:fill="FFFFFF"/>
        </w:rPr>
        <w:t>ES t</w:t>
      </w:r>
      <w:r w:rsidRPr="0082362E">
        <w:rPr>
          <w:color w:val="auto"/>
          <w:sz w:val="24"/>
          <w:szCs w:val="24"/>
          <w:shd w:val="clear" w:color="auto" w:fill="FFFFFF"/>
        </w:rPr>
        <w:t>iesa konstatē, ka attiecīgā dalībvalsts nav izpildījusi tās spriedumu, tā var šai valstij uzli</w:t>
      </w:r>
      <w:r w:rsidR="007B5D09" w:rsidRPr="0082362E">
        <w:rPr>
          <w:color w:val="auto"/>
          <w:sz w:val="24"/>
          <w:szCs w:val="24"/>
          <w:shd w:val="clear" w:color="auto" w:fill="FFFFFF"/>
        </w:rPr>
        <w:t>ek</w:t>
      </w:r>
      <w:r w:rsidRPr="0082362E">
        <w:rPr>
          <w:color w:val="auto"/>
          <w:sz w:val="24"/>
          <w:szCs w:val="24"/>
          <w:shd w:val="clear" w:color="auto" w:fill="FFFFFF"/>
        </w:rPr>
        <w:t xml:space="preserve"> sodanaudu vai kavējuma naudu</w:t>
      </w:r>
      <w:r w:rsidRPr="0082362E">
        <w:rPr>
          <w:color w:val="auto"/>
          <w:sz w:val="24"/>
          <w:szCs w:val="24"/>
        </w:rPr>
        <w:t xml:space="preserve"> (LESD 260.panta 2.punkts).</w:t>
      </w:r>
    </w:p>
    <w:p w14:paraId="7E999BF9" w14:textId="77777777" w:rsidR="00D50B89" w:rsidRPr="0082362E" w:rsidRDefault="00D50B89" w:rsidP="00444DFF">
      <w:pPr>
        <w:pStyle w:val="NumPar1"/>
        <w:tabs>
          <w:tab w:val="clear" w:pos="426"/>
          <w:tab w:val="clear" w:pos="480"/>
        </w:tabs>
        <w:spacing w:after="0"/>
        <w:ind w:left="0" w:right="0" w:firstLine="567"/>
        <w:outlineLvl w:val="9"/>
        <w:rPr>
          <w:szCs w:val="24"/>
        </w:rPr>
      </w:pPr>
    </w:p>
    <w:p w14:paraId="68A71DF6" w14:textId="77777777" w:rsidR="007637FD" w:rsidRDefault="007637FD">
      <w:pPr>
        <w:rPr>
          <w:rFonts w:ascii="Times New Roman" w:hAnsi="Times New Roman" w:cs="Times New Roman"/>
          <w:b/>
          <w:bCs/>
          <w:color w:val="000000"/>
          <w:sz w:val="24"/>
          <w:szCs w:val="24"/>
          <w:lang w:eastAsia="en-US" w:bidi="ar-SA"/>
        </w:rPr>
      </w:pPr>
      <w:r>
        <w:rPr>
          <w:b/>
          <w:bCs/>
        </w:rPr>
        <w:br w:type="page"/>
      </w:r>
    </w:p>
    <w:p w14:paraId="6601AD5F" w14:textId="5FD56EB5" w:rsidR="00D50B89" w:rsidRPr="0082362E" w:rsidRDefault="00D36866" w:rsidP="00444DFF">
      <w:pPr>
        <w:pStyle w:val="Default"/>
        <w:numPr>
          <w:ilvl w:val="0"/>
          <w:numId w:val="6"/>
        </w:numPr>
      </w:pPr>
      <w:r>
        <w:rPr>
          <w:b/>
          <w:bCs/>
        </w:rPr>
        <w:t>Komercdarbības atb</w:t>
      </w:r>
      <w:r w:rsidR="00304E0A">
        <w:rPr>
          <w:b/>
          <w:bCs/>
        </w:rPr>
        <w:t>alst</w:t>
      </w:r>
      <w:r w:rsidR="00DC01CB" w:rsidRPr="0082362E">
        <w:rPr>
          <w:b/>
          <w:bCs/>
        </w:rPr>
        <w:t xml:space="preserve">a atgūšanas nosacījumi </w:t>
      </w:r>
    </w:p>
    <w:p w14:paraId="6964F08C" w14:textId="77777777" w:rsidR="00D50B89" w:rsidRPr="0082362E" w:rsidRDefault="00D50B89" w:rsidP="00444DFF">
      <w:pPr>
        <w:ind w:firstLine="567"/>
        <w:rPr>
          <w:rFonts w:ascii="Times New Roman" w:hAnsi="Times New Roman" w:cs="Times New Roman"/>
          <w:sz w:val="24"/>
          <w:szCs w:val="24"/>
        </w:rPr>
      </w:pPr>
    </w:p>
    <w:p w14:paraId="606D1F4C" w14:textId="4B42E210" w:rsidR="00D50B89" w:rsidRPr="0082362E" w:rsidRDefault="00DC01CB" w:rsidP="00444DFF">
      <w:pPr>
        <w:ind w:firstLine="567"/>
      </w:pPr>
      <w:r w:rsidRPr="0082362E">
        <w:rPr>
          <w:rFonts w:ascii="Times New Roman" w:hAnsi="Times New Roman" w:cs="Times New Roman"/>
          <w:sz w:val="24"/>
          <w:szCs w:val="24"/>
        </w:rPr>
        <w:t xml:space="preserve">Gadījumos, kad EK pieņem lēmumu par nelikumīga </w:t>
      </w:r>
      <w:r w:rsidR="006148BA" w:rsidRPr="0082362E">
        <w:rPr>
          <w:rFonts w:ascii="Times New Roman" w:hAnsi="Times New Roman" w:cs="Times New Roman"/>
          <w:sz w:val="24"/>
          <w:szCs w:val="24"/>
        </w:rPr>
        <w:t xml:space="preserve">un nesaderīga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atgūšanu, atbalsta sniedzējam ir pienākums nodrošināt šī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atgūšanu no atbalsta saņēmēja, ievērojot Eiropas Komisijas regulās</w:t>
      </w:r>
      <w:r w:rsidRPr="0082362E">
        <w:rPr>
          <w:rStyle w:val="Vresenkurs"/>
          <w:rFonts w:ascii="Times New Roman" w:hAnsi="Times New Roman" w:cs="Times New Roman"/>
          <w:sz w:val="24"/>
          <w:szCs w:val="24"/>
        </w:rPr>
        <w:footnoteReference w:id="34"/>
      </w:r>
      <w:r w:rsidRPr="0082362E">
        <w:rPr>
          <w:rFonts w:ascii="Times New Roman" w:hAnsi="Times New Roman" w:cs="Times New Roman"/>
          <w:sz w:val="24"/>
          <w:szCs w:val="24"/>
        </w:rPr>
        <w:t xml:space="preserve"> un Komercdarbības atbalsta kontroles likuma IV sadaļā “Nelikumīga komercdarbības atbalsta atgūšana</w:t>
      </w:r>
      <w:r w:rsidR="00597CB5" w:rsidRPr="0082362E">
        <w:rPr>
          <w:rFonts w:ascii="Times New Roman" w:hAnsi="Times New Roman" w:cs="Times New Roman"/>
          <w:sz w:val="24"/>
          <w:szCs w:val="24"/>
        </w:rPr>
        <w:t xml:space="preserve"> </w:t>
      </w:r>
      <w:r w:rsidR="00597CB5" w:rsidRPr="0082362E">
        <w:rPr>
          <w:rFonts w:ascii="Times New Roman" w:eastAsia="Times New Roman" w:hAnsi="Times New Roman" w:cs="Times New Roman"/>
          <w:bCs/>
          <w:sz w:val="24"/>
          <w:szCs w:val="24"/>
          <w:lang w:eastAsia="ru-RU"/>
        </w:rPr>
        <w:t>saskaņā ar Eiropas Komisijas pieņemtu lēmumu</w:t>
      </w:r>
      <w:r w:rsidRPr="0082362E">
        <w:rPr>
          <w:rFonts w:ascii="Times New Roman" w:hAnsi="Times New Roman" w:cs="Times New Roman"/>
          <w:bCs/>
          <w:sz w:val="24"/>
          <w:szCs w:val="24"/>
        </w:rPr>
        <w:t>”</w:t>
      </w:r>
      <w:r w:rsidRPr="0082362E">
        <w:rPr>
          <w:rFonts w:ascii="Times New Roman" w:hAnsi="Times New Roman" w:cs="Times New Roman"/>
          <w:sz w:val="24"/>
          <w:szCs w:val="24"/>
        </w:rPr>
        <w:t xml:space="preserve"> noteikto kārtību. </w:t>
      </w:r>
    </w:p>
    <w:p w14:paraId="55568ACA" w14:textId="486478FB" w:rsidR="00D50B89" w:rsidRPr="0082362E" w:rsidRDefault="00DC01CB" w:rsidP="00444DFF">
      <w:pPr>
        <w:ind w:firstLine="567"/>
      </w:pPr>
      <w:r w:rsidRPr="0082362E">
        <w:rPr>
          <w:rFonts w:ascii="Times New Roman" w:hAnsi="Times New Roman" w:cs="Times New Roman"/>
          <w:sz w:val="24"/>
          <w:szCs w:val="24"/>
        </w:rPr>
        <w:t>Atbilstoši Procedūras regulas 16.panta 2.punktam “</w:t>
      </w:r>
      <w:r w:rsidRPr="0082362E">
        <w:rPr>
          <w:rFonts w:ascii="Times New Roman" w:hAnsi="Times New Roman" w:cs="Times New Roman"/>
          <w:i/>
          <w:sz w:val="24"/>
          <w:szCs w:val="24"/>
        </w:rPr>
        <w:t>atbalsts, kas ir jāatgūst saskaņā ar atgūšanas lēmumu, ietver procentus, kas aprēķināti pēc atbilstīgas likmes, ko nosaka Komisija. Procenti maksājami no dienas, kad nelikumīgais atbalsts nodots saņēmēja rīcībā, līdz tās atgūšanas dienai</w:t>
      </w:r>
      <w:r w:rsidRPr="0082362E">
        <w:rPr>
          <w:rFonts w:ascii="Times New Roman" w:hAnsi="Times New Roman" w:cs="Times New Roman"/>
          <w:sz w:val="24"/>
          <w:szCs w:val="24"/>
        </w:rPr>
        <w:t xml:space="preserve">.” Nelikumīga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a atmaksāšanas procentu likme ir nosakāma atbilstoši Komisijas regulas Īstenošanas regulas 11.panta nosacījumiem.</w:t>
      </w:r>
    </w:p>
    <w:p w14:paraId="74173B99" w14:textId="5D1AF9D4" w:rsidR="00D50B89" w:rsidRPr="0082362E" w:rsidRDefault="00DC01CB" w:rsidP="00444DFF">
      <w:pPr>
        <w:pStyle w:val="Default"/>
        <w:ind w:firstLine="567"/>
      </w:pPr>
      <w:r w:rsidRPr="0082362E">
        <w:t xml:space="preserve">Papildus lūdzam skatīt EK izstrādāto “Komisijas paziņojumu par nelikumīga un nesaderīga </w:t>
      </w:r>
      <w:r w:rsidR="00D36866">
        <w:t>komercdarbības atb</w:t>
      </w:r>
      <w:r w:rsidRPr="0082362E">
        <w:t>alsta atgūšanu”</w:t>
      </w:r>
      <w:r w:rsidR="006148BA" w:rsidRPr="0082362E">
        <w:t xml:space="preserve"> (2019/C 247/01)</w:t>
      </w:r>
      <w:r w:rsidRPr="0082362E">
        <w:t xml:space="preserve">, kura mērķis ir izskaidrot noteikumus un procedūras, kas reglamentē </w:t>
      </w:r>
      <w:r w:rsidR="00D36866">
        <w:t>komercdarbības atb</w:t>
      </w:r>
      <w:r w:rsidRPr="0082362E">
        <w:t xml:space="preserve">alsta atgūšanu, un to, kā EK sadarbojas ar dalībvalstīm, lai nodrošinātu dalībvalstu pienākumu izpildi saskaņā ar ES tiesību aktiem. Tas ir adresēts dalībvalstu iestādēm, kas ir atbildīgas par tādu lēmumu īstenošanu, ar kuriem EK pieprasa atgūt </w:t>
      </w:r>
      <w:r w:rsidR="00D36866">
        <w:t>komercdarbības atb</w:t>
      </w:r>
      <w:r w:rsidRPr="0082362E">
        <w:t xml:space="preserve">alstu (“atgūšanas lēmums”) </w:t>
      </w:r>
      <w:hyperlink r:id="rId9">
        <w:r w:rsidRPr="0082362E">
          <w:rPr>
            <w:rStyle w:val="Internetasaite"/>
          </w:rPr>
          <w:t>https://eur-lex.europa.eu/legal-content/LV/TXT/PDF/?uri=OJ:C:2019:247:FULL&amp;from=EN</w:t>
        </w:r>
      </w:hyperlink>
      <w:r w:rsidRPr="0082362E">
        <w:rPr>
          <w:rStyle w:val="Internetasaite"/>
        </w:rPr>
        <w:t>.</w:t>
      </w:r>
      <w:r w:rsidRPr="0082362E">
        <w:t xml:space="preserve"> </w:t>
      </w:r>
    </w:p>
    <w:p w14:paraId="3A566314" w14:textId="77777777" w:rsidR="00D50B89" w:rsidRPr="0082362E" w:rsidRDefault="00D50B89" w:rsidP="00444DFF">
      <w:pPr>
        <w:pStyle w:val="FootnoteText"/>
        <w:ind w:firstLine="567"/>
        <w:rPr>
          <w:rFonts w:ascii="Times New Roman" w:hAnsi="Times New Roman" w:cs="Times New Roman"/>
          <w:sz w:val="24"/>
          <w:szCs w:val="24"/>
        </w:rPr>
      </w:pPr>
    </w:p>
    <w:p w14:paraId="03E66DF4" w14:textId="6EEF1307" w:rsidR="008937C8" w:rsidRDefault="008937C8">
      <w:pPr>
        <w:rPr>
          <w:rFonts w:ascii="Times New Roman" w:hAnsi="Times New Roman" w:cs="Times New Roman"/>
          <w:b/>
          <w:caps/>
          <w:sz w:val="24"/>
          <w:szCs w:val="24"/>
        </w:rPr>
      </w:pPr>
    </w:p>
    <w:p w14:paraId="1AA0F32C" w14:textId="4B92461A" w:rsidR="00D50B89" w:rsidRPr="0082362E" w:rsidRDefault="00D36866" w:rsidP="00444DFF">
      <w:pPr>
        <w:pStyle w:val="ListParagraph"/>
        <w:numPr>
          <w:ilvl w:val="0"/>
          <w:numId w:val="7"/>
        </w:numPr>
        <w:ind w:left="426" w:hanging="426"/>
        <w:jc w:val="center"/>
        <w:rPr>
          <w:b/>
          <w:iCs/>
          <w:caps/>
          <w:color w:val="auto"/>
          <w:sz w:val="24"/>
          <w:szCs w:val="24"/>
        </w:rPr>
      </w:pPr>
      <w:r>
        <w:rPr>
          <w:b/>
          <w:caps/>
          <w:color w:val="auto"/>
          <w:sz w:val="24"/>
          <w:szCs w:val="24"/>
        </w:rPr>
        <w:t>Komercdarbības atb</w:t>
      </w:r>
      <w:r w:rsidR="00DC01CB" w:rsidRPr="0082362E">
        <w:rPr>
          <w:b/>
          <w:caps/>
          <w:color w:val="auto"/>
          <w:sz w:val="24"/>
          <w:szCs w:val="24"/>
        </w:rPr>
        <w:t xml:space="preserve">alsta atgūšaNA gadījumos, </w:t>
      </w:r>
      <w:r w:rsidR="003633E0" w:rsidRPr="0082362E">
        <w:rPr>
          <w:b/>
          <w:caps/>
          <w:color w:val="auto"/>
          <w:sz w:val="24"/>
          <w:szCs w:val="24"/>
        </w:rPr>
        <w:t xml:space="preserve">JA NAV PIEŅEMTS ek LĒMUMS PAR NELIKUMĪGA </w:t>
      </w:r>
      <w:r>
        <w:rPr>
          <w:b/>
          <w:caps/>
          <w:color w:val="auto"/>
          <w:sz w:val="24"/>
          <w:szCs w:val="24"/>
        </w:rPr>
        <w:t>KOMERCDARBĪBAS ATB</w:t>
      </w:r>
      <w:r w:rsidR="003633E0" w:rsidRPr="0082362E">
        <w:rPr>
          <w:b/>
          <w:caps/>
          <w:color w:val="auto"/>
          <w:sz w:val="24"/>
          <w:szCs w:val="24"/>
        </w:rPr>
        <w:t>ALSTA ATGŪŠANU</w:t>
      </w:r>
    </w:p>
    <w:p w14:paraId="2B9DAE56" w14:textId="77777777" w:rsidR="00D50B89" w:rsidRPr="0082362E" w:rsidRDefault="00D50B89" w:rsidP="00444DFF">
      <w:pPr>
        <w:pStyle w:val="ListParagraph"/>
        <w:ind w:left="426"/>
        <w:rPr>
          <w:b/>
          <w:iCs/>
          <w:caps/>
          <w:color w:val="auto"/>
          <w:sz w:val="24"/>
          <w:szCs w:val="24"/>
        </w:rPr>
      </w:pPr>
    </w:p>
    <w:p w14:paraId="5B35F16E" w14:textId="78BDCA52" w:rsidR="00D50B89" w:rsidRPr="0082362E" w:rsidRDefault="00DC01CB" w:rsidP="00444DFF">
      <w:pPr>
        <w:rPr>
          <w:b/>
          <w:sz w:val="24"/>
          <w:szCs w:val="24"/>
        </w:rPr>
      </w:pPr>
      <w:r w:rsidRPr="0082362E">
        <w:rPr>
          <w:rFonts w:ascii="Times New Roman" w:hAnsi="Times New Roman" w:cs="Times New Roman"/>
          <w:b/>
          <w:sz w:val="24"/>
          <w:szCs w:val="24"/>
        </w:rPr>
        <w:t xml:space="preserve">Sekas, ja </w:t>
      </w:r>
      <w:r w:rsidR="00D36866">
        <w:rPr>
          <w:rFonts w:ascii="Times New Roman" w:hAnsi="Times New Roman" w:cs="Times New Roman"/>
          <w:b/>
          <w:sz w:val="24"/>
          <w:szCs w:val="24"/>
        </w:rPr>
        <w:t>komercdarbības atb</w:t>
      </w:r>
      <w:r w:rsidR="00304E0A">
        <w:rPr>
          <w:rFonts w:ascii="Times New Roman" w:hAnsi="Times New Roman" w:cs="Times New Roman"/>
          <w:b/>
          <w:sz w:val="24"/>
          <w:szCs w:val="24"/>
        </w:rPr>
        <w:t>alst</w:t>
      </w:r>
      <w:r w:rsidRPr="0082362E">
        <w:rPr>
          <w:rFonts w:ascii="Times New Roman" w:hAnsi="Times New Roman" w:cs="Times New Roman"/>
          <w:b/>
          <w:sz w:val="24"/>
          <w:szCs w:val="24"/>
        </w:rPr>
        <w:t>s ticis sniegts</w:t>
      </w:r>
      <w:r w:rsidR="00FC63AD" w:rsidRPr="0082362E">
        <w:rPr>
          <w:rFonts w:ascii="Times New Roman" w:hAnsi="Times New Roman" w:cs="Times New Roman"/>
          <w:b/>
          <w:sz w:val="24"/>
          <w:szCs w:val="24"/>
        </w:rPr>
        <w:t>,</w:t>
      </w:r>
      <w:r w:rsidRPr="0082362E">
        <w:rPr>
          <w:rFonts w:ascii="Times New Roman" w:hAnsi="Times New Roman" w:cs="Times New Roman"/>
          <w:b/>
          <w:sz w:val="24"/>
          <w:szCs w:val="24"/>
        </w:rPr>
        <w:t xml:space="preserve"> </w:t>
      </w:r>
      <w:r w:rsidRPr="0082362E">
        <w:rPr>
          <w:rFonts w:ascii="Times New Roman" w:hAnsi="Times New Roman" w:cs="Times New Roman"/>
          <w:b/>
          <w:sz w:val="24"/>
          <w:szCs w:val="24"/>
          <w:shd w:val="clear" w:color="auto" w:fill="FFFFFF"/>
        </w:rPr>
        <w:t>piemērojot kādu no iepriekšminētajām “atbrīvojuma” regulām, vienlaikus neizpildot visus nosacījumus atbrīvojuma saņemša</w:t>
      </w:r>
      <w:r w:rsidR="000E0915" w:rsidRPr="0082362E">
        <w:rPr>
          <w:rFonts w:ascii="Times New Roman" w:hAnsi="Times New Roman" w:cs="Times New Roman"/>
          <w:b/>
          <w:sz w:val="24"/>
          <w:szCs w:val="24"/>
          <w:shd w:val="clear" w:color="auto" w:fill="FFFFFF"/>
        </w:rPr>
        <w:t>nai atbilstoši šīm regulām </w:t>
      </w:r>
      <w:r w:rsidRPr="0082362E">
        <w:rPr>
          <w:rFonts w:ascii="Times New Roman" w:hAnsi="Times New Roman" w:cs="Times New Roman"/>
          <w:b/>
          <w:sz w:val="24"/>
          <w:szCs w:val="24"/>
          <w:shd w:val="clear" w:color="auto" w:fill="FFFFFF"/>
        </w:rPr>
        <w:t>:</w:t>
      </w:r>
    </w:p>
    <w:p w14:paraId="3F7C0125" w14:textId="77777777" w:rsidR="00D50B89" w:rsidRPr="0082362E" w:rsidRDefault="00D50B89" w:rsidP="00444DFF">
      <w:pPr>
        <w:pStyle w:val="ListParagraph"/>
        <w:ind w:left="426" w:hanging="426"/>
        <w:rPr>
          <w:b/>
          <w:color w:val="auto"/>
          <w:sz w:val="24"/>
          <w:szCs w:val="24"/>
        </w:rPr>
      </w:pPr>
    </w:p>
    <w:p w14:paraId="1344CFC5" w14:textId="49E7381F" w:rsidR="00D50B89" w:rsidRPr="0082362E" w:rsidRDefault="00DC01CB" w:rsidP="00444DFF">
      <w:pPr>
        <w:pStyle w:val="ListParagraph"/>
        <w:numPr>
          <w:ilvl w:val="0"/>
          <w:numId w:val="8"/>
        </w:numPr>
        <w:tabs>
          <w:tab w:val="left" w:pos="851"/>
        </w:tabs>
        <w:ind w:left="851" w:hanging="425"/>
        <w:rPr>
          <w:color w:val="auto"/>
          <w:sz w:val="24"/>
          <w:szCs w:val="24"/>
        </w:rPr>
      </w:pPr>
      <w:r w:rsidRPr="0082362E">
        <w:rPr>
          <w:color w:val="auto"/>
          <w:sz w:val="24"/>
          <w:szCs w:val="24"/>
        </w:rPr>
        <w:t xml:space="preserve">Šāds atbalsts kvalificējas kā </w:t>
      </w:r>
      <w:r w:rsidRPr="0082362E">
        <w:rPr>
          <w:color w:val="auto"/>
          <w:sz w:val="24"/>
          <w:szCs w:val="24"/>
          <w:u w:val="single"/>
        </w:rPr>
        <w:t xml:space="preserve">nelikumīgs un </w:t>
      </w:r>
      <w:r w:rsidR="00D905FD" w:rsidRPr="0082362E">
        <w:rPr>
          <w:color w:val="auto"/>
          <w:sz w:val="24"/>
          <w:szCs w:val="24"/>
          <w:u w:val="single"/>
        </w:rPr>
        <w:t xml:space="preserve">neizpilda </w:t>
      </w:r>
      <w:r w:rsidR="003937A7" w:rsidRPr="0082362E">
        <w:rPr>
          <w:color w:val="auto"/>
          <w:sz w:val="24"/>
          <w:szCs w:val="24"/>
          <w:u w:val="single"/>
        </w:rPr>
        <w:t>nosacījumus</w:t>
      </w:r>
      <w:r w:rsidR="00D905FD" w:rsidRPr="0082362E">
        <w:rPr>
          <w:color w:val="auto"/>
          <w:sz w:val="24"/>
          <w:szCs w:val="24"/>
          <w:u w:val="single"/>
        </w:rPr>
        <w:t xml:space="preserve"> </w:t>
      </w:r>
      <w:r w:rsidR="00D36866">
        <w:rPr>
          <w:color w:val="auto"/>
          <w:sz w:val="24"/>
          <w:szCs w:val="24"/>
          <w:u w:val="single"/>
        </w:rPr>
        <w:t>komercdarbības atb</w:t>
      </w:r>
      <w:r w:rsidR="00304E0A">
        <w:rPr>
          <w:color w:val="auto"/>
          <w:sz w:val="24"/>
          <w:szCs w:val="24"/>
          <w:u w:val="single"/>
        </w:rPr>
        <w:t>alst</w:t>
      </w:r>
      <w:r w:rsidR="003937A7" w:rsidRPr="0082362E">
        <w:rPr>
          <w:color w:val="auto"/>
          <w:sz w:val="24"/>
          <w:szCs w:val="24"/>
          <w:u w:val="single"/>
        </w:rPr>
        <w:t>a</w:t>
      </w:r>
      <w:r w:rsidRPr="0082362E">
        <w:rPr>
          <w:color w:val="auto"/>
          <w:sz w:val="24"/>
          <w:szCs w:val="24"/>
          <w:u w:val="single"/>
        </w:rPr>
        <w:t xml:space="preserve"> </w:t>
      </w:r>
      <w:r w:rsidR="003937A7" w:rsidRPr="0082362E">
        <w:rPr>
          <w:color w:val="auto"/>
          <w:sz w:val="24"/>
          <w:szCs w:val="24"/>
          <w:u w:val="single"/>
        </w:rPr>
        <w:t xml:space="preserve">saderībai </w:t>
      </w:r>
      <w:r w:rsidR="003937A7" w:rsidRPr="0082362E">
        <w:rPr>
          <w:color w:val="auto"/>
          <w:sz w:val="24"/>
          <w:szCs w:val="24"/>
          <w:shd w:val="clear" w:color="auto" w:fill="FFFFFF"/>
        </w:rPr>
        <w:t>ar Eiropas Savienības kopējo tirgu LESD 10</w:t>
      </w:r>
      <w:r w:rsidR="00B85B05">
        <w:rPr>
          <w:color w:val="auto"/>
          <w:sz w:val="24"/>
          <w:szCs w:val="24"/>
          <w:shd w:val="clear" w:color="auto" w:fill="FFFFFF"/>
        </w:rPr>
        <w:t>8</w:t>
      </w:r>
      <w:r w:rsidR="003937A7" w:rsidRPr="0082362E">
        <w:rPr>
          <w:color w:val="auto"/>
          <w:sz w:val="24"/>
          <w:szCs w:val="24"/>
          <w:shd w:val="clear" w:color="auto" w:fill="FFFFFF"/>
        </w:rPr>
        <w:t>.panta 3.punkta nozīmē</w:t>
      </w:r>
      <w:r w:rsidR="003937A7" w:rsidRPr="0082362E">
        <w:rPr>
          <w:color w:val="auto"/>
          <w:sz w:val="24"/>
          <w:szCs w:val="24"/>
        </w:rPr>
        <w:t xml:space="preserve"> </w:t>
      </w:r>
      <w:r w:rsidRPr="0082362E">
        <w:rPr>
          <w:color w:val="auto"/>
          <w:sz w:val="24"/>
          <w:szCs w:val="24"/>
        </w:rPr>
        <w:t xml:space="preserve">(skat. tabulā Nr.1 otro variantu). </w:t>
      </w:r>
    </w:p>
    <w:p w14:paraId="51E37E8C" w14:textId="0BE0D0FE" w:rsidR="00D50B89" w:rsidRPr="0082362E" w:rsidRDefault="00DC01CB" w:rsidP="00444DFF">
      <w:pPr>
        <w:pStyle w:val="ListParagraph"/>
        <w:numPr>
          <w:ilvl w:val="0"/>
          <w:numId w:val="8"/>
        </w:numPr>
        <w:tabs>
          <w:tab w:val="left" w:pos="851"/>
        </w:tabs>
        <w:ind w:left="851" w:hanging="425"/>
        <w:rPr>
          <w:color w:val="auto"/>
          <w:sz w:val="24"/>
          <w:szCs w:val="24"/>
        </w:rPr>
      </w:pPr>
      <w:r w:rsidRPr="0082362E">
        <w:rPr>
          <w:color w:val="auto"/>
          <w:sz w:val="24"/>
          <w:szCs w:val="24"/>
        </w:rPr>
        <w:t>Dalībvalstij šāds</w:t>
      </w:r>
      <w:r w:rsidR="00304E0A">
        <w:rPr>
          <w:color w:val="auto"/>
          <w:sz w:val="24"/>
          <w:szCs w:val="24"/>
        </w:rPr>
        <w:t xml:space="preserve"> </w:t>
      </w:r>
      <w:r w:rsidR="00D36866">
        <w:rPr>
          <w:color w:val="auto"/>
          <w:sz w:val="24"/>
          <w:szCs w:val="24"/>
        </w:rPr>
        <w:t>komercdarbības atb</w:t>
      </w:r>
      <w:r w:rsidRPr="0082362E">
        <w:rPr>
          <w:color w:val="auto"/>
          <w:sz w:val="24"/>
          <w:szCs w:val="24"/>
        </w:rPr>
        <w:t xml:space="preserve">alsts no saņēmēja jāatgūst bez kavēšanās. Nacionālās tiesvedības procedūras nedrīkst aizkavēt </w:t>
      </w:r>
      <w:r w:rsidR="00D36866">
        <w:rPr>
          <w:color w:val="auto"/>
          <w:sz w:val="24"/>
          <w:szCs w:val="24"/>
        </w:rPr>
        <w:t>komercdarbības atb</w:t>
      </w:r>
      <w:r w:rsidR="00304E0A">
        <w:rPr>
          <w:color w:val="auto"/>
          <w:sz w:val="24"/>
          <w:szCs w:val="24"/>
        </w:rPr>
        <w:t>alst</w:t>
      </w:r>
      <w:r w:rsidRPr="0082362E">
        <w:rPr>
          <w:color w:val="auto"/>
          <w:sz w:val="24"/>
          <w:szCs w:val="24"/>
        </w:rPr>
        <w:t xml:space="preserve">a atgūšanu. </w:t>
      </w:r>
    </w:p>
    <w:p w14:paraId="1F7AB3BA" w14:textId="6ECD5A9B" w:rsidR="00D50B89" w:rsidRPr="0082362E" w:rsidRDefault="00DC01CB" w:rsidP="00444DFF">
      <w:pPr>
        <w:pStyle w:val="ListParagraph"/>
        <w:numPr>
          <w:ilvl w:val="0"/>
          <w:numId w:val="8"/>
        </w:numPr>
        <w:tabs>
          <w:tab w:val="left" w:pos="851"/>
        </w:tabs>
        <w:ind w:left="851" w:hanging="425"/>
        <w:rPr>
          <w:color w:val="auto"/>
          <w:sz w:val="24"/>
          <w:szCs w:val="24"/>
        </w:rPr>
      </w:pPr>
      <w:r w:rsidRPr="0082362E">
        <w:rPr>
          <w:color w:val="auto"/>
          <w:sz w:val="24"/>
          <w:szCs w:val="24"/>
        </w:rPr>
        <w:t xml:space="preserve">Šāds </w:t>
      </w:r>
      <w:r w:rsidR="00D36866">
        <w:rPr>
          <w:color w:val="auto"/>
          <w:sz w:val="24"/>
          <w:szCs w:val="24"/>
        </w:rPr>
        <w:t>komercdarbības atb</w:t>
      </w:r>
      <w:r w:rsidR="00304E0A">
        <w:rPr>
          <w:color w:val="auto"/>
          <w:sz w:val="24"/>
          <w:szCs w:val="24"/>
        </w:rPr>
        <w:t>alst</w:t>
      </w:r>
      <w:r w:rsidRPr="0082362E">
        <w:rPr>
          <w:color w:val="auto"/>
          <w:sz w:val="24"/>
          <w:szCs w:val="24"/>
        </w:rPr>
        <w:t xml:space="preserve">s ir atmaksājams kopā ar atgūšanas procentiem no </w:t>
      </w:r>
      <w:r w:rsidR="004A1B6D" w:rsidRPr="0082362E">
        <w:rPr>
          <w:color w:val="auto"/>
          <w:sz w:val="24"/>
          <w:szCs w:val="24"/>
        </w:rPr>
        <w:t xml:space="preserve">piešķirtās </w:t>
      </w:r>
      <w:r w:rsidR="00D36866">
        <w:rPr>
          <w:color w:val="auto"/>
          <w:sz w:val="24"/>
          <w:szCs w:val="24"/>
        </w:rPr>
        <w:t>komercdarbības atb</w:t>
      </w:r>
      <w:r w:rsidR="00304E0A">
        <w:rPr>
          <w:color w:val="auto"/>
          <w:sz w:val="24"/>
          <w:szCs w:val="24"/>
        </w:rPr>
        <w:t>alst</w:t>
      </w:r>
      <w:r w:rsidRPr="0082362E">
        <w:rPr>
          <w:color w:val="auto"/>
          <w:sz w:val="24"/>
          <w:szCs w:val="24"/>
        </w:rPr>
        <w:t xml:space="preserve">a summas, kas aprēķināti par atbalsta periodu no brīža, kad </w:t>
      </w:r>
      <w:r w:rsidR="00D36866">
        <w:rPr>
          <w:color w:val="auto"/>
          <w:sz w:val="24"/>
          <w:szCs w:val="24"/>
        </w:rPr>
        <w:t>komercdarbības atb</w:t>
      </w:r>
      <w:r w:rsidR="00304E0A">
        <w:rPr>
          <w:color w:val="auto"/>
          <w:sz w:val="24"/>
          <w:szCs w:val="24"/>
        </w:rPr>
        <w:t>alst</w:t>
      </w:r>
      <w:r w:rsidRPr="0082362E">
        <w:rPr>
          <w:color w:val="auto"/>
          <w:sz w:val="24"/>
          <w:szCs w:val="24"/>
        </w:rPr>
        <w:t xml:space="preserve">s ir nodots atbalsta saņēmēja rīcībā līdz pilnīgam </w:t>
      </w:r>
      <w:r w:rsidR="00D36866">
        <w:rPr>
          <w:color w:val="auto"/>
          <w:sz w:val="24"/>
          <w:szCs w:val="24"/>
        </w:rPr>
        <w:t>komercdarbības atb</w:t>
      </w:r>
      <w:r w:rsidR="00304E0A">
        <w:rPr>
          <w:color w:val="auto"/>
          <w:sz w:val="24"/>
          <w:szCs w:val="24"/>
        </w:rPr>
        <w:t>alst</w:t>
      </w:r>
      <w:r w:rsidRPr="0082362E">
        <w:rPr>
          <w:color w:val="auto"/>
          <w:sz w:val="24"/>
          <w:szCs w:val="24"/>
        </w:rPr>
        <w:t xml:space="preserve">a atmaksāšanas brīdim. </w:t>
      </w:r>
    </w:p>
    <w:p w14:paraId="414DAB81" w14:textId="77777777" w:rsidR="00D50B89" w:rsidRPr="0082362E" w:rsidRDefault="00D50B89" w:rsidP="00444DFF">
      <w:pPr>
        <w:pStyle w:val="NumPar1"/>
        <w:tabs>
          <w:tab w:val="clear" w:pos="426"/>
          <w:tab w:val="clear" w:pos="480"/>
        </w:tabs>
        <w:spacing w:after="0"/>
        <w:ind w:left="0" w:right="0" w:firstLine="0"/>
        <w:outlineLvl w:val="9"/>
        <w:rPr>
          <w:szCs w:val="24"/>
        </w:rPr>
      </w:pPr>
    </w:p>
    <w:p w14:paraId="5BB951E6" w14:textId="17627D0C" w:rsidR="00D50B89" w:rsidRPr="0082362E" w:rsidRDefault="00DC01CB" w:rsidP="00444DFF">
      <w:pPr>
        <w:ind w:firstLine="567"/>
      </w:pPr>
      <w:r w:rsidRPr="0082362E">
        <w:rPr>
          <w:rFonts w:ascii="Times New Roman" w:eastAsia="Times New Roman" w:hAnsi="Times New Roman" w:cs="Times New Roman"/>
          <w:sz w:val="24"/>
          <w:szCs w:val="24"/>
          <w:lang w:bidi="ar-SA"/>
        </w:rPr>
        <w:t>Kā iepriekš materiālā ir norādīts, a</w:t>
      </w:r>
      <w:r w:rsidRPr="0082362E">
        <w:rPr>
          <w:rFonts w:ascii="Times New Roman" w:hAnsi="Times New Roman" w:cs="Times New Roman"/>
          <w:sz w:val="24"/>
          <w:szCs w:val="24"/>
        </w:rPr>
        <w:t xml:space="preserve">tbilstoši ES Tiesu judikatūrai, nelikumīgs un </w:t>
      </w:r>
      <w:r w:rsidR="00E37C8F" w:rsidRPr="0082362E">
        <w:rPr>
          <w:rFonts w:ascii="Times New Roman" w:eastAsia="Times New Roman" w:hAnsi="Times New Roman" w:cs="Times New Roman"/>
          <w:bCs/>
          <w:sz w:val="24"/>
          <w:szCs w:val="24"/>
        </w:rPr>
        <w:t xml:space="preserve">neatbilstošs nosacījumiem par komercdarbības atbalsta saderību ar </w:t>
      </w:r>
      <w:r w:rsidR="009A2E95" w:rsidRPr="0082362E">
        <w:rPr>
          <w:rFonts w:ascii="Times New Roman" w:eastAsia="Times New Roman" w:hAnsi="Times New Roman" w:cs="Times New Roman"/>
          <w:sz w:val="24"/>
          <w:szCs w:val="24"/>
          <w:lang w:eastAsia="ru-RU"/>
        </w:rPr>
        <w:t>ES</w:t>
      </w:r>
      <w:r w:rsidR="00E37C8F" w:rsidRPr="0082362E">
        <w:rPr>
          <w:rFonts w:ascii="Times New Roman" w:eastAsia="Times New Roman" w:hAnsi="Times New Roman" w:cs="Times New Roman"/>
          <w:sz w:val="24"/>
          <w:szCs w:val="24"/>
          <w:lang w:eastAsia="ru-RU"/>
        </w:rPr>
        <w:t xml:space="preserve"> iekšējo tirgu</w:t>
      </w:r>
      <w:r w:rsidRPr="0082362E">
        <w:rPr>
          <w:rFonts w:ascii="Times New Roman" w:hAnsi="Times New Roman" w:cs="Times New Roman"/>
          <w:sz w:val="24"/>
          <w:szCs w:val="24"/>
        </w:rPr>
        <w:t xml:space="preserve"> atbalsts ir atgūstams kopā ar “atgūšanas” procentiem.</w:t>
      </w:r>
      <w:r w:rsidRPr="0082362E">
        <w:rPr>
          <w:rFonts w:ascii="Times New Roman" w:eastAsia="Times New Roman" w:hAnsi="Times New Roman" w:cs="Times New Roman"/>
          <w:sz w:val="24"/>
          <w:szCs w:val="24"/>
          <w:lang w:bidi="ar-SA"/>
        </w:rPr>
        <w:t xml:space="preserve"> Visas attiecīgās ES tiesību normas ir saistošas ne tikai valstu tiesām, bet arī visām administratīvajām iestādēm, ieskaitot decentralizētās iestādes, kam deleģētas atbalsta sniedzēja funkcijas. Proti, ja valsts, pašvaldību vai cita institūcija, kam deleģētas atbalsta sniedzēja funkcijas</w:t>
      </w:r>
      <w:r w:rsidR="00C75E97" w:rsidRPr="0082362E">
        <w:rPr>
          <w:rFonts w:ascii="Times New Roman" w:eastAsia="Times New Roman" w:hAnsi="Times New Roman" w:cs="Times New Roman"/>
          <w:sz w:val="24"/>
          <w:szCs w:val="24"/>
          <w:lang w:bidi="ar-SA"/>
        </w:rPr>
        <w:t xml:space="preserve"> vai cita kontrolējošā institūcija</w:t>
      </w:r>
      <w:r w:rsidRPr="0082362E">
        <w:rPr>
          <w:rFonts w:ascii="Times New Roman" w:eastAsia="Times New Roman" w:hAnsi="Times New Roman" w:cs="Times New Roman"/>
          <w:sz w:val="24"/>
          <w:szCs w:val="24"/>
          <w:lang w:bidi="ar-SA"/>
        </w:rPr>
        <w:t xml:space="preserve">, ir konstatējusi, ka atbalsts, kuru tā ir piešķīrusi atbilstoši konkrētai </w:t>
      </w:r>
      <w:r w:rsidR="00D36866">
        <w:rPr>
          <w:rFonts w:ascii="Times New Roman" w:eastAsia="Times New Roman" w:hAnsi="Times New Roman" w:cs="Times New Roman"/>
          <w:sz w:val="24"/>
          <w:szCs w:val="24"/>
          <w:lang w:bidi="ar-SA"/>
        </w:rPr>
        <w:t>komercdarbības atb</w:t>
      </w:r>
      <w:r w:rsidRPr="0082362E">
        <w:rPr>
          <w:rFonts w:ascii="Times New Roman" w:eastAsia="Times New Roman" w:hAnsi="Times New Roman" w:cs="Times New Roman"/>
          <w:sz w:val="24"/>
          <w:szCs w:val="24"/>
          <w:lang w:bidi="ar-SA"/>
        </w:rPr>
        <w:t xml:space="preserve">alsta regulai, neatbilst šajā regulā paredzētajiem nosacījumiem, tostarp kļūdaini piemērojot regulu, vai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alsts ticis izmantots citam mērķim, nevis tam, kam tas piešķirts</w:t>
      </w:r>
      <w:r w:rsidRPr="0082362E">
        <w:rPr>
          <w:rStyle w:val="Vresenkurs"/>
          <w:rFonts w:ascii="Times New Roman" w:hAnsi="Times New Roman" w:cs="Times New Roman"/>
          <w:sz w:val="24"/>
          <w:szCs w:val="24"/>
        </w:rPr>
        <w:footnoteReference w:id="35"/>
      </w:r>
      <w:r w:rsidRPr="0082362E">
        <w:rPr>
          <w:rFonts w:ascii="Times New Roman" w:eastAsia="Times New Roman" w:hAnsi="Times New Roman" w:cs="Times New Roman"/>
          <w:sz w:val="24"/>
          <w:szCs w:val="24"/>
          <w:lang w:bidi="ar-SA"/>
        </w:rPr>
        <w:t>, tai ir pienākums pašai pēc savas iniciatīvas atgūt nelikumīgi piešķirto atbalstu, kuru tā pati ir piešķīrusi</w:t>
      </w:r>
      <w:r w:rsidRPr="0082362E">
        <w:rPr>
          <w:rStyle w:val="Vresenkurs"/>
          <w:rFonts w:ascii="Times New Roman" w:eastAsia="Times New Roman" w:hAnsi="Times New Roman" w:cs="Times New Roman"/>
          <w:sz w:val="24"/>
          <w:szCs w:val="24"/>
          <w:lang w:bidi="ar-SA"/>
        </w:rPr>
        <w:footnoteReference w:id="36"/>
      </w:r>
      <w:r w:rsidRPr="0082362E">
        <w:rPr>
          <w:rFonts w:ascii="Times New Roman" w:eastAsia="Times New Roman" w:hAnsi="Times New Roman" w:cs="Times New Roman"/>
          <w:sz w:val="24"/>
          <w:szCs w:val="24"/>
          <w:lang w:bidi="ar-SA"/>
        </w:rPr>
        <w:t xml:space="preserve">. </w:t>
      </w:r>
    </w:p>
    <w:p w14:paraId="6F87BCD1" w14:textId="53690350" w:rsidR="00D50B89" w:rsidRPr="0082362E" w:rsidRDefault="00DC01CB" w:rsidP="00444DFF">
      <w:pPr>
        <w:pStyle w:val="Default"/>
        <w:ind w:firstLine="567"/>
      </w:pPr>
      <w:r w:rsidRPr="0082362E">
        <w:rPr>
          <w:rFonts w:eastAsia="Times New Roman"/>
        </w:rPr>
        <w:t>Šie nosacījumi ir piemērojami gan no ES līdzekļiem līdzfinansētam</w:t>
      </w:r>
      <w:r w:rsidR="00304E0A">
        <w:rPr>
          <w:rFonts w:eastAsia="Times New Roman"/>
        </w:rPr>
        <w:t xml:space="preserve"> </w:t>
      </w:r>
      <w:r w:rsidR="00D36866">
        <w:rPr>
          <w:rFonts w:eastAsia="Times New Roman"/>
        </w:rPr>
        <w:t>komercdarbības atb</w:t>
      </w:r>
      <w:r w:rsidRPr="0082362E">
        <w:rPr>
          <w:rFonts w:eastAsia="Times New Roman"/>
        </w:rPr>
        <w:t xml:space="preserve">alstam, gan </w:t>
      </w:r>
      <w:r w:rsidR="00D36866">
        <w:rPr>
          <w:rFonts w:eastAsia="Times New Roman"/>
        </w:rPr>
        <w:t>komercdarbības atb</w:t>
      </w:r>
      <w:r w:rsidR="00304E0A">
        <w:rPr>
          <w:rFonts w:eastAsia="Times New Roman"/>
        </w:rPr>
        <w:t>alst</w:t>
      </w:r>
      <w:r w:rsidRPr="0082362E">
        <w:rPr>
          <w:rFonts w:eastAsia="Times New Roman"/>
        </w:rPr>
        <w:t xml:space="preserve">am, kas piešķirts no jebkādiem citiem publiskajiem resursiem, neievērojot </w:t>
      </w:r>
      <w:r w:rsidR="00D36866">
        <w:rPr>
          <w:rFonts w:eastAsia="Times New Roman"/>
        </w:rPr>
        <w:t>komercdarbības atb</w:t>
      </w:r>
      <w:r w:rsidRPr="0082362E">
        <w:rPr>
          <w:rFonts w:eastAsia="Times New Roman"/>
        </w:rPr>
        <w:t>alsta regulējuma normas.</w:t>
      </w:r>
    </w:p>
    <w:p w14:paraId="45639D14" w14:textId="7B4436AA" w:rsidR="00D50B89" w:rsidRPr="0082362E" w:rsidRDefault="00DC01CB" w:rsidP="00444DFF">
      <w:pPr>
        <w:ind w:firstLine="567"/>
        <w:rPr>
          <w:rFonts w:ascii="Times New Roman" w:hAnsi="Times New Roman" w:cs="Times New Roman"/>
          <w:sz w:val="24"/>
          <w:szCs w:val="24"/>
        </w:rPr>
      </w:pPr>
      <w:r w:rsidRPr="0082362E">
        <w:rPr>
          <w:rFonts w:ascii="Times New Roman" w:eastAsia="Times New Roman" w:hAnsi="Times New Roman" w:cs="Times New Roman"/>
          <w:sz w:val="24"/>
          <w:szCs w:val="24"/>
          <w:lang w:bidi="ar-SA"/>
        </w:rPr>
        <w:t xml:space="preserve">No </w:t>
      </w:r>
      <w:r w:rsidR="00044698" w:rsidRPr="0082362E">
        <w:rPr>
          <w:rFonts w:ascii="Times New Roman" w:eastAsia="Times New Roman" w:hAnsi="Times New Roman" w:cs="Times New Roman"/>
          <w:sz w:val="24"/>
          <w:szCs w:val="24"/>
          <w:lang w:bidi="ar-SA"/>
        </w:rPr>
        <w:t>ES Tiesu judikatūras izriet,</w:t>
      </w:r>
      <w:r w:rsidRPr="0082362E">
        <w:rPr>
          <w:rFonts w:ascii="Times New Roman" w:eastAsia="Times New Roman" w:hAnsi="Times New Roman" w:cs="Times New Roman"/>
          <w:sz w:val="24"/>
          <w:szCs w:val="24"/>
          <w:lang w:bidi="ar-SA"/>
        </w:rPr>
        <w:t xml:space="preserve"> ka gadījumā, ja valsts iestāde pati pēc savas iniciatīvas veic tā </w:t>
      </w:r>
      <w:r w:rsidR="00D36866">
        <w:rPr>
          <w:rFonts w:ascii="Times New Roman" w:eastAsia="Times New Roman" w:hAnsi="Times New Roman" w:cs="Times New Roman"/>
          <w:sz w:val="24"/>
          <w:szCs w:val="24"/>
          <w:lang w:bidi="ar-SA"/>
        </w:rPr>
        <w:t>komercdarbības atb</w:t>
      </w:r>
      <w:r w:rsidR="00304E0A">
        <w:rPr>
          <w:rFonts w:ascii="Times New Roman" w:eastAsia="Times New Roman" w:hAnsi="Times New Roman" w:cs="Times New Roman"/>
          <w:sz w:val="24"/>
          <w:szCs w:val="24"/>
          <w:lang w:bidi="ar-SA"/>
        </w:rPr>
        <w:t>alst</w:t>
      </w:r>
      <w:r w:rsidRPr="0082362E">
        <w:rPr>
          <w:rFonts w:ascii="Times New Roman" w:eastAsia="Times New Roman" w:hAnsi="Times New Roman" w:cs="Times New Roman"/>
          <w:sz w:val="24"/>
          <w:szCs w:val="24"/>
          <w:lang w:bidi="ar-SA"/>
        </w:rPr>
        <w:t xml:space="preserve">a atgūšanu, kuru tā ir kļūdaini piešķīrusi vai tas neatbilst konkrētās regulas nosacījumiem, tai ir jāpieprasa no šī atbalsta saņēmēja procenti atbilstoši piemērojamo valsts tiesību normām. Šajā ziņā LESD 108.panta 3.punktā ir prasīts, lai ar šīm tiesību normām tiktu nodrošināta visa nelikumīgā </w:t>
      </w:r>
      <w:r w:rsidR="00D36866">
        <w:rPr>
          <w:rFonts w:ascii="Times New Roman" w:eastAsia="Times New Roman" w:hAnsi="Times New Roman" w:cs="Times New Roman"/>
          <w:sz w:val="24"/>
          <w:szCs w:val="24"/>
          <w:lang w:bidi="ar-SA"/>
        </w:rPr>
        <w:t>komercdarbības atb</w:t>
      </w:r>
      <w:r w:rsidR="00304E0A">
        <w:rPr>
          <w:rFonts w:ascii="Times New Roman" w:eastAsia="Times New Roman" w:hAnsi="Times New Roman" w:cs="Times New Roman"/>
          <w:sz w:val="24"/>
          <w:szCs w:val="24"/>
          <w:lang w:bidi="ar-SA"/>
        </w:rPr>
        <w:t>alst</w:t>
      </w:r>
      <w:r w:rsidRPr="0082362E">
        <w:rPr>
          <w:rFonts w:ascii="Times New Roman" w:eastAsia="Times New Roman" w:hAnsi="Times New Roman" w:cs="Times New Roman"/>
          <w:sz w:val="24"/>
          <w:szCs w:val="24"/>
          <w:lang w:bidi="ar-SA"/>
        </w:rPr>
        <w:t xml:space="preserve">a atgūšana un lai līdz ar to tā saņēmējam tostarp tiktu uzdots samaksāt procentus par visu laikposmu, kurā tas ir guvis labumu no šī </w:t>
      </w:r>
      <w:r w:rsidR="00D36866">
        <w:rPr>
          <w:rFonts w:ascii="Times New Roman" w:eastAsia="Times New Roman" w:hAnsi="Times New Roman" w:cs="Times New Roman"/>
          <w:sz w:val="24"/>
          <w:szCs w:val="24"/>
          <w:lang w:bidi="ar-SA"/>
        </w:rPr>
        <w:t>komercdarbības atb</w:t>
      </w:r>
      <w:r w:rsidR="00304E0A">
        <w:rPr>
          <w:rFonts w:ascii="Times New Roman" w:eastAsia="Times New Roman" w:hAnsi="Times New Roman" w:cs="Times New Roman"/>
          <w:sz w:val="24"/>
          <w:szCs w:val="24"/>
          <w:lang w:bidi="ar-SA"/>
        </w:rPr>
        <w:t>alst</w:t>
      </w:r>
      <w:r w:rsidRPr="0082362E">
        <w:rPr>
          <w:rFonts w:ascii="Times New Roman" w:eastAsia="Times New Roman" w:hAnsi="Times New Roman" w:cs="Times New Roman"/>
          <w:sz w:val="24"/>
          <w:szCs w:val="24"/>
          <w:lang w:bidi="ar-SA"/>
        </w:rPr>
        <w:t xml:space="preserve">a, pēc likmes, kas vienāda ar likmi, kura būtu tikusi piemērota, ja šim atbalsta saņēmējam minētajā laikposmā attiecīgā </w:t>
      </w:r>
      <w:r w:rsidR="00D36866">
        <w:rPr>
          <w:rFonts w:ascii="Times New Roman" w:eastAsia="Times New Roman" w:hAnsi="Times New Roman" w:cs="Times New Roman"/>
          <w:sz w:val="24"/>
          <w:szCs w:val="24"/>
          <w:lang w:bidi="ar-SA"/>
        </w:rPr>
        <w:t>komercdarbības atb</w:t>
      </w:r>
      <w:r w:rsidR="00304E0A">
        <w:rPr>
          <w:rFonts w:ascii="Times New Roman" w:eastAsia="Times New Roman" w:hAnsi="Times New Roman" w:cs="Times New Roman"/>
          <w:sz w:val="24"/>
          <w:szCs w:val="24"/>
          <w:lang w:bidi="ar-SA"/>
        </w:rPr>
        <w:t>alst</w:t>
      </w:r>
      <w:r w:rsidRPr="0082362E">
        <w:rPr>
          <w:rFonts w:ascii="Times New Roman" w:eastAsia="Times New Roman" w:hAnsi="Times New Roman" w:cs="Times New Roman"/>
          <w:sz w:val="24"/>
          <w:szCs w:val="24"/>
          <w:lang w:bidi="ar-SA"/>
        </w:rPr>
        <w:t>a summa būtu bijusi jāaizņemas tirgū</w:t>
      </w:r>
      <w:r w:rsidRPr="0082362E">
        <w:rPr>
          <w:rStyle w:val="Vresenkurs"/>
          <w:rFonts w:ascii="Times New Roman" w:eastAsia="Times New Roman" w:hAnsi="Times New Roman" w:cs="Times New Roman"/>
          <w:sz w:val="24"/>
          <w:szCs w:val="24"/>
          <w:lang w:bidi="ar-SA"/>
        </w:rPr>
        <w:footnoteReference w:id="37"/>
      </w:r>
      <w:r w:rsidRPr="0082362E">
        <w:rPr>
          <w:rFonts w:ascii="Times New Roman" w:eastAsia="Times New Roman" w:hAnsi="Times New Roman" w:cs="Times New Roman"/>
          <w:sz w:val="24"/>
          <w:szCs w:val="24"/>
          <w:lang w:bidi="ar-SA"/>
        </w:rPr>
        <w:t>.</w:t>
      </w:r>
    </w:p>
    <w:p w14:paraId="7492272F" w14:textId="1964541A" w:rsidR="009A2E95" w:rsidRPr="0082362E" w:rsidRDefault="00DC01CB" w:rsidP="00995C19">
      <w:pPr>
        <w:ind w:firstLine="567"/>
        <w:contextualSpacing/>
        <w:rPr>
          <w:rFonts w:ascii="Times New Roman" w:eastAsia="Times New Roman" w:hAnsi="Times New Roman" w:cs="Times New Roman"/>
          <w:sz w:val="24"/>
          <w:szCs w:val="24"/>
          <w:lang w:eastAsia="ru-RU"/>
        </w:rPr>
      </w:pPr>
      <w:r w:rsidRPr="0082362E">
        <w:rPr>
          <w:rFonts w:ascii="Times New Roman" w:hAnsi="Times New Roman" w:cs="Times New Roman"/>
          <w:bCs/>
          <w:sz w:val="24"/>
          <w:szCs w:val="24"/>
        </w:rPr>
        <w:t xml:space="preserve">Gadījumos, kad </w:t>
      </w:r>
      <w:r w:rsidR="00D36866">
        <w:rPr>
          <w:rFonts w:ascii="Times New Roman" w:hAnsi="Times New Roman" w:cs="Times New Roman"/>
          <w:bCs/>
          <w:sz w:val="24"/>
          <w:szCs w:val="24"/>
          <w:u w:val="single"/>
        </w:rPr>
        <w:t>komercdarbības atb</w:t>
      </w:r>
      <w:r w:rsidRPr="0082362E">
        <w:rPr>
          <w:rFonts w:ascii="Times New Roman" w:hAnsi="Times New Roman" w:cs="Times New Roman"/>
          <w:bCs/>
          <w:sz w:val="24"/>
          <w:szCs w:val="24"/>
          <w:u w:val="single"/>
        </w:rPr>
        <w:t xml:space="preserve">alsts ir </w:t>
      </w:r>
      <w:r w:rsidRPr="0082362E">
        <w:rPr>
          <w:rFonts w:ascii="Times New Roman" w:hAnsi="Times New Roman" w:cs="Times New Roman"/>
          <w:bCs/>
          <w:sz w:val="24"/>
          <w:szCs w:val="24"/>
          <w:u w:val="single"/>
          <w:shd w:val="clear" w:color="auto" w:fill="FFFFFF"/>
        </w:rPr>
        <w:t xml:space="preserve">atbrīvots no </w:t>
      </w:r>
      <w:r w:rsidRPr="0082362E">
        <w:rPr>
          <w:rFonts w:ascii="Times New Roman" w:hAnsi="Times New Roman" w:cs="Times New Roman"/>
          <w:bCs/>
          <w:sz w:val="24"/>
          <w:szCs w:val="24"/>
          <w:shd w:val="clear" w:color="auto" w:fill="FFFFFF"/>
        </w:rPr>
        <w:t xml:space="preserve">LESD 108.panta 3.punktā </w:t>
      </w:r>
      <w:r w:rsidRPr="0082362E">
        <w:rPr>
          <w:rFonts w:ascii="Times New Roman" w:hAnsi="Times New Roman" w:cs="Times New Roman"/>
          <w:bCs/>
          <w:sz w:val="24"/>
          <w:szCs w:val="24"/>
          <w:u w:val="single"/>
          <w:shd w:val="clear" w:color="auto" w:fill="FFFFFF"/>
        </w:rPr>
        <w:t>paredzētās paziņošanas prasības</w:t>
      </w:r>
      <w:r w:rsidRPr="0082362E">
        <w:rPr>
          <w:rFonts w:ascii="Times New Roman" w:hAnsi="Times New Roman" w:cs="Times New Roman"/>
          <w:sz w:val="24"/>
          <w:szCs w:val="24"/>
          <w:shd w:val="clear" w:color="auto" w:fill="FFFFFF"/>
        </w:rPr>
        <w:t xml:space="preserve"> un iestājušās sekas, neizpildot visus nosacījumus atbrīvojuma saņemšanai, </w:t>
      </w:r>
      <w:r w:rsidR="00D36866">
        <w:rPr>
          <w:rFonts w:ascii="Times New Roman" w:hAnsi="Times New Roman" w:cs="Times New Roman"/>
          <w:sz w:val="24"/>
          <w:szCs w:val="24"/>
          <w:shd w:val="clear" w:color="auto" w:fill="FFFFFF"/>
        </w:rPr>
        <w:t>komercdarbības atb</w:t>
      </w:r>
      <w:r w:rsidR="00304E0A">
        <w:rPr>
          <w:rFonts w:ascii="Times New Roman" w:hAnsi="Times New Roman" w:cs="Times New Roman"/>
          <w:sz w:val="24"/>
          <w:szCs w:val="24"/>
          <w:shd w:val="clear" w:color="auto" w:fill="FFFFFF"/>
        </w:rPr>
        <w:t>alst</w:t>
      </w:r>
      <w:r w:rsidRPr="0082362E">
        <w:rPr>
          <w:rFonts w:ascii="Times New Roman" w:hAnsi="Times New Roman" w:cs="Times New Roman"/>
          <w:sz w:val="24"/>
          <w:szCs w:val="24"/>
          <w:shd w:val="clear" w:color="auto" w:fill="FFFFFF"/>
        </w:rPr>
        <w:t xml:space="preserve">s nav obligāti jāatgūst atbilstoši Procedūru regulas prasībām un Īstenošanas regulā noteiktajai atbalsta atgūšanas procentu likmei, taču </w:t>
      </w:r>
      <w:r w:rsidRPr="0082362E">
        <w:rPr>
          <w:rFonts w:ascii="Times New Roman" w:hAnsi="Times New Roman" w:cs="Times New Roman"/>
          <w:i/>
          <w:sz w:val="24"/>
          <w:szCs w:val="24"/>
          <w:shd w:val="clear" w:color="auto" w:fill="FFFFFF"/>
        </w:rPr>
        <w:t>“Jāpatur prātā, no Tiesas pastāvīgās judikatūras izriet, ka piemērojamais valsts tiesiskais regulējums nedrīkst būt nelabvēlīgāks nekā regulējums, kas reglamentē līdzīgas iekšēja rakstura situācijas (līdzvērtības princips), un nedrīkst būt tāds, kas padara praktiski neiespējamu vai pārmērīgi apgrūtina ar Savienības tiesību sistēmu piešķirto tiesību izmantošanu (efektivitātes princips).”</w:t>
      </w:r>
      <w:r w:rsidRPr="0082362E">
        <w:rPr>
          <w:rStyle w:val="Vresenkurs"/>
          <w:rFonts w:ascii="Times New Roman" w:hAnsi="Times New Roman" w:cs="Times New Roman"/>
          <w:i/>
          <w:sz w:val="24"/>
          <w:szCs w:val="24"/>
          <w:shd w:val="clear" w:color="auto" w:fill="FFFFFF"/>
        </w:rPr>
        <w:footnoteReference w:id="38"/>
      </w:r>
      <w:r w:rsidR="001C660C" w:rsidRPr="0082362E">
        <w:rPr>
          <w:rFonts w:ascii="Times New Roman" w:hAnsi="Times New Roman" w:cs="Times New Roman"/>
          <w:sz w:val="24"/>
          <w:szCs w:val="24"/>
          <w:shd w:val="clear" w:color="auto" w:fill="FFFFFF"/>
        </w:rPr>
        <w:t>Proti</w:t>
      </w:r>
      <w:r w:rsidRPr="0082362E">
        <w:rPr>
          <w:rFonts w:ascii="Times New Roman" w:hAnsi="Times New Roman" w:cs="Times New Roman"/>
          <w:sz w:val="24"/>
          <w:szCs w:val="24"/>
          <w:shd w:val="clear" w:color="auto" w:fill="FFFFFF"/>
        </w:rPr>
        <w:t xml:space="preserve">, pat ja dalībvalsts var noteikt atgūšanas likmi ar citu metodi uz tai pieejamās informācijas pamata, </w:t>
      </w:r>
      <w:r w:rsidRPr="0082362E">
        <w:rPr>
          <w:rFonts w:ascii="Times New Roman" w:hAnsi="Times New Roman" w:cs="Times New Roman"/>
          <w:sz w:val="24"/>
          <w:szCs w:val="24"/>
        </w:rPr>
        <w:t xml:space="preserve">atgūstamo procentu apmērs nevar būt pretrunā minētajam līdzvērtības un efektivitātes principam un tādējādi, nosakot atgūstamo procentu apmēru, ir jāievēro </w:t>
      </w:r>
      <w:r w:rsidR="009A2E95" w:rsidRPr="0082362E">
        <w:rPr>
          <w:rFonts w:ascii="Times New Roman" w:hAnsi="Times New Roman" w:cs="Times New Roman"/>
          <w:sz w:val="24"/>
          <w:szCs w:val="24"/>
        </w:rPr>
        <w:t>ES</w:t>
      </w:r>
      <w:r w:rsidRPr="0082362E">
        <w:rPr>
          <w:rFonts w:ascii="Times New Roman" w:hAnsi="Times New Roman" w:cs="Times New Roman"/>
          <w:sz w:val="24"/>
          <w:szCs w:val="24"/>
        </w:rPr>
        <w:t xml:space="preserve"> tiesību normas</w:t>
      </w:r>
      <w:r w:rsidRPr="0082362E">
        <w:rPr>
          <w:rFonts w:ascii="Times New Roman" w:hAnsi="Times New Roman" w:cs="Times New Roman"/>
          <w:sz w:val="24"/>
          <w:szCs w:val="24"/>
          <w:shd w:val="clear" w:color="auto" w:fill="FFFFFF"/>
        </w:rPr>
        <w:t xml:space="preserve">. </w:t>
      </w:r>
      <w:r w:rsidR="009A2E95" w:rsidRPr="0082362E">
        <w:rPr>
          <w:rFonts w:ascii="Times New Roman" w:hAnsi="Times New Roman" w:cs="Times New Roman"/>
          <w:sz w:val="24"/>
          <w:szCs w:val="24"/>
        </w:rPr>
        <w:t xml:space="preserve">Attiecīgi </w:t>
      </w:r>
      <w:r w:rsidR="00186725" w:rsidRPr="0082362E">
        <w:rPr>
          <w:rFonts w:ascii="Times New Roman" w:hAnsi="Times New Roman" w:cs="Times New Roman"/>
          <w:sz w:val="24"/>
          <w:szCs w:val="24"/>
        </w:rPr>
        <w:t xml:space="preserve">nacionālajā līmenī </w:t>
      </w:r>
      <w:r w:rsidR="009A2E95" w:rsidRPr="0082362E">
        <w:rPr>
          <w:rFonts w:ascii="Times New Roman" w:hAnsi="Times New Roman" w:cs="Times New Roman"/>
          <w:sz w:val="24"/>
          <w:szCs w:val="24"/>
        </w:rPr>
        <w:t xml:space="preserve">KAKL 19.panta </w:t>
      </w:r>
      <w:r w:rsidR="001C660C" w:rsidRPr="0082362E">
        <w:rPr>
          <w:rFonts w:ascii="Times New Roman" w:hAnsi="Times New Roman" w:cs="Times New Roman"/>
          <w:sz w:val="24"/>
          <w:szCs w:val="24"/>
        </w:rPr>
        <w:t xml:space="preserve">otrā </w:t>
      </w:r>
      <w:r w:rsidR="009A2E95" w:rsidRPr="0082362E">
        <w:rPr>
          <w:rFonts w:ascii="Times New Roman" w:hAnsi="Times New Roman" w:cs="Times New Roman"/>
          <w:sz w:val="24"/>
          <w:szCs w:val="24"/>
        </w:rPr>
        <w:t xml:space="preserve">daļa nosaka, ka </w:t>
      </w:r>
      <w:r w:rsidR="009A2E95" w:rsidRPr="0082362E">
        <w:rPr>
          <w:rFonts w:ascii="Times New Roman" w:eastAsia="Times New Roman" w:hAnsi="Times New Roman" w:cs="Times New Roman"/>
          <w:sz w:val="24"/>
          <w:szCs w:val="24"/>
          <w:lang w:eastAsia="ru-RU"/>
        </w:rPr>
        <w:t xml:space="preserve">komercsabiedrībai, kura ir saņēmusi nelikumīgu </w:t>
      </w:r>
      <w:r w:rsidR="00D36866">
        <w:rPr>
          <w:rFonts w:ascii="Times New Roman" w:eastAsia="Times New Roman" w:hAnsi="Times New Roman" w:cs="Times New Roman"/>
          <w:sz w:val="24"/>
          <w:szCs w:val="24"/>
          <w:lang w:eastAsia="ru-RU"/>
        </w:rPr>
        <w:t>komercdarbības atb</w:t>
      </w:r>
      <w:r w:rsidR="009A2E95" w:rsidRPr="0082362E">
        <w:rPr>
          <w:rFonts w:ascii="Times New Roman" w:eastAsia="Times New Roman" w:hAnsi="Times New Roman" w:cs="Times New Roman"/>
          <w:sz w:val="24"/>
          <w:szCs w:val="24"/>
          <w:lang w:eastAsia="ru-RU"/>
        </w:rPr>
        <w:t xml:space="preserve">alstu un attiecībā uz kuras saņemto </w:t>
      </w:r>
      <w:r w:rsidR="00D36866">
        <w:rPr>
          <w:rFonts w:ascii="Times New Roman" w:eastAsia="Times New Roman" w:hAnsi="Times New Roman" w:cs="Times New Roman"/>
          <w:sz w:val="24"/>
          <w:szCs w:val="24"/>
          <w:lang w:eastAsia="ru-RU"/>
        </w:rPr>
        <w:t>komercdarbības atb</w:t>
      </w:r>
      <w:r w:rsidR="009A2E95" w:rsidRPr="0082362E">
        <w:rPr>
          <w:rFonts w:ascii="Times New Roman" w:eastAsia="Times New Roman" w:hAnsi="Times New Roman" w:cs="Times New Roman"/>
          <w:sz w:val="24"/>
          <w:szCs w:val="24"/>
          <w:lang w:eastAsia="ru-RU"/>
        </w:rPr>
        <w:t xml:space="preserve">alstu atbalsta sniedzējs nav nodrošinājis atbalsta </w:t>
      </w:r>
      <w:r w:rsidR="009A2E95" w:rsidRPr="0082362E">
        <w:rPr>
          <w:rFonts w:ascii="Times New Roman" w:eastAsia="Times New Roman" w:hAnsi="Times New Roman" w:cs="Times New Roman"/>
          <w:bCs/>
          <w:sz w:val="24"/>
          <w:szCs w:val="24"/>
        </w:rPr>
        <w:t xml:space="preserve">atbilstību nosacījumiem par </w:t>
      </w:r>
      <w:r w:rsidR="00D36866">
        <w:rPr>
          <w:rFonts w:ascii="Times New Roman" w:eastAsia="Times New Roman" w:hAnsi="Times New Roman" w:cs="Times New Roman"/>
          <w:bCs/>
          <w:sz w:val="24"/>
          <w:szCs w:val="24"/>
        </w:rPr>
        <w:t>komercdarbības atb</w:t>
      </w:r>
      <w:r w:rsidR="009A2E95" w:rsidRPr="0082362E">
        <w:rPr>
          <w:rFonts w:ascii="Times New Roman" w:eastAsia="Times New Roman" w:hAnsi="Times New Roman" w:cs="Times New Roman"/>
          <w:bCs/>
          <w:sz w:val="24"/>
          <w:szCs w:val="24"/>
        </w:rPr>
        <w:t xml:space="preserve">alsta </w:t>
      </w:r>
      <w:r w:rsidR="009A2E95" w:rsidRPr="0082362E">
        <w:rPr>
          <w:rFonts w:ascii="Times New Roman" w:eastAsia="Times New Roman" w:hAnsi="Times New Roman" w:cs="Times New Roman"/>
          <w:sz w:val="24"/>
          <w:szCs w:val="24"/>
          <w:lang w:eastAsia="ru-RU"/>
        </w:rPr>
        <w:t>saderību ar Eiropas Savienības iekšējo tirgu, ir pienākums atmaksāt nelikumīgo komercdarbības atbalstu kopā ar procentiem, ko publicē EK saskaņā ar Procedūras regulas 10.pantu, tiem pieskaitot 100 bāzes punktus, no dienas, kad nelikumīgais komercdarbības atbalsts tika nodots komercdarbības atbalsta saņēmēja rīcībā līdz tā atgūšanas dienai, ievērojot tās pašas regulas 11.pantā noteikto procentu likmes piemērošanas metodi.</w:t>
      </w:r>
    </w:p>
    <w:p w14:paraId="363083DD" w14:textId="77777777" w:rsidR="00727143" w:rsidRPr="0082362E" w:rsidRDefault="00727143" w:rsidP="00444DFF">
      <w:pPr>
        <w:rPr>
          <w:rFonts w:ascii="Times New Roman" w:hAnsi="Times New Roman" w:cs="Times New Roman"/>
          <w:sz w:val="24"/>
          <w:szCs w:val="24"/>
        </w:rPr>
      </w:pPr>
    </w:p>
    <w:p w14:paraId="6D18BEC7" w14:textId="77777777" w:rsidR="008937C8" w:rsidRDefault="008937C8">
      <w:pPr>
        <w:rPr>
          <w:rFonts w:ascii="Times New Roman" w:hAnsi="Times New Roman" w:cs="Times New Roman"/>
          <w:b/>
          <w:caps/>
          <w:sz w:val="24"/>
          <w:szCs w:val="24"/>
        </w:rPr>
      </w:pPr>
      <w:r>
        <w:rPr>
          <w:b/>
          <w:caps/>
          <w:sz w:val="24"/>
          <w:szCs w:val="24"/>
        </w:rPr>
        <w:br w:type="page"/>
      </w:r>
    </w:p>
    <w:p w14:paraId="49216EB9" w14:textId="5FC6EA56" w:rsidR="00D50B89" w:rsidRPr="0082362E" w:rsidRDefault="00DC01CB" w:rsidP="00444DFF">
      <w:pPr>
        <w:pStyle w:val="ListParagraph"/>
        <w:numPr>
          <w:ilvl w:val="0"/>
          <w:numId w:val="7"/>
        </w:numPr>
        <w:ind w:left="426" w:hanging="426"/>
        <w:jc w:val="center"/>
        <w:rPr>
          <w:rFonts w:eastAsia="Times New Roman"/>
          <w:b/>
          <w:caps/>
          <w:vanish/>
          <w:color w:val="auto"/>
          <w:sz w:val="24"/>
          <w:szCs w:val="24"/>
          <w:lang w:bidi="ar-SA"/>
        </w:rPr>
      </w:pPr>
      <w:r w:rsidRPr="0082362E">
        <w:rPr>
          <w:b/>
          <w:caps/>
          <w:color w:val="auto"/>
          <w:sz w:val="24"/>
          <w:szCs w:val="24"/>
        </w:rPr>
        <w:t>Atgūstamo summu noteikšana</w:t>
      </w:r>
    </w:p>
    <w:p w14:paraId="22A17A4A" w14:textId="77777777" w:rsidR="00D50B89" w:rsidRPr="0082362E" w:rsidRDefault="00D50B89" w:rsidP="00444DFF">
      <w:pPr>
        <w:rPr>
          <w:rFonts w:ascii="Times New Roman" w:hAnsi="Times New Roman" w:cs="Times New Roman"/>
          <w:sz w:val="24"/>
          <w:szCs w:val="24"/>
        </w:rPr>
      </w:pPr>
    </w:p>
    <w:p w14:paraId="27DD1C83" w14:textId="77777777" w:rsidR="00CB6021" w:rsidRPr="0082362E" w:rsidRDefault="00CB6021" w:rsidP="00444DFF">
      <w:pPr>
        <w:rPr>
          <w:rFonts w:ascii="Times New Roman" w:hAnsi="Times New Roman" w:cs="Times New Roman"/>
          <w:sz w:val="24"/>
          <w:szCs w:val="24"/>
        </w:rPr>
      </w:pPr>
    </w:p>
    <w:p w14:paraId="689B86D5" w14:textId="1FDBAD36" w:rsidR="00D50B89" w:rsidRPr="0082362E" w:rsidRDefault="00DC01CB" w:rsidP="00444DFF">
      <w:pPr>
        <w:ind w:firstLine="567"/>
        <w:contextualSpacing/>
      </w:pPr>
      <w:bookmarkStart w:id="187" w:name="_Toc529549533"/>
      <w:bookmarkStart w:id="188" w:name="_Toc536633586"/>
      <w:bookmarkStart w:id="189" w:name="_Toc535941118"/>
      <w:bookmarkStart w:id="190" w:name="_Toc505696458"/>
      <w:bookmarkStart w:id="191" w:name="_Toc505352120"/>
      <w:bookmarkStart w:id="192" w:name="_Toc505335008"/>
      <w:bookmarkStart w:id="193" w:name="_Ref505164211"/>
      <w:bookmarkStart w:id="194" w:name="_Toc505095849"/>
      <w:bookmarkStart w:id="195" w:name="_Toc504488521"/>
      <w:bookmarkStart w:id="196" w:name="_Toc501113658"/>
      <w:bookmarkStart w:id="197" w:name="_Toc501113623"/>
      <w:bookmarkStart w:id="198" w:name="_Toc501113553"/>
      <w:bookmarkStart w:id="199" w:name="_Toc517100025"/>
      <w:bookmarkStart w:id="200" w:name="_Toc526513330"/>
      <w:bookmarkStart w:id="201" w:name="_Toc526501864"/>
      <w:bookmarkStart w:id="202" w:name="_Toc50690242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82362E">
        <w:rPr>
          <w:rFonts w:ascii="Times New Roman" w:hAnsi="Times New Roman" w:cs="Times New Roman"/>
          <w:sz w:val="24"/>
          <w:szCs w:val="24"/>
        </w:rPr>
        <w:t xml:space="preserve">Kā šajā materiālā minēts iepriekš,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w:t>
      </w:r>
      <w:r w:rsidRPr="0082362E">
        <w:rPr>
          <w:rFonts w:ascii="Times New Roman" w:hAnsi="Times New Roman" w:cs="Times New Roman"/>
          <w:b/>
          <w:bCs/>
          <w:sz w:val="24"/>
          <w:szCs w:val="24"/>
        </w:rPr>
        <w:t xml:space="preserve">gadījumos, kad </w:t>
      </w:r>
      <w:r w:rsidRPr="0082362E">
        <w:rPr>
          <w:rFonts w:ascii="Times New Roman" w:hAnsi="Times New Roman" w:cs="Times New Roman"/>
          <w:b/>
          <w:bCs/>
          <w:sz w:val="24"/>
          <w:szCs w:val="24"/>
          <w:u w:val="single"/>
        </w:rPr>
        <w:t>nav ievērotas</w:t>
      </w:r>
      <w:r w:rsidRPr="0082362E">
        <w:rPr>
          <w:rFonts w:ascii="Times New Roman" w:hAnsi="Times New Roman" w:cs="Times New Roman"/>
          <w:b/>
          <w:bCs/>
          <w:sz w:val="24"/>
          <w:szCs w:val="24"/>
          <w:u w:val="single"/>
          <w:shd w:val="clear" w:color="auto" w:fill="FFFFFF"/>
        </w:rPr>
        <w:t xml:space="preserve"> LESD 108.panta 3.punkta paziņošanas prasības (sk. šī materiāla II nodaļu)</w:t>
      </w:r>
      <w:r w:rsidRPr="0082362E">
        <w:rPr>
          <w:rFonts w:ascii="Times New Roman" w:hAnsi="Times New Roman" w:cs="Times New Roman"/>
          <w:sz w:val="24"/>
          <w:szCs w:val="24"/>
          <w:shd w:val="clear" w:color="auto" w:fill="FFFFFF"/>
        </w:rPr>
        <w:t xml:space="preserve">, atbalsta atgūšanas procedūras ir noteiktas Procedūras regulā un Īstenošanas regulā, tai skaitā metode, pēc kuras nosaka procentu likmes, kas piemērojamas attiecībā uz nelikumīgi </w:t>
      </w:r>
      <w:r w:rsidR="00CB6021" w:rsidRPr="0082362E">
        <w:rPr>
          <w:rFonts w:ascii="Times New Roman" w:hAnsi="Times New Roman" w:cs="Times New Roman"/>
          <w:sz w:val="24"/>
          <w:szCs w:val="24"/>
          <w:shd w:val="clear" w:color="auto" w:fill="FFFFFF"/>
        </w:rPr>
        <w:t xml:space="preserve">un nesaderīga </w:t>
      </w:r>
      <w:r w:rsidRPr="0082362E">
        <w:rPr>
          <w:rFonts w:ascii="Times New Roman" w:hAnsi="Times New Roman" w:cs="Times New Roman"/>
          <w:sz w:val="24"/>
          <w:szCs w:val="24"/>
          <w:shd w:val="clear" w:color="auto" w:fill="FFFFFF"/>
        </w:rPr>
        <w:t xml:space="preserve">piešķirta </w:t>
      </w:r>
      <w:r w:rsidR="00D36866">
        <w:rPr>
          <w:rFonts w:ascii="Times New Roman" w:hAnsi="Times New Roman" w:cs="Times New Roman"/>
          <w:sz w:val="24"/>
          <w:szCs w:val="24"/>
          <w:shd w:val="clear" w:color="auto" w:fill="FFFFFF"/>
        </w:rPr>
        <w:t>komercdarbības atb</w:t>
      </w:r>
      <w:r w:rsidR="00304E0A">
        <w:rPr>
          <w:rFonts w:ascii="Times New Roman" w:hAnsi="Times New Roman" w:cs="Times New Roman"/>
          <w:sz w:val="24"/>
          <w:szCs w:val="24"/>
          <w:shd w:val="clear" w:color="auto" w:fill="FFFFFF"/>
        </w:rPr>
        <w:t>alst</w:t>
      </w:r>
      <w:r w:rsidRPr="0082362E">
        <w:rPr>
          <w:rFonts w:ascii="Times New Roman" w:hAnsi="Times New Roman" w:cs="Times New Roman"/>
          <w:sz w:val="24"/>
          <w:szCs w:val="24"/>
          <w:shd w:val="clear" w:color="auto" w:fill="FFFFFF"/>
        </w:rPr>
        <w:t xml:space="preserve">a atgūšanu. Vienlaikus, </w:t>
      </w:r>
      <w:r w:rsidR="000D4CFE" w:rsidRPr="0082362E">
        <w:rPr>
          <w:rFonts w:ascii="Times New Roman" w:hAnsi="Times New Roman" w:cs="Times New Roman"/>
          <w:sz w:val="24"/>
          <w:szCs w:val="24"/>
          <w:shd w:val="clear" w:color="auto" w:fill="FFFFFF"/>
        </w:rPr>
        <w:t xml:space="preserve">arī </w:t>
      </w:r>
      <w:r w:rsidRPr="0082362E">
        <w:rPr>
          <w:rFonts w:ascii="Times New Roman" w:hAnsi="Times New Roman" w:cs="Times New Roman"/>
          <w:b/>
          <w:bCs/>
          <w:sz w:val="24"/>
          <w:szCs w:val="24"/>
        </w:rPr>
        <w:t xml:space="preserve">gadījumos, </w:t>
      </w:r>
      <w:r w:rsidR="000D4CFE" w:rsidRPr="0082362E">
        <w:rPr>
          <w:rFonts w:ascii="Times New Roman" w:eastAsia="Times New Roman" w:hAnsi="Times New Roman" w:cs="Times New Roman"/>
          <w:b/>
          <w:sz w:val="24"/>
          <w:szCs w:val="24"/>
          <w:u w:val="single"/>
          <w:lang w:eastAsia="ru-RU" w:bidi="en-US"/>
        </w:rPr>
        <w:t>ja nav pieņemts Eiropas Komisijas lēmums par nelikumīgā komercdarbības atbalsta atgūšanu</w:t>
      </w:r>
      <w:r w:rsidRPr="0082362E">
        <w:rPr>
          <w:rFonts w:ascii="Times New Roman" w:hAnsi="Times New Roman" w:cs="Times New Roman"/>
          <w:b/>
          <w:bCs/>
          <w:sz w:val="24"/>
          <w:szCs w:val="24"/>
          <w:u w:val="single"/>
          <w:shd w:val="clear" w:color="auto" w:fill="FFFFFF"/>
        </w:rPr>
        <w:t xml:space="preserve"> (sk. šī materiāla III nodaļu), kā skaidrots iepriekš, </w:t>
      </w:r>
      <w:r w:rsidRPr="0082362E">
        <w:rPr>
          <w:rFonts w:ascii="Times New Roman" w:hAnsi="Times New Roman" w:cs="Times New Roman"/>
          <w:sz w:val="24"/>
          <w:szCs w:val="24"/>
          <w:shd w:val="clear" w:color="auto" w:fill="FFFFFF"/>
        </w:rPr>
        <w:t xml:space="preserve">atgūstot </w:t>
      </w:r>
      <w:r w:rsidR="00D36866">
        <w:rPr>
          <w:rFonts w:ascii="Times New Roman" w:hAnsi="Times New Roman" w:cs="Times New Roman"/>
          <w:sz w:val="24"/>
          <w:szCs w:val="24"/>
          <w:shd w:val="clear" w:color="auto" w:fill="FFFFFF"/>
        </w:rPr>
        <w:t>komercdarbības atb</w:t>
      </w:r>
      <w:r w:rsidR="00304E0A">
        <w:rPr>
          <w:rFonts w:ascii="Times New Roman" w:hAnsi="Times New Roman" w:cs="Times New Roman"/>
          <w:sz w:val="24"/>
          <w:szCs w:val="24"/>
          <w:shd w:val="clear" w:color="auto" w:fill="FFFFFF"/>
        </w:rPr>
        <w:t>alst</w:t>
      </w:r>
      <w:r w:rsidRPr="0082362E">
        <w:rPr>
          <w:rFonts w:ascii="Times New Roman" w:hAnsi="Times New Roman" w:cs="Times New Roman"/>
          <w:sz w:val="24"/>
          <w:szCs w:val="24"/>
          <w:shd w:val="clear" w:color="auto" w:fill="FFFFFF"/>
        </w:rPr>
        <w:t xml:space="preserve">u, </w:t>
      </w:r>
      <w:r w:rsidR="00CB7EF1" w:rsidRPr="0082362E">
        <w:rPr>
          <w:rFonts w:ascii="Times New Roman" w:hAnsi="Times New Roman" w:cs="Times New Roman"/>
          <w:sz w:val="24"/>
          <w:szCs w:val="24"/>
          <w:shd w:val="clear" w:color="auto" w:fill="FFFFFF"/>
        </w:rPr>
        <w:t xml:space="preserve">kas </w:t>
      </w:r>
      <w:r w:rsidR="00CB7EF1" w:rsidRPr="0082362E">
        <w:rPr>
          <w:rFonts w:ascii="Times New Roman" w:eastAsia="Times New Roman" w:hAnsi="Times New Roman" w:cs="Times New Roman"/>
          <w:bCs/>
          <w:sz w:val="24"/>
          <w:szCs w:val="24"/>
        </w:rPr>
        <w:t xml:space="preserve">neatbilst nosacījumiem par </w:t>
      </w:r>
      <w:r w:rsidR="00D36866">
        <w:rPr>
          <w:rFonts w:ascii="Times New Roman" w:eastAsia="Times New Roman" w:hAnsi="Times New Roman" w:cs="Times New Roman"/>
          <w:bCs/>
          <w:sz w:val="24"/>
          <w:szCs w:val="24"/>
        </w:rPr>
        <w:t>komercdarbības atb</w:t>
      </w:r>
      <w:r w:rsidR="00CB7EF1" w:rsidRPr="0082362E">
        <w:rPr>
          <w:rFonts w:ascii="Times New Roman" w:eastAsia="Times New Roman" w:hAnsi="Times New Roman" w:cs="Times New Roman"/>
          <w:bCs/>
          <w:sz w:val="24"/>
          <w:szCs w:val="24"/>
        </w:rPr>
        <w:t xml:space="preserve">alsta saderību ar </w:t>
      </w:r>
      <w:r w:rsidR="000D4CFE" w:rsidRPr="0082362E">
        <w:rPr>
          <w:rFonts w:ascii="Times New Roman" w:eastAsia="Times New Roman" w:hAnsi="Times New Roman" w:cs="Times New Roman"/>
          <w:sz w:val="24"/>
          <w:szCs w:val="24"/>
          <w:lang w:eastAsia="ru-RU"/>
        </w:rPr>
        <w:t>ES</w:t>
      </w:r>
      <w:r w:rsidR="00CB7EF1" w:rsidRPr="0082362E">
        <w:rPr>
          <w:rFonts w:ascii="Times New Roman" w:eastAsia="Times New Roman" w:hAnsi="Times New Roman" w:cs="Times New Roman"/>
          <w:sz w:val="24"/>
          <w:szCs w:val="24"/>
          <w:lang w:eastAsia="ru-RU"/>
        </w:rPr>
        <w:t xml:space="preserve"> iekšējo tirgu</w:t>
      </w:r>
      <w:r w:rsidR="00CB7EF1" w:rsidRPr="0082362E">
        <w:rPr>
          <w:rFonts w:ascii="Times New Roman" w:hAnsi="Times New Roman" w:cs="Times New Roman"/>
          <w:sz w:val="24"/>
          <w:szCs w:val="24"/>
        </w:rPr>
        <w:t xml:space="preserve">, </w:t>
      </w:r>
      <w:r w:rsidR="000D4CFE" w:rsidRPr="0082362E">
        <w:rPr>
          <w:rFonts w:ascii="Times New Roman" w:hAnsi="Times New Roman" w:cs="Times New Roman"/>
          <w:sz w:val="24"/>
          <w:szCs w:val="24"/>
          <w:shd w:val="clear" w:color="auto" w:fill="FFFFFF"/>
        </w:rPr>
        <w:t>ir jā</w:t>
      </w:r>
      <w:r w:rsidRPr="0082362E">
        <w:rPr>
          <w:rFonts w:ascii="Times New Roman" w:hAnsi="Times New Roman" w:cs="Times New Roman"/>
          <w:sz w:val="24"/>
          <w:szCs w:val="24"/>
          <w:shd w:val="clear" w:color="auto" w:fill="FFFFFF"/>
        </w:rPr>
        <w:t>piemēro</w:t>
      </w:r>
      <w:r w:rsidR="000D4CFE" w:rsidRPr="0082362E">
        <w:rPr>
          <w:rFonts w:ascii="Times New Roman" w:hAnsi="Times New Roman" w:cs="Times New Roman"/>
          <w:sz w:val="24"/>
          <w:szCs w:val="24"/>
          <w:shd w:val="clear" w:color="auto" w:fill="FFFFFF"/>
        </w:rPr>
        <w:t xml:space="preserve"> </w:t>
      </w:r>
      <w:r w:rsidR="000D4CFE" w:rsidRPr="0082362E">
        <w:rPr>
          <w:rFonts w:ascii="Times New Roman" w:hAnsi="Times New Roman" w:cs="Times New Roman"/>
          <w:sz w:val="24"/>
          <w:szCs w:val="24"/>
        </w:rPr>
        <w:t>KAKL 19.panta 2.daļā noteiktais, proti,</w:t>
      </w:r>
      <w:r w:rsidRPr="0082362E">
        <w:rPr>
          <w:rFonts w:ascii="Times New Roman" w:hAnsi="Times New Roman" w:cs="Times New Roman"/>
          <w:sz w:val="24"/>
          <w:szCs w:val="24"/>
          <w:shd w:val="clear" w:color="auto" w:fill="FFFFFF"/>
        </w:rPr>
        <w:t xml:space="preserve"> EK Procedūras regulā un Īstenošanas regulā noteikt</w:t>
      </w:r>
      <w:r w:rsidR="000D4CFE" w:rsidRPr="0082362E">
        <w:rPr>
          <w:rFonts w:ascii="Times New Roman" w:hAnsi="Times New Roman" w:cs="Times New Roman"/>
          <w:sz w:val="24"/>
          <w:szCs w:val="24"/>
          <w:shd w:val="clear" w:color="auto" w:fill="FFFFFF"/>
        </w:rPr>
        <w:t>ā</w:t>
      </w:r>
      <w:r w:rsidRPr="0082362E">
        <w:rPr>
          <w:rFonts w:ascii="Times New Roman" w:hAnsi="Times New Roman" w:cs="Times New Roman"/>
          <w:sz w:val="24"/>
          <w:szCs w:val="24"/>
          <w:shd w:val="clear" w:color="auto" w:fill="FFFFFF"/>
        </w:rPr>
        <w:t xml:space="preserve"> metod</w:t>
      </w:r>
      <w:r w:rsidR="000D4CFE" w:rsidRPr="0082362E">
        <w:rPr>
          <w:rFonts w:ascii="Times New Roman" w:hAnsi="Times New Roman" w:cs="Times New Roman"/>
          <w:sz w:val="24"/>
          <w:szCs w:val="24"/>
          <w:shd w:val="clear" w:color="auto" w:fill="FFFFFF"/>
        </w:rPr>
        <w:t>e</w:t>
      </w:r>
      <w:r w:rsidRPr="0082362E">
        <w:rPr>
          <w:rFonts w:ascii="Times New Roman" w:hAnsi="Times New Roman" w:cs="Times New Roman"/>
          <w:sz w:val="24"/>
          <w:szCs w:val="24"/>
          <w:shd w:val="clear" w:color="auto" w:fill="FFFFFF"/>
        </w:rPr>
        <w:t>.</w:t>
      </w:r>
    </w:p>
    <w:p w14:paraId="319090E4" w14:textId="77777777" w:rsidR="00D50B89" w:rsidRPr="0082362E" w:rsidRDefault="00D50B89" w:rsidP="00444DFF">
      <w:pPr>
        <w:ind w:firstLine="567"/>
        <w:contextualSpacing/>
        <w:rPr>
          <w:rFonts w:ascii="Times New Roman" w:hAnsi="Times New Roman" w:cs="Times New Roman"/>
          <w:sz w:val="24"/>
          <w:szCs w:val="24"/>
        </w:rPr>
      </w:pPr>
    </w:p>
    <w:p w14:paraId="121349CE" w14:textId="77777777" w:rsidR="00D50B89" w:rsidRPr="0082362E" w:rsidRDefault="00DC01CB" w:rsidP="00444DFF">
      <w:pPr>
        <w:ind w:firstLine="567"/>
        <w:contextualSpacing/>
        <w:rPr>
          <w:rFonts w:ascii="Times New Roman" w:hAnsi="Times New Roman" w:cs="Times New Roman"/>
          <w:sz w:val="24"/>
          <w:szCs w:val="24"/>
        </w:rPr>
      </w:pPr>
      <w:r w:rsidRPr="0082362E">
        <w:rPr>
          <w:rFonts w:ascii="Times New Roman" w:hAnsi="Times New Roman" w:cs="Times New Roman"/>
          <w:sz w:val="24"/>
          <w:szCs w:val="24"/>
          <w:shd w:val="clear" w:color="auto" w:fill="FFFFFF"/>
        </w:rPr>
        <w:t>Tālāk dots skaidrojums un piemērs, kā tiek piemērota EK noteiktā metode</w:t>
      </w:r>
      <w:r w:rsidR="00D83803" w:rsidRPr="0082362E">
        <w:rPr>
          <w:rFonts w:ascii="Times New Roman" w:hAnsi="Times New Roman" w:cs="Times New Roman"/>
          <w:sz w:val="24"/>
          <w:szCs w:val="24"/>
          <w:shd w:val="clear" w:color="auto" w:fill="FFFFFF"/>
        </w:rPr>
        <w:t xml:space="preserve"> attiecībā uz atgūstamo summu noteikšanu</w:t>
      </w:r>
      <w:r w:rsidRPr="0082362E">
        <w:rPr>
          <w:rFonts w:ascii="Times New Roman" w:hAnsi="Times New Roman" w:cs="Times New Roman"/>
          <w:sz w:val="24"/>
          <w:szCs w:val="24"/>
          <w:shd w:val="clear" w:color="auto" w:fill="FFFFFF"/>
        </w:rPr>
        <w:t>.</w:t>
      </w:r>
    </w:p>
    <w:p w14:paraId="0903288D" w14:textId="35EDBAE2" w:rsidR="00D50B89" w:rsidRPr="0082362E" w:rsidRDefault="00DC01CB" w:rsidP="00444DFF">
      <w:pPr>
        <w:ind w:firstLine="567"/>
      </w:pPr>
      <w:r w:rsidRPr="0082362E">
        <w:rPr>
          <w:rFonts w:ascii="Times New Roman" w:hAnsi="Times New Roman" w:cs="Times New Roman"/>
          <w:sz w:val="24"/>
          <w:szCs w:val="24"/>
        </w:rPr>
        <w:t xml:space="preserve">Saskaņā ar Procedūras regulas 16.pantu </w:t>
      </w:r>
      <w:r w:rsidR="00D36866">
        <w:rPr>
          <w:rFonts w:ascii="Times New Roman" w:hAnsi="Times New Roman" w:cs="Times New Roman"/>
          <w:iCs/>
          <w:sz w:val="24"/>
          <w:szCs w:val="24"/>
        </w:rPr>
        <w:t>komercdarbības atb</w:t>
      </w:r>
      <w:r w:rsidR="00304E0A">
        <w:rPr>
          <w:rFonts w:ascii="Times New Roman" w:hAnsi="Times New Roman" w:cs="Times New Roman"/>
          <w:iCs/>
          <w:sz w:val="24"/>
          <w:szCs w:val="24"/>
        </w:rPr>
        <w:t>alst</w:t>
      </w:r>
      <w:r w:rsidRPr="0082362E">
        <w:rPr>
          <w:rFonts w:ascii="Times New Roman" w:hAnsi="Times New Roman" w:cs="Times New Roman"/>
          <w:iCs/>
          <w:sz w:val="24"/>
          <w:szCs w:val="24"/>
        </w:rPr>
        <w:t>s, kas ir atgūstams</w:t>
      </w:r>
      <w:r w:rsidRPr="0082362E">
        <w:rPr>
          <w:rFonts w:ascii="Times New Roman" w:hAnsi="Times New Roman" w:cs="Times New Roman"/>
          <w:i/>
          <w:iCs/>
          <w:sz w:val="24"/>
          <w:szCs w:val="24"/>
        </w:rPr>
        <w:t xml:space="preserve"> “[..] ietver procentus, kas aprēķināti pēc atbilstīgas likmes, ko nosaka Komisija. Procenti maksājami no dienas, kad nelikumīgais atbalsts ir nodots saņēmēja rīcībā, līdz tā atgūšanas dienai.”</w:t>
      </w:r>
      <w:r w:rsidRPr="0082362E">
        <w:rPr>
          <w:rFonts w:ascii="Times New Roman" w:hAnsi="Times New Roman" w:cs="Times New Roman"/>
          <w:sz w:val="24"/>
          <w:szCs w:val="24"/>
        </w:rPr>
        <w:t xml:space="preserve"> Saskaņā ar Īstenošanas regulas 3.punktā ietverto 9.panta 1.punktu </w:t>
      </w:r>
      <w:r w:rsidRPr="0082362E">
        <w:rPr>
          <w:rFonts w:ascii="Times New Roman" w:hAnsi="Times New Roman" w:cs="Times New Roman"/>
          <w:i/>
          <w:iCs/>
          <w:sz w:val="24"/>
          <w:szCs w:val="24"/>
        </w:rPr>
        <w:t xml:space="preserve">“ja nav citādi noteikts īpašā lēmumā, procentu likme, kas jāizmanto, atgūstot </w:t>
      </w:r>
      <w:r w:rsidR="00D36866">
        <w:rPr>
          <w:rFonts w:ascii="Times New Roman" w:hAnsi="Times New Roman" w:cs="Times New Roman"/>
          <w:i/>
          <w:iCs/>
          <w:sz w:val="24"/>
          <w:szCs w:val="24"/>
        </w:rPr>
        <w:t>komercdarbības atb</w:t>
      </w:r>
      <w:r w:rsidRPr="0082362E">
        <w:rPr>
          <w:rFonts w:ascii="Times New Roman" w:hAnsi="Times New Roman" w:cs="Times New Roman"/>
          <w:i/>
          <w:iCs/>
          <w:sz w:val="24"/>
          <w:szCs w:val="24"/>
        </w:rPr>
        <w:t>alstu, kurš piešķirts pārkāpjot Līguma 88.panta 3.punktu (aut. piez. – šobrīd Līguma 108.panta 3.punktu), ir procentuāla likme, ko nosaka Komisija pirms katra kalendārā gada.”</w:t>
      </w:r>
      <w:r w:rsidRPr="0082362E">
        <w:rPr>
          <w:rFonts w:ascii="Times New Roman" w:hAnsi="Times New Roman" w:cs="Times New Roman"/>
          <w:sz w:val="24"/>
          <w:szCs w:val="24"/>
        </w:rPr>
        <w:t xml:space="preserve"> Attiecīgi, no Eiropas Savienības tiesas judikatūras</w:t>
      </w:r>
      <w:r w:rsidRPr="0082362E">
        <w:rPr>
          <w:rStyle w:val="Vresenkurs"/>
          <w:rFonts w:ascii="Times New Roman" w:hAnsi="Times New Roman" w:cs="Times New Roman"/>
          <w:sz w:val="24"/>
          <w:szCs w:val="24"/>
        </w:rPr>
        <w:footnoteReference w:id="39"/>
      </w:r>
      <w:r w:rsidRPr="0082362E">
        <w:rPr>
          <w:rFonts w:ascii="Times New Roman" w:hAnsi="Times New Roman" w:cs="Times New Roman"/>
          <w:sz w:val="24"/>
          <w:szCs w:val="24"/>
        </w:rPr>
        <w:t xml:space="preserve"> un </w:t>
      </w:r>
      <w:r w:rsidR="00B873C4" w:rsidRPr="0082362E">
        <w:rPr>
          <w:rFonts w:ascii="Times New Roman" w:hAnsi="Times New Roman" w:cs="Times New Roman"/>
          <w:sz w:val="24"/>
          <w:szCs w:val="24"/>
        </w:rPr>
        <w:t>EK</w:t>
      </w:r>
      <w:r w:rsidRPr="0082362E">
        <w:rPr>
          <w:rFonts w:ascii="Times New Roman" w:hAnsi="Times New Roman" w:cs="Times New Roman"/>
          <w:sz w:val="24"/>
          <w:szCs w:val="24"/>
        </w:rPr>
        <w:t xml:space="preserve"> lēmumu prakses</w:t>
      </w:r>
      <w:r w:rsidRPr="0082362E">
        <w:rPr>
          <w:rStyle w:val="Vresenkurs"/>
          <w:rFonts w:ascii="Times New Roman" w:hAnsi="Times New Roman" w:cs="Times New Roman"/>
          <w:sz w:val="24"/>
          <w:szCs w:val="24"/>
        </w:rPr>
        <w:footnoteReference w:id="40"/>
      </w:r>
      <w:r w:rsidRPr="0082362E">
        <w:rPr>
          <w:rFonts w:ascii="Times New Roman" w:hAnsi="Times New Roman" w:cs="Times New Roman"/>
          <w:sz w:val="24"/>
          <w:szCs w:val="24"/>
        </w:rPr>
        <w:t xml:space="preserve"> izriet, ka procentu par nelikumīgā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 xml:space="preserve">a izmantošanu aprēķina sākuma atskaites brīdis ir brīdis, kad atbalsta saņēmējs faktiski bija saņēmis šo atbalstu/publiskos līdzekļus savā rīcībā (piemēram, saņēmis pirmo maksājumu, vai stājies spēkā valsts galvojums). Savukārt procentu par nelikumīgā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 xml:space="preserve">a izmantošanu aprēķina beigu brīdis ir brīdis, kad nelikumīgais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s ir faktiski atmaksā</w:t>
      </w:r>
      <w:bookmarkStart w:id="203" w:name="__DdeLink__1614_1921922525"/>
      <w:bookmarkEnd w:id="203"/>
      <w:r w:rsidRPr="0082362E">
        <w:rPr>
          <w:rFonts w:ascii="Times New Roman" w:hAnsi="Times New Roman" w:cs="Times New Roman"/>
          <w:sz w:val="24"/>
          <w:szCs w:val="24"/>
        </w:rPr>
        <w:t>ts</w:t>
      </w:r>
      <w:r w:rsidRPr="0082362E">
        <w:rPr>
          <w:rStyle w:val="Vresenkurs"/>
          <w:rFonts w:ascii="Times New Roman" w:hAnsi="Times New Roman" w:cs="Times New Roman"/>
          <w:sz w:val="24"/>
          <w:szCs w:val="24"/>
        </w:rPr>
        <w:footnoteReference w:id="41"/>
      </w:r>
      <w:r w:rsidRPr="0082362E">
        <w:rPr>
          <w:rFonts w:ascii="Times New Roman" w:hAnsi="Times New Roman" w:cs="Times New Roman"/>
          <w:sz w:val="24"/>
          <w:szCs w:val="24"/>
        </w:rPr>
        <w:t>.</w:t>
      </w:r>
    </w:p>
    <w:p w14:paraId="59374BFD" w14:textId="3E56AC4E" w:rsidR="00D50B89" w:rsidRPr="0082362E" w:rsidRDefault="00DC01CB" w:rsidP="00444DFF">
      <w:pPr>
        <w:pStyle w:val="NumPar1"/>
        <w:tabs>
          <w:tab w:val="clear" w:pos="426"/>
          <w:tab w:val="clear" w:pos="480"/>
        </w:tabs>
        <w:spacing w:after="0"/>
        <w:ind w:left="0" w:right="0" w:firstLine="567"/>
        <w:outlineLvl w:val="9"/>
        <w:rPr>
          <w:szCs w:val="24"/>
        </w:rPr>
      </w:pPr>
      <w:r w:rsidRPr="0082362E">
        <w:rPr>
          <w:szCs w:val="24"/>
        </w:rPr>
        <w:t xml:space="preserve">Saistībā ar </w:t>
      </w:r>
      <w:r w:rsidR="00D36866">
        <w:rPr>
          <w:szCs w:val="24"/>
        </w:rPr>
        <w:t>komercdarbības atb</w:t>
      </w:r>
      <w:r w:rsidRPr="0082362E">
        <w:rPr>
          <w:szCs w:val="24"/>
        </w:rPr>
        <w:t>alstu, kas piešķirts kā nodokļu priekšrocības, “</w:t>
      </w:r>
      <w:r w:rsidRPr="0082362E">
        <w:rPr>
          <w:i/>
          <w:iCs/>
          <w:szCs w:val="24"/>
        </w:rPr>
        <w:t>agrākās situācijas atjaunošana nozīmē atgriešanos, cik vien iespējams, tādā situācijā, kāda rastos, ja attiecīgās darbības tiktu īstenotas, nepiešķirot nodokļa samazinājumu</w:t>
      </w:r>
      <w:r w:rsidRPr="0082362E">
        <w:rPr>
          <w:szCs w:val="24"/>
        </w:rPr>
        <w:t>”</w:t>
      </w:r>
      <w:r w:rsidRPr="0082362E">
        <w:rPr>
          <w:rStyle w:val="Vresenkurs"/>
          <w:szCs w:val="24"/>
        </w:rPr>
        <w:footnoteReference w:id="42"/>
      </w:r>
      <w:r w:rsidRPr="0082362E">
        <w:rPr>
          <w:szCs w:val="24"/>
        </w:rPr>
        <w:t xml:space="preserve">. Tātad ir jāaprēķina pareizā nodokļu summa, kas uzņēmumam būtu bijusi jāmaksā, ja nebūtu nelikumīgā </w:t>
      </w:r>
      <w:r w:rsidR="00D36866">
        <w:rPr>
          <w:szCs w:val="24"/>
        </w:rPr>
        <w:t>komercdarbības atb</w:t>
      </w:r>
      <w:r w:rsidR="00304E0A">
        <w:rPr>
          <w:szCs w:val="24"/>
        </w:rPr>
        <w:t>alst</w:t>
      </w:r>
      <w:r w:rsidRPr="0082362E">
        <w:rPr>
          <w:szCs w:val="24"/>
        </w:rPr>
        <w:t>a pasākuma. Šā aprēķina pamatā var būt tikai agrāk faktiski izvēlētās iespējas, neņemot vērā alternatīvas, hipotētiskās izvēles, kas varēja būt pieejamas</w:t>
      </w:r>
      <w:r w:rsidRPr="0082362E">
        <w:rPr>
          <w:rStyle w:val="Vresenkurs"/>
          <w:szCs w:val="24"/>
        </w:rPr>
        <w:footnoteReference w:id="43"/>
      </w:r>
      <w:r w:rsidRPr="0082362E">
        <w:rPr>
          <w:szCs w:val="24"/>
        </w:rPr>
        <w:t>. Var ņemt vērā tikai automātiski piemērojamus atskaitījumus, kas paredzēti valsts un starptautiskajos tiesību aktos, ja tie piemērojami.</w:t>
      </w:r>
    </w:p>
    <w:p w14:paraId="396B0D8A" w14:textId="77777777" w:rsidR="00D50B89" w:rsidRPr="0082362E" w:rsidRDefault="00DC01CB" w:rsidP="00444DFF">
      <w:pPr>
        <w:ind w:firstLine="567"/>
      </w:pPr>
      <w:r w:rsidRPr="0082362E">
        <w:rPr>
          <w:rFonts w:ascii="Times New Roman" w:hAnsi="Times New Roman" w:cs="Times New Roman"/>
          <w:sz w:val="24"/>
          <w:szCs w:val="24"/>
        </w:rPr>
        <w:t>Papildus, atbilstoši Īstenošan</w:t>
      </w:r>
      <w:r w:rsidR="00D83803" w:rsidRPr="0082362E">
        <w:rPr>
          <w:rFonts w:ascii="Times New Roman" w:hAnsi="Times New Roman" w:cs="Times New Roman"/>
          <w:sz w:val="24"/>
          <w:szCs w:val="24"/>
        </w:rPr>
        <w:t>a</w:t>
      </w:r>
      <w:r w:rsidRPr="0082362E">
        <w:rPr>
          <w:rFonts w:ascii="Times New Roman" w:hAnsi="Times New Roman" w:cs="Times New Roman"/>
          <w:sz w:val="24"/>
          <w:szCs w:val="24"/>
        </w:rPr>
        <w:t xml:space="preserve">s regulas 11.pantam </w:t>
      </w:r>
      <w:r w:rsidRPr="0082362E">
        <w:rPr>
          <w:rFonts w:ascii="Times New Roman" w:hAnsi="Times New Roman" w:cs="Times New Roman"/>
          <w:i/>
          <w:iCs/>
          <w:sz w:val="24"/>
          <w:szCs w:val="24"/>
        </w:rPr>
        <w:t>“piemērojamā procentu likme ir likme, kas ir piemērojama dienā, kad nelikumīgais atbalsts pirmo reizi nodots saņēmēja rīcība. [..] Procentu likmes [..] piemēro visā periodā līdz atmaksāšanas datumam. Tomēr, ja no dienas, kad nelikumīgais atbalsts pirmo reizi nodots saņēmēja rīcībā, līdz atbalsta atmaksāšanas dienai pagājis vairāk nekā viens gads, procentu likmi pārrēķina reizi gadā, par pamatu ņemot pārrēķināšanas laikā spēkā esošo likmi.”</w:t>
      </w:r>
    </w:p>
    <w:p w14:paraId="5AF33ECC" w14:textId="1E1CF4B8" w:rsidR="00D50B89" w:rsidRPr="0082362E" w:rsidRDefault="00DC01CB" w:rsidP="00444DFF">
      <w:pPr>
        <w:ind w:firstLine="567"/>
      </w:pPr>
      <w:r w:rsidRPr="0082362E">
        <w:rPr>
          <w:rFonts w:ascii="Times New Roman" w:hAnsi="Times New Roman" w:cs="Times New Roman"/>
          <w:sz w:val="24"/>
          <w:szCs w:val="24"/>
        </w:rPr>
        <w:t>Saskaņā ar iepriekš uzskaitīto EK regulējumu, procentu (atgūšanas) likmes aprēķināšanai par pamatu tiek ņemta at</w:t>
      </w:r>
      <w:r w:rsidRPr="0082362E">
        <w:rPr>
          <w:rFonts w:ascii="Times New Roman" w:hAnsi="Times New Roman" w:cs="Times New Roman"/>
          <w:color w:val="000000"/>
          <w:sz w:val="24"/>
          <w:szCs w:val="24"/>
        </w:rPr>
        <w:t xml:space="preserve">sauces likme, kas atrodama Komisijas paziņojumā par pašreizējām </w:t>
      </w:r>
      <w:r w:rsidR="00D36866">
        <w:rPr>
          <w:rFonts w:ascii="Times New Roman" w:hAnsi="Times New Roman" w:cs="Times New Roman"/>
          <w:color w:val="000000"/>
          <w:sz w:val="24"/>
          <w:szCs w:val="24"/>
        </w:rPr>
        <w:t>komercdarbības atb</w:t>
      </w:r>
      <w:r w:rsidRPr="0082362E">
        <w:rPr>
          <w:rFonts w:ascii="Times New Roman" w:hAnsi="Times New Roman" w:cs="Times New Roman"/>
          <w:color w:val="000000"/>
          <w:sz w:val="24"/>
          <w:szCs w:val="24"/>
        </w:rPr>
        <w:t>alsta “atgūšanas” procentu likmēm un atsauces/diskonta likmēm</w:t>
      </w:r>
      <w:r w:rsidRPr="0082362E">
        <w:rPr>
          <w:rStyle w:val="Vresenkurs"/>
          <w:rFonts w:ascii="Times New Roman" w:hAnsi="Times New Roman" w:cs="Times New Roman"/>
          <w:color w:val="000000"/>
          <w:sz w:val="24"/>
          <w:szCs w:val="24"/>
        </w:rPr>
        <w:footnoteReference w:id="44"/>
      </w:r>
      <w:r w:rsidRPr="0082362E">
        <w:rPr>
          <w:rFonts w:ascii="Times New Roman" w:hAnsi="Times New Roman" w:cs="Times New Roman"/>
          <w:color w:val="000000"/>
          <w:sz w:val="24"/>
          <w:szCs w:val="24"/>
        </w:rPr>
        <w:t xml:space="preserve">. Turklāt atbilstoši </w:t>
      </w:r>
      <w:r w:rsidR="00D83803" w:rsidRPr="0082362E">
        <w:rPr>
          <w:rFonts w:ascii="Times New Roman" w:hAnsi="Times New Roman" w:cs="Times New Roman"/>
          <w:sz w:val="24"/>
          <w:szCs w:val="24"/>
        </w:rPr>
        <w:t xml:space="preserve">Īstenošanas </w:t>
      </w:r>
      <w:r w:rsidR="00D83803" w:rsidRPr="0082362E">
        <w:rPr>
          <w:rFonts w:ascii="Times New Roman" w:hAnsi="Times New Roman"/>
          <w:color w:val="000000"/>
          <w:sz w:val="24"/>
          <w:szCs w:val="24"/>
        </w:rPr>
        <w:t>r</w:t>
      </w:r>
      <w:r w:rsidRPr="0082362E">
        <w:rPr>
          <w:rFonts w:ascii="Times New Roman" w:hAnsi="Times New Roman"/>
          <w:color w:val="000000"/>
          <w:sz w:val="24"/>
          <w:szCs w:val="24"/>
        </w:rPr>
        <w:t>egul</w:t>
      </w:r>
      <w:r w:rsidR="00D83803" w:rsidRPr="0082362E">
        <w:rPr>
          <w:rFonts w:ascii="Times New Roman" w:hAnsi="Times New Roman"/>
          <w:color w:val="000000"/>
          <w:sz w:val="24"/>
          <w:szCs w:val="24"/>
        </w:rPr>
        <w:t>as</w:t>
      </w:r>
      <w:r w:rsidRPr="0082362E">
        <w:rPr>
          <w:rFonts w:ascii="Times New Roman" w:hAnsi="Times New Roman"/>
          <w:color w:val="000000"/>
          <w:sz w:val="24"/>
          <w:szCs w:val="24"/>
        </w:rPr>
        <w:t xml:space="preserve"> </w:t>
      </w:r>
      <w:r w:rsidRPr="0082362E">
        <w:rPr>
          <w:rFonts w:ascii="Times New Roman" w:hAnsi="Times New Roman" w:cs="Times New Roman"/>
          <w:color w:val="000000"/>
          <w:sz w:val="24"/>
          <w:szCs w:val="24"/>
        </w:rPr>
        <w:t xml:space="preserve">9.panta 2.punktam </w:t>
      </w:r>
      <w:r w:rsidRPr="0082362E">
        <w:rPr>
          <w:rFonts w:ascii="Times New Roman" w:hAnsi="Times New Roman" w:cs="Times New Roman"/>
          <w:i/>
          <w:iCs/>
          <w:color w:val="000000"/>
          <w:sz w:val="24"/>
          <w:szCs w:val="24"/>
        </w:rPr>
        <w:t>“procentu likmi aprēķina, pieskaitot 100 pamata punktus naudas tir</w:t>
      </w:r>
      <w:r w:rsidRPr="0082362E">
        <w:rPr>
          <w:rFonts w:ascii="Times New Roman" w:hAnsi="Times New Roman" w:cs="Times New Roman"/>
          <w:i/>
          <w:iCs/>
          <w:sz w:val="24"/>
          <w:szCs w:val="24"/>
        </w:rPr>
        <w:t>gus viena gada likmei. [..].”</w:t>
      </w:r>
      <w:r w:rsidRPr="0082362E">
        <w:rPr>
          <w:rFonts w:ascii="Times New Roman" w:hAnsi="Times New Roman" w:cs="Times New Roman"/>
          <w:sz w:val="24"/>
          <w:szCs w:val="24"/>
        </w:rPr>
        <w:t xml:space="preserve">Papildus skaidrojam, ka no Īstenošanas regulas 11.panta izriet, ka “atgūšanas” procentus aprēķina atbilstoši salikto procentu aprēķina metodei. </w:t>
      </w:r>
    </w:p>
    <w:p w14:paraId="40BD05E1" w14:textId="77777777" w:rsidR="00D50B89" w:rsidRPr="0082362E" w:rsidRDefault="00D50B89" w:rsidP="00444DFF">
      <w:pPr>
        <w:ind w:firstLine="567"/>
        <w:rPr>
          <w:rFonts w:ascii="Times New Roman" w:hAnsi="Times New Roman" w:cs="Times New Roman"/>
          <w:sz w:val="24"/>
          <w:szCs w:val="24"/>
        </w:rPr>
      </w:pPr>
    </w:p>
    <w:p w14:paraId="2E97668D" w14:textId="77777777" w:rsidR="00D50B89" w:rsidRPr="0082362E" w:rsidRDefault="00DC01CB" w:rsidP="00444DFF">
      <w:pPr>
        <w:ind w:firstLine="567"/>
        <w:rPr>
          <w:rFonts w:ascii="Times New Roman" w:hAnsi="Times New Roman" w:cs="Times New Roman"/>
          <w:sz w:val="24"/>
          <w:szCs w:val="24"/>
        </w:rPr>
      </w:pPr>
      <w:r w:rsidRPr="0082362E">
        <w:rPr>
          <w:rFonts w:ascii="Times New Roman" w:hAnsi="Times New Roman" w:cs="Times New Roman"/>
          <w:sz w:val="24"/>
          <w:szCs w:val="24"/>
        </w:rPr>
        <w:t xml:space="preserve">Formula </w:t>
      </w:r>
      <w:r w:rsidR="007F2F35" w:rsidRPr="0082362E">
        <w:rPr>
          <w:rFonts w:ascii="Times New Roman" w:hAnsi="Times New Roman" w:cs="Times New Roman"/>
          <w:sz w:val="24"/>
          <w:szCs w:val="24"/>
        </w:rPr>
        <w:t xml:space="preserve">atgūstamās summas un </w:t>
      </w:r>
      <w:r w:rsidRPr="0082362E">
        <w:rPr>
          <w:rFonts w:ascii="Times New Roman" w:hAnsi="Times New Roman" w:cs="Times New Roman"/>
          <w:sz w:val="24"/>
          <w:szCs w:val="24"/>
        </w:rPr>
        <w:t>atgūšanas procentu aprēķināšanai pēc salikto procentu aprēķināšanas metodes, ja aprēķināmais periods ir pilnos fiskālos gados, ir šāda:</w:t>
      </w:r>
    </w:p>
    <w:p w14:paraId="0145F296" w14:textId="77777777" w:rsidR="00D50B89" w:rsidRPr="0082362E" w:rsidRDefault="00D50B89" w:rsidP="00444DFF">
      <w:pPr>
        <w:ind w:firstLine="567"/>
        <w:rPr>
          <w:rFonts w:ascii="Times New Roman" w:hAnsi="Times New Roman" w:cs="Times New Roman"/>
          <w:i/>
          <w:iCs/>
          <w:sz w:val="24"/>
          <w:szCs w:val="24"/>
        </w:rPr>
      </w:pPr>
    </w:p>
    <w:p w14:paraId="73782347" w14:textId="77777777" w:rsidR="00D50B89" w:rsidRPr="0082362E" w:rsidRDefault="00DC01CB" w:rsidP="00444DFF">
      <w:pPr>
        <w:pBdr>
          <w:top w:val="single" w:sz="4" w:space="1" w:color="000000"/>
          <w:left w:val="single" w:sz="4" w:space="4" w:color="000000"/>
          <w:bottom w:val="single" w:sz="4" w:space="1" w:color="000000"/>
          <w:right w:val="single" w:sz="4" w:space="4" w:color="000000"/>
        </w:pBdr>
        <w:ind w:firstLine="567"/>
        <w:rPr>
          <w:rFonts w:ascii="Times New Roman" w:hAnsi="Times New Roman" w:cs="Times New Roman"/>
          <w:b/>
          <w:i/>
          <w:iCs/>
          <w:sz w:val="24"/>
          <w:szCs w:val="24"/>
          <w:vertAlign w:val="superscript"/>
        </w:rPr>
      </w:pPr>
      <w:r w:rsidRPr="0082362E">
        <w:rPr>
          <w:rFonts w:ascii="Times New Roman" w:hAnsi="Times New Roman" w:cs="Times New Roman"/>
          <w:b/>
          <w:i/>
          <w:iCs/>
          <w:sz w:val="24"/>
          <w:szCs w:val="24"/>
        </w:rPr>
        <w:t>Kopējā atgūstamā summa = sākotnējā vērtībā (piešķirtā atbalsta summa) x (1 + atsauces likme)</w:t>
      </w:r>
      <w:r w:rsidRPr="0082362E">
        <w:rPr>
          <w:rFonts w:ascii="Times New Roman" w:hAnsi="Times New Roman" w:cs="Times New Roman"/>
          <w:b/>
          <w:i/>
          <w:iCs/>
          <w:sz w:val="24"/>
          <w:szCs w:val="24"/>
          <w:vertAlign w:val="superscript"/>
        </w:rPr>
        <w:t>gadi</w:t>
      </w:r>
    </w:p>
    <w:p w14:paraId="62EE633D" w14:textId="77777777" w:rsidR="00D50B89" w:rsidRPr="0082362E" w:rsidRDefault="00D50B89" w:rsidP="00444DFF">
      <w:pPr>
        <w:ind w:firstLine="567"/>
        <w:rPr>
          <w:rFonts w:ascii="Times New Roman" w:hAnsi="Times New Roman" w:cs="Times New Roman"/>
          <w:sz w:val="24"/>
          <w:szCs w:val="24"/>
          <w:vertAlign w:val="superscript"/>
        </w:rPr>
      </w:pPr>
    </w:p>
    <w:p w14:paraId="6E61F7B2" w14:textId="77777777" w:rsidR="00270735" w:rsidRPr="0082362E" w:rsidRDefault="00270735" w:rsidP="00444DFF">
      <w:pPr>
        <w:ind w:firstLine="567"/>
        <w:rPr>
          <w:rFonts w:ascii="Times New Roman" w:hAnsi="Times New Roman" w:cs="Times New Roman"/>
          <w:b/>
          <w:sz w:val="24"/>
          <w:szCs w:val="24"/>
        </w:rPr>
      </w:pPr>
      <w:r w:rsidRPr="0082362E">
        <w:rPr>
          <w:rFonts w:ascii="Times New Roman" w:hAnsi="Times New Roman" w:cs="Times New Roman"/>
          <w:b/>
          <w:sz w:val="24"/>
          <w:szCs w:val="24"/>
        </w:rPr>
        <w:t>NB! Piemērojamā atsauces likme</w:t>
      </w:r>
      <w:r w:rsidR="00977FEA" w:rsidRPr="0082362E">
        <w:rPr>
          <w:rFonts w:ascii="Times New Roman" w:hAnsi="Times New Roman" w:cs="Times New Roman"/>
          <w:b/>
          <w:sz w:val="24"/>
          <w:szCs w:val="24"/>
        </w:rPr>
        <w:t xml:space="preserve"> (procentu likme)</w:t>
      </w:r>
      <w:r w:rsidRPr="0082362E">
        <w:rPr>
          <w:rFonts w:ascii="Times New Roman" w:hAnsi="Times New Roman" w:cs="Times New Roman"/>
          <w:b/>
          <w:sz w:val="24"/>
          <w:szCs w:val="24"/>
        </w:rPr>
        <w:t>, kas ir spēkā atbalsta piešķiršanas dienā, pēc tam tiek pārskatīta ik pēc gada, taj</w:t>
      </w:r>
      <w:r w:rsidR="00977FEA" w:rsidRPr="0082362E">
        <w:rPr>
          <w:rFonts w:ascii="Times New Roman" w:hAnsi="Times New Roman" w:cs="Times New Roman"/>
          <w:b/>
          <w:sz w:val="24"/>
          <w:szCs w:val="24"/>
        </w:rPr>
        <w:t>ā pašā dienā un mēnesī, kad tika</w:t>
      </w:r>
      <w:r w:rsidRPr="0082362E">
        <w:rPr>
          <w:rFonts w:ascii="Times New Roman" w:hAnsi="Times New Roman" w:cs="Times New Roman"/>
          <w:b/>
          <w:sz w:val="24"/>
          <w:szCs w:val="24"/>
        </w:rPr>
        <w:t xml:space="preserve"> piešķirts atbalsts. Atsauces likmei jāpievieno 100 bāzes punkti. </w:t>
      </w:r>
    </w:p>
    <w:p w14:paraId="3F684E04" w14:textId="77777777" w:rsidR="00977FEA" w:rsidRPr="0082362E" w:rsidRDefault="00977FEA" w:rsidP="00444DFF">
      <w:pPr>
        <w:ind w:firstLine="567"/>
        <w:rPr>
          <w:rFonts w:ascii="Times New Roman" w:hAnsi="Times New Roman" w:cs="Times New Roman"/>
          <w:sz w:val="24"/>
          <w:szCs w:val="24"/>
          <w:vertAlign w:val="superscript"/>
        </w:rPr>
      </w:pPr>
    </w:p>
    <w:p w14:paraId="1F85CE17" w14:textId="77777777" w:rsidR="00D50B89" w:rsidRPr="0082362E" w:rsidRDefault="00DC01CB" w:rsidP="00444DFF">
      <w:pPr>
        <w:ind w:firstLine="567"/>
        <w:rPr>
          <w:rFonts w:ascii="Times New Roman" w:hAnsi="Times New Roman" w:cs="Times New Roman"/>
          <w:sz w:val="24"/>
          <w:szCs w:val="24"/>
        </w:rPr>
      </w:pPr>
      <w:r w:rsidRPr="0082362E">
        <w:rPr>
          <w:rFonts w:ascii="Times New Roman" w:hAnsi="Times New Roman" w:cs="Times New Roman"/>
          <w:sz w:val="24"/>
          <w:szCs w:val="24"/>
        </w:rPr>
        <w:t>Gadījumā, ja aprēķināmais periods ir īsāks par gadu, ir jāņem vērā attiecīgo dienu skaits gadā:</w:t>
      </w:r>
    </w:p>
    <w:p w14:paraId="6B400BA4" w14:textId="77777777" w:rsidR="00D50B89" w:rsidRPr="0082362E" w:rsidRDefault="00D50B89" w:rsidP="00444DFF">
      <w:pPr>
        <w:ind w:firstLine="567"/>
        <w:rPr>
          <w:rFonts w:ascii="Times New Roman" w:hAnsi="Times New Roman" w:cs="Times New Roman"/>
          <w:sz w:val="24"/>
          <w:szCs w:val="24"/>
        </w:rPr>
      </w:pPr>
    </w:p>
    <w:p w14:paraId="130B70C4" w14:textId="77777777" w:rsidR="00D50B89" w:rsidRPr="0082362E" w:rsidRDefault="00DC01CB" w:rsidP="00444DFF">
      <w:pPr>
        <w:pBdr>
          <w:top w:val="single" w:sz="4" w:space="1" w:color="000000"/>
          <w:left w:val="single" w:sz="4" w:space="4" w:color="000000"/>
          <w:bottom w:val="single" w:sz="4" w:space="1" w:color="000000"/>
          <w:right w:val="single" w:sz="4" w:space="4" w:color="000000"/>
        </w:pBdr>
        <w:ind w:firstLine="567"/>
        <w:rPr>
          <w:rFonts w:ascii="Times New Roman" w:hAnsi="Times New Roman" w:cs="Times New Roman"/>
          <w:b/>
          <w:i/>
          <w:iCs/>
          <w:sz w:val="24"/>
          <w:szCs w:val="24"/>
        </w:rPr>
      </w:pPr>
      <w:r w:rsidRPr="0082362E">
        <w:rPr>
          <w:rFonts w:ascii="Times New Roman" w:hAnsi="Times New Roman" w:cs="Times New Roman"/>
          <w:b/>
          <w:i/>
          <w:iCs/>
          <w:sz w:val="24"/>
          <w:szCs w:val="24"/>
        </w:rPr>
        <w:t>Kopējā atgūstamā summa = sākotnējā vērtība (piešķirtā atbalsta summa) x (1 + atsauces likme)</w:t>
      </w:r>
      <w:r w:rsidRPr="0082362E">
        <w:rPr>
          <w:rFonts w:ascii="Times New Roman" w:hAnsi="Times New Roman" w:cs="Times New Roman"/>
          <w:b/>
          <w:i/>
          <w:iCs/>
          <w:sz w:val="24"/>
          <w:szCs w:val="24"/>
          <w:vertAlign w:val="superscript"/>
        </w:rPr>
        <w:t>dienu skaits/365</w:t>
      </w:r>
    </w:p>
    <w:p w14:paraId="38F1CF1E" w14:textId="77777777" w:rsidR="00D50B89" w:rsidRPr="0082362E" w:rsidRDefault="00D50B89" w:rsidP="00444DFF">
      <w:pPr>
        <w:ind w:firstLine="567"/>
        <w:rPr>
          <w:rFonts w:ascii="Times New Roman" w:hAnsi="Times New Roman" w:cs="Times New Roman"/>
          <w:sz w:val="24"/>
          <w:szCs w:val="24"/>
        </w:rPr>
      </w:pPr>
    </w:p>
    <w:p w14:paraId="2FA3896A" w14:textId="77777777" w:rsidR="00D50B89" w:rsidRPr="0082362E" w:rsidRDefault="00DC01CB" w:rsidP="00444DFF">
      <w:pPr>
        <w:ind w:firstLine="567"/>
        <w:rPr>
          <w:rFonts w:ascii="Times New Roman" w:hAnsi="Times New Roman" w:cs="Times New Roman"/>
          <w:sz w:val="24"/>
          <w:szCs w:val="24"/>
        </w:rPr>
      </w:pPr>
      <w:r w:rsidRPr="0082362E">
        <w:rPr>
          <w:rFonts w:ascii="Times New Roman" w:hAnsi="Times New Roman" w:cs="Times New Roman"/>
          <w:sz w:val="24"/>
          <w:szCs w:val="24"/>
        </w:rPr>
        <w:t xml:space="preserve">Līdz ar to kopējā formula </w:t>
      </w:r>
      <w:r w:rsidR="007F2F35" w:rsidRPr="0082362E">
        <w:rPr>
          <w:rFonts w:ascii="Times New Roman" w:hAnsi="Times New Roman" w:cs="Times New Roman"/>
          <w:sz w:val="24"/>
          <w:szCs w:val="24"/>
        </w:rPr>
        <w:t xml:space="preserve">atgūstamās summas un </w:t>
      </w:r>
      <w:r w:rsidRPr="0082362E">
        <w:rPr>
          <w:rFonts w:ascii="Times New Roman" w:hAnsi="Times New Roman" w:cs="Times New Roman"/>
          <w:sz w:val="24"/>
          <w:szCs w:val="24"/>
        </w:rPr>
        <w:t>atgūšanas procentu aprēķināšanai ir šāda:</w:t>
      </w:r>
    </w:p>
    <w:p w14:paraId="2FDB8758" w14:textId="77777777" w:rsidR="00D50B89" w:rsidRPr="0082362E" w:rsidRDefault="00D50B89" w:rsidP="00444DFF">
      <w:pPr>
        <w:ind w:firstLine="567"/>
        <w:rPr>
          <w:rFonts w:ascii="Times New Roman" w:hAnsi="Times New Roman" w:cs="Times New Roman"/>
          <w:sz w:val="24"/>
          <w:szCs w:val="24"/>
        </w:rPr>
      </w:pPr>
    </w:p>
    <w:p w14:paraId="13E3FAA9" w14:textId="77777777" w:rsidR="00D50B89" w:rsidRPr="0082362E" w:rsidRDefault="00DC01CB" w:rsidP="00444DFF">
      <w:pPr>
        <w:pBdr>
          <w:top w:val="single" w:sz="4" w:space="1" w:color="000000"/>
          <w:left w:val="single" w:sz="4" w:space="4" w:color="000000"/>
          <w:bottom w:val="single" w:sz="4" w:space="1" w:color="000000"/>
          <w:right w:val="single" w:sz="4" w:space="4" w:color="000000"/>
        </w:pBdr>
        <w:ind w:firstLine="567"/>
        <w:rPr>
          <w:rFonts w:ascii="Times New Roman" w:hAnsi="Times New Roman" w:cs="Times New Roman"/>
          <w:b/>
          <w:bCs/>
          <w:i/>
          <w:iCs/>
          <w:sz w:val="24"/>
          <w:szCs w:val="24"/>
        </w:rPr>
      </w:pPr>
      <w:r w:rsidRPr="0082362E">
        <w:rPr>
          <w:rFonts w:ascii="Times New Roman" w:hAnsi="Times New Roman" w:cs="Times New Roman"/>
          <w:b/>
          <w:bCs/>
          <w:i/>
          <w:iCs/>
          <w:sz w:val="24"/>
          <w:szCs w:val="24"/>
        </w:rPr>
        <w:t>Kopējā atgūstamā summa = sākotnējā vērtība (piešķirtā atbalsta summa) x (1 + atsauces likme)</w:t>
      </w:r>
      <w:r w:rsidRPr="0082362E">
        <w:rPr>
          <w:rFonts w:ascii="Times New Roman" w:hAnsi="Times New Roman" w:cs="Times New Roman"/>
          <w:b/>
          <w:bCs/>
          <w:i/>
          <w:iCs/>
          <w:sz w:val="24"/>
          <w:szCs w:val="24"/>
          <w:vertAlign w:val="superscript"/>
        </w:rPr>
        <w:t>365/365</w:t>
      </w:r>
      <w:r w:rsidRPr="0082362E">
        <w:rPr>
          <w:rFonts w:ascii="Times New Roman" w:hAnsi="Times New Roman" w:cs="Times New Roman"/>
          <w:b/>
          <w:bCs/>
          <w:i/>
          <w:iCs/>
          <w:sz w:val="24"/>
          <w:szCs w:val="24"/>
        </w:rPr>
        <w:t xml:space="preserve"> x (1 + atsauces likme)</w:t>
      </w:r>
      <w:r w:rsidRPr="0082362E">
        <w:rPr>
          <w:rFonts w:ascii="Times New Roman" w:hAnsi="Times New Roman" w:cs="Times New Roman"/>
          <w:b/>
          <w:bCs/>
          <w:i/>
          <w:iCs/>
          <w:sz w:val="24"/>
          <w:szCs w:val="24"/>
          <w:vertAlign w:val="superscript"/>
        </w:rPr>
        <w:t>dienu skaits/365</w:t>
      </w:r>
    </w:p>
    <w:p w14:paraId="2C13E802" w14:textId="77777777" w:rsidR="00D50B89" w:rsidRPr="0082362E" w:rsidRDefault="00D50B89" w:rsidP="00444DFF">
      <w:pPr>
        <w:ind w:firstLine="567"/>
        <w:rPr>
          <w:rFonts w:ascii="Times New Roman" w:hAnsi="Times New Roman" w:cs="Times New Roman"/>
          <w:sz w:val="24"/>
          <w:szCs w:val="24"/>
        </w:rPr>
      </w:pPr>
    </w:p>
    <w:p w14:paraId="12B85A90" w14:textId="77777777" w:rsidR="00D50B89" w:rsidRPr="0082362E" w:rsidRDefault="00DC01CB" w:rsidP="00444DFF">
      <w:pPr>
        <w:pStyle w:val="NumPar1"/>
        <w:tabs>
          <w:tab w:val="clear" w:pos="426"/>
          <w:tab w:val="clear" w:pos="480"/>
        </w:tabs>
        <w:spacing w:after="0"/>
        <w:ind w:right="0"/>
        <w:outlineLvl w:val="9"/>
        <w:rPr>
          <w:szCs w:val="24"/>
          <w:u w:val="single"/>
        </w:rPr>
      </w:pPr>
      <w:r w:rsidRPr="0082362E">
        <w:rPr>
          <w:szCs w:val="24"/>
          <w:u w:val="single"/>
        </w:rPr>
        <w:t>Piemērs:</w:t>
      </w:r>
    </w:p>
    <w:p w14:paraId="457704E1" w14:textId="77777777" w:rsidR="00D50B89" w:rsidRPr="0082362E" w:rsidRDefault="00D50B89" w:rsidP="00444DFF">
      <w:pPr>
        <w:pStyle w:val="BodyText"/>
        <w:spacing w:after="0" w:line="240" w:lineRule="auto"/>
        <w:rPr>
          <w:rFonts w:ascii="Times New Roman" w:hAnsi="Times New Roman" w:cs="Times New Roman"/>
          <w:sz w:val="24"/>
          <w:szCs w:val="24"/>
        </w:rPr>
      </w:pPr>
    </w:p>
    <w:p w14:paraId="0202F8EB" w14:textId="35DFE1B9" w:rsidR="009B33A6" w:rsidRPr="0082362E" w:rsidRDefault="00DC01CB"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sz w:val="24"/>
          <w:szCs w:val="24"/>
        </w:rPr>
        <w:t xml:space="preserve">Ņemot vērā iepriekš minēto, piemēram, ja 2018.gada 1.janvārī tika piešķirts nelikumīgs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 xml:space="preserve">s 100 000 EUR apmērā (vienā maksājumā) uz 2019.gada 27.septembri atgūstamā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 xml:space="preserve">a aprēķins būtu šāds (izmantojama pēdējā formula, jo kopš nelikumīgā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 xml:space="preserve">a nodošanas saņēmēja rīcībā, līdz </w:t>
      </w:r>
      <w:r w:rsidR="00D36866">
        <w:rPr>
          <w:rFonts w:ascii="Times New Roman" w:hAnsi="Times New Roman" w:cs="Times New Roman"/>
          <w:sz w:val="24"/>
          <w:szCs w:val="24"/>
        </w:rPr>
        <w:t>komercdarbības atb</w:t>
      </w:r>
      <w:r w:rsidR="00304E0A">
        <w:rPr>
          <w:rFonts w:ascii="Times New Roman" w:hAnsi="Times New Roman" w:cs="Times New Roman"/>
          <w:sz w:val="24"/>
          <w:szCs w:val="24"/>
        </w:rPr>
        <w:t>alst</w:t>
      </w:r>
      <w:r w:rsidRPr="0082362E">
        <w:rPr>
          <w:rFonts w:ascii="Times New Roman" w:hAnsi="Times New Roman" w:cs="Times New Roman"/>
          <w:sz w:val="24"/>
          <w:szCs w:val="24"/>
        </w:rPr>
        <w:t>a atmaksāšanas dienai pagājis vairāk nekā viens gads)</w:t>
      </w:r>
      <w:r w:rsidR="009B33A6" w:rsidRPr="0082362E">
        <w:rPr>
          <w:rFonts w:ascii="Times New Roman" w:hAnsi="Times New Roman" w:cs="Times New Roman"/>
          <w:sz w:val="24"/>
          <w:szCs w:val="24"/>
        </w:rPr>
        <w:t>.</w:t>
      </w:r>
    </w:p>
    <w:p w14:paraId="4714064B" w14:textId="77777777" w:rsidR="00F47DCF" w:rsidRPr="0082362E" w:rsidRDefault="00F47DCF" w:rsidP="00444DFF">
      <w:pPr>
        <w:pStyle w:val="BodyText"/>
        <w:spacing w:after="0" w:line="240" w:lineRule="auto"/>
        <w:rPr>
          <w:rFonts w:ascii="Times New Roman" w:hAnsi="Times New Roman" w:cs="Times New Roman"/>
          <w:b/>
          <w:bCs/>
          <w:i/>
          <w:iCs/>
          <w:sz w:val="24"/>
          <w:szCs w:val="24"/>
        </w:rPr>
      </w:pPr>
    </w:p>
    <w:p w14:paraId="66424A8E" w14:textId="72045F3B" w:rsidR="00D50B89" w:rsidRPr="0082362E" w:rsidRDefault="00F47DCF"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bCs/>
          <w:iCs/>
          <w:sz w:val="24"/>
          <w:szCs w:val="24"/>
        </w:rPr>
        <w:t xml:space="preserve">Sākotnējā vērtība (piešķirtā </w:t>
      </w:r>
      <w:r w:rsidR="00D36866">
        <w:rPr>
          <w:rFonts w:ascii="Times New Roman" w:hAnsi="Times New Roman" w:cs="Times New Roman"/>
          <w:bCs/>
          <w:iCs/>
          <w:sz w:val="24"/>
          <w:szCs w:val="24"/>
        </w:rPr>
        <w:t>komercdarbības atb</w:t>
      </w:r>
      <w:r w:rsidR="00D06BF9">
        <w:rPr>
          <w:rFonts w:ascii="Times New Roman" w:hAnsi="Times New Roman" w:cs="Times New Roman"/>
          <w:bCs/>
          <w:iCs/>
          <w:sz w:val="24"/>
          <w:szCs w:val="24"/>
        </w:rPr>
        <w:t>alst</w:t>
      </w:r>
      <w:r w:rsidRPr="0082362E">
        <w:rPr>
          <w:rFonts w:ascii="Times New Roman" w:hAnsi="Times New Roman" w:cs="Times New Roman"/>
          <w:bCs/>
          <w:iCs/>
          <w:sz w:val="24"/>
          <w:szCs w:val="24"/>
        </w:rPr>
        <w:t xml:space="preserve">a summa) - </w:t>
      </w:r>
      <w:r w:rsidRPr="0082362E">
        <w:rPr>
          <w:rFonts w:ascii="Times New Roman" w:hAnsi="Times New Roman" w:cs="Times New Roman"/>
          <w:sz w:val="24"/>
          <w:szCs w:val="24"/>
        </w:rPr>
        <w:t>100 000 EUR</w:t>
      </w:r>
    </w:p>
    <w:p w14:paraId="18331C3B" w14:textId="77777777" w:rsidR="00F47DCF" w:rsidRPr="0082362E" w:rsidRDefault="00F47DCF"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bCs/>
          <w:iCs/>
          <w:sz w:val="24"/>
          <w:szCs w:val="24"/>
        </w:rPr>
        <w:t xml:space="preserve">Atsauces likme uz </w:t>
      </w:r>
      <w:r w:rsidRPr="0082362E">
        <w:rPr>
          <w:rFonts w:ascii="Times New Roman" w:eastAsia="Times New Roman" w:hAnsi="Times New Roman" w:cs="Times New Roman"/>
          <w:sz w:val="24"/>
          <w:szCs w:val="24"/>
          <w:lang w:bidi="ar-SA"/>
        </w:rPr>
        <w:t xml:space="preserve">2018.01.01 - </w:t>
      </w:r>
      <w:r w:rsidRPr="0082362E">
        <w:rPr>
          <w:rFonts w:ascii="Times New Roman" w:hAnsi="Times New Roman" w:cs="Times New Roman"/>
          <w:sz w:val="24"/>
          <w:szCs w:val="24"/>
        </w:rPr>
        <w:t>(-0,18%)</w:t>
      </w:r>
    </w:p>
    <w:p w14:paraId="7BCEB376" w14:textId="54DB8E02" w:rsidR="00D50B89" w:rsidRPr="0082362E" w:rsidRDefault="00F47DCF"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bCs/>
          <w:iCs/>
          <w:sz w:val="24"/>
          <w:szCs w:val="24"/>
        </w:rPr>
        <w:t xml:space="preserve">Atsauces likme uz </w:t>
      </w:r>
      <w:r w:rsidRPr="0082362E">
        <w:rPr>
          <w:rFonts w:ascii="Times New Roman" w:eastAsia="Times New Roman" w:hAnsi="Times New Roman" w:cs="Times New Roman"/>
          <w:sz w:val="24"/>
          <w:szCs w:val="24"/>
          <w:lang w:bidi="ar-SA"/>
        </w:rPr>
        <w:t>2019.01.0</w:t>
      </w:r>
      <w:r w:rsidR="0078034D" w:rsidRPr="0082362E">
        <w:rPr>
          <w:rFonts w:ascii="Times New Roman" w:eastAsia="Times New Roman" w:hAnsi="Times New Roman" w:cs="Times New Roman"/>
          <w:sz w:val="24"/>
          <w:szCs w:val="24"/>
          <w:lang w:bidi="ar-SA"/>
        </w:rPr>
        <w:t>1</w:t>
      </w:r>
      <w:r w:rsidRPr="0082362E">
        <w:rPr>
          <w:rFonts w:ascii="Times New Roman" w:eastAsia="Times New Roman" w:hAnsi="Times New Roman" w:cs="Times New Roman"/>
          <w:sz w:val="24"/>
          <w:szCs w:val="24"/>
          <w:lang w:bidi="ar-SA"/>
        </w:rPr>
        <w:t xml:space="preserve"> - </w:t>
      </w:r>
      <w:r w:rsidRPr="0082362E">
        <w:rPr>
          <w:rFonts w:ascii="Times New Roman" w:hAnsi="Times New Roman" w:cs="Times New Roman"/>
          <w:sz w:val="24"/>
          <w:szCs w:val="24"/>
        </w:rPr>
        <w:t>(-0,16%)</w:t>
      </w:r>
    </w:p>
    <w:p w14:paraId="43C7A044" w14:textId="77777777" w:rsidR="00F47DCF" w:rsidRPr="0082362E" w:rsidRDefault="00F47DCF"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sz w:val="24"/>
          <w:szCs w:val="24"/>
        </w:rPr>
        <w:t>Atsauces likmei jāpievieno 100 bāzes punkti.</w:t>
      </w:r>
    </w:p>
    <w:p w14:paraId="5C5C27D8" w14:textId="77777777" w:rsidR="00F47DCF" w:rsidRPr="0082362E" w:rsidRDefault="00F47DCF" w:rsidP="00444DFF">
      <w:pPr>
        <w:pStyle w:val="BodyText"/>
        <w:spacing w:after="0" w:line="240" w:lineRule="auto"/>
        <w:rPr>
          <w:rFonts w:ascii="Times New Roman" w:hAnsi="Times New Roman" w:cs="Times New Roman"/>
          <w:color w:val="222222"/>
          <w:sz w:val="24"/>
          <w:szCs w:val="24"/>
        </w:rPr>
      </w:pPr>
    </w:p>
    <w:p w14:paraId="56716CD3" w14:textId="77777777" w:rsidR="00F47DCF" w:rsidRPr="0082362E" w:rsidRDefault="00F47DCF" w:rsidP="00444DFF">
      <w:pPr>
        <w:pStyle w:val="BodyText"/>
        <w:spacing w:after="0" w:line="240" w:lineRule="auto"/>
        <w:rPr>
          <w:rFonts w:ascii="Times New Roman" w:hAnsi="Times New Roman" w:cs="Times New Roman"/>
          <w:color w:val="222222"/>
          <w:sz w:val="24"/>
          <w:szCs w:val="24"/>
        </w:rPr>
      </w:pPr>
      <w:r w:rsidRPr="0082362E">
        <w:rPr>
          <w:rFonts w:ascii="Times New Roman" w:hAnsi="Times New Roman" w:cs="Times New Roman"/>
          <w:color w:val="222222"/>
          <w:sz w:val="24"/>
          <w:szCs w:val="24"/>
        </w:rPr>
        <w:t>Aprēķins:</w:t>
      </w:r>
    </w:p>
    <w:p w14:paraId="5868AEF2" w14:textId="4C6580DE" w:rsidR="00D50B89" w:rsidRPr="0082362E" w:rsidRDefault="00DC01CB"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color w:val="222222"/>
          <w:sz w:val="24"/>
          <w:szCs w:val="24"/>
        </w:rPr>
        <w:t xml:space="preserve">“Atgūstamā nelikumīgā </w:t>
      </w:r>
      <w:r w:rsidR="00D36866">
        <w:rPr>
          <w:rFonts w:ascii="Times New Roman" w:hAnsi="Times New Roman" w:cs="Times New Roman"/>
          <w:color w:val="222222"/>
          <w:sz w:val="24"/>
          <w:szCs w:val="24"/>
        </w:rPr>
        <w:t>komercdarbības atb</w:t>
      </w:r>
      <w:r w:rsidR="00D06BF9">
        <w:rPr>
          <w:rFonts w:ascii="Times New Roman" w:hAnsi="Times New Roman" w:cs="Times New Roman"/>
          <w:color w:val="222222"/>
          <w:sz w:val="24"/>
          <w:szCs w:val="24"/>
        </w:rPr>
        <w:t>alst</w:t>
      </w:r>
      <w:r w:rsidRPr="0082362E">
        <w:rPr>
          <w:rFonts w:ascii="Times New Roman" w:hAnsi="Times New Roman" w:cs="Times New Roman"/>
          <w:color w:val="222222"/>
          <w:sz w:val="24"/>
          <w:szCs w:val="24"/>
        </w:rPr>
        <w:t>a apmērs” = 100 000 EUR x (1 + (-0,18%) + 100 “bāzes punkti”)</w:t>
      </w:r>
      <w:r w:rsidRPr="0082362E">
        <w:rPr>
          <w:rFonts w:ascii="Times New Roman" w:hAnsi="Times New Roman" w:cs="Times New Roman"/>
          <w:color w:val="222222"/>
          <w:position w:val="8"/>
          <w:sz w:val="20"/>
          <w:szCs w:val="20"/>
        </w:rPr>
        <w:t>365/365</w:t>
      </w:r>
      <w:r w:rsidRPr="0082362E">
        <w:rPr>
          <w:rFonts w:ascii="Times New Roman" w:hAnsi="Times New Roman" w:cs="Times New Roman"/>
          <w:color w:val="222222"/>
          <w:sz w:val="24"/>
          <w:szCs w:val="24"/>
        </w:rPr>
        <w:t> x (1 + (-0,16%) + 100 “bāzes punkti”)</w:t>
      </w:r>
      <w:r w:rsidRPr="0082362E">
        <w:rPr>
          <w:rFonts w:ascii="Times New Roman" w:hAnsi="Times New Roman" w:cs="Times New Roman"/>
          <w:color w:val="222222"/>
          <w:position w:val="8"/>
          <w:sz w:val="20"/>
          <w:szCs w:val="20"/>
        </w:rPr>
        <w:t>270/365</w:t>
      </w:r>
    </w:p>
    <w:p w14:paraId="430C6104" w14:textId="3D9D1D8F" w:rsidR="00D50B89" w:rsidRPr="0082362E" w:rsidRDefault="00DC01CB"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color w:val="222222"/>
          <w:sz w:val="24"/>
          <w:szCs w:val="24"/>
        </w:rPr>
        <w:t xml:space="preserve">“Atgūstamā nelikumīgā </w:t>
      </w:r>
      <w:r w:rsidR="00D36866">
        <w:rPr>
          <w:rFonts w:ascii="Times New Roman" w:hAnsi="Times New Roman" w:cs="Times New Roman"/>
          <w:color w:val="222222"/>
          <w:sz w:val="24"/>
          <w:szCs w:val="24"/>
        </w:rPr>
        <w:t>komercdarbības atb</w:t>
      </w:r>
      <w:r w:rsidR="00D06BF9">
        <w:rPr>
          <w:rFonts w:ascii="Times New Roman" w:hAnsi="Times New Roman" w:cs="Times New Roman"/>
          <w:color w:val="222222"/>
          <w:sz w:val="24"/>
          <w:szCs w:val="24"/>
        </w:rPr>
        <w:t>alst</w:t>
      </w:r>
      <w:r w:rsidRPr="0082362E">
        <w:rPr>
          <w:rFonts w:ascii="Times New Roman" w:hAnsi="Times New Roman" w:cs="Times New Roman"/>
          <w:color w:val="222222"/>
          <w:sz w:val="24"/>
          <w:szCs w:val="24"/>
        </w:rPr>
        <w:t>a apmērs” = 100 000 EUR x (1 + (-0,0018) + 0,01)</w:t>
      </w:r>
      <w:r w:rsidRPr="0082362E">
        <w:rPr>
          <w:rFonts w:ascii="Times New Roman" w:hAnsi="Times New Roman" w:cs="Times New Roman"/>
          <w:color w:val="222222"/>
          <w:position w:val="8"/>
          <w:sz w:val="20"/>
          <w:szCs w:val="20"/>
        </w:rPr>
        <w:t>365/365</w:t>
      </w:r>
      <w:r w:rsidRPr="0082362E">
        <w:rPr>
          <w:rFonts w:ascii="Times New Roman" w:hAnsi="Times New Roman" w:cs="Times New Roman"/>
          <w:color w:val="222222"/>
          <w:sz w:val="24"/>
          <w:szCs w:val="24"/>
        </w:rPr>
        <w:t> x (1 + (-0,0016) + 0,01)</w:t>
      </w:r>
      <w:r w:rsidRPr="0082362E">
        <w:rPr>
          <w:rFonts w:ascii="Times New Roman" w:hAnsi="Times New Roman" w:cs="Times New Roman"/>
          <w:color w:val="222222"/>
          <w:position w:val="8"/>
          <w:sz w:val="20"/>
          <w:szCs w:val="20"/>
        </w:rPr>
        <w:t>270/365</w:t>
      </w:r>
    </w:p>
    <w:p w14:paraId="4CF2ADE5" w14:textId="0D277B7E" w:rsidR="00D50B89" w:rsidRPr="0082362E" w:rsidRDefault="00DC01CB"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color w:val="222222"/>
          <w:sz w:val="24"/>
          <w:szCs w:val="24"/>
        </w:rPr>
        <w:t xml:space="preserve">“Atgūstamā nelikumīgā </w:t>
      </w:r>
      <w:r w:rsidR="00D36866">
        <w:rPr>
          <w:rFonts w:ascii="Times New Roman" w:hAnsi="Times New Roman" w:cs="Times New Roman"/>
          <w:color w:val="222222"/>
          <w:sz w:val="24"/>
          <w:szCs w:val="24"/>
        </w:rPr>
        <w:t>komercdarbības atb</w:t>
      </w:r>
      <w:r w:rsidR="00D06BF9">
        <w:rPr>
          <w:rFonts w:ascii="Times New Roman" w:hAnsi="Times New Roman" w:cs="Times New Roman"/>
          <w:color w:val="222222"/>
          <w:sz w:val="24"/>
          <w:szCs w:val="24"/>
        </w:rPr>
        <w:t>alst</w:t>
      </w:r>
      <w:r w:rsidRPr="0082362E">
        <w:rPr>
          <w:rFonts w:ascii="Times New Roman" w:hAnsi="Times New Roman" w:cs="Times New Roman"/>
          <w:color w:val="222222"/>
          <w:sz w:val="24"/>
          <w:szCs w:val="24"/>
        </w:rPr>
        <w:t>a apmērs” = </w:t>
      </w:r>
      <w:r w:rsidRPr="0082362E">
        <w:rPr>
          <w:rFonts w:ascii="Times New Roman" w:hAnsi="Times New Roman" w:cs="Times New Roman"/>
          <w:b/>
          <w:color w:val="222222"/>
          <w:sz w:val="24"/>
          <w:szCs w:val="24"/>
        </w:rPr>
        <w:t>101 445,78 EUR</w:t>
      </w:r>
    </w:p>
    <w:p w14:paraId="1506030F" w14:textId="77777777" w:rsidR="00D50B89" w:rsidRPr="0082362E" w:rsidRDefault="00DC01CB" w:rsidP="00444DFF">
      <w:pPr>
        <w:pStyle w:val="BodyText"/>
        <w:spacing w:after="0" w:line="240" w:lineRule="auto"/>
        <w:rPr>
          <w:rFonts w:ascii="Times New Roman" w:hAnsi="Times New Roman" w:cs="Times New Roman"/>
          <w:sz w:val="24"/>
          <w:szCs w:val="24"/>
        </w:rPr>
      </w:pPr>
      <w:r w:rsidRPr="0082362E">
        <w:rPr>
          <w:rFonts w:ascii="Times New Roman" w:hAnsi="Times New Roman" w:cs="Times New Roman"/>
          <w:color w:val="222222"/>
          <w:sz w:val="24"/>
          <w:szCs w:val="24"/>
        </w:rPr>
        <w:t> </w:t>
      </w:r>
    </w:p>
    <w:p w14:paraId="22B01A43" w14:textId="64429F82" w:rsidR="00D50B89" w:rsidRPr="0082362E" w:rsidRDefault="00DC01CB" w:rsidP="00444DFF">
      <w:pPr>
        <w:pStyle w:val="BodyText"/>
        <w:spacing w:after="0" w:line="240" w:lineRule="auto"/>
        <w:rPr>
          <w:rFonts w:ascii="Times New Roman" w:hAnsi="Times New Roman" w:cs="Times New Roman"/>
          <w:color w:val="222222"/>
          <w:sz w:val="24"/>
          <w:szCs w:val="24"/>
        </w:rPr>
      </w:pPr>
      <w:r w:rsidRPr="0082362E">
        <w:rPr>
          <w:rFonts w:ascii="Times New Roman" w:hAnsi="Times New Roman" w:cs="Times New Roman"/>
          <w:color w:val="222222"/>
          <w:sz w:val="24"/>
          <w:szCs w:val="24"/>
          <w:u w:val="single"/>
        </w:rPr>
        <w:t xml:space="preserve">Attiecīgi aprakstītajā piemērā kopējā nelikumīgā </w:t>
      </w:r>
      <w:r w:rsidR="00D36866">
        <w:rPr>
          <w:rFonts w:ascii="Times New Roman" w:hAnsi="Times New Roman" w:cs="Times New Roman"/>
          <w:color w:val="222222"/>
          <w:sz w:val="24"/>
          <w:szCs w:val="24"/>
          <w:u w:val="single"/>
        </w:rPr>
        <w:t>komercdarbības atb</w:t>
      </w:r>
      <w:r w:rsidR="00D06BF9">
        <w:rPr>
          <w:rFonts w:ascii="Times New Roman" w:hAnsi="Times New Roman" w:cs="Times New Roman"/>
          <w:color w:val="222222"/>
          <w:sz w:val="24"/>
          <w:szCs w:val="24"/>
          <w:u w:val="single"/>
        </w:rPr>
        <w:t>alst</w:t>
      </w:r>
      <w:r w:rsidRPr="0082362E">
        <w:rPr>
          <w:rFonts w:ascii="Times New Roman" w:hAnsi="Times New Roman" w:cs="Times New Roman"/>
          <w:color w:val="222222"/>
          <w:sz w:val="24"/>
          <w:szCs w:val="24"/>
          <w:u w:val="single"/>
        </w:rPr>
        <w:t>a summa kopā ar procentiem sastādītu 101 445,78 </w:t>
      </w:r>
      <w:r w:rsidRPr="0082362E">
        <w:rPr>
          <w:rFonts w:ascii="Times New Roman" w:hAnsi="Times New Roman" w:cs="Times New Roman"/>
          <w:i/>
          <w:color w:val="222222"/>
          <w:sz w:val="24"/>
          <w:szCs w:val="24"/>
          <w:u w:val="single"/>
        </w:rPr>
        <w:t>EUR </w:t>
      </w:r>
      <w:r w:rsidRPr="0082362E">
        <w:rPr>
          <w:rFonts w:ascii="Times New Roman" w:hAnsi="Times New Roman" w:cs="Times New Roman"/>
          <w:color w:val="222222"/>
          <w:sz w:val="24"/>
          <w:szCs w:val="24"/>
        </w:rPr>
        <w:t>(detalizētāku aprēķinu lūdzam skatīt tabulā Nr.2).</w:t>
      </w:r>
    </w:p>
    <w:p w14:paraId="1DEF2AFA" w14:textId="02097826" w:rsidR="00E8151F" w:rsidRPr="0082362E" w:rsidRDefault="00E8151F" w:rsidP="00444DFF">
      <w:pPr>
        <w:pStyle w:val="BodyText"/>
        <w:spacing w:after="0" w:line="240" w:lineRule="auto"/>
        <w:rPr>
          <w:rFonts w:ascii="Times New Roman" w:hAnsi="Times New Roman" w:cs="Times New Roman"/>
          <w:color w:val="222222"/>
          <w:sz w:val="24"/>
          <w:szCs w:val="24"/>
        </w:rPr>
      </w:pPr>
    </w:p>
    <w:p w14:paraId="4053042D" w14:textId="06A4134D" w:rsidR="00E8151F" w:rsidRPr="0082362E" w:rsidRDefault="00E8151F" w:rsidP="00444DFF">
      <w:pPr>
        <w:pStyle w:val="BodyText"/>
        <w:spacing w:after="0" w:line="240" w:lineRule="auto"/>
        <w:rPr>
          <w:rFonts w:ascii="Times New Roman" w:hAnsi="Times New Roman" w:cs="Times New Roman"/>
          <w:color w:val="222222"/>
          <w:sz w:val="24"/>
          <w:szCs w:val="24"/>
        </w:rPr>
      </w:pPr>
    </w:p>
    <w:p w14:paraId="5F85341B" w14:textId="2712A7EF" w:rsidR="00E8151F" w:rsidRPr="0082362E" w:rsidRDefault="00E8151F" w:rsidP="00444DFF">
      <w:pPr>
        <w:pStyle w:val="BodyText"/>
        <w:spacing w:after="0" w:line="240" w:lineRule="auto"/>
        <w:rPr>
          <w:rFonts w:ascii="Times New Roman" w:hAnsi="Times New Roman" w:cs="Times New Roman"/>
          <w:color w:val="222222"/>
          <w:sz w:val="24"/>
          <w:szCs w:val="24"/>
        </w:rPr>
      </w:pPr>
    </w:p>
    <w:p w14:paraId="11C14508" w14:textId="14F30967" w:rsidR="00E8151F" w:rsidRDefault="00E8151F" w:rsidP="00444DFF">
      <w:pPr>
        <w:pStyle w:val="BodyText"/>
        <w:spacing w:after="0" w:line="240" w:lineRule="auto"/>
        <w:rPr>
          <w:rFonts w:ascii="Times New Roman" w:hAnsi="Times New Roman" w:cs="Times New Roman"/>
          <w:color w:val="222222"/>
          <w:sz w:val="24"/>
          <w:szCs w:val="24"/>
        </w:rPr>
      </w:pPr>
    </w:p>
    <w:p w14:paraId="4ABC7F45" w14:textId="3C6B6584" w:rsidR="008937C8" w:rsidRDefault="008937C8" w:rsidP="00444DFF">
      <w:pPr>
        <w:pStyle w:val="BodyText"/>
        <w:spacing w:after="0" w:line="240" w:lineRule="auto"/>
        <w:rPr>
          <w:rFonts w:ascii="Times New Roman" w:hAnsi="Times New Roman" w:cs="Times New Roman"/>
          <w:color w:val="222222"/>
          <w:sz w:val="24"/>
          <w:szCs w:val="24"/>
        </w:rPr>
      </w:pPr>
    </w:p>
    <w:p w14:paraId="58EC3E93" w14:textId="77777777" w:rsidR="00D50B89" w:rsidRPr="0082362E" w:rsidRDefault="00DC01CB" w:rsidP="00444DFF">
      <w:pPr>
        <w:pStyle w:val="BodyText"/>
        <w:spacing w:after="0" w:line="240" w:lineRule="auto"/>
        <w:jc w:val="right"/>
        <w:rPr>
          <w:rFonts w:ascii="Times New Roman" w:hAnsi="Times New Roman" w:cs="Times New Roman"/>
          <w:i/>
          <w:sz w:val="24"/>
          <w:szCs w:val="24"/>
        </w:rPr>
      </w:pPr>
      <w:r w:rsidRPr="0082362E">
        <w:rPr>
          <w:rFonts w:ascii="Times New Roman" w:hAnsi="Times New Roman" w:cs="Times New Roman"/>
          <w:i/>
          <w:color w:val="222222"/>
          <w:sz w:val="24"/>
          <w:szCs w:val="24"/>
        </w:rPr>
        <w:t>Tabula Nr.2</w:t>
      </w:r>
    </w:p>
    <w:tbl>
      <w:tblPr>
        <w:tblW w:w="9662" w:type="dxa"/>
        <w:tblLook w:val="04A0" w:firstRow="1" w:lastRow="0" w:firstColumn="1" w:lastColumn="0" w:noHBand="0" w:noVBand="1"/>
      </w:tblPr>
      <w:tblGrid>
        <w:gridCol w:w="836"/>
        <w:gridCol w:w="1386"/>
        <w:gridCol w:w="1662"/>
        <w:gridCol w:w="2070"/>
        <w:gridCol w:w="1976"/>
        <w:gridCol w:w="1732"/>
      </w:tblGrid>
      <w:tr w:rsidR="00753863" w:rsidRPr="0082362E" w14:paraId="24B1E16F" w14:textId="77777777" w:rsidTr="00060C5E">
        <w:trPr>
          <w:trHeight w:val="315"/>
        </w:trPr>
        <w:tc>
          <w:tcPr>
            <w:tcW w:w="9662" w:type="dxa"/>
            <w:gridSpan w:val="6"/>
            <w:shd w:val="clear" w:color="auto" w:fill="auto"/>
            <w:vAlign w:val="center"/>
          </w:tcPr>
          <w:p w14:paraId="7A297D1E" w14:textId="4BE74CCB" w:rsidR="00753863" w:rsidRPr="0082362E" w:rsidRDefault="00753863" w:rsidP="00444DFF">
            <w:pPr>
              <w:jc w:val="center"/>
              <w:rPr>
                <w:rFonts w:ascii="Times New Roman" w:eastAsia="Times New Roman" w:hAnsi="Times New Roman" w:cs="Times New Roman"/>
                <w:b/>
                <w:bCs/>
                <w:color w:val="222222"/>
                <w:sz w:val="24"/>
                <w:szCs w:val="24"/>
                <w:lang w:bidi="ar-SA"/>
              </w:rPr>
            </w:pPr>
            <w:r w:rsidRPr="0082362E">
              <w:rPr>
                <w:rFonts w:ascii="Times New Roman" w:eastAsia="Times New Roman" w:hAnsi="Times New Roman" w:cs="Times New Roman"/>
                <w:b/>
                <w:bCs/>
                <w:color w:val="222222"/>
                <w:sz w:val="24"/>
                <w:szCs w:val="24"/>
                <w:lang w:bidi="ar-SA"/>
              </w:rPr>
              <w:t xml:space="preserve">Uz 2019.gada 27.septembri atgūstamā </w:t>
            </w:r>
            <w:r w:rsidR="00D36866">
              <w:rPr>
                <w:rFonts w:ascii="Times New Roman" w:eastAsia="Times New Roman" w:hAnsi="Times New Roman" w:cs="Times New Roman"/>
                <w:b/>
                <w:bCs/>
                <w:color w:val="222222"/>
                <w:sz w:val="24"/>
                <w:szCs w:val="24"/>
                <w:lang w:bidi="ar-SA"/>
              </w:rPr>
              <w:t>komercdarbības atb</w:t>
            </w:r>
            <w:r w:rsidR="00D06BF9">
              <w:rPr>
                <w:rFonts w:ascii="Times New Roman" w:eastAsia="Times New Roman" w:hAnsi="Times New Roman" w:cs="Times New Roman"/>
                <w:b/>
                <w:bCs/>
                <w:color w:val="222222"/>
                <w:sz w:val="24"/>
                <w:szCs w:val="24"/>
                <w:lang w:bidi="ar-SA"/>
              </w:rPr>
              <w:t>alst</w:t>
            </w:r>
            <w:r w:rsidRPr="0082362E">
              <w:rPr>
                <w:rFonts w:ascii="Times New Roman" w:eastAsia="Times New Roman" w:hAnsi="Times New Roman" w:cs="Times New Roman"/>
                <w:b/>
                <w:bCs/>
                <w:color w:val="222222"/>
                <w:sz w:val="24"/>
                <w:szCs w:val="24"/>
                <w:lang w:bidi="ar-SA"/>
              </w:rPr>
              <w:t>a aprēķins</w:t>
            </w:r>
          </w:p>
        </w:tc>
      </w:tr>
      <w:tr w:rsidR="00753863" w:rsidRPr="0082362E" w14:paraId="61DF8AD9" w14:textId="77777777" w:rsidTr="00060C5E">
        <w:trPr>
          <w:trHeight w:val="792"/>
        </w:trPr>
        <w:tc>
          <w:tcPr>
            <w:tcW w:w="22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22AC7" w14:textId="77777777" w:rsidR="00753863" w:rsidRPr="0082362E" w:rsidRDefault="00753863" w:rsidP="00444DFF">
            <w:pPr>
              <w:jc w:val="center"/>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Laika periods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54CFEAC2" w14:textId="7881EA1F" w:rsidR="00753863" w:rsidRPr="0082362E" w:rsidRDefault="00753863" w:rsidP="00444DFF">
            <w:pPr>
              <w:jc w:val="center"/>
              <w:rPr>
                <w:rFonts w:ascii="Times New Roman" w:eastAsia="Times New Roman" w:hAnsi="Times New Roman" w:cs="Times New Roman"/>
                <w:color w:val="000000"/>
                <w:sz w:val="20"/>
                <w:szCs w:val="20"/>
                <w:lang w:bidi="ar-SA"/>
              </w:rPr>
            </w:pPr>
            <w:r w:rsidRPr="0082362E">
              <w:rPr>
                <w:rFonts w:ascii="Times New Roman" w:eastAsia="Times New Roman" w:hAnsi="Times New Roman" w:cs="Times New Roman"/>
                <w:color w:val="000000"/>
                <w:sz w:val="20"/>
                <w:szCs w:val="20"/>
                <w:lang w:bidi="ar-SA"/>
              </w:rPr>
              <w:t xml:space="preserve">Summa, no kā aprēķināms atgūstamais </w:t>
            </w:r>
            <w:r w:rsidR="00D36866">
              <w:rPr>
                <w:rFonts w:ascii="Times New Roman" w:eastAsia="Times New Roman" w:hAnsi="Times New Roman" w:cs="Times New Roman"/>
                <w:color w:val="000000"/>
                <w:sz w:val="20"/>
                <w:szCs w:val="20"/>
                <w:lang w:bidi="ar-SA"/>
              </w:rPr>
              <w:t>komercdarbības atb</w:t>
            </w:r>
            <w:r w:rsidR="00D06BF9">
              <w:rPr>
                <w:rFonts w:ascii="Times New Roman" w:eastAsia="Times New Roman" w:hAnsi="Times New Roman" w:cs="Times New Roman"/>
                <w:color w:val="000000"/>
                <w:sz w:val="20"/>
                <w:szCs w:val="20"/>
                <w:lang w:bidi="ar-SA"/>
              </w:rPr>
              <w:t>alst</w:t>
            </w:r>
            <w:r w:rsidRPr="0082362E">
              <w:rPr>
                <w:rFonts w:ascii="Times New Roman" w:eastAsia="Times New Roman" w:hAnsi="Times New Roman" w:cs="Times New Roman"/>
                <w:color w:val="000000"/>
                <w:sz w:val="20"/>
                <w:szCs w:val="20"/>
                <w:lang w:bidi="ar-SA"/>
              </w:rPr>
              <w:t>a apmērs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76E05D8" w14:textId="2DF90445" w:rsidR="00753863" w:rsidRPr="0082362E" w:rsidRDefault="00753863" w:rsidP="00444DFF">
            <w:pPr>
              <w:jc w:val="center"/>
              <w:rPr>
                <w:rFonts w:ascii="Times New Roman" w:eastAsia="Times New Roman" w:hAnsi="Times New Roman" w:cs="Times New Roman"/>
                <w:color w:val="000000"/>
                <w:sz w:val="20"/>
                <w:szCs w:val="20"/>
                <w:lang w:bidi="ar-SA"/>
              </w:rPr>
            </w:pPr>
            <w:r w:rsidRPr="0082362E">
              <w:rPr>
                <w:rFonts w:ascii="Times New Roman" w:eastAsia="Times New Roman" w:hAnsi="Times New Roman" w:cs="Times New Roman"/>
                <w:color w:val="000000"/>
                <w:sz w:val="20"/>
                <w:szCs w:val="20"/>
                <w:lang w:bidi="ar-SA"/>
              </w:rPr>
              <w:t xml:space="preserve">Diskonta faktors </w:t>
            </w:r>
            <w:r w:rsidR="00D36866">
              <w:rPr>
                <w:rFonts w:ascii="Times New Roman" w:eastAsia="Times New Roman" w:hAnsi="Times New Roman" w:cs="Times New Roman"/>
                <w:color w:val="000000"/>
                <w:sz w:val="20"/>
                <w:szCs w:val="20"/>
                <w:lang w:bidi="ar-SA"/>
              </w:rPr>
              <w:t>komercdarbības atb</w:t>
            </w:r>
            <w:r w:rsidR="00D06BF9">
              <w:rPr>
                <w:rFonts w:ascii="Times New Roman" w:eastAsia="Times New Roman" w:hAnsi="Times New Roman" w:cs="Times New Roman"/>
                <w:color w:val="000000"/>
                <w:sz w:val="20"/>
                <w:szCs w:val="20"/>
                <w:lang w:bidi="ar-SA"/>
              </w:rPr>
              <w:t>alst</w:t>
            </w:r>
            <w:r w:rsidRPr="0082362E">
              <w:rPr>
                <w:rFonts w:ascii="Times New Roman" w:eastAsia="Times New Roman" w:hAnsi="Times New Roman" w:cs="Times New Roman"/>
                <w:color w:val="000000"/>
                <w:sz w:val="20"/>
                <w:szCs w:val="20"/>
                <w:lang w:bidi="ar-SA"/>
              </w:rPr>
              <w:t>a piešķiršanas brīdī</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62E3027D" w14:textId="77777777" w:rsidR="00753863" w:rsidRPr="0082362E" w:rsidRDefault="00753863" w:rsidP="00444DFF">
            <w:pPr>
              <w:jc w:val="center"/>
              <w:rPr>
                <w:rFonts w:ascii="Times New Roman" w:eastAsia="Times New Roman" w:hAnsi="Times New Roman" w:cs="Times New Roman"/>
                <w:color w:val="000000"/>
                <w:sz w:val="20"/>
                <w:szCs w:val="20"/>
                <w:lang w:bidi="ar-SA"/>
              </w:rPr>
            </w:pPr>
            <w:r w:rsidRPr="0082362E">
              <w:rPr>
                <w:rFonts w:ascii="Times New Roman" w:eastAsia="Times New Roman" w:hAnsi="Times New Roman" w:cs="Times New Roman"/>
                <w:color w:val="000000"/>
                <w:sz w:val="20"/>
                <w:szCs w:val="20"/>
                <w:lang w:bidi="ar-SA"/>
              </w:rPr>
              <w:t>Atgūšanas %</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39E35924" w14:textId="75DFED9F" w:rsidR="00753863" w:rsidRPr="0082362E" w:rsidRDefault="00753863" w:rsidP="00444DFF">
            <w:pPr>
              <w:jc w:val="center"/>
              <w:rPr>
                <w:rFonts w:ascii="Times New Roman" w:eastAsia="Times New Roman" w:hAnsi="Times New Roman" w:cs="Times New Roman"/>
                <w:color w:val="000000"/>
                <w:sz w:val="20"/>
                <w:szCs w:val="20"/>
                <w:lang w:bidi="ar-SA"/>
              </w:rPr>
            </w:pPr>
            <w:r w:rsidRPr="0082362E">
              <w:rPr>
                <w:rFonts w:ascii="Times New Roman" w:eastAsia="Times New Roman" w:hAnsi="Times New Roman" w:cs="Times New Roman"/>
                <w:color w:val="000000"/>
                <w:sz w:val="20"/>
                <w:szCs w:val="20"/>
                <w:lang w:bidi="ar-SA"/>
              </w:rPr>
              <w:t xml:space="preserve">Atgūstamais </w:t>
            </w:r>
            <w:r w:rsidR="00D36866">
              <w:rPr>
                <w:rFonts w:ascii="Times New Roman" w:eastAsia="Times New Roman" w:hAnsi="Times New Roman" w:cs="Times New Roman"/>
                <w:color w:val="000000"/>
                <w:sz w:val="20"/>
                <w:szCs w:val="20"/>
                <w:lang w:bidi="ar-SA"/>
              </w:rPr>
              <w:t>komercdarbības atb</w:t>
            </w:r>
            <w:r w:rsidR="00D06BF9">
              <w:rPr>
                <w:rFonts w:ascii="Times New Roman" w:eastAsia="Times New Roman" w:hAnsi="Times New Roman" w:cs="Times New Roman"/>
                <w:color w:val="000000"/>
                <w:sz w:val="20"/>
                <w:szCs w:val="20"/>
                <w:lang w:bidi="ar-SA"/>
              </w:rPr>
              <w:t>alst</w:t>
            </w:r>
            <w:r w:rsidRPr="0082362E">
              <w:rPr>
                <w:rFonts w:ascii="Times New Roman" w:eastAsia="Times New Roman" w:hAnsi="Times New Roman" w:cs="Times New Roman"/>
                <w:color w:val="000000"/>
                <w:sz w:val="20"/>
                <w:szCs w:val="20"/>
                <w:lang w:bidi="ar-SA"/>
              </w:rPr>
              <w:t>a apmērs (</w:t>
            </w:r>
            <w:r w:rsidR="00D36866">
              <w:rPr>
                <w:rFonts w:ascii="Times New Roman" w:eastAsia="Times New Roman" w:hAnsi="Times New Roman" w:cs="Times New Roman"/>
                <w:color w:val="000000"/>
                <w:sz w:val="20"/>
                <w:szCs w:val="20"/>
                <w:lang w:bidi="ar-SA"/>
              </w:rPr>
              <w:t>komercdarbības atb</w:t>
            </w:r>
            <w:r w:rsidR="00D06BF9">
              <w:rPr>
                <w:rFonts w:ascii="Times New Roman" w:eastAsia="Times New Roman" w:hAnsi="Times New Roman" w:cs="Times New Roman"/>
                <w:color w:val="000000"/>
                <w:sz w:val="20"/>
                <w:szCs w:val="20"/>
                <w:lang w:bidi="ar-SA"/>
              </w:rPr>
              <w:t>alst</w:t>
            </w:r>
            <w:r w:rsidRPr="0082362E">
              <w:rPr>
                <w:rFonts w:ascii="Times New Roman" w:eastAsia="Times New Roman" w:hAnsi="Times New Roman" w:cs="Times New Roman"/>
                <w:color w:val="000000"/>
                <w:sz w:val="20"/>
                <w:szCs w:val="20"/>
                <w:lang w:bidi="ar-SA"/>
              </w:rPr>
              <w:t>a summa + atgūšanas %)</w:t>
            </w:r>
          </w:p>
        </w:tc>
      </w:tr>
      <w:tr w:rsidR="00753863" w:rsidRPr="0082362E" w14:paraId="6392710C" w14:textId="77777777" w:rsidTr="0082362E">
        <w:trPr>
          <w:trHeight w:val="31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57DE9FB1" w14:textId="77777777" w:rsidR="00753863" w:rsidRPr="0082362E" w:rsidRDefault="00753863" w:rsidP="00444DFF">
            <w:pPr>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1.gads</w:t>
            </w:r>
          </w:p>
        </w:tc>
        <w:tc>
          <w:tcPr>
            <w:tcW w:w="1386" w:type="dxa"/>
            <w:tcBorders>
              <w:top w:val="nil"/>
              <w:left w:val="nil"/>
              <w:bottom w:val="single" w:sz="4" w:space="0" w:color="auto"/>
              <w:right w:val="single" w:sz="4" w:space="0" w:color="auto"/>
            </w:tcBorders>
            <w:shd w:val="clear" w:color="auto" w:fill="auto"/>
            <w:noWrap/>
            <w:vAlign w:val="bottom"/>
            <w:hideMark/>
          </w:tcPr>
          <w:p w14:paraId="12A1229E" w14:textId="5E790D2B" w:rsidR="00753863" w:rsidRPr="0082362E" w:rsidRDefault="00753863" w:rsidP="00444DFF">
            <w:pPr>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2018.01.01-201</w:t>
            </w:r>
            <w:r w:rsidR="005908B4" w:rsidRPr="0082362E">
              <w:rPr>
                <w:rFonts w:ascii="Times New Roman" w:eastAsia="Times New Roman" w:hAnsi="Times New Roman" w:cs="Times New Roman"/>
                <w:color w:val="000000"/>
                <w:sz w:val="24"/>
                <w:szCs w:val="24"/>
                <w:lang w:bidi="ar-SA"/>
              </w:rPr>
              <w:t>8</w:t>
            </w:r>
            <w:r w:rsidRPr="0082362E">
              <w:rPr>
                <w:rFonts w:ascii="Times New Roman" w:eastAsia="Times New Roman" w:hAnsi="Times New Roman" w:cs="Times New Roman"/>
                <w:color w:val="000000"/>
                <w:sz w:val="24"/>
                <w:szCs w:val="24"/>
                <w:lang w:bidi="ar-SA"/>
              </w:rPr>
              <w:t>.</w:t>
            </w:r>
            <w:r w:rsidR="005908B4" w:rsidRPr="0082362E">
              <w:rPr>
                <w:rFonts w:ascii="Times New Roman" w:eastAsia="Times New Roman" w:hAnsi="Times New Roman" w:cs="Times New Roman"/>
                <w:color w:val="000000"/>
                <w:sz w:val="24"/>
                <w:szCs w:val="24"/>
                <w:lang w:bidi="ar-SA"/>
              </w:rPr>
              <w:t>12</w:t>
            </w:r>
            <w:r w:rsidRPr="0082362E">
              <w:rPr>
                <w:rFonts w:ascii="Times New Roman" w:eastAsia="Times New Roman" w:hAnsi="Times New Roman" w:cs="Times New Roman"/>
                <w:color w:val="000000"/>
                <w:sz w:val="24"/>
                <w:szCs w:val="24"/>
                <w:lang w:bidi="ar-SA"/>
              </w:rPr>
              <w:t>.</w:t>
            </w:r>
            <w:r w:rsidR="005908B4" w:rsidRPr="0082362E">
              <w:rPr>
                <w:rFonts w:ascii="Times New Roman" w:eastAsia="Times New Roman" w:hAnsi="Times New Roman" w:cs="Times New Roman"/>
                <w:color w:val="000000"/>
                <w:sz w:val="24"/>
                <w:szCs w:val="24"/>
                <w:lang w:bidi="ar-SA"/>
              </w:rPr>
              <w:t>31</w:t>
            </w:r>
          </w:p>
        </w:tc>
        <w:tc>
          <w:tcPr>
            <w:tcW w:w="1662" w:type="dxa"/>
            <w:tcBorders>
              <w:top w:val="nil"/>
              <w:left w:val="nil"/>
              <w:bottom w:val="single" w:sz="4" w:space="0" w:color="auto"/>
              <w:right w:val="single" w:sz="4" w:space="0" w:color="auto"/>
            </w:tcBorders>
            <w:shd w:val="clear" w:color="auto" w:fill="auto"/>
            <w:noWrap/>
            <w:vAlign w:val="bottom"/>
            <w:hideMark/>
          </w:tcPr>
          <w:p w14:paraId="4AB9CEA8"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100 000.00</w:t>
            </w:r>
          </w:p>
        </w:tc>
        <w:tc>
          <w:tcPr>
            <w:tcW w:w="2070" w:type="dxa"/>
            <w:tcBorders>
              <w:top w:val="nil"/>
              <w:left w:val="nil"/>
              <w:bottom w:val="single" w:sz="4" w:space="0" w:color="auto"/>
              <w:right w:val="single" w:sz="4" w:space="0" w:color="auto"/>
            </w:tcBorders>
            <w:shd w:val="clear" w:color="auto" w:fill="auto"/>
            <w:noWrap/>
            <w:vAlign w:val="bottom"/>
            <w:hideMark/>
          </w:tcPr>
          <w:p w14:paraId="5539D2E7"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 xml:space="preserve">1.0082 </w:t>
            </w:r>
          </w:p>
          <w:p w14:paraId="265CD9E3"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hAnsi="Times New Roman" w:cs="Times New Roman"/>
                <w:color w:val="222222"/>
                <w:sz w:val="20"/>
                <w:szCs w:val="20"/>
              </w:rPr>
              <w:t>(1 + (-0,0018) + 0,01)</w:t>
            </w:r>
          </w:p>
        </w:tc>
        <w:tc>
          <w:tcPr>
            <w:tcW w:w="1976" w:type="dxa"/>
            <w:tcBorders>
              <w:top w:val="nil"/>
              <w:left w:val="nil"/>
              <w:bottom w:val="single" w:sz="4" w:space="0" w:color="auto"/>
              <w:right w:val="single" w:sz="4" w:space="0" w:color="auto"/>
            </w:tcBorders>
            <w:shd w:val="clear" w:color="auto" w:fill="auto"/>
            <w:noWrap/>
            <w:vAlign w:val="bottom"/>
            <w:hideMark/>
          </w:tcPr>
          <w:p w14:paraId="531F9781"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1.0082</w:t>
            </w:r>
          </w:p>
          <w:p w14:paraId="7E0418FC" w14:textId="77777777" w:rsidR="00753863" w:rsidRPr="0082362E" w:rsidRDefault="00753863" w:rsidP="00444DFF">
            <w:pPr>
              <w:jc w:val="right"/>
              <w:rPr>
                <w:rFonts w:ascii="Times New Roman" w:eastAsia="Times New Roman" w:hAnsi="Times New Roman" w:cs="Times New Roman"/>
                <w:color w:val="000000"/>
                <w:sz w:val="20"/>
                <w:szCs w:val="20"/>
                <w:lang w:bidi="ar-SA"/>
              </w:rPr>
            </w:pPr>
            <w:r w:rsidRPr="0082362E">
              <w:rPr>
                <w:rFonts w:ascii="Times New Roman" w:eastAsia="Times New Roman" w:hAnsi="Times New Roman" w:cs="Times New Roman"/>
                <w:color w:val="000000"/>
                <w:sz w:val="20"/>
                <w:szCs w:val="20"/>
                <w:lang w:bidi="ar-SA"/>
              </w:rPr>
              <w:t>(1.0082^(365/365</w:t>
            </w:r>
            <w:r w:rsidRPr="0082362E">
              <w:rPr>
                <w:rFonts w:ascii="Times New Roman" w:hAnsi="Times New Roman" w:cs="Times New Roman"/>
                <w:color w:val="222222"/>
                <w:sz w:val="20"/>
                <w:szCs w:val="20"/>
              </w:rPr>
              <w:t>))</w:t>
            </w:r>
          </w:p>
        </w:tc>
        <w:tc>
          <w:tcPr>
            <w:tcW w:w="1568" w:type="dxa"/>
            <w:tcBorders>
              <w:top w:val="nil"/>
              <w:left w:val="nil"/>
              <w:bottom w:val="single" w:sz="4" w:space="0" w:color="auto"/>
              <w:right w:val="single" w:sz="4" w:space="0" w:color="auto"/>
            </w:tcBorders>
            <w:shd w:val="clear" w:color="auto" w:fill="auto"/>
            <w:noWrap/>
            <w:vAlign w:val="bottom"/>
            <w:hideMark/>
          </w:tcPr>
          <w:p w14:paraId="7E3F75AD"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100 820.00</w:t>
            </w:r>
          </w:p>
        </w:tc>
      </w:tr>
      <w:tr w:rsidR="00753863" w:rsidRPr="0082362E" w14:paraId="19FC81B6" w14:textId="77777777" w:rsidTr="0082362E">
        <w:trPr>
          <w:trHeight w:val="315"/>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0407B54D" w14:textId="77777777" w:rsidR="00753863" w:rsidRPr="0082362E" w:rsidRDefault="00753863" w:rsidP="00444DFF">
            <w:pPr>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2.gads</w:t>
            </w:r>
          </w:p>
        </w:tc>
        <w:tc>
          <w:tcPr>
            <w:tcW w:w="1386" w:type="dxa"/>
            <w:tcBorders>
              <w:top w:val="nil"/>
              <w:left w:val="nil"/>
              <w:bottom w:val="single" w:sz="4" w:space="0" w:color="auto"/>
              <w:right w:val="single" w:sz="4" w:space="0" w:color="auto"/>
            </w:tcBorders>
            <w:shd w:val="clear" w:color="auto" w:fill="auto"/>
            <w:noWrap/>
            <w:vAlign w:val="bottom"/>
            <w:hideMark/>
          </w:tcPr>
          <w:p w14:paraId="36C2F994" w14:textId="64FB0F53" w:rsidR="00753863" w:rsidRPr="0082362E" w:rsidRDefault="00753863" w:rsidP="00444DFF">
            <w:pPr>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2019.01.0</w:t>
            </w:r>
            <w:r w:rsidR="005908B4" w:rsidRPr="0082362E">
              <w:rPr>
                <w:rFonts w:ascii="Times New Roman" w:eastAsia="Times New Roman" w:hAnsi="Times New Roman" w:cs="Times New Roman"/>
                <w:color w:val="000000"/>
                <w:sz w:val="24"/>
                <w:szCs w:val="24"/>
                <w:lang w:bidi="ar-SA"/>
              </w:rPr>
              <w:t>1</w:t>
            </w:r>
            <w:r w:rsidRPr="0082362E">
              <w:rPr>
                <w:rFonts w:ascii="Times New Roman" w:eastAsia="Times New Roman" w:hAnsi="Times New Roman" w:cs="Times New Roman"/>
                <w:color w:val="000000"/>
                <w:sz w:val="24"/>
                <w:szCs w:val="24"/>
                <w:lang w:bidi="ar-SA"/>
              </w:rPr>
              <w:t>-2019.09.27</w:t>
            </w:r>
          </w:p>
        </w:tc>
        <w:tc>
          <w:tcPr>
            <w:tcW w:w="1662" w:type="dxa"/>
            <w:tcBorders>
              <w:top w:val="nil"/>
              <w:left w:val="nil"/>
              <w:bottom w:val="single" w:sz="4" w:space="0" w:color="auto"/>
              <w:right w:val="single" w:sz="4" w:space="0" w:color="auto"/>
            </w:tcBorders>
            <w:shd w:val="clear" w:color="auto" w:fill="auto"/>
            <w:noWrap/>
            <w:vAlign w:val="bottom"/>
            <w:hideMark/>
          </w:tcPr>
          <w:p w14:paraId="70ED7BDA"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100 820.00</w:t>
            </w:r>
          </w:p>
        </w:tc>
        <w:tc>
          <w:tcPr>
            <w:tcW w:w="2070" w:type="dxa"/>
            <w:tcBorders>
              <w:top w:val="nil"/>
              <w:left w:val="nil"/>
              <w:bottom w:val="single" w:sz="4" w:space="0" w:color="auto"/>
              <w:right w:val="single" w:sz="4" w:space="0" w:color="auto"/>
            </w:tcBorders>
            <w:shd w:val="clear" w:color="auto" w:fill="auto"/>
            <w:noWrap/>
            <w:vAlign w:val="bottom"/>
            <w:hideMark/>
          </w:tcPr>
          <w:p w14:paraId="61B55946"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1.0084</w:t>
            </w:r>
          </w:p>
          <w:p w14:paraId="052EAEAC" w14:textId="77777777" w:rsidR="00753863" w:rsidRPr="0082362E" w:rsidRDefault="00753863" w:rsidP="00444DFF">
            <w:pPr>
              <w:jc w:val="right"/>
              <w:rPr>
                <w:rFonts w:ascii="Times New Roman" w:eastAsia="Times New Roman" w:hAnsi="Times New Roman" w:cs="Times New Roman"/>
                <w:color w:val="000000"/>
                <w:sz w:val="20"/>
                <w:szCs w:val="20"/>
                <w:lang w:bidi="ar-SA"/>
              </w:rPr>
            </w:pPr>
            <w:r w:rsidRPr="0082362E">
              <w:rPr>
                <w:rFonts w:ascii="Times New Roman" w:hAnsi="Times New Roman" w:cs="Times New Roman"/>
                <w:color w:val="222222"/>
                <w:sz w:val="20"/>
                <w:szCs w:val="20"/>
              </w:rPr>
              <w:t>(1 + (-0,0016) + 0,01)</w:t>
            </w:r>
          </w:p>
        </w:tc>
        <w:tc>
          <w:tcPr>
            <w:tcW w:w="1976" w:type="dxa"/>
            <w:tcBorders>
              <w:top w:val="nil"/>
              <w:left w:val="nil"/>
              <w:bottom w:val="single" w:sz="4" w:space="0" w:color="auto"/>
              <w:right w:val="single" w:sz="4" w:space="0" w:color="auto"/>
            </w:tcBorders>
            <w:shd w:val="clear" w:color="auto" w:fill="auto"/>
            <w:noWrap/>
            <w:vAlign w:val="bottom"/>
            <w:hideMark/>
          </w:tcPr>
          <w:p w14:paraId="6AEFA099"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4"/>
                <w:szCs w:val="24"/>
                <w:lang w:bidi="ar-SA"/>
              </w:rPr>
              <w:t>1.0062</w:t>
            </w:r>
          </w:p>
          <w:p w14:paraId="05F0FC8E" w14:textId="77777777" w:rsidR="00753863" w:rsidRPr="0082362E" w:rsidRDefault="00753863" w:rsidP="00444DFF">
            <w:pPr>
              <w:jc w:val="right"/>
              <w:rPr>
                <w:rFonts w:ascii="Times New Roman" w:eastAsia="Times New Roman" w:hAnsi="Times New Roman" w:cs="Times New Roman"/>
                <w:color w:val="000000"/>
                <w:sz w:val="24"/>
                <w:szCs w:val="24"/>
                <w:lang w:bidi="ar-SA"/>
              </w:rPr>
            </w:pPr>
            <w:r w:rsidRPr="0082362E">
              <w:rPr>
                <w:rFonts w:ascii="Times New Roman" w:eastAsia="Times New Roman" w:hAnsi="Times New Roman" w:cs="Times New Roman"/>
                <w:color w:val="000000"/>
                <w:sz w:val="20"/>
                <w:szCs w:val="20"/>
                <w:lang w:bidi="ar-SA"/>
              </w:rPr>
              <w:t>(1.0084^(270/365</w:t>
            </w:r>
            <w:r w:rsidRPr="0082362E">
              <w:rPr>
                <w:rFonts w:ascii="Times New Roman" w:hAnsi="Times New Roman" w:cs="Times New Roman"/>
                <w:color w:val="222222"/>
                <w:sz w:val="20"/>
                <w:szCs w:val="20"/>
              </w:rPr>
              <w:t>))</w:t>
            </w:r>
          </w:p>
        </w:tc>
        <w:tc>
          <w:tcPr>
            <w:tcW w:w="1568" w:type="dxa"/>
            <w:tcBorders>
              <w:top w:val="nil"/>
              <w:left w:val="nil"/>
              <w:bottom w:val="single" w:sz="4" w:space="0" w:color="auto"/>
              <w:right w:val="single" w:sz="4" w:space="0" w:color="auto"/>
            </w:tcBorders>
            <w:shd w:val="clear" w:color="auto" w:fill="auto"/>
            <w:noWrap/>
            <w:vAlign w:val="bottom"/>
            <w:hideMark/>
          </w:tcPr>
          <w:p w14:paraId="09158784" w14:textId="77777777" w:rsidR="00753863" w:rsidRPr="0082362E" w:rsidRDefault="00753863" w:rsidP="00444DFF">
            <w:pPr>
              <w:jc w:val="right"/>
              <w:rPr>
                <w:rFonts w:ascii="Times New Roman" w:eastAsia="Times New Roman" w:hAnsi="Times New Roman" w:cs="Times New Roman"/>
                <w:b/>
                <w:bCs/>
                <w:color w:val="000000"/>
                <w:sz w:val="24"/>
                <w:szCs w:val="24"/>
                <w:lang w:bidi="ar-SA"/>
              </w:rPr>
            </w:pPr>
            <w:r w:rsidRPr="0082362E">
              <w:rPr>
                <w:rFonts w:ascii="Times New Roman" w:eastAsia="Times New Roman" w:hAnsi="Times New Roman" w:cs="Times New Roman"/>
                <w:b/>
                <w:bCs/>
                <w:color w:val="000000"/>
                <w:sz w:val="24"/>
                <w:szCs w:val="24"/>
                <w:lang w:bidi="ar-SA"/>
              </w:rPr>
              <w:t>101 445.78</w:t>
            </w:r>
          </w:p>
        </w:tc>
      </w:tr>
    </w:tbl>
    <w:p w14:paraId="0708E3C9" w14:textId="77777777" w:rsidR="00D50B89" w:rsidRPr="0082362E" w:rsidRDefault="00D50B89" w:rsidP="00444DFF">
      <w:pPr>
        <w:rPr>
          <w:rFonts w:ascii="Times New Roman" w:eastAsia="Times New Roman" w:hAnsi="Times New Roman" w:cs="Times New Roman"/>
          <w:sz w:val="24"/>
          <w:szCs w:val="24"/>
          <w:lang w:bidi="ar-SA"/>
        </w:rPr>
      </w:pPr>
    </w:p>
    <w:p w14:paraId="7B174020" w14:textId="44185EAA" w:rsidR="00B873C4" w:rsidRPr="0082362E" w:rsidRDefault="00B873C4" w:rsidP="00B873C4">
      <w:pPr>
        <w:ind w:firstLine="567"/>
        <w:rPr>
          <w:rFonts w:ascii="Times New Roman" w:eastAsia="Times New Roman" w:hAnsi="Times New Roman" w:cs="Times New Roman"/>
          <w:sz w:val="24"/>
          <w:szCs w:val="24"/>
          <w:lang w:bidi="ar-SA"/>
        </w:rPr>
      </w:pPr>
      <w:r w:rsidRPr="0082362E">
        <w:rPr>
          <w:rFonts w:ascii="Times New Roman" w:eastAsia="Times New Roman" w:hAnsi="Times New Roman" w:cs="Times New Roman"/>
          <w:sz w:val="24"/>
          <w:szCs w:val="24"/>
          <w:lang w:bidi="ar-SA"/>
        </w:rPr>
        <w:t xml:space="preserve">Praksē nereti rodas jautājums, kas tiek saprasts ar nelikumīgā (atgūstamā) </w:t>
      </w:r>
      <w:r w:rsidR="00D36866">
        <w:rPr>
          <w:rFonts w:ascii="Times New Roman" w:eastAsia="Times New Roman" w:hAnsi="Times New Roman" w:cs="Times New Roman"/>
          <w:sz w:val="24"/>
          <w:szCs w:val="24"/>
          <w:lang w:bidi="ar-SA"/>
        </w:rPr>
        <w:t>komercdarbības atb</w:t>
      </w:r>
      <w:r w:rsidR="00D06BF9">
        <w:rPr>
          <w:rFonts w:ascii="Times New Roman" w:eastAsia="Times New Roman" w:hAnsi="Times New Roman" w:cs="Times New Roman"/>
          <w:sz w:val="24"/>
          <w:szCs w:val="24"/>
          <w:lang w:bidi="ar-SA"/>
        </w:rPr>
        <w:t>alst</w:t>
      </w:r>
      <w:r w:rsidRPr="0082362E">
        <w:rPr>
          <w:rFonts w:ascii="Times New Roman" w:eastAsia="Times New Roman" w:hAnsi="Times New Roman" w:cs="Times New Roman"/>
          <w:sz w:val="24"/>
          <w:szCs w:val="24"/>
          <w:lang w:bidi="ar-SA"/>
        </w:rPr>
        <w:t xml:space="preserve">a summu (kam attiecīgi pieskaitāmi arī atgūšanas procenti), gadījumos, kad </w:t>
      </w:r>
      <w:r w:rsidR="00D36866">
        <w:rPr>
          <w:rFonts w:ascii="Times New Roman" w:eastAsia="Times New Roman" w:hAnsi="Times New Roman" w:cs="Times New Roman"/>
          <w:sz w:val="24"/>
          <w:szCs w:val="24"/>
          <w:lang w:bidi="ar-SA"/>
        </w:rPr>
        <w:t>komercdarbības atb</w:t>
      </w:r>
      <w:r w:rsidR="00D06BF9">
        <w:rPr>
          <w:rFonts w:ascii="Times New Roman" w:eastAsia="Times New Roman" w:hAnsi="Times New Roman" w:cs="Times New Roman"/>
          <w:sz w:val="24"/>
          <w:szCs w:val="24"/>
          <w:lang w:bidi="ar-SA"/>
        </w:rPr>
        <w:t>alst</w:t>
      </w:r>
      <w:r w:rsidRPr="0082362E">
        <w:rPr>
          <w:rFonts w:ascii="Times New Roman" w:eastAsia="Times New Roman" w:hAnsi="Times New Roman" w:cs="Times New Roman"/>
          <w:sz w:val="24"/>
          <w:szCs w:val="24"/>
          <w:lang w:bidi="ar-SA"/>
        </w:rPr>
        <w:t xml:space="preserve">s tiek sniegts ar dažādu </w:t>
      </w:r>
      <w:r w:rsidR="00D36866">
        <w:rPr>
          <w:rFonts w:ascii="Times New Roman" w:eastAsia="Times New Roman" w:hAnsi="Times New Roman" w:cs="Times New Roman"/>
          <w:sz w:val="24"/>
          <w:szCs w:val="24"/>
          <w:lang w:bidi="ar-SA"/>
        </w:rPr>
        <w:t>komercdarbības atb</w:t>
      </w:r>
      <w:r w:rsidRPr="0082362E">
        <w:rPr>
          <w:rFonts w:ascii="Times New Roman" w:eastAsia="Times New Roman" w:hAnsi="Times New Roman" w:cs="Times New Roman"/>
          <w:sz w:val="24"/>
          <w:szCs w:val="24"/>
          <w:lang w:bidi="ar-SA"/>
        </w:rPr>
        <w:t xml:space="preserve">alsts regulējumu un/vai </w:t>
      </w:r>
      <w:r w:rsidR="00D36866">
        <w:rPr>
          <w:rFonts w:ascii="Times New Roman" w:eastAsia="Times New Roman" w:hAnsi="Times New Roman" w:cs="Times New Roman"/>
          <w:sz w:val="24"/>
          <w:szCs w:val="24"/>
          <w:lang w:bidi="ar-SA"/>
        </w:rPr>
        <w:t>komercdarbības atb</w:t>
      </w:r>
      <w:r w:rsidR="00D06BF9">
        <w:rPr>
          <w:rFonts w:ascii="Times New Roman" w:eastAsia="Times New Roman" w:hAnsi="Times New Roman" w:cs="Times New Roman"/>
          <w:sz w:val="24"/>
          <w:szCs w:val="24"/>
          <w:lang w:bidi="ar-SA"/>
        </w:rPr>
        <w:t>alst</w:t>
      </w:r>
      <w:r w:rsidRPr="0082362E">
        <w:rPr>
          <w:rFonts w:ascii="Times New Roman" w:eastAsia="Times New Roman" w:hAnsi="Times New Roman" w:cs="Times New Roman"/>
          <w:sz w:val="24"/>
          <w:szCs w:val="24"/>
          <w:lang w:bidi="ar-SA"/>
        </w:rPr>
        <w:t xml:space="preserve">s ir izmaksāts daļēji. Proti, vai vienmēr ir atgūstama visa izmaksātā summa, vai ir jāatgūst tikai tā daļa, kas pārkāptu konkrētā </w:t>
      </w:r>
      <w:r w:rsidR="00D36866">
        <w:rPr>
          <w:rFonts w:ascii="Times New Roman" w:eastAsia="Times New Roman" w:hAnsi="Times New Roman" w:cs="Times New Roman"/>
          <w:sz w:val="24"/>
          <w:szCs w:val="24"/>
          <w:lang w:bidi="ar-SA"/>
        </w:rPr>
        <w:t>komercdarbības atb</w:t>
      </w:r>
      <w:r w:rsidRPr="0082362E">
        <w:rPr>
          <w:rFonts w:ascii="Times New Roman" w:eastAsia="Times New Roman" w:hAnsi="Times New Roman" w:cs="Times New Roman"/>
          <w:sz w:val="24"/>
          <w:szCs w:val="24"/>
          <w:lang w:bidi="ar-SA"/>
        </w:rPr>
        <w:t>alsta nosacījumus, kas ir par pamatu tā saderības novērtējumam.</w:t>
      </w:r>
    </w:p>
    <w:p w14:paraId="46040EF9" w14:textId="77777777" w:rsidR="00B873C4" w:rsidRPr="0082362E" w:rsidRDefault="00B873C4" w:rsidP="00B873C4">
      <w:pPr>
        <w:ind w:firstLine="567"/>
        <w:rPr>
          <w:rFonts w:ascii="Times New Roman" w:eastAsia="Times New Roman" w:hAnsi="Times New Roman" w:cs="Times New Roman"/>
          <w:sz w:val="24"/>
          <w:szCs w:val="24"/>
          <w:lang w:bidi="ar-SA"/>
        </w:rPr>
      </w:pPr>
      <w:r w:rsidRPr="0082362E">
        <w:rPr>
          <w:rFonts w:ascii="Times New Roman" w:eastAsia="Times New Roman" w:hAnsi="Times New Roman" w:cs="Times New Roman"/>
          <w:sz w:val="24"/>
          <w:szCs w:val="24"/>
          <w:lang w:bidi="ar-SA"/>
        </w:rPr>
        <w:t>Šobrīd atbilstoši ES Tiesu praksei un EK skaidrojumiem, piemēri no biežāk sastopamajiem gadījumiem:</w:t>
      </w:r>
    </w:p>
    <w:p w14:paraId="24BF5055" w14:textId="407F0205" w:rsidR="001D62CB" w:rsidRPr="0082362E" w:rsidRDefault="001D62CB" w:rsidP="00A34BED">
      <w:pPr>
        <w:pStyle w:val="ListParagraph"/>
        <w:numPr>
          <w:ilvl w:val="0"/>
          <w:numId w:val="13"/>
        </w:numPr>
        <w:rPr>
          <w:rFonts w:eastAsia="Times New Roman"/>
          <w:color w:val="auto"/>
          <w:sz w:val="24"/>
          <w:szCs w:val="24"/>
          <w:lang w:bidi="ar-SA"/>
        </w:rPr>
      </w:pPr>
      <w:r w:rsidRPr="0082362E">
        <w:rPr>
          <w:rFonts w:eastAsia="Times New Roman"/>
          <w:color w:val="auto"/>
          <w:sz w:val="24"/>
          <w:szCs w:val="24"/>
          <w:lang w:eastAsia="ru-RU"/>
        </w:rPr>
        <w:t>atlīdzības maksājums (kompensācija) par pakalpojumu ar vispārēju tautsaimniecisku nozīmi</w:t>
      </w:r>
      <w:r w:rsidRPr="0082362E">
        <w:rPr>
          <w:rStyle w:val="FootnoteReference"/>
          <w:rFonts w:eastAsia="Times New Roman"/>
          <w:color w:val="auto"/>
          <w:sz w:val="24"/>
          <w:szCs w:val="24"/>
          <w:lang w:eastAsia="ru-RU"/>
        </w:rPr>
        <w:footnoteReference w:id="45"/>
      </w:r>
      <w:r w:rsidRPr="0082362E">
        <w:rPr>
          <w:rFonts w:eastAsia="Times New Roman"/>
          <w:color w:val="auto"/>
          <w:sz w:val="24"/>
          <w:szCs w:val="24"/>
          <w:lang w:eastAsia="ru-RU"/>
        </w:rPr>
        <w:t xml:space="preserve">. Ņemot vērā, ka šajā gadījumā pieļauts kompensēt tikai komersanta izmaksas, kas saistītas ar konkrētā pakalpojuma sniegšanu, un ir aizliegta jebkāda komersanta pārkompensācija, t.sk. tā novēršana ir iekļauta arī konkrētajā </w:t>
      </w:r>
      <w:r w:rsidR="00D36866">
        <w:rPr>
          <w:rFonts w:eastAsia="Times New Roman"/>
          <w:color w:val="auto"/>
          <w:sz w:val="24"/>
          <w:szCs w:val="24"/>
          <w:lang w:eastAsia="ru-RU"/>
        </w:rPr>
        <w:t>komercdarbības atb</w:t>
      </w:r>
      <w:r w:rsidRPr="0082362E">
        <w:rPr>
          <w:rFonts w:eastAsia="Times New Roman"/>
          <w:color w:val="auto"/>
          <w:sz w:val="24"/>
          <w:szCs w:val="24"/>
          <w:lang w:eastAsia="ru-RU"/>
        </w:rPr>
        <w:t xml:space="preserve">alsta regulējumā, pārkompensācijas gadījumā nelikumīgs </w:t>
      </w:r>
      <w:r w:rsidR="00D36866">
        <w:rPr>
          <w:rFonts w:eastAsia="Times New Roman"/>
          <w:color w:val="auto"/>
          <w:sz w:val="24"/>
          <w:szCs w:val="24"/>
          <w:lang w:eastAsia="ru-RU"/>
        </w:rPr>
        <w:t>komercdarbības atb</w:t>
      </w:r>
      <w:r w:rsidRPr="0082362E">
        <w:rPr>
          <w:rFonts w:eastAsia="Times New Roman"/>
          <w:color w:val="auto"/>
          <w:sz w:val="24"/>
          <w:szCs w:val="24"/>
          <w:lang w:eastAsia="ru-RU"/>
        </w:rPr>
        <w:t>alsts ir pārkompnesācija, kas atgūstama kopā ar procentiem;</w:t>
      </w:r>
    </w:p>
    <w:p w14:paraId="5A79999B" w14:textId="79B91794" w:rsidR="00797FC2" w:rsidRPr="0082362E" w:rsidRDefault="00D36866" w:rsidP="00A34BED">
      <w:pPr>
        <w:pStyle w:val="ListParagraph"/>
        <w:numPr>
          <w:ilvl w:val="0"/>
          <w:numId w:val="13"/>
        </w:numPr>
        <w:rPr>
          <w:color w:val="auto"/>
          <w:sz w:val="24"/>
          <w:szCs w:val="24"/>
          <w:lang w:bidi="ar-SA"/>
        </w:rPr>
      </w:pPr>
      <w:r>
        <w:rPr>
          <w:color w:val="auto"/>
          <w:sz w:val="24"/>
          <w:szCs w:val="24"/>
          <w:lang w:bidi="ar-SA"/>
        </w:rPr>
        <w:t>komercdarbības atb</w:t>
      </w:r>
      <w:r w:rsidR="00D06BF9">
        <w:rPr>
          <w:color w:val="auto"/>
          <w:sz w:val="24"/>
          <w:szCs w:val="24"/>
          <w:lang w:bidi="ar-SA"/>
        </w:rPr>
        <w:t>alst</w:t>
      </w:r>
      <w:r w:rsidR="001D62CB" w:rsidRPr="0082362E">
        <w:rPr>
          <w:color w:val="auto"/>
          <w:sz w:val="24"/>
          <w:szCs w:val="24"/>
          <w:lang w:bidi="ar-SA"/>
        </w:rPr>
        <w:t>s saskaņā ar vispārējo grupu atbrīvojuma regulu</w:t>
      </w:r>
      <w:r w:rsidR="001D62CB" w:rsidRPr="0082362E">
        <w:rPr>
          <w:rStyle w:val="FootnoteReference"/>
          <w:color w:val="auto"/>
          <w:sz w:val="24"/>
          <w:szCs w:val="24"/>
          <w:lang w:bidi="ar-SA"/>
        </w:rPr>
        <w:footnoteReference w:id="46"/>
      </w:r>
      <w:r w:rsidR="003B0585" w:rsidRPr="0082362E">
        <w:rPr>
          <w:color w:val="auto"/>
          <w:sz w:val="24"/>
          <w:szCs w:val="24"/>
          <w:lang w:bidi="ar-SA"/>
        </w:rPr>
        <w:t xml:space="preserve"> (turpmāk – GBER)</w:t>
      </w:r>
      <w:r w:rsidR="001D62CB" w:rsidRPr="0082362E">
        <w:rPr>
          <w:color w:val="auto"/>
          <w:sz w:val="24"/>
          <w:szCs w:val="24"/>
          <w:lang w:bidi="ar-SA"/>
        </w:rPr>
        <w:t xml:space="preserve">. </w:t>
      </w:r>
      <w:r w:rsidR="003B0585" w:rsidRPr="0082362E">
        <w:rPr>
          <w:color w:val="auto"/>
          <w:sz w:val="24"/>
          <w:szCs w:val="24"/>
          <w:lang w:bidi="ar-SA"/>
        </w:rPr>
        <w:t xml:space="preserve">Atbilstoši EK skaidrotajam, ES Tiesu prakse neliecina, ka dalībvalstu iestādēm būtu liegta iespēja pieņemt jaunu lēmumu par </w:t>
      </w:r>
      <w:r>
        <w:rPr>
          <w:color w:val="auto"/>
          <w:sz w:val="24"/>
          <w:szCs w:val="24"/>
          <w:lang w:bidi="ar-SA"/>
        </w:rPr>
        <w:t>komercdarbības atb</w:t>
      </w:r>
      <w:r w:rsidR="003B0585" w:rsidRPr="0082362E">
        <w:rPr>
          <w:color w:val="auto"/>
          <w:sz w:val="24"/>
          <w:szCs w:val="24"/>
          <w:lang w:bidi="ar-SA"/>
        </w:rPr>
        <w:t xml:space="preserve">alsta piešķiršanu saskaņā ar GBER noteikumiem. Tāpēc EK uzskata par iespējamu, ka pēc jauna lēmuma par </w:t>
      </w:r>
      <w:r>
        <w:rPr>
          <w:color w:val="auto"/>
          <w:sz w:val="24"/>
          <w:szCs w:val="24"/>
          <w:lang w:bidi="ar-SA"/>
        </w:rPr>
        <w:t>komercdarbības atb</w:t>
      </w:r>
      <w:r w:rsidR="00D06BF9">
        <w:rPr>
          <w:color w:val="auto"/>
          <w:sz w:val="24"/>
          <w:szCs w:val="24"/>
          <w:lang w:bidi="ar-SA"/>
        </w:rPr>
        <w:t>alst</w:t>
      </w:r>
      <w:r w:rsidR="003B0585" w:rsidRPr="0082362E">
        <w:rPr>
          <w:color w:val="auto"/>
          <w:sz w:val="24"/>
          <w:szCs w:val="24"/>
          <w:lang w:bidi="ar-SA"/>
        </w:rPr>
        <w:t xml:space="preserve">a piešķiršanu atbildīgās iestādes var atgūt tikai starpību starp sākotnēji (un nelikumīgi) piešķirto </w:t>
      </w:r>
      <w:r>
        <w:rPr>
          <w:color w:val="auto"/>
          <w:sz w:val="24"/>
          <w:szCs w:val="24"/>
          <w:lang w:bidi="ar-SA"/>
        </w:rPr>
        <w:t>komercdarbības atb</w:t>
      </w:r>
      <w:r w:rsidR="00D06BF9">
        <w:rPr>
          <w:color w:val="auto"/>
          <w:sz w:val="24"/>
          <w:szCs w:val="24"/>
          <w:lang w:bidi="ar-SA"/>
        </w:rPr>
        <w:t>alst</w:t>
      </w:r>
      <w:r w:rsidR="003B0585" w:rsidRPr="0082362E">
        <w:rPr>
          <w:color w:val="auto"/>
          <w:sz w:val="24"/>
          <w:szCs w:val="24"/>
          <w:lang w:bidi="ar-SA"/>
        </w:rPr>
        <w:t xml:space="preserve">u un piešķirto </w:t>
      </w:r>
      <w:r>
        <w:rPr>
          <w:color w:val="auto"/>
          <w:sz w:val="24"/>
          <w:szCs w:val="24"/>
          <w:lang w:bidi="ar-SA"/>
        </w:rPr>
        <w:t>komercdarbības atb</w:t>
      </w:r>
      <w:r w:rsidR="00D06BF9">
        <w:rPr>
          <w:color w:val="auto"/>
          <w:sz w:val="24"/>
          <w:szCs w:val="24"/>
          <w:lang w:bidi="ar-SA"/>
        </w:rPr>
        <w:t>alst</w:t>
      </w:r>
      <w:r w:rsidR="003B0585" w:rsidRPr="0082362E">
        <w:rPr>
          <w:color w:val="auto"/>
          <w:sz w:val="24"/>
          <w:szCs w:val="24"/>
          <w:lang w:bidi="ar-SA"/>
        </w:rPr>
        <w:t xml:space="preserve">u (saskaņā ar GBER) ar otro lēmumu par </w:t>
      </w:r>
      <w:r>
        <w:rPr>
          <w:color w:val="auto"/>
          <w:sz w:val="24"/>
          <w:szCs w:val="24"/>
          <w:lang w:bidi="ar-SA"/>
        </w:rPr>
        <w:t>komercdarbības atb</w:t>
      </w:r>
      <w:r w:rsidR="00D06BF9">
        <w:rPr>
          <w:color w:val="auto"/>
          <w:sz w:val="24"/>
          <w:szCs w:val="24"/>
          <w:lang w:bidi="ar-SA"/>
        </w:rPr>
        <w:t>alst</w:t>
      </w:r>
      <w:r w:rsidR="003B0585" w:rsidRPr="0082362E">
        <w:rPr>
          <w:color w:val="auto"/>
          <w:sz w:val="24"/>
          <w:szCs w:val="24"/>
          <w:lang w:bidi="ar-SA"/>
        </w:rPr>
        <w:t xml:space="preserve">a piešķiršanu kopā ar procentiem par visu periodu, kurā uzņēmums guva labumu no nelikumīgā </w:t>
      </w:r>
      <w:r>
        <w:rPr>
          <w:color w:val="auto"/>
          <w:sz w:val="24"/>
          <w:szCs w:val="24"/>
          <w:lang w:bidi="ar-SA"/>
        </w:rPr>
        <w:t>komercdarbības atb</w:t>
      </w:r>
      <w:r w:rsidR="00D06BF9">
        <w:rPr>
          <w:color w:val="auto"/>
          <w:sz w:val="24"/>
          <w:szCs w:val="24"/>
          <w:lang w:bidi="ar-SA"/>
        </w:rPr>
        <w:t>alst</w:t>
      </w:r>
      <w:r w:rsidR="003B0585" w:rsidRPr="0082362E">
        <w:rPr>
          <w:color w:val="auto"/>
          <w:sz w:val="24"/>
          <w:szCs w:val="24"/>
          <w:lang w:bidi="ar-SA"/>
        </w:rPr>
        <w:t>a</w:t>
      </w:r>
      <w:r w:rsidR="00E5686D" w:rsidRPr="0082362E">
        <w:rPr>
          <w:rStyle w:val="FootnoteReference"/>
          <w:color w:val="auto"/>
          <w:sz w:val="24"/>
          <w:szCs w:val="24"/>
          <w:lang w:bidi="ar-SA"/>
        </w:rPr>
        <w:footnoteReference w:id="47"/>
      </w:r>
      <w:r w:rsidR="003B0585" w:rsidRPr="0082362E">
        <w:rPr>
          <w:color w:val="auto"/>
          <w:sz w:val="24"/>
          <w:szCs w:val="24"/>
          <w:lang w:bidi="ar-SA"/>
        </w:rPr>
        <w:t>;</w:t>
      </w:r>
    </w:p>
    <w:p w14:paraId="0606A927" w14:textId="0F2930E7" w:rsidR="003B0585" w:rsidRPr="0082362E" w:rsidRDefault="00D36866" w:rsidP="00A34BED">
      <w:pPr>
        <w:pStyle w:val="ListParagraph"/>
        <w:numPr>
          <w:ilvl w:val="0"/>
          <w:numId w:val="13"/>
        </w:numPr>
        <w:rPr>
          <w:color w:val="auto"/>
          <w:sz w:val="24"/>
          <w:szCs w:val="24"/>
          <w:lang w:bidi="ar-SA"/>
        </w:rPr>
      </w:pPr>
      <w:r>
        <w:rPr>
          <w:color w:val="auto"/>
          <w:sz w:val="24"/>
          <w:szCs w:val="24"/>
          <w:lang w:bidi="ar-SA"/>
        </w:rPr>
        <w:t>komercdarbības atb</w:t>
      </w:r>
      <w:r w:rsidR="00D06BF9">
        <w:rPr>
          <w:color w:val="auto"/>
          <w:sz w:val="24"/>
          <w:szCs w:val="24"/>
          <w:lang w:bidi="ar-SA"/>
        </w:rPr>
        <w:t>alst</w:t>
      </w:r>
      <w:r w:rsidR="003B0585" w:rsidRPr="0082362E">
        <w:rPr>
          <w:color w:val="auto"/>
          <w:sz w:val="24"/>
          <w:szCs w:val="24"/>
          <w:lang w:bidi="ar-SA"/>
        </w:rPr>
        <w:t xml:space="preserve">s saskaņā ar </w:t>
      </w:r>
      <w:r w:rsidR="003B0585" w:rsidRPr="0082362E">
        <w:rPr>
          <w:i/>
          <w:color w:val="auto"/>
          <w:sz w:val="24"/>
          <w:szCs w:val="24"/>
          <w:lang w:bidi="ar-SA"/>
        </w:rPr>
        <w:t>de minimis</w:t>
      </w:r>
      <w:r w:rsidR="003B0585" w:rsidRPr="0082362E">
        <w:rPr>
          <w:color w:val="auto"/>
          <w:sz w:val="24"/>
          <w:szCs w:val="24"/>
          <w:lang w:bidi="ar-SA"/>
        </w:rPr>
        <w:t xml:space="preserve"> regulu</w:t>
      </w:r>
      <w:r w:rsidR="003B0585" w:rsidRPr="0082362E">
        <w:rPr>
          <w:rStyle w:val="FootnoteReference"/>
          <w:color w:val="auto"/>
          <w:sz w:val="24"/>
          <w:szCs w:val="24"/>
          <w:lang w:bidi="ar-SA"/>
        </w:rPr>
        <w:footnoteReference w:id="48"/>
      </w:r>
      <w:r w:rsidR="003B0585" w:rsidRPr="0082362E">
        <w:rPr>
          <w:color w:val="auto"/>
          <w:sz w:val="24"/>
          <w:szCs w:val="24"/>
          <w:lang w:bidi="ar-SA"/>
        </w:rPr>
        <w:t>. Šobrīd spēkā esošā ES Tiesu prakse</w:t>
      </w:r>
      <w:r w:rsidR="00626099" w:rsidRPr="0082362E">
        <w:rPr>
          <w:color w:val="auto"/>
          <w:sz w:val="24"/>
          <w:szCs w:val="24"/>
          <w:lang w:bidi="ar-SA"/>
        </w:rPr>
        <w:t xml:space="preserve"> satur </w:t>
      </w:r>
      <w:r w:rsidR="00626099" w:rsidRPr="0082362E">
        <w:rPr>
          <w:i/>
          <w:color w:val="auto"/>
          <w:sz w:val="24"/>
          <w:szCs w:val="24"/>
          <w:lang w:bidi="ar-SA"/>
        </w:rPr>
        <w:t>de minimis</w:t>
      </w:r>
      <w:r w:rsidR="00626099" w:rsidRPr="0082362E">
        <w:rPr>
          <w:color w:val="auto"/>
          <w:sz w:val="24"/>
          <w:szCs w:val="24"/>
          <w:lang w:bidi="ar-SA"/>
        </w:rPr>
        <w:t xml:space="preserve"> atbalsta pie</w:t>
      </w:r>
      <w:r w:rsidR="005F0F04" w:rsidRPr="0082362E">
        <w:rPr>
          <w:color w:val="auto"/>
          <w:sz w:val="24"/>
          <w:szCs w:val="24"/>
          <w:lang w:bidi="ar-SA"/>
        </w:rPr>
        <w:t>š</w:t>
      </w:r>
      <w:r w:rsidR="00626099" w:rsidRPr="0082362E">
        <w:rPr>
          <w:color w:val="auto"/>
          <w:sz w:val="24"/>
          <w:szCs w:val="24"/>
          <w:lang w:bidi="ar-SA"/>
        </w:rPr>
        <w:t xml:space="preserve">ķiršanas pamatprincipus, proti, </w:t>
      </w:r>
      <w:r w:rsidR="00626099" w:rsidRPr="0082362E">
        <w:rPr>
          <w:i/>
          <w:color w:val="auto"/>
          <w:sz w:val="24"/>
          <w:szCs w:val="24"/>
          <w:lang w:bidi="ar-SA"/>
        </w:rPr>
        <w:t>de minimis</w:t>
      </w:r>
      <w:r w:rsidR="00626099" w:rsidRPr="0082362E">
        <w:rPr>
          <w:color w:val="auto"/>
          <w:sz w:val="24"/>
          <w:szCs w:val="24"/>
          <w:lang w:bidi="ar-SA"/>
        </w:rPr>
        <w:t xml:space="preserve"> atbalstam jābūt pārredzamam, t.sk., uz piešķiršanas brīdi atbilstošam regulas </w:t>
      </w:r>
      <w:r w:rsidR="00626099" w:rsidRPr="0082362E">
        <w:rPr>
          <w:i/>
          <w:color w:val="auto"/>
          <w:sz w:val="24"/>
          <w:szCs w:val="24"/>
          <w:lang w:bidi="ar-SA"/>
        </w:rPr>
        <w:t>de minimis</w:t>
      </w:r>
      <w:r w:rsidR="00626099" w:rsidRPr="0082362E">
        <w:rPr>
          <w:color w:val="auto"/>
          <w:sz w:val="24"/>
          <w:szCs w:val="24"/>
          <w:lang w:bidi="ar-SA"/>
        </w:rPr>
        <w:t xml:space="preserve"> nosacījumiem, un to nevar attiecināt uz daļu no piešķirtā </w:t>
      </w:r>
      <w:r>
        <w:rPr>
          <w:color w:val="auto"/>
          <w:sz w:val="24"/>
          <w:szCs w:val="24"/>
          <w:lang w:bidi="ar-SA"/>
        </w:rPr>
        <w:t>komercdarbības atb</w:t>
      </w:r>
      <w:r w:rsidR="00D06BF9">
        <w:rPr>
          <w:color w:val="auto"/>
          <w:sz w:val="24"/>
          <w:szCs w:val="24"/>
          <w:lang w:bidi="ar-SA"/>
        </w:rPr>
        <w:t>alst</w:t>
      </w:r>
      <w:r w:rsidR="00626099" w:rsidRPr="0082362E">
        <w:rPr>
          <w:color w:val="auto"/>
          <w:sz w:val="24"/>
          <w:szCs w:val="24"/>
          <w:lang w:bidi="ar-SA"/>
        </w:rPr>
        <w:t>a</w:t>
      </w:r>
      <w:r w:rsidR="00626099" w:rsidRPr="0082362E">
        <w:rPr>
          <w:rStyle w:val="FootnoteReference"/>
          <w:color w:val="auto"/>
          <w:sz w:val="24"/>
          <w:szCs w:val="24"/>
          <w:lang w:bidi="ar-SA"/>
        </w:rPr>
        <w:footnoteReference w:id="49"/>
      </w:r>
      <w:r w:rsidR="00626099" w:rsidRPr="0082362E">
        <w:rPr>
          <w:color w:val="auto"/>
          <w:sz w:val="24"/>
          <w:szCs w:val="24"/>
          <w:lang w:bidi="ar-SA"/>
        </w:rPr>
        <w:t>. Attiecīgi šobrīd nav indikāciju, ka būtu pieļaujams interpretēt daļu pie</w:t>
      </w:r>
      <w:r w:rsidR="007424A1" w:rsidRPr="0082362E">
        <w:rPr>
          <w:color w:val="auto"/>
          <w:sz w:val="24"/>
          <w:szCs w:val="24"/>
          <w:lang w:bidi="ar-SA"/>
        </w:rPr>
        <w:t>š</w:t>
      </w:r>
      <w:r w:rsidR="00626099" w:rsidRPr="0082362E">
        <w:rPr>
          <w:color w:val="auto"/>
          <w:sz w:val="24"/>
          <w:szCs w:val="24"/>
          <w:lang w:bidi="ar-SA"/>
        </w:rPr>
        <w:t xml:space="preserve">ķirtā </w:t>
      </w:r>
      <w:r w:rsidR="00626099" w:rsidRPr="0082362E">
        <w:rPr>
          <w:i/>
          <w:color w:val="auto"/>
          <w:sz w:val="24"/>
          <w:szCs w:val="24"/>
          <w:lang w:bidi="ar-SA"/>
        </w:rPr>
        <w:t>de minimis</w:t>
      </w:r>
      <w:r w:rsidR="00626099" w:rsidRPr="0082362E">
        <w:rPr>
          <w:color w:val="auto"/>
          <w:sz w:val="24"/>
          <w:szCs w:val="24"/>
          <w:lang w:bidi="ar-SA"/>
        </w:rPr>
        <w:t xml:space="preserve"> atbalsta kā likumīgu un daļu, kā nelikumīgu, proti, viss piešķirtais </w:t>
      </w:r>
      <w:r>
        <w:rPr>
          <w:color w:val="auto"/>
          <w:sz w:val="24"/>
          <w:szCs w:val="24"/>
          <w:lang w:bidi="ar-SA"/>
        </w:rPr>
        <w:t>komercdarbības atb</w:t>
      </w:r>
      <w:r w:rsidR="00D06BF9">
        <w:rPr>
          <w:color w:val="auto"/>
          <w:sz w:val="24"/>
          <w:szCs w:val="24"/>
          <w:lang w:bidi="ar-SA"/>
        </w:rPr>
        <w:t>alst</w:t>
      </w:r>
      <w:r w:rsidR="00626099" w:rsidRPr="0082362E">
        <w:rPr>
          <w:color w:val="auto"/>
          <w:sz w:val="24"/>
          <w:szCs w:val="24"/>
          <w:lang w:bidi="ar-SA"/>
        </w:rPr>
        <w:t>s, kas uz tā pie</w:t>
      </w:r>
      <w:r w:rsidR="00E5686D" w:rsidRPr="0082362E">
        <w:rPr>
          <w:color w:val="auto"/>
          <w:sz w:val="24"/>
          <w:szCs w:val="24"/>
          <w:lang w:bidi="ar-SA"/>
        </w:rPr>
        <w:t>š</w:t>
      </w:r>
      <w:r w:rsidR="00626099" w:rsidRPr="0082362E">
        <w:rPr>
          <w:color w:val="auto"/>
          <w:sz w:val="24"/>
          <w:szCs w:val="24"/>
          <w:lang w:bidi="ar-SA"/>
        </w:rPr>
        <w:t xml:space="preserve">ķiršanas brīdi </w:t>
      </w:r>
      <w:r w:rsidR="00E5686D" w:rsidRPr="0082362E">
        <w:rPr>
          <w:color w:val="auto"/>
          <w:sz w:val="24"/>
          <w:szCs w:val="24"/>
          <w:lang w:bidi="ar-SA"/>
        </w:rPr>
        <w:t>neatbilda</w:t>
      </w:r>
      <w:r w:rsidR="00626099" w:rsidRPr="0082362E">
        <w:rPr>
          <w:color w:val="auto"/>
          <w:sz w:val="24"/>
          <w:szCs w:val="24"/>
          <w:lang w:bidi="ar-SA"/>
        </w:rPr>
        <w:t xml:space="preserve"> </w:t>
      </w:r>
      <w:r w:rsidR="00626099" w:rsidRPr="0082362E">
        <w:rPr>
          <w:i/>
          <w:color w:val="auto"/>
          <w:sz w:val="24"/>
          <w:szCs w:val="24"/>
          <w:lang w:bidi="ar-SA"/>
        </w:rPr>
        <w:t>de minimis</w:t>
      </w:r>
      <w:r w:rsidR="00626099" w:rsidRPr="0082362E">
        <w:rPr>
          <w:color w:val="auto"/>
          <w:sz w:val="24"/>
          <w:szCs w:val="24"/>
          <w:lang w:bidi="ar-SA"/>
        </w:rPr>
        <w:t xml:space="preserve"> regulas nosacījumiem ir atgūstams</w:t>
      </w:r>
      <w:r w:rsidR="00E5686D" w:rsidRPr="0082362E">
        <w:rPr>
          <w:color w:val="auto"/>
          <w:sz w:val="24"/>
          <w:szCs w:val="24"/>
          <w:lang w:bidi="ar-SA"/>
        </w:rPr>
        <w:t xml:space="preserve"> kopā</w:t>
      </w:r>
      <w:r w:rsidR="00626099" w:rsidRPr="0082362E">
        <w:rPr>
          <w:color w:val="auto"/>
          <w:sz w:val="24"/>
          <w:szCs w:val="24"/>
          <w:lang w:bidi="ar-SA"/>
        </w:rPr>
        <w:t xml:space="preserve"> ar procentiem.</w:t>
      </w:r>
    </w:p>
    <w:p w14:paraId="4893E87A" w14:textId="77777777" w:rsidR="00797FC2" w:rsidRPr="0082362E" w:rsidRDefault="00797FC2" w:rsidP="00444DFF">
      <w:pPr>
        <w:rPr>
          <w:rFonts w:ascii="Times New Roman" w:eastAsia="Times New Roman" w:hAnsi="Times New Roman" w:cs="Times New Roman"/>
          <w:sz w:val="24"/>
          <w:szCs w:val="24"/>
          <w:lang w:bidi="ar-SA"/>
        </w:rPr>
      </w:pPr>
    </w:p>
    <w:p w14:paraId="6D4A69B5" w14:textId="49D7BDFC" w:rsidR="0086079C" w:rsidRPr="0082362E" w:rsidRDefault="007424A1" w:rsidP="00995C19">
      <w:pPr>
        <w:ind w:firstLine="567"/>
        <w:rPr>
          <w:rFonts w:ascii="Times New Roman" w:hAnsi="Times New Roman" w:cs="Times New Roman"/>
          <w:sz w:val="24"/>
          <w:szCs w:val="24"/>
        </w:rPr>
      </w:pPr>
      <w:r w:rsidRPr="0082362E">
        <w:rPr>
          <w:rFonts w:ascii="Times New Roman" w:hAnsi="Times New Roman" w:cs="Times New Roman"/>
          <w:sz w:val="24"/>
          <w:szCs w:val="24"/>
        </w:rPr>
        <w:t xml:space="preserve">Vēl praksē rodas jautājums, vai, gadījumā, ja tiek konstatēts, ka </w:t>
      </w:r>
      <w:r w:rsidR="0086079C" w:rsidRPr="0082362E">
        <w:rPr>
          <w:rFonts w:ascii="Times New Roman" w:hAnsi="Times New Roman" w:cs="Times New Roman"/>
          <w:sz w:val="24"/>
          <w:szCs w:val="24"/>
        </w:rPr>
        <w:t xml:space="preserve">uzņēmumam ir piešķirts nelikumīgs komercdarbības atbalsts, vai atbilstoši tiesu praksei, tiek akceptēts ieskaits, proti, nelikumīgā </w:t>
      </w:r>
      <w:r w:rsidR="00D36866">
        <w:rPr>
          <w:rFonts w:ascii="Times New Roman" w:hAnsi="Times New Roman" w:cs="Times New Roman"/>
          <w:sz w:val="24"/>
          <w:szCs w:val="24"/>
        </w:rPr>
        <w:t>komercdarbības atb</w:t>
      </w:r>
      <w:r w:rsidR="00D06BF9">
        <w:rPr>
          <w:rFonts w:ascii="Times New Roman" w:hAnsi="Times New Roman" w:cs="Times New Roman"/>
          <w:sz w:val="24"/>
          <w:szCs w:val="24"/>
        </w:rPr>
        <w:t>alst</w:t>
      </w:r>
      <w:r w:rsidR="0086079C" w:rsidRPr="0082362E">
        <w:rPr>
          <w:rFonts w:ascii="Times New Roman" w:hAnsi="Times New Roman" w:cs="Times New Roman"/>
          <w:sz w:val="24"/>
          <w:szCs w:val="24"/>
        </w:rPr>
        <w:t xml:space="preserve">a summas ieturējums no nākamā maksājuma šim uzņēmumam, vai </w:t>
      </w:r>
      <w:r w:rsidR="0086079C" w:rsidRPr="0082362E">
        <w:rPr>
          <w:rFonts w:ascii="Times New Roman" w:eastAsia="Times New Roman" w:hAnsi="Times New Roman" w:cs="Times New Roman"/>
          <w:sz w:val="24"/>
          <w:szCs w:val="24"/>
        </w:rPr>
        <w:t>nākamā maksājuma pieprasījuma starpniekam</w:t>
      </w:r>
      <w:r w:rsidR="009C0ED0" w:rsidRPr="0082362E">
        <w:rPr>
          <w:rFonts w:ascii="Times New Roman" w:eastAsia="Times New Roman" w:hAnsi="Times New Roman" w:cs="Times New Roman"/>
          <w:sz w:val="24"/>
          <w:szCs w:val="24"/>
        </w:rPr>
        <w:t>, kas tālāk sniedz</w:t>
      </w:r>
      <w:r w:rsidR="00432596" w:rsidRPr="0082362E">
        <w:rPr>
          <w:rFonts w:ascii="Times New Roman" w:eastAsia="Times New Roman" w:hAnsi="Times New Roman" w:cs="Times New Roman"/>
          <w:sz w:val="24"/>
          <w:szCs w:val="24"/>
        </w:rPr>
        <w:t>a</w:t>
      </w:r>
      <w:r w:rsidR="009C0ED0" w:rsidRPr="0082362E">
        <w:rPr>
          <w:rFonts w:ascii="Times New Roman" w:eastAsia="Times New Roman" w:hAnsi="Times New Roman" w:cs="Times New Roman"/>
          <w:sz w:val="24"/>
          <w:szCs w:val="24"/>
        </w:rPr>
        <w:t xml:space="preserve"> </w:t>
      </w:r>
      <w:r w:rsidR="00D36866">
        <w:rPr>
          <w:rFonts w:ascii="Times New Roman" w:eastAsia="Times New Roman" w:hAnsi="Times New Roman" w:cs="Times New Roman"/>
          <w:sz w:val="24"/>
          <w:szCs w:val="24"/>
        </w:rPr>
        <w:t>komercdarbības atb</w:t>
      </w:r>
      <w:r w:rsidR="00D06BF9">
        <w:rPr>
          <w:rFonts w:ascii="Times New Roman" w:eastAsia="Times New Roman" w:hAnsi="Times New Roman" w:cs="Times New Roman"/>
          <w:sz w:val="24"/>
          <w:szCs w:val="24"/>
        </w:rPr>
        <w:t>alst</w:t>
      </w:r>
      <w:r w:rsidR="009C0ED0" w:rsidRPr="0082362E">
        <w:rPr>
          <w:rFonts w:ascii="Times New Roman" w:eastAsia="Times New Roman" w:hAnsi="Times New Roman" w:cs="Times New Roman"/>
          <w:sz w:val="24"/>
          <w:szCs w:val="24"/>
        </w:rPr>
        <w:t>u gala labuma guvējam</w:t>
      </w:r>
      <w:r w:rsidR="0086079C" w:rsidRPr="0082362E">
        <w:rPr>
          <w:rFonts w:ascii="Times New Roman" w:eastAsia="Times New Roman" w:hAnsi="Times New Roman" w:cs="Times New Roman"/>
          <w:sz w:val="24"/>
          <w:szCs w:val="24"/>
        </w:rPr>
        <w:t xml:space="preserve"> (ņemot vērā, konkrēto atbalsta programmu uzbūvi)</w:t>
      </w:r>
      <w:r w:rsidR="0086079C" w:rsidRPr="0082362E">
        <w:rPr>
          <w:rFonts w:ascii="Times New Roman" w:hAnsi="Times New Roman" w:cs="Times New Roman"/>
          <w:sz w:val="24"/>
          <w:szCs w:val="24"/>
        </w:rPr>
        <w:t>.</w:t>
      </w:r>
    </w:p>
    <w:p w14:paraId="5AC63957" w14:textId="77777777" w:rsidR="00646C95" w:rsidRPr="0082362E" w:rsidRDefault="00646C95">
      <w:pPr>
        <w:ind w:firstLine="567"/>
        <w:rPr>
          <w:rFonts w:ascii="Times New Roman" w:hAnsi="Times New Roman" w:cs="Times New Roman"/>
          <w:color w:val="1F497D"/>
          <w:sz w:val="24"/>
          <w:szCs w:val="24"/>
        </w:rPr>
      </w:pPr>
    </w:p>
    <w:p w14:paraId="0192B0BA" w14:textId="77777777" w:rsidR="0086079C" w:rsidRPr="0082362E" w:rsidRDefault="0086079C" w:rsidP="00995C19">
      <w:pPr>
        <w:ind w:firstLine="567"/>
        <w:rPr>
          <w:rFonts w:ascii="Times New Roman" w:hAnsi="Times New Roman" w:cs="Times New Roman"/>
          <w:sz w:val="24"/>
          <w:szCs w:val="24"/>
        </w:rPr>
      </w:pPr>
      <w:r w:rsidRPr="0082362E">
        <w:rPr>
          <w:rFonts w:ascii="Times New Roman" w:hAnsi="Times New Roman" w:cs="Times New Roman"/>
          <w:sz w:val="24"/>
          <w:szCs w:val="24"/>
        </w:rPr>
        <w:t>Saskaņā ar EK paziņojuma</w:t>
      </w:r>
      <w:r w:rsidRPr="0082362E">
        <w:rPr>
          <w:rStyle w:val="FootnoteReference"/>
          <w:rFonts w:ascii="Times New Roman" w:hAnsi="Times New Roman" w:cs="Times New Roman"/>
          <w:sz w:val="24"/>
          <w:szCs w:val="24"/>
        </w:rPr>
        <w:footnoteReference w:id="50"/>
      </w:r>
      <w:r w:rsidRPr="0082362E">
        <w:rPr>
          <w:rFonts w:ascii="Times New Roman" w:hAnsi="Times New Roman" w:cs="Times New Roman"/>
          <w:sz w:val="24"/>
          <w:szCs w:val="24"/>
        </w:rPr>
        <w:t xml:space="preserve"> 125.punktu “</w:t>
      </w:r>
      <w:r w:rsidRPr="0082362E">
        <w:rPr>
          <w:rFonts w:ascii="Times New Roman" w:hAnsi="Times New Roman" w:cs="Times New Roman"/>
          <w:i/>
          <w:iCs/>
          <w:sz w:val="24"/>
          <w:szCs w:val="24"/>
        </w:rPr>
        <w:t>Komisija var akceptēt prasījumu savstarpēju kompensēšanu tikai izņēmuma gadījumos, ja attiecīgā dalībvalsts rīkojas saskaņā ar šādiem pamatprincipiem:</w:t>
      </w:r>
    </w:p>
    <w:p w14:paraId="7392752E" w14:textId="77777777" w:rsidR="0086079C" w:rsidRPr="0082362E" w:rsidRDefault="0086079C" w:rsidP="0086079C">
      <w:pPr>
        <w:rPr>
          <w:rFonts w:ascii="Times New Roman" w:hAnsi="Times New Roman" w:cs="Times New Roman"/>
          <w:i/>
          <w:iCs/>
          <w:sz w:val="24"/>
          <w:szCs w:val="24"/>
        </w:rPr>
      </w:pPr>
      <w:r w:rsidRPr="0082362E">
        <w:rPr>
          <w:rFonts w:ascii="Times New Roman" w:hAnsi="Times New Roman" w:cs="Times New Roman"/>
          <w:i/>
          <w:iCs/>
          <w:sz w:val="24"/>
          <w:szCs w:val="24"/>
        </w:rPr>
        <w:t>—           prasījumu savstarpējas kompensēšanas iespēja ir paredzēta valsts tiesību aktos (Sk. Tiesas 2009. gada 7. jūlija spriedumu Komisija/Grieķija (“Olympic Airways II”), C-369/07, ECLI:EU:C:2009:428, 68. punkts);</w:t>
      </w:r>
    </w:p>
    <w:p w14:paraId="54A66CF5" w14:textId="77777777" w:rsidR="0086079C" w:rsidRPr="0082362E" w:rsidRDefault="0086079C" w:rsidP="0086079C">
      <w:pPr>
        <w:rPr>
          <w:rFonts w:ascii="Times New Roman" w:hAnsi="Times New Roman" w:cs="Times New Roman"/>
          <w:i/>
          <w:iCs/>
          <w:sz w:val="24"/>
          <w:szCs w:val="24"/>
        </w:rPr>
      </w:pPr>
      <w:r w:rsidRPr="0082362E">
        <w:rPr>
          <w:rFonts w:ascii="Times New Roman" w:hAnsi="Times New Roman" w:cs="Times New Roman"/>
          <w:i/>
          <w:iCs/>
          <w:sz w:val="24"/>
          <w:szCs w:val="24"/>
        </w:rPr>
        <w:t>—           kompensējamie prasījumi ir neapšaubāmi, par noteiktu summu un tiem ir iestājies termiņš; un</w:t>
      </w:r>
    </w:p>
    <w:p w14:paraId="0FAED324" w14:textId="77777777" w:rsidR="0086079C" w:rsidRPr="0082362E" w:rsidRDefault="0086079C" w:rsidP="00432596">
      <w:pPr>
        <w:rPr>
          <w:rFonts w:ascii="Times New Roman" w:eastAsia="Times New Roman" w:hAnsi="Times New Roman" w:cs="Times New Roman"/>
          <w:sz w:val="24"/>
          <w:szCs w:val="24"/>
        </w:rPr>
      </w:pPr>
      <w:r w:rsidRPr="0082362E">
        <w:rPr>
          <w:rFonts w:ascii="Times New Roman" w:hAnsi="Times New Roman" w:cs="Times New Roman"/>
          <w:i/>
          <w:iCs/>
          <w:sz w:val="24"/>
          <w:szCs w:val="24"/>
        </w:rPr>
        <w:t>—           veicamie pasākumi ir pilnīgi pārredzami, proti, Komisija var pārliecināties, ka tie ir piemēroti atbalsta radīto konkurences izkropļojumu novēršanai.”.</w:t>
      </w:r>
      <w:r w:rsidR="00432596" w:rsidRPr="0082362E">
        <w:rPr>
          <w:rFonts w:ascii="Times New Roman" w:hAnsi="Times New Roman" w:cs="Times New Roman"/>
          <w:i/>
          <w:iCs/>
          <w:sz w:val="24"/>
          <w:szCs w:val="24"/>
        </w:rPr>
        <w:t xml:space="preserve"> </w:t>
      </w:r>
      <w:r w:rsidR="00432596" w:rsidRPr="0082362E">
        <w:rPr>
          <w:rFonts w:ascii="Times New Roman" w:eastAsia="Times New Roman" w:hAnsi="Times New Roman" w:cs="Times New Roman"/>
          <w:sz w:val="24"/>
          <w:szCs w:val="24"/>
        </w:rPr>
        <w:t>Proti, nodrošināta minētā fakta dokumentāla izsekojamība.</w:t>
      </w:r>
    </w:p>
    <w:p w14:paraId="40E6C147" w14:textId="77777777" w:rsidR="0086079C" w:rsidRPr="0082362E" w:rsidRDefault="0086079C" w:rsidP="007424A1">
      <w:pPr>
        <w:ind w:firstLine="567"/>
      </w:pPr>
    </w:p>
    <w:p w14:paraId="6F919948" w14:textId="70234DC3" w:rsidR="00017A96" w:rsidRPr="0082362E" w:rsidRDefault="00017A96" w:rsidP="0067246E">
      <w:pPr>
        <w:ind w:firstLine="567"/>
        <w:rPr>
          <w:rFonts w:ascii="Times New Roman" w:hAnsi="Times New Roman" w:cs="Times New Roman"/>
          <w:sz w:val="24"/>
          <w:szCs w:val="24"/>
        </w:rPr>
      </w:pPr>
      <w:r w:rsidRPr="0082362E">
        <w:rPr>
          <w:rFonts w:ascii="Times New Roman" w:hAnsi="Times New Roman" w:cs="Times New Roman"/>
          <w:sz w:val="24"/>
          <w:szCs w:val="24"/>
        </w:rPr>
        <w:t xml:space="preserve">NB! </w:t>
      </w:r>
      <w:r w:rsidRPr="0082362E">
        <w:rPr>
          <w:rFonts w:ascii="Times New Roman" w:hAnsi="Times New Roman" w:cs="Times New Roman"/>
          <w:iCs/>
          <w:sz w:val="24"/>
          <w:szCs w:val="24"/>
        </w:rPr>
        <w:t xml:space="preserve">Iespējamība veikt nelikumīga </w:t>
      </w:r>
      <w:r w:rsidR="00D36866">
        <w:rPr>
          <w:rFonts w:ascii="Times New Roman" w:hAnsi="Times New Roman" w:cs="Times New Roman"/>
          <w:iCs/>
          <w:sz w:val="24"/>
          <w:szCs w:val="24"/>
        </w:rPr>
        <w:t>komercdarbības atb</w:t>
      </w:r>
      <w:r w:rsidRPr="0082362E">
        <w:rPr>
          <w:rFonts w:ascii="Times New Roman" w:hAnsi="Times New Roman" w:cs="Times New Roman"/>
          <w:iCs/>
          <w:sz w:val="24"/>
          <w:szCs w:val="24"/>
        </w:rPr>
        <w:t>alsta atgūšanu savstarpēju ieskaitu veidā ir vērtējama katrā gadījumā atsevišķi, t.sk. jāņem vērā, ka i</w:t>
      </w:r>
      <w:r w:rsidRPr="0082362E">
        <w:rPr>
          <w:rFonts w:ascii="Times New Roman" w:hAnsi="Times New Roman" w:cs="Times New Roman"/>
          <w:sz w:val="24"/>
          <w:szCs w:val="24"/>
        </w:rPr>
        <w:t xml:space="preserve">eskaitam ir jābūt ar tādām pašām sekām kā nelikumīga </w:t>
      </w:r>
      <w:r w:rsidR="00D36866">
        <w:rPr>
          <w:rFonts w:ascii="Times New Roman" w:hAnsi="Times New Roman" w:cs="Times New Roman"/>
          <w:sz w:val="24"/>
          <w:szCs w:val="24"/>
        </w:rPr>
        <w:t>komercdarbības atb</w:t>
      </w:r>
      <w:r w:rsidR="00D06BF9">
        <w:rPr>
          <w:rFonts w:ascii="Times New Roman" w:hAnsi="Times New Roman" w:cs="Times New Roman"/>
          <w:sz w:val="24"/>
          <w:szCs w:val="24"/>
        </w:rPr>
        <w:t>alst</w:t>
      </w:r>
      <w:r w:rsidRPr="0082362E">
        <w:rPr>
          <w:rFonts w:ascii="Times New Roman" w:hAnsi="Times New Roman" w:cs="Times New Roman"/>
          <w:sz w:val="24"/>
          <w:szCs w:val="24"/>
        </w:rPr>
        <w:t xml:space="preserve">a atgūšanai, proti, lai izpildītu nelikumīgi izmaksāta </w:t>
      </w:r>
      <w:r w:rsidR="00D36866">
        <w:rPr>
          <w:rFonts w:ascii="Times New Roman" w:hAnsi="Times New Roman" w:cs="Times New Roman"/>
          <w:sz w:val="24"/>
          <w:szCs w:val="24"/>
        </w:rPr>
        <w:t>komercdarbības atb</w:t>
      </w:r>
      <w:r w:rsidR="00D06BF9">
        <w:rPr>
          <w:rFonts w:ascii="Times New Roman" w:hAnsi="Times New Roman" w:cs="Times New Roman"/>
          <w:sz w:val="24"/>
          <w:szCs w:val="24"/>
        </w:rPr>
        <w:t>alst</w:t>
      </w:r>
      <w:r w:rsidRPr="0082362E">
        <w:rPr>
          <w:rFonts w:ascii="Times New Roman" w:hAnsi="Times New Roman" w:cs="Times New Roman"/>
          <w:sz w:val="24"/>
          <w:szCs w:val="24"/>
        </w:rPr>
        <w:t xml:space="preserve">a atgūšanas pienākumu, ir jāspēj atjaunot konkurences apstākļi, kas tika traucēti, piešķirot nelikumīgu </w:t>
      </w:r>
      <w:r w:rsidR="00D36866">
        <w:rPr>
          <w:rFonts w:ascii="Times New Roman" w:hAnsi="Times New Roman" w:cs="Times New Roman"/>
          <w:sz w:val="24"/>
          <w:szCs w:val="24"/>
        </w:rPr>
        <w:t>komercdarbības atb</w:t>
      </w:r>
      <w:r w:rsidR="00D06BF9">
        <w:rPr>
          <w:rFonts w:ascii="Times New Roman" w:hAnsi="Times New Roman" w:cs="Times New Roman"/>
          <w:sz w:val="24"/>
          <w:szCs w:val="24"/>
        </w:rPr>
        <w:t>alst</w:t>
      </w:r>
      <w:r w:rsidRPr="0082362E">
        <w:rPr>
          <w:rFonts w:ascii="Times New Roman" w:hAnsi="Times New Roman" w:cs="Times New Roman"/>
          <w:sz w:val="24"/>
          <w:szCs w:val="24"/>
        </w:rPr>
        <w:t>u</w:t>
      </w:r>
      <w:r w:rsidRPr="0082362E">
        <w:rPr>
          <w:rStyle w:val="FootnoteReference"/>
          <w:rFonts w:ascii="Times New Roman" w:hAnsi="Times New Roman" w:cs="Times New Roman"/>
          <w:sz w:val="24"/>
          <w:szCs w:val="24"/>
        </w:rPr>
        <w:footnoteReference w:id="51"/>
      </w:r>
      <w:r w:rsidRPr="0082362E">
        <w:rPr>
          <w:rFonts w:ascii="Times New Roman" w:hAnsi="Times New Roman" w:cs="Times New Roman"/>
          <w:sz w:val="24"/>
          <w:szCs w:val="24"/>
        </w:rPr>
        <w:t xml:space="preserve">: </w:t>
      </w:r>
    </w:p>
    <w:p w14:paraId="3FB24CDA" w14:textId="4BFB86B6" w:rsidR="00017A96" w:rsidRPr="0082362E" w:rsidRDefault="00017A96" w:rsidP="0067246E">
      <w:pPr>
        <w:ind w:firstLine="567"/>
        <w:rPr>
          <w:rFonts w:ascii="Times New Roman" w:hAnsi="Times New Roman" w:cs="Times New Roman"/>
          <w:sz w:val="24"/>
          <w:szCs w:val="24"/>
        </w:rPr>
      </w:pPr>
      <w:r w:rsidRPr="0082362E">
        <w:rPr>
          <w:rFonts w:ascii="Times New Roman" w:hAnsi="Times New Roman" w:cs="Times New Roman"/>
          <w:sz w:val="24"/>
          <w:szCs w:val="24"/>
        </w:rPr>
        <w:t xml:space="preserve">a) ieskaita summa nedrīkst būt mazāka par summu, kas būtu aprēķināta un atgūstama, ja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atgūšanu īstenotu vispārējā kārtībā (naudas pārskaitījums), proti, atbalsta saņēmējam ir pienākums atmaksāt atbalsta sniedzējam visu projekta ietvaros saņemto komercdarbības atbalstu kopā ar procentiem, un,</w:t>
      </w:r>
    </w:p>
    <w:p w14:paraId="363B1E0A" w14:textId="77777777" w:rsidR="00017A96" w:rsidRPr="0082362E" w:rsidRDefault="00017A96" w:rsidP="0067246E">
      <w:pPr>
        <w:ind w:firstLine="567"/>
        <w:rPr>
          <w:rFonts w:ascii="Times New Roman" w:hAnsi="Times New Roman" w:cs="Times New Roman"/>
          <w:sz w:val="24"/>
          <w:szCs w:val="24"/>
        </w:rPr>
      </w:pPr>
      <w:r w:rsidRPr="0082362E">
        <w:rPr>
          <w:rFonts w:ascii="Times New Roman" w:hAnsi="Times New Roman" w:cs="Times New Roman"/>
          <w:sz w:val="24"/>
          <w:szCs w:val="24"/>
        </w:rPr>
        <w:t>b) ievērojams atgūšanas termiņš līdz kuram jāizpilda atgūšanas pienākums (parasti 4 mēneši no lēmuma izsniegšanas). Papildus vēršam uzmanību, ka saskaņā ar EK paziņojuma</w:t>
      </w:r>
      <w:r w:rsidRPr="0082362E">
        <w:rPr>
          <w:rStyle w:val="FootnoteReference"/>
          <w:rFonts w:ascii="Times New Roman" w:hAnsi="Times New Roman" w:cs="Times New Roman"/>
          <w:sz w:val="24"/>
          <w:szCs w:val="24"/>
        </w:rPr>
        <w:footnoteReference w:id="52"/>
      </w:r>
      <w:r w:rsidRPr="0082362E">
        <w:rPr>
          <w:rFonts w:ascii="Times New Roman" w:hAnsi="Times New Roman" w:cs="Times New Roman"/>
          <w:sz w:val="24"/>
          <w:szCs w:val="24"/>
        </w:rPr>
        <w:t xml:space="preserve"> 126. punktu “</w:t>
      </w:r>
      <w:r w:rsidRPr="0082362E">
        <w:rPr>
          <w:rFonts w:ascii="Times New Roman" w:hAnsi="Times New Roman" w:cs="Times New Roman"/>
          <w:i/>
          <w:iCs/>
          <w:sz w:val="24"/>
          <w:szCs w:val="24"/>
        </w:rPr>
        <w:t>atgūšanas atlikšana vai maksājumi pa daļām pēc atgūšanas termiņa nozīmētu, ka atgūšanas pienākums netiek īstenots nekavējoties, tāpēc tie nav pieļaujami, pat ja maksimizētu attiecīgās dalībvalsts finansiālo ieguvumu</w:t>
      </w:r>
      <w:r w:rsidRPr="0082362E">
        <w:rPr>
          <w:rFonts w:ascii="Times New Roman" w:hAnsi="Times New Roman" w:cs="Times New Roman"/>
          <w:sz w:val="24"/>
          <w:szCs w:val="24"/>
        </w:rPr>
        <w:t xml:space="preserve">”. </w:t>
      </w:r>
    </w:p>
    <w:p w14:paraId="295B9651" w14:textId="77777777" w:rsidR="00C850C6" w:rsidRPr="0082362E" w:rsidRDefault="00C850C6" w:rsidP="0067246E">
      <w:pPr>
        <w:ind w:firstLine="567"/>
        <w:rPr>
          <w:rFonts w:ascii="Times New Roman" w:eastAsia="Times New Roman" w:hAnsi="Times New Roman" w:cs="Times New Roman"/>
          <w:sz w:val="24"/>
          <w:szCs w:val="24"/>
          <w:lang w:bidi="ar-SA"/>
        </w:rPr>
      </w:pPr>
    </w:p>
    <w:p w14:paraId="5E022FDD" w14:textId="77777777" w:rsidR="008937C8" w:rsidRDefault="008937C8">
      <w:pPr>
        <w:rPr>
          <w:rFonts w:ascii="Times New Roman" w:eastAsia="Times New Roman" w:hAnsi="Times New Roman" w:cs="Times New Roman"/>
          <w:b/>
          <w:bCs/>
          <w:iCs/>
          <w:caps/>
          <w:sz w:val="24"/>
          <w:szCs w:val="24"/>
        </w:rPr>
      </w:pPr>
      <w:r>
        <w:br w:type="page"/>
      </w:r>
    </w:p>
    <w:p w14:paraId="52B28E30" w14:textId="0B6BD4C7" w:rsidR="00206ABB" w:rsidRPr="0082362E" w:rsidRDefault="00206ABB" w:rsidP="00007674">
      <w:pPr>
        <w:pStyle w:val="Heading3"/>
      </w:pPr>
      <w:r w:rsidRPr="0082362E">
        <w:t xml:space="preserve">Nelikumīga </w:t>
      </w:r>
      <w:r w:rsidR="00D36866">
        <w:t>komercdarbības atb</w:t>
      </w:r>
      <w:r w:rsidRPr="0082362E">
        <w:t>alsta atgūšana Nodokļu atvieglojumu/atbrīvojumu pasākumos</w:t>
      </w:r>
    </w:p>
    <w:p w14:paraId="32F9D9CB" w14:textId="63B21E59" w:rsidR="00206ABB" w:rsidRPr="0082362E" w:rsidRDefault="00206ABB" w:rsidP="00206ABB"/>
    <w:p w14:paraId="787CCACC" w14:textId="76FDBF20" w:rsidR="00B3544D" w:rsidRPr="0082362E" w:rsidRDefault="00B3544D" w:rsidP="00B3544D">
      <w:pPr>
        <w:ind w:firstLine="567"/>
        <w:rPr>
          <w:rFonts w:ascii="Times New Roman" w:hAnsi="Times New Roman" w:cs="Times New Roman"/>
          <w:sz w:val="24"/>
          <w:szCs w:val="24"/>
        </w:rPr>
      </w:pPr>
      <w:r w:rsidRPr="0082362E">
        <w:rPr>
          <w:rFonts w:ascii="Times New Roman" w:hAnsi="Times New Roman" w:cs="Times New Roman"/>
          <w:sz w:val="24"/>
          <w:szCs w:val="24"/>
        </w:rPr>
        <w:t>Saskaņā ar KAKL V nodaļas 19.pantā ietvertajiem nosacījumiem, “</w:t>
      </w:r>
      <w:r w:rsidRPr="0082362E">
        <w:rPr>
          <w:rFonts w:ascii="Times New Roman" w:hAnsi="Times New Roman" w:cs="Times New Roman"/>
          <w:i/>
          <w:iCs/>
          <w:sz w:val="24"/>
          <w:szCs w:val="24"/>
        </w:rPr>
        <w:t xml:space="preserve">ja nav pieņemts Eiropas Komisijas lēmums par nelikumīga un nesaderīga komercdarbības atbalsta atgūšanu, </w:t>
      </w:r>
      <w:r w:rsidRPr="0082362E">
        <w:rPr>
          <w:rFonts w:ascii="Times New Roman" w:hAnsi="Times New Roman" w:cs="Times New Roman"/>
          <w:b/>
          <w:bCs/>
          <w:i/>
          <w:iCs/>
          <w:sz w:val="24"/>
          <w:szCs w:val="24"/>
        </w:rPr>
        <w:t>atbalsta sniedzējam ir pienākums nodrošināt tāda nelikumīga komercdarbības atbalsta atgūšanu, kuram atbalsta sniedzējs nav nodrošinājis</w:t>
      </w:r>
      <w:r w:rsidRPr="0082362E">
        <w:rPr>
          <w:rFonts w:ascii="Times New Roman" w:hAnsi="Times New Roman" w:cs="Times New Roman"/>
          <w:i/>
          <w:iCs/>
          <w:sz w:val="24"/>
          <w:szCs w:val="24"/>
        </w:rPr>
        <w:t xml:space="preserve"> atbalsta programmas, individuālā atbalsta vai ad-hoc atbalsta projekta </w:t>
      </w:r>
      <w:r w:rsidRPr="0082362E">
        <w:rPr>
          <w:rFonts w:ascii="Times New Roman" w:hAnsi="Times New Roman" w:cs="Times New Roman"/>
          <w:b/>
          <w:bCs/>
          <w:i/>
          <w:iCs/>
          <w:sz w:val="24"/>
          <w:szCs w:val="24"/>
        </w:rPr>
        <w:t>atbilstību nosacījumiem par komercdarbības atbalsta saderību ar Eiropas Savienības iekšējo tirgu</w:t>
      </w:r>
      <w:r w:rsidRPr="0082362E">
        <w:rPr>
          <w:rFonts w:ascii="Times New Roman" w:hAnsi="Times New Roman" w:cs="Times New Roman"/>
          <w:i/>
          <w:iCs/>
          <w:sz w:val="24"/>
          <w:szCs w:val="24"/>
        </w:rPr>
        <w:t xml:space="preserve">, saskaņā ar šīs nodaļas nosacījumiem un kārtību, </w:t>
      </w:r>
      <w:r w:rsidRPr="00073C0C">
        <w:rPr>
          <w:rFonts w:ascii="Times New Roman" w:hAnsi="Times New Roman" w:cs="Times New Roman"/>
          <w:b/>
          <w:bCs/>
          <w:i/>
          <w:iCs/>
          <w:sz w:val="24"/>
          <w:szCs w:val="24"/>
        </w:rPr>
        <w:t>ciktāl attiecīgajā atbalsta programmā vai ad-hoc atbalsta piešķiršanas nosacījumos nav noteikts citādi</w:t>
      </w:r>
      <w:r w:rsidRPr="0082362E">
        <w:rPr>
          <w:rFonts w:ascii="Times New Roman" w:hAnsi="Times New Roman" w:cs="Times New Roman"/>
          <w:sz w:val="24"/>
          <w:szCs w:val="24"/>
        </w:rPr>
        <w:t>”.</w:t>
      </w:r>
      <w:r w:rsidR="00951298" w:rsidRPr="0082362E">
        <w:rPr>
          <w:rFonts w:ascii="Times New Roman" w:hAnsi="Times New Roman" w:cs="Times New Roman"/>
          <w:sz w:val="24"/>
          <w:szCs w:val="24"/>
          <w:vertAlign w:val="superscript"/>
        </w:rPr>
        <w:footnoteReference w:id="53"/>
      </w:r>
      <w:r w:rsidRPr="0082362E">
        <w:rPr>
          <w:rFonts w:ascii="Times New Roman" w:hAnsi="Times New Roman" w:cs="Times New Roman"/>
          <w:sz w:val="24"/>
          <w:szCs w:val="24"/>
        </w:rPr>
        <w:t xml:space="preserve"> </w:t>
      </w:r>
    </w:p>
    <w:p w14:paraId="667CFF40" w14:textId="55E430B7" w:rsidR="00B3544D" w:rsidRDefault="00B3544D" w:rsidP="00705717">
      <w:pPr>
        <w:ind w:firstLine="567"/>
        <w:rPr>
          <w:rFonts w:ascii="Times New Roman" w:hAnsi="Times New Roman" w:cs="Times New Roman"/>
          <w:sz w:val="24"/>
          <w:szCs w:val="24"/>
        </w:rPr>
      </w:pPr>
      <w:r w:rsidRPr="0082362E">
        <w:rPr>
          <w:rFonts w:ascii="Times New Roman" w:hAnsi="Times New Roman" w:cs="Times New Roman"/>
          <w:sz w:val="24"/>
          <w:szCs w:val="24"/>
        </w:rPr>
        <w:t xml:space="preserve"> Saskaņā ar KAKL 7. pantu komercdarbības atbalsts var tikt piešķirts dažādos veidos, tai skaitā nodokļu jomā īstenoto pasākumu veidā, kas sevī ietver arī nodokļu atvieglojumus un atbrīvojumus. Ņemot vērā to, ka </w:t>
      </w:r>
      <w:r w:rsidRPr="0082362E">
        <w:rPr>
          <w:rFonts w:ascii="Times New Roman" w:hAnsi="Times New Roman" w:cs="Times New Roman"/>
          <w:b/>
          <w:bCs/>
          <w:sz w:val="24"/>
          <w:szCs w:val="24"/>
        </w:rPr>
        <w:t>KAKL V nodaļa</w:t>
      </w:r>
      <w:r w:rsidRPr="0082362E">
        <w:rPr>
          <w:rFonts w:ascii="Times New Roman" w:hAnsi="Times New Roman" w:cs="Times New Roman"/>
          <w:sz w:val="24"/>
          <w:szCs w:val="24"/>
        </w:rPr>
        <w:t xml:space="preserve"> regulē situācijas, kad tiek konstatēts nelikumīgs komercdarbības atbalsts, kas piešķirts</w:t>
      </w:r>
      <w:r w:rsidR="000A6511">
        <w:rPr>
          <w:rFonts w:ascii="Times New Roman" w:hAnsi="Times New Roman" w:cs="Times New Roman"/>
          <w:sz w:val="24"/>
          <w:szCs w:val="24"/>
        </w:rPr>
        <w:t>,</w:t>
      </w:r>
      <w:r w:rsidRPr="0082362E">
        <w:rPr>
          <w:rFonts w:ascii="Times New Roman" w:hAnsi="Times New Roman" w:cs="Times New Roman"/>
          <w:sz w:val="24"/>
          <w:szCs w:val="24"/>
        </w:rPr>
        <w:t xml:space="preserve"> tostarp arī nodokļu atvieglojuma vai atbrīvojuma veidā, tajā ietvertās normas </w:t>
      </w:r>
      <w:r w:rsidRPr="0082362E">
        <w:rPr>
          <w:rFonts w:ascii="Times New Roman" w:hAnsi="Times New Roman" w:cs="Times New Roman"/>
          <w:b/>
          <w:bCs/>
          <w:sz w:val="24"/>
          <w:szCs w:val="24"/>
        </w:rPr>
        <w:t>ir speciālās tiesību normas, salīdzinot ar vispārīgajām tiesību normām, kas ietvertas likuma “Par nodokļiem un nodevām” VI nodaļā (23. – 28.</w:t>
      </w:r>
      <w:r w:rsidRPr="0082362E">
        <w:rPr>
          <w:rFonts w:ascii="Times New Roman" w:hAnsi="Times New Roman" w:cs="Times New Roman"/>
          <w:b/>
          <w:bCs/>
          <w:sz w:val="24"/>
          <w:szCs w:val="24"/>
          <w:vertAlign w:val="superscript"/>
        </w:rPr>
        <w:t>2</w:t>
      </w:r>
      <w:r w:rsidRPr="0082362E">
        <w:rPr>
          <w:rFonts w:ascii="Times New Roman" w:hAnsi="Times New Roman" w:cs="Times New Roman"/>
          <w:b/>
          <w:bCs/>
          <w:sz w:val="24"/>
          <w:szCs w:val="24"/>
        </w:rPr>
        <w:t>.pants)</w:t>
      </w:r>
      <w:r w:rsidR="000A6511">
        <w:rPr>
          <w:rStyle w:val="FootnoteReference"/>
          <w:rFonts w:ascii="Times New Roman" w:hAnsi="Times New Roman" w:cs="Times New Roman"/>
          <w:b/>
          <w:bCs/>
          <w:sz w:val="24"/>
          <w:szCs w:val="24"/>
        </w:rPr>
        <w:footnoteReference w:id="54"/>
      </w:r>
      <w:r w:rsidRPr="0082362E">
        <w:rPr>
          <w:rFonts w:ascii="Times New Roman" w:hAnsi="Times New Roman" w:cs="Times New Roman"/>
          <w:sz w:val="24"/>
          <w:szCs w:val="24"/>
        </w:rPr>
        <w:t>. Tādējādi nelikumīga komercdarbības atbalsta konstatēšanas gadījum</w:t>
      </w:r>
      <w:r w:rsidR="000A6511">
        <w:rPr>
          <w:rFonts w:ascii="Times New Roman" w:hAnsi="Times New Roman" w:cs="Times New Roman"/>
          <w:sz w:val="24"/>
          <w:szCs w:val="24"/>
        </w:rPr>
        <w:t>ā</w:t>
      </w:r>
      <w:r w:rsidRPr="0082362E">
        <w:rPr>
          <w:rFonts w:ascii="Times New Roman" w:hAnsi="Times New Roman" w:cs="Times New Roman"/>
          <w:sz w:val="24"/>
          <w:szCs w:val="24"/>
        </w:rPr>
        <w:t>, kad citos normatīvajos aktos nav noteikta speciālā kārtība nelikumīga komercdarbības atbalsta atgūšanai, piemērojama KAKL noteiktā</w:t>
      </w:r>
      <w:r w:rsidR="00705717">
        <w:rPr>
          <w:rFonts w:ascii="Times New Roman" w:hAnsi="Times New Roman" w:cs="Times New Roman"/>
          <w:sz w:val="24"/>
          <w:szCs w:val="24"/>
        </w:rPr>
        <w:t xml:space="preserve"> </w:t>
      </w:r>
      <w:r w:rsidRPr="0082362E">
        <w:rPr>
          <w:rFonts w:ascii="Times New Roman" w:hAnsi="Times New Roman" w:cs="Times New Roman"/>
          <w:sz w:val="24"/>
          <w:szCs w:val="24"/>
        </w:rPr>
        <w:t xml:space="preserve">nelikumīgā komercdarbības atbalsta un procentu atgūšanas kārtība. Taču, ja tiek konstatēts cita veida pārkāpums nodokļu un nodevu iekasēšanas jomā, kas nav saistīts ar komercdarbības atbalsta piešķiršanu, piemērojama likumā “Par nodokļiem un nodevām” noteiktā nodokļu un nodevu iekasēšanas kārtība. Turklāt, KAKL 19. panta pirmā daļa pieļauj atšķirīgu nelikumīga komercdarbības atbalsta atgūšanas kārtību, ja šāda nelikumīga komercdarbības atbalsta atgūšanas kārtība ir noteikta atbalsta programmā vai </w:t>
      </w:r>
      <w:r w:rsidRPr="0082362E">
        <w:rPr>
          <w:rFonts w:ascii="Times New Roman" w:hAnsi="Times New Roman" w:cs="Times New Roman"/>
          <w:i/>
          <w:iCs/>
          <w:sz w:val="24"/>
          <w:szCs w:val="24"/>
        </w:rPr>
        <w:t>ad-hoc</w:t>
      </w:r>
      <w:r w:rsidRPr="0082362E">
        <w:rPr>
          <w:rFonts w:ascii="Times New Roman" w:hAnsi="Times New Roman" w:cs="Times New Roman"/>
          <w:sz w:val="24"/>
          <w:szCs w:val="24"/>
        </w:rPr>
        <w:t xml:space="preserve"> atbalsta piešķiršanas nosacījumos. Tas īpaši var būt nodokļu atvieglojumu/atbrīvojumu gadījumos, kuros atbalsta piešķiršanas brīdis var atšķirties, kā arī nereti konkrētā atbalsta piešķiršanā un administrēšanā iesaistītas dažādas iestādes (atbalsta sniedzējs, nodokļu administrācija), tādējādi atbalsta programmā parasti tiek ietverti vēl papildus precīzāki nosacījumi nelikumīga </w:t>
      </w:r>
      <w:r w:rsidR="00D06BF9">
        <w:rPr>
          <w:rFonts w:ascii="Times New Roman" w:hAnsi="Times New Roman" w:cs="Times New Roman"/>
          <w:sz w:val="24"/>
          <w:szCs w:val="24"/>
        </w:rPr>
        <w:t>komercdarbības atbalst</w:t>
      </w:r>
      <w:r w:rsidRPr="0082362E">
        <w:rPr>
          <w:rFonts w:ascii="Times New Roman" w:hAnsi="Times New Roman" w:cs="Times New Roman"/>
          <w:sz w:val="24"/>
          <w:szCs w:val="24"/>
        </w:rPr>
        <w:t>a atgūšanai saskaņā ar KAKL noteikto kārtību</w:t>
      </w:r>
      <w:r w:rsidR="00705717">
        <w:rPr>
          <w:rFonts w:ascii="Times New Roman" w:hAnsi="Times New Roman" w:cs="Times New Roman"/>
          <w:sz w:val="24"/>
          <w:szCs w:val="24"/>
        </w:rPr>
        <w:t xml:space="preserve">, piemēram, </w:t>
      </w:r>
      <w:r w:rsidR="00705717" w:rsidRPr="0082362E">
        <w:rPr>
          <w:rFonts w:ascii="Times New Roman" w:hAnsi="Times New Roman" w:cs="Times New Roman"/>
          <w:sz w:val="24"/>
          <w:szCs w:val="24"/>
        </w:rPr>
        <w:t xml:space="preserve">kad nelikumīgs komercdarbības atbalsts </w:t>
      </w:r>
      <w:r w:rsidR="00705717">
        <w:rPr>
          <w:rFonts w:ascii="Times New Roman" w:hAnsi="Times New Roman" w:cs="Times New Roman"/>
          <w:sz w:val="24"/>
          <w:szCs w:val="24"/>
        </w:rPr>
        <w:t>atgūstams</w:t>
      </w:r>
      <w:r w:rsidR="00705717" w:rsidRPr="0082362E">
        <w:rPr>
          <w:rFonts w:ascii="Times New Roman" w:hAnsi="Times New Roman" w:cs="Times New Roman"/>
          <w:sz w:val="24"/>
          <w:szCs w:val="24"/>
        </w:rPr>
        <w:t xml:space="preserve"> </w:t>
      </w:r>
      <w:r w:rsidR="00705717">
        <w:rPr>
          <w:rFonts w:ascii="Times New Roman" w:hAnsi="Times New Roman" w:cs="Times New Roman"/>
          <w:sz w:val="24"/>
          <w:szCs w:val="24"/>
        </w:rPr>
        <w:t>saskaņā ar</w:t>
      </w:r>
      <w:r w:rsidR="00705717" w:rsidRPr="0082362E">
        <w:rPr>
          <w:rFonts w:ascii="Times New Roman" w:hAnsi="Times New Roman" w:cs="Times New Roman"/>
          <w:sz w:val="24"/>
          <w:szCs w:val="24"/>
        </w:rPr>
        <w:t xml:space="preserve"> </w:t>
      </w:r>
      <w:r w:rsidR="00705717" w:rsidRPr="00F85C92">
        <w:rPr>
          <w:rFonts w:ascii="Times New Roman" w:hAnsi="Times New Roman" w:cs="Times New Roman"/>
          <w:sz w:val="24"/>
          <w:szCs w:val="24"/>
        </w:rPr>
        <w:t>likumu “Par nodokļiem un nodevām” un KAKL noteikto kārtību kombināciju</w:t>
      </w:r>
      <w:r w:rsidRPr="0082362E">
        <w:rPr>
          <w:rFonts w:ascii="Times New Roman" w:hAnsi="Times New Roman" w:cs="Times New Roman"/>
          <w:sz w:val="24"/>
          <w:szCs w:val="24"/>
        </w:rPr>
        <w:t>.</w:t>
      </w:r>
      <w:r w:rsidR="00FA3BF2">
        <w:rPr>
          <w:rFonts w:ascii="Times New Roman" w:hAnsi="Times New Roman" w:cs="Times New Roman"/>
          <w:sz w:val="24"/>
          <w:szCs w:val="24"/>
        </w:rPr>
        <w:t xml:space="preserve"> </w:t>
      </w:r>
    </w:p>
    <w:p w14:paraId="414FB5C4" w14:textId="77777777" w:rsidR="00D36866" w:rsidRPr="0082362E" w:rsidRDefault="00D36866" w:rsidP="00B3544D">
      <w:pPr>
        <w:ind w:firstLine="567"/>
        <w:rPr>
          <w:rFonts w:ascii="Times New Roman" w:hAnsi="Times New Roman" w:cs="Times New Roman"/>
          <w:sz w:val="24"/>
          <w:szCs w:val="24"/>
        </w:rPr>
      </w:pPr>
    </w:p>
    <w:p w14:paraId="79A5A94D" w14:textId="510D98BF" w:rsidR="00A55B65" w:rsidRPr="0082362E" w:rsidRDefault="00A55B65" w:rsidP="000948FA">
      <w:pPr>
        <w:pStyle w:val="ListParagraph"/>
        <w:numPr>
          <w:ilvl w:val="0"/>
          <w:numId w:val="17"/>
        </w:numPr>
        <w:ind w:left="0" w:firstLine="360"/>
        <w:rPr>
          <w:b/>
          <w:color w:val="auto"/>
          <w:sz w:val="24"/>
          <w:szCs w:val="24"/>
        </w:rPr>
      </w:pPr>
      <w:bookmarkStart w:id="206" w:name="_Hlk117017467"/>
      <w:r w:rsidRPr="0082362E">
        <w:rPr>
          <w:b/>
          <w:color w:val="auto"/>
          <w:sz w:val="24"/>
          <w:szCs w:val="24"/>
        </w:rPr>
        <w:t>Nelikumīga komercdarbības atbalsta atgūstamās summas aprēķināšana</w:t>
      </w:r>
      <w:r w:rsidR="00FA3BF2" w:rsidRPr="00FA3BF2">
        <w:rPr>
          <w:b/>
          <w:color w:val="auto"/>
          <w:sz w:val="24"/>
          <w:szCs w:val="24"/>
        </w:rPr>
        <w:t xml:space="preserve"> </w:t>
      </w:r>
      <w:r w:rsidR="00FA3BF2">
        <w:rPr>
          <w:b/>
          <w:color w:val="auto"/>
          <w:sz w:val="24"/>
          <w:szCs w:val="24"/>
        </w:rPr>
        <w:t>n</w:t>
      </w:r>
      <w:r w:rsidR="00FA3BF2" w:rsidRPr="0082362E">
        <w:rPr>
          <w:b/>
          <w:color w:val="auto"/>
          <w:sz w:val="24"/>
          <w:szCs w:val="24"/>
        </w:rPr>
        <w:t>odokļu atvieglojum</w:t>
      </w:r>
      <w:r w:rsidR="00FA3BF2">
        <w:rPr>
          <w:b/>
          <w:color w:val="auto"/>
          <w:sz w:val="24"/>
          <w:szCs w:val="24"/>
        </w:rPr>
        <w:t>u</w:t>
      </w:r>
      <w:r w:rsidR="00FA3BF2" w:rsidRPr="0082362E">
        <w:rPr>
          <w:b/>
          <w:color w:val="auto"/>
          <w:sz w:val="24"/>
          <w:szCs w:val="24"/>
        </w:rPr>
        <w:t>/atbrīvojum</w:t>
      </w:r>
      <w:r w:rsidR="00FA3BF2">
        <w:rPr>
          <w:b/>
          <w:color w:val="auto"/>
          <w:sz w:val="24"/>
          <w:szCs w:val="24"/>
        </w:rPr>
        <w:t xml:space="preserve">u gadījumā, </w:t>
      </w:r>
      <w:r w:rsidR="00FA3BF2" w:rsidRPr="00FA3BF2">
        <w:rPr>
          <w:b/>
          <w:color w:val="auto"/>
          <w:sz w:val="24"/>
          <w:szCs w:val="24"/>
        </w:rPr>
        <w:t>kad nelikumīgs komercdarbības atbalsts atgūstams saskaņā ar likumu “Par nodokļiem un nodevām” un KAKL noteikto kārtību kombināciju</w:t>
      </w:r>
    </w:p>
    <w:bookmarkEnd w:id="206"/>
    <w:p w14:paraId="657F1E10" w14:textId="13E8D508" w:rsidR="00206ABB" w:rsidRPr="0082362E" w:rsidRDefault="00206ABB" w:rsidP="00206ABB"/>
    <w:p w14:paraId="73AB8F6B" w14:textId="4692DA6A" w:rsidR="007906DF" w:rsidRPr="0082362E" w:rsidRDefault="007906DF" w:rsidP="007906DF">
      <w:pPr>
        <w:ind w:firstLine="567"/>
        <w:rPr>
          <w:rFonts w:ascii="Times New Roman" w:hAnsi="Times New Roman" w:cs="Times New Roman"/>
          <w:sz w:val="24"/>
          <w:szCs w:val="24"/>
        </w:rPr>
      </w:pPr>
      <w:r w:rsidRPr="0082362E">
        <w:rPr>
          <w:rFonts w:ascii="Times New Roman" w:hAnsi="Times New Roman" w:cs="Times New Roman"/>
          <w:sz w:val="24"/>
          <w:szCs w:val="24"/>
        </w:rPr>
        <w:t xml:space="preserve">Gadījumos, kad nelikumīgs komercdarbības atbalsts piešķirts nodokļu atbrīvojumu/atvieglojumu veidā ir pieļaujama tāda nelikumīga komercdarbības atbalsta atgūšanas kārtība, kas pēc būtības ir </w:t>
      </w:r>
      <w:r w:rsidRPr="0082362E">
        <w:rPr>
          <w:rFonts w:ascii="Times New Roman" w:hAnsi="Times New Roman" w:cs="Times New Roman"/>
          <w:b/>
          <w:bCs/>
          <w:sz w:val="24"/>
          <w:szCs w:val="24"/>
        </w:rPr>
        <w:t>likumā “Par nodokļiem un nodevām” un KAKL noteikto kārtību kombinācija</w:t>
      </w:r>
      <w:r w:rsidRPr="0082362E">
        <w:rPr>
          <w:rFonts w:ascii="Times New Roman" w:hAnsi="Times New Roman" w:cs="Times New Roman"/>
          <w:sz w:val="24"/>
          <w:szCs w:val="24"/>
        </w:rPr>
        <w:t xml:space="preserve">, proti, nelikumīga komercdarbības atbalsta konstatēšanas gadījumā, piemērojama gan likumā “Par nodokļiem un nodevām”, gan KAKL noteiktā kārtība. Jāatzīmē, ka abas kārtības savā starpā </w:t>
      </w:r>
      <w:r w:rsidRPr="0082362E">
        <w:rPr>
          <w:rFonts w:ascii="Times New Roman" w:hAnsi="Times New Roman" w:cs="Times New Roman"/>
          <w:b/>
          <w:bCs/>
          <w:sz w:val="24"/>
          <w:szCs w:val="24"/>
        </w:rPr>
        <w:t>nepārklājas</w:t>
      </w:r>
      <w:r w:rsidRPr="0082362E">
        <w:rPr>
          <w:rFonts w:ascii="Times New Roman" w:hAnsi="Times New Roman" w:cs="Times New Roman"/>
          <w:sz w:val="24"/>
          <w:szCs w:val="24"/>
        </w:rPr>
        <w:t xml:space="preserve">, proti, </w:t>
      </w:r>
      <w:r w:rsidRPr="0082362E">
        <w:rPr>
          <w:rFonts w:ascii="Times New Roman" w:hAnsi="Times New Roman" w:cs="Times New Roman"/>
          <w:b/>
          <w:bCs/>
          <w:sz w:val="24"/>
          <w:szCs w:val="24"/>
        </w:rPr>
        <w:t xml:space="preserve">nelikumīgā komercdarbības atbalsta saņēmējam par vienu un to pašu piešķirto nelikumīgo komercdarbības atbalstu netiek aprēķināta gan nokavējuma nauda, gan nelikumīga </w:t>
      </w:r>
      <w:r w:rsidR="00D36866">
        <w:rPr>
          <w:rFonts w:ascii="Times New Roman" w:hAnsi="Times New Roman" w:cs="Times New Roman"/>
          <w:b/>
          <w:bCs/>
          <w:sz w:val="24"/>
          <w:szCs w:val="24"/>
        </w:rPr>
        <w:t>komercdarbības atb</w:t>
      </w:r>
      <w:r w:rsidRPr="0082362E">
        <w:rPr>
          <w:rFonts w:ascii="Times New Roman" w:hAnsi="Times New Roman" w:cs="Times New Roman"/>
          <w:b/>
          <w:bCs/>
          <w:sz w:val="24"/>
          <w:szCs w:val="24"/>
        </w:rPr>
        <w:t>alsta procenti</w:t>
      </w:r>
      <w:r w:rsidRPr="0082362E">
        <w:rPr>
          <w:rFonts w:ascii="Times New Roman" w:hAnsi="Times New Roman" w:cs="Times New Roman"/>
          <w:sz w:val="24"/>
          <w:szCs w:val="24"/>
        </w:rPr>
        <w:t>. Nošķīrums tiek ievērots tādā veidā, ka:</w:t>
      </w:r>
    </w:p>
    <w:p w14:paraId="07500246" w14:textId="0AD1FE89" w:rsidR="007906DF" w:rsidRPr="0082362E" w:rsidRDefault="007906DF" w:rsidP="00F85C92">
      <w:pPr>
        <w:numPr>
          <w:ilvl w:val="0"/>
          <w:numId w:val="18"/>
        </w:numPr>
        <w:pBdr>
          <w:top w:val="single" w:sz="4" w:space="1" w:color="auto"/>
          <w:left w:val="single" w:sz="4" w:space="4" w:color="auto"/>
          <w:bottom w:val="single" w:sz="4" w:space="1" w:color="auto"/>
          <w:right w:val="single" w:sz="4" w:space="4" w:color="auto"/>
        </w:pBdr>
        <w:shd w:val="clear" w:color="auto" w:fill="E7E6E6" w:themeFill="background2"/>
        <w:ind w:left="851"/>
        <w:rPr>
          <w:rFonts w:ascii="Times New Roman" w:hAnsi="Times New Roman" w:cs="Times New Roman"/>
          <w:sz w:val="24"/>
          <w:szCs w:val="24"/>
        </w:rPr>
      </w:pPr>
      <w:r w:rsidRPr="0082362E">
        <w:rPr>
          <w:rFonts w:ascii="Times New Roman" w:hAnsi="Times New Roman" w:cs="Times New Roman"/>
          <w:sz w:val="24"/>
          <w:szCs w:val="24"/>
        </w:rPr>
        <w:t>KAKL noteiktā nelikumīgā komercdarbības atbalsta un procentu aprēķināšanas kārtība tiek piemērota tikai tad, ja nelikumīgs komercdarbības atbalsts faktiski piešķirts (nodots atbalsta saņēmēja rīcībā jeb iestājies nodokļa samaksas termiņš(!)</w:t>
      </w:r>
      <w:r w:rsidRPr="0082362E">
        <w:rPr>
          <w:rFonts w:ascii="Times New Roman" w:hAnsi="Times New Roman" w:cs="Times New Roman"/>
          <w:sz w:val="24"/>
          <w:szCs w:val="24"/>
          <w:vertAlign w:val="superscript"/>
        </w:rPr>
        <w:footnoteReference w:id="55"/>
      </w:r>
      <w:r w:rsidRPr="0082362E">
        <w:rPr>
          <w:rFonts w:ascii="Times New Roman" w:hAnsi="Times New Roman" w:cs="Times New Roman"/>
          <w:sz w:val="24"/>
          <w:szCs w:val="24"/>
        </w:rPr>
        <w:t xml:space="preserve">) periodā, kas pārsniedz triju gadu periodu, skaitot atpakaļ no dienas, kad pieņemts lēmums par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atgūšanu. </w:t>
      </w:r>
    </w:p>
    <w:p w14:paraId="2373FCF7" w14:textId="351E8212" w:rsidR="007906DF" w:rsidRPr="0082362E" w:rsidRDefault="007906DF" w:rsidP="00F85C92">
      <w:pPr>
        <w:numPr>
          <w:ilvl w:val="0"/>
          <w:numId w:val="18"/>
        </w:numPr>
        <w:pBdr>
          <w:top w:val="single" w:sz="4" w:space="1" w:color="auto"/>
          <w:left w:val="single" w:sz="4" w:space="4" w:color="auto"/>
          <w:bottom w:val="single" w:sz="4" w:space="1" w:color="auto"/>
          <w:right w:val="single" w:sz="4" w:space="4" w:color="auto"/>
        </w:pBdr>
        <w:shd w:val="clear" w:color="auto" w:fill="E7E6E6" w:themeFill="background2"/>
        <w:ind w:left="851"/>
        <w:rPr>
          <w:rFonts w:ascii="Times New Roman" w:hAnsi="Times New Roman" w:cs="Times New Roman"/>
          <w:sz w:val="24"/>
          <w:szCs w:val="24"/>
        </w:rPr>
      </w:pPr>
      <w:r w:rsidRPr="0082362E">
        <w:rPr>
          <w:rFonts w:ascii="Times New Roman" w:hAnsi="Times New Roman" w:cs="Times New Roman"/>
          <w:sz w:val="24"/>
          <w:szCs w:val="24"/>
        </w:rPr>
        <w:t xml:space="preserve">Ja atbalsta saņēmējam ir faktiski piešķirts nelikumīgs komercdarbības atbalsts tikai triju gadu laikā, skatoties atpakaļ no dienas, kad pieņemts lēmums par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atgūšanu, atgūstamā nelikumīgā komercdarbības atbalsta summas aprēķins tiks veikts atbilstoši likumā “Par nodokļiem un nodevām” noteiktajai kārtībai.</w:t>
      </w:r>
    </w:p>
    <w:p w14:paraId="4EE7E200" w14:textId="6E70BE22" w:rsidR="007906DF" w:rsidRPr="0082362E" w:rsidRDefault="007906DF" w:rsidP="007906DF">
      <w:pPr>
        <w:ind w:firstLine="567"/>
        <w:rPr>
          <w:rFonts w:ascii="Times New Roman" w:hAnsi="Times New Roman" w:cs="Times New Roman"/>
          <w:sz w:val="24"/>
          <w:szCs w:val="24"/>
        </w:rPr>
      </w:pPr>
      <w:r w:rsidRPr="0082362E">
        <w:rPr>
          <w:rFonts w:ascii="Times New Roman" w:hAnsi="Times New Roman" w:cs="Times New Roman"/>
          <w:sz w:val="24"/>
          <w:szCs w:val="24"/>
        </w:rPr>
        <w:t xml:space="preserve">Gadījumos, kad tiek konstatēts, ka pārkāptas attiecīgajā atbalsta programmā, kas paredz nodokļu atvieglojumus vai atbrīvojumus, noteiktās prasības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saņemšanai, atbalsta saņēmējam ir pienākums atmaksāt atbalsta sniedzējam</w:t>
      </w:r>
      <w:r w:rsidRPr="0082362E">
        <w:rPr>
          <w:rFonts w:ascii="Times New Roman" w:hAnsi="Times New Roman" w:cs="Times New Roman"/>
          <w:sz w:val="24"/>
          <w:szCs w:val="24"/>
          <w:vertAlign w:val="superscript"/>
        </w:rPr>
        <w:footnoteReference w:id="56"/>
      </w:r>
      <w:r w:rsidRPr="0082362E">
        <w:rPr>
          <w:rFonts w:ascii="Times New Roman" w:hAnsi="Times New Roman" w:cs="Times New Roman"/>
          <w:sz w:val="24"/>
          <w:szCs w:val="24"/>
        </w:rPr>
        <w:t xml:space="preserve"> visu saskaņā ar šo atbalsta programmu saņemto nelikumīgā komercdarbības atbalsta summu šādā kārtībā:</w:t>
      </w:r>
    </w:p>
    <w:p w14:paraId="29885EF8" w14:textId="22BBAB06" w:rsidR="007906DF" w:rsidRPr="0082362E" w:rsidRDefault="007906DF" w:rsidP="007906DF">
      <w:pPr>
        <w:ind w:firstLine="567"/>
        <w:rPr>
          <w:rFonts w:ascii="Times New Roman" w:hAnsi="Times New Roman" w:cs="Times New Roman"/>
          <w:sz w:val="24"/>
          <w:szCs w:val="24"/>
        </w:rPr>
      </w:pPr>
    </w:p>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1"/>
      </w:tblGrid>
      <w:tr w:rsidR="007906DF" w:rsidRPr="0082362E" w14:paraId="3A42ABB8" w14:textId="77777777" w:rsidTr="00007674">
        <w:trPr>
          <w:trHeight w:val="7451"/>
        </w:trPr>
        <w:tc>
          <w:tcPr>
            <w:tcW w:w="9371" w:type="dxa"/>
          </w:tcPr>
          <w:p w14:paraId="00FA7257" w14:textId="3C856D44" w:rsidR="007906DF" w:rsidRPr="0082362E" w:rsidRDefault="007906DF" w:rsidP="007906DF">
            <w:pPr>
              <w:ind w:left="128" w:firstLine="567"/>
              <w:rPr>
                <w:rFonts w:ascii="Times New Roman" w:hAnsi="Times New Roman" w:cs="Times New Roman"/>
                <w:sz w:val="24"/>
                <w:szCs w:val="24"/>
              </w:rPr>
            </w:pPr>
            <w:r w:rsidRPr="0082362E">
              <w:rPr>
                <w:rFonts w:ascii="Times New Roman" w:hAnsi="Times New Roman" w:cs="Times New Roman"/>
                <w:sz w:val="24"/>
                <w:szCs w:val="24"/>
              </w:rPr>
              <w:t xml:space="preserve">1.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apmēra un nokavējuma naudas summu par saņemto minētā atbalsta apmēru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procentu aprēķina periodā līdz trim gadiem, skaitot atpakaļ no dienas, kad pieņemts lēmums par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atgūšanu, aprēķina likumā "Par nodokļiem un nodevām" noteiktajā kārtībā;</w:t>
            </w:r>
          </w:p>
          <w:p w14:paraId="2301322C" w14:textId="760946CE" w:rsidR="007906DF" w:rsidRPr="0082362E" w:rsidRDefault="007906DF" w:rsidP="007906DF">
            <w:pPr>
              <w:ind w:left="128" w:firstLine="567"/>
              <w:rPr>
                <w:rFonts w:ascii="Times New Roman" w:hAnsi="Times New Roman" w:cs="Times New Roman"/>
                <w:sz w:val="24"/>
                <w:szCs w:val="24"/>
              </w:rPr>
            </w:pPr>
            <w:r w:rsidRPr="0082362E">
              <w:rPr>
                <w:rFonts w:ascii="Times New Roman" w:hAnsi="Times New Roman" w:cs="Times New Roman"/>
                <w:sz w:val="24"/>
                <w:szCs w:val="24"/>
              </w:rPr>
              <w:t xml:space="preserve">2.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apmēra un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procentu summu par saņemto minētā atbalsta apmēru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procentu aprēķina periodā, kas pārsniedz trīs gadus, aprēķina, izmantojot šādu nelikumīgā komercdarbības atbalsta un nelikumīgā komercdarbības atbalsta procentu summas aprēķina formulu</w:t>
            </w:r>
            <w:r w:rsidR="00021D17">
              <w:rPr>
                <w:rFonts w:ascii="Times New Roman" w:hAnsi="Times New Roman" w:cs="Times New Roman"/>
                <w:sz w:val="24"/>
                <w:szCs w:val="24"/>
              </w:rPr>
              <w:t xml:space="preserve"> (aprakstīta arī augstāk IV. nodaļā)</w:t>
            </w:r>
            <w:r w:rsidRPr="0082362E">
              <w:rPr>
                <w:rFonts w:ascii="Times New Roman" w:hAnsi="Times New Roman" w:cs="Times New Roman"/>
                <w:sz w:val="24"/>
                <w:szCs w:val="24"/>
              </w:rPr>
              <w:t>:</w:t>
            </w:r>
          </w:p>
          <w:tbl>
            <w:tblPr>
              <w:tblW w:w="0" w:type="auto"/>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62"/>
              <w:gridCol w:w="957"/>
            </w:tblGrid>
            <w:tr w:rsidR="007906DF" w:rsidRPr="0082362E" w14:paraId="07E20149" w14:textId="77777777" w:rsidTr="00007674">
              <w:trPr>
                <w:jc w:val="center"/>
              </w:trPr>
              <w:tc>
                <w:tcPr>
                  <w:tcW w:w="8562" w:type="dxa"/>
                  <w:tcBorders>
                    <w:top w:val="nil"/>
                    <w:left w:val="nil"/>
                    <w:bottom w:val="nil"/>
                    <w:right w:val="nil"/>
                  </w:tcBorders>
                  <w:shd w:val="clear" w:color="auto" w:fill="FFFFFF"/>
                  <w:noWrap/>
                  <w:vAlign w:val="center"/>
                  <w:hideMark/>
                </w:tcPr>
                <w:p w14:paraId="7FEE8F28" w14:textId="77777777" w:rsidR="007906DF" w:rsidRPr="0082362E" w:rsidRDefault="007906DF" w:rsidP="007906DF">
                  <w:pPr>
                    <w:ind w:firstLine="567"/>
                    <w:rPr>
                      <w:rFonts w:ascii="Times New Roman" w:hAnsi="Times New Roman" w:cs="Times New Roman"/>
                      <w:sz w:val="24"/>
                      <w:szCs w:val="24"/>
                    </w:rPr>
                  </w:pPr>
                  <w:r w:rsidRPr="0082362E">
                    <w:rPr>
                      <w:rFonts w:ascii="Times New Roman" w:hAnsi="Times New Roman" w:cs="Times New Roman"/>
                      <w:noProof/>
                      <w:sz w:val="24"/>
                      <w:szCs w:val="24"/>
                    </w:rPr>
                    <w:drawing>
                      <wp:inline distT="0" distB="0" distL="0" distR="0" wp14:anchorId="0226C08B" wp14:editId="23B54799">
                        <wp:extent cx="5526405" cy="278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6405" cy="278130"/>
                                </a:xfrm>
                                <a:prstGeom prst="rect">
                                  <a:avLst/>
                                </a:prstGeom>
                                <a:noFill/>
                                <a:ln>
                                  <a:noFill/>
                                </a:ln>
                              </pic:spPr>
                            </pic:pic>
                          </a:graphicData>
                        </a:graphic>
                      </wp:inline>
                    </w:drawing>
                  </w:r>
                </w:p>
              </w:tc>
              <w:tc>
                <w:tcPr>
                  <w:tcW w:w="957" w:type="dxa"/>
                  <w:tcBorders>
                    <w:top w:val="nil"/>
                    <w:left w:val="nil"/>
                    <w:bottom w:val="nil"/>
                    <w:right w:val="nil"/>
                  </w:tcBorders>
                  <w:shd w:val="clear" w:color="auto" w:fill="FFFFFF"/>
                  <w:noWrap/>
                  <w:vAlign w:val="center"/>
                  <w:hideMark/>
                </w:tcPr>
                <w:p w14:paraId="7DF700AE" w14:textId="77777777" w:rsidR="007906DF" w:rsidRPr="0082362E" w:rsidRDefault="007906DF" w:rsidP="007906DF">
                  <w:pPr>
                    <w:ind w:firstLine="567"/>
                    <w:rPr>
                      <w:rFonts w:ascii="Times New Roman" w:hAnsi="Times New Roman" w:cs="Times New Roman"/>
                      <w:sz w:val="24"/>
                      <w:szCs w:val="24"/>
                    </w:rPr>
                  </w:pPr>
                  <w:r w:rsidRPr="0082362E">
                    <w:rPr>
                      <w:rFonts w:ascii="Times New Roman" w:hAnsi="Times New Roman" w:cs="Times New Roman"/>
                      <w:sz w:val="24"/>
                      <w:szCs w:val="24"/>
                    </w:rPr>
                    <w:t>, kur</w:t>
                  </w:r>
                </w:p>
              </w:tc>
            </w:tr>
          </w:tbl>
          <w:p w14:paraId="0457FA8E" w14:textId="0B86ADE7" w:rsidR="007906DF" w:rsidRPr="0082362E" w:rsidRDefault="007906DF" w:rsidP="007906DF">
            <w:pPr>
              <w:ind w:left="128" w:firstLine="567"/>
              <w:rPr>
                <w:rFonts w:ascii="Times New Roman" w:hAnsi="Times New Roman" w:cs="Times New Roman"/>
                <w:sz w:val="24"/>
                <w:szCs w:val="24"/>
              </w:rPr>
            </w:pPr>
            <w:r w:rsidRPr="0082362E">
              <w:rPr>
                <w:rFonts w:ascii="Times New Roman" w:hAnsi="Times New Roman" w:cs="Times New Roman"/>
                <w:sz w:val="24"/>
                <w:szCs w:val="24"/>
              </w:rPr>
              <w:t xml:space="preserve">A –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apmēra un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procentu summa par saņemto minētā atbalsta apmēru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procentu aprēķina periodā, kas pārsniedz trīs gadus;</w:t>
            </w:r>
          </w:p>
          <w:p w14:paraId="3E33D36E" w14:textId="48CA29DE" w:rsidR="007906DF" w:rsidRPr="0082362E" w:rsidRDefault="007906DF" w:rsidP="007906DF">
            <w:pPr>
              <w:ind w:left="128" w:firstLine="567"/>
              <w:rPr>
                <w:rFonts w:ascii="Times New Roman" w:hAnsi="Times New Roman" w:cs="Times New Roman"/>
                <w:sz w:val="24"/>
                <w:szCs w:val="24"/>
              </w:rPr>
            </w:pPr>
            <w:r w:rsidRPr="0082362E">
              <w:rPr>
                <w:rFonts w:ascii="Times New Roman" w:hAnsi="Times New Roman" w:cs="Times New Roman"/>
                <w:sz w:val="24"/>
                <w:szCs w:val="24"/>
              </w:rPr>
              <w:t>M</w:t>
            </w:r>
            <w:r w:rsidRPr="0082362E">
              <w:rPr>
                <w:rFonts w:ascii="Times New Roman" w:hAnsi="Times New Roman" w:cs="Times New Roman"/>
                <w:sz w:val="24"/>
                <w:szCs w:val="24"/>
                <w:vertAlign w:val="subscript"/>
              </w:rPr>
              <w:t>n</w:t>
            </w:r>
            <w:r w:rsidRPr="0082362E">
              <w:rPr>
                <w:rFonts w:ascii="Times New Roman" w:hAnsi="Times New Roman" w:cs="Times New Roman"/>
                <w:sz w:val="24"/>
                <w:szCs w:val="24"/>
              </w:rPr>
              <w:t xml:space="preserve"> – katrs nelikumīgais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apmērs </w:t>
            </w:r>
            <w:r w:rsidRPr="0082362E">
              <w:rPr>
                <w:rFonts w:ascii="Times New Roman" w:hAnsi="Times New Roman" w:cs="Times New Roman"/>
                <w:i/>
                <w:iCs/>
                <w:sz w:val="24"/>
                <w:szCs w:val="24"/>
              </w:rPr>
              <w:t>euro</w:t>
            </w:r>
            <w:r w:rsidRPr="0082362E">
              <w:rPr>
                <w:rFonts w:ascii="Times New Roman" w:hAnsi="Times New Roman" w:cs="Times New Roman"/>
                <w:sz w:val="24"/>
                <w:szCs w:val="24"/>
              </w:rPr>
              <w:t> valūtā, kas faktiski saņemts pirms triju gadu perioda;</w:t>
            </w:r>
          </w:p>
          <w:p w14:paraId="6543057D" w14:textId="0EB51746" w:rsidR="007906DF" w:rsidRPr="0082362E" w:rsidRDefault="007906DF" w:rsidP="007906DF">
            <w:pPr>
              <w:ind w:left="128" w:firstLine="567"/>
              <w:rPr>
                <w:rFonts w:ascii="Times New Roman" w:hAnsi="Times New Roman" w:cs="Times New Roman"/>
                <w:sz w:val="24"/>
                <w:szCs w:val="24"/>
              </w:rPr>
            </w:pPr>
            <w:r w:rsidRPr="0082362E">
              <w:rPr>
                <w:rFonts w:ascii="Times New Roman" w:hAnsi="Times New Roman" w:cs="Times New Roman"/>
                <w:sz w:val="24"/>
                <w:szCs w:val="24"/>
              </w:rPr>
              <w:t xml:space="preserve">n –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apmēra saņemšanas gadījumi;</w:t>
            </w:r>
          </w:p>
          <w:p w14:paraId="57368724" w14:textId="544A81F0" w:rsidR="007906DF" w:rsidRPr="0082362E" w:rsidRDefault="007906DF" w:rsidP="007906DF">
            <w:pPr>
              <w:ind w:left="128" w:firstLine="567"/>
              <w:rPr>
                <w:rFonts w:ascii="Times New Roman" w:hAnsi="Times New Roman" w:cs="Times New Roman"/>
                <w:sz w:val="24"/>
                <w:szCs w:val="24"/>
              </w:rPr>
            </w:pP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sz w:val="24"/>
                <w:szCs w:val="24"/>
              </w:rPr>
              <w:t> – atsauces likme, izteikta procentos, kuru publicē Eiropas Komisija saskaņā ar Komisijas 2004. gada 21. aprīļa Regulas (EK) Nr. 794/2004, ar ko īsteno Padomes Regulu (ES) </w:t>
            </w:r>
            <w:hyperlink r:id="rId11" w:tgtFrame="_blank" w:history="1">
              <w:r w:rsidRPr="0082362E">
                <w:rPr>
                  <w:rStyle w:val="Hyperlink"/>
                  <w:rFonts w:ascii="Times New Roman" w:hAnsi="Times New Roman" w:cs="Times New Roman"/>
                  <w:sz w:val="24"/>
                  <w:szCs w:val="24"/>
                </w:rPr>
                <w:t>2015/1589</w:t>
              </w:r>
            </w:hyperlink>
            <w:r w:rsidRPr="0082362E">
              <w:rPr>
                <w:rFonts w:ascii="Times New Roman" w:hAnsi="Times New Roman" w:cs="Times New Roman"/>
                <w:sz w:val="24"/>
                <w:szCs w:val="24"/>
              </w:rPr>
              <w:t>, ar ko nosaka sīki izstrādātus noteikumus Līguma par Eiropas Savienības darbību </w:t>
            </w:r>
            <w:hyperlink r:id="rId12" w:anchor="p108" w:history="1">
              <w:r w:rsidRPr="0082362E">
                <w:rPr>
                  <w:rStyle w:val="Hyperlink"/>
                  <w:rFonts w:ascii="Times New Roman" w:hAnsi="Times New Roman" w:cs="Times New Roman"/>
                  <w:sz w:val="24"/>
                  <w:szCs w:val="24"/>
                </w:rPr>
                <w:t>108.</w:t>
              </w:r>
            </w:hyperlink>
            <w:r w:rsidRPr="0082362E">
              <w:rPr>
                <w:rFonts w:ascii="Times New Roman" w:hAnsi="Times New Roman" w:cs="Times New Roman"/>
                <w:sz w:val="24"/>
                <w:szCs w:val="24"/>
              </w:rPr>
              <w:t> panta piemērošanai, </w:t>
            </w:r>
            <w:hyperlink r:id="rId13" w:anchor="p10" w:history="1">
              <w:r w:rsidRPr="0082362E">
                <w:rPr>
                  <w:rStyle w:val="Hyperlink"/>
                  <w:rFonts w:ascii="Times New Roman" w:hAnsi="Times New Roman" w:cs="Times New Roman"/>
                  <w:sz w:val="24"/>
                  <w:szCs w:val="24"/>
                </w:rPr>
                <w:t>10.</w:t>
              </w:r>
            </w:hyperlink>
            <w:r w:rsidRPr="0082362E">
              <w:rPr>
                <w:rFonts w:ascii="Times New Roman" w:hAnsi="Times New Roman" w:cs="Times New Roman"/>
                <w:sz w:val="24"/>
                <w:szCs w:val="24"/>
              </w:rPr>
              <w:t xml:space="preserve"> pantu un kura bija spēkā brīdī, kad nelikumīgais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apmērs saņemts, procentiem pieskaitot 100 bāzes punktus;</w:t>
            </w:r>
          </w:p>
          <w:p w14:paraId="61EB5E25" w14:textId="4967C627" w:rsidR="007906DF" w:rsidRPr="0082362E" w:rsidRDefault="007906DF" w:rsidP="007906DF">
            <w:pPr>
              <w:ind w:left="128" w:firstLine="567"/>
              <w:rPr>
                <w:rFonts w:ascii="Times New Roman" w:hAnsi="Times New Roman" w:cs="Times New Roman"/>
                <w:sz w:val="24"/>
                <w:szCs w:val="24"/>
              </w:rPr>
            </w:pPr>
            <w:r w:rsidRPr="0082362E">
              <w:rPr>
                <w:rFonts w:ascii="Times New Roman" w:hAnsi="Times New Roman" w:cs="Times New Roman"/>
                <w:sz w:val="24"/>
                <w:szCs w:val="24"/>
              </w:rPr>
              <w:t xml:space="preserve">t – katram saņemtajam nelikumīgajam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apmēram piemērojamo atsauces likmi pārskata katru gadu un attiecībā uz nākamo periodu piemēro atjaunoto (t+1) atsauces likmi attiecīgā atbalsta piešķiršanas datumā;</w:t>
            </w:r>
          </w:p>
          <w:p w14:paraId="2283EDB3" w14:textId="32818C2A" w:rsidR="007906DF" w:rsidRPr="0082362E" w:rsidRDefault="007906DF" w:rsidP="007906DF">
            <w:pPr>
              <w:ind w:left="128" w:firstLine="567"/>
              <w:rPr>
                <w:rFonts w:ascii="Times New Roman" w:hAnsi="Times New Roman" w:cs="Times New Roman"/>
                <w:sz w:val="24"/>
                <w:szCs w:val="24"/>
              </w:rPr>
            </w:pPr>
            <w:r w:rsidRPr="0082362E">
              <w:rPr>
                <w:rFonts w:ascii="Times New Roman" w:hAnsi="Times New Roman" w:cs="Times New Roman"/>
                <w:sz w:val="24"/>
                <w:szCs w:val="24"/>
              </w:rPr>
              <w:t>d</w:t>
            </w:r>
            <w:r w:rsidRPr="0082362E">
              <w:rPr>
                <w:rFonts w:ascii="Times New Roman" w:hAnsi="Times New Roman" w:cs="Times New Roman"/>
                <w:sz w:val="24"/>
                <w:szCs w:val="24"/>
                <w:vertAlign w:val="subscript"/>
              </w:rPr>
              <w:t>n</w:t>
            </w:r>
            <w:r w:rsidRPr="0082362E">
              <w:rPr>
                <w:rFonts w:ascii="Times New Roman" w:hAnsi="Times New Roman" w:cs="Times New Roman"/>
                <w:sz w:val="24"/>
                <w:szCs w:val="24"/>
              </w:rPr>
              <w:t xml:space="preserve"> – nelikumīgā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procentu aprēķina periods, izteikts dienās, katram saņemtajam nelikumīgajam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apmēram.</w:t>
            </w:r>
          </w:p>
        </w:tc>
      </w:tr>
    </w:tbl>
    <w:p w14:paraId="129B7683" w14:textId="77777777" w:rsidR="007906DF" w:rsidRPr="0082362E" w:rsidRDefault="007906DF" w:rsidP="007906DF">
      <w:pPr>
        <w:ind w:firstLine="567"/>
        <w:rPr>
          <w:rFonts w:ascii="Times New Roman" w:hAnsi="Times New Roman" w:cs="Times New Roman"/>
          <w:sz w:val="24"/>
          <w:szCs w:val="24"/>
        </w:rPr>
      </w:pPr>
    </w:p>
    <w:p w14:paraId="7FF8781E" w14:textId="4519EF56" w:rsidR="007906DF" w:rsidRPr="0082362E" w:rsidRDefault="007906DF" w:rsidP="007906DF">
      <w:pPr>
        <w:ind w:firstLine="567"/>
        <w:rPr>
          <w:rFonts w:ascii="Times New Roman" w:hAnsi="Times New Roman" w:cs="Times New Roman"/>
          <w:sz w:val="24"/>
          <w:szCs w:val="24"/>
        </w:rPr>
      </w:pPr>
      <w:r w:rsidRPr="0082362E">
        <w:rPr>
          <w:rFonts w:ascii="Times New Roman" w:hAnsi="Times New Roman" w:cs="Times New Roman"/>
          <w:sz w:val="24"/>
          <w:szCs w:val="24"/>
        </w:rPr>
        <w:t>Vienlaikus jāņem vērā, ka, saskaņā ar Komisijas regulas Nr. </w:t>
      </w:r>
      <w:hyperlink r:id="rId14" w:tgtFrame="_blank" w:history="1">
        <w:r w:rsidRPr="0082362E">
          <w:rPr>
            <w:rStyle w:val="Hyperlink"/>
            <w:rFonts w:ascii="Times New Roman" w:hAnsi="Times New Roman" w:cs="Times New Roman"/>
            <w:sz w:val="24"/>
            <w:szCs w:val="24"/>
          </w:rPr>
          <w:t>794/2004</w:t>
        </w:r>
      </w:hyperlink>
      <w:r w:rsidRPr="0082362E">
        <w:rPr>
          <w:rFonts w:ascii="Times New Roman" w:hAnsi="Times New Roman" w:cs="Times New Roman"/>
          <w:sz w:val="24"/>
          <w:szCs w:val="24"/>
        </w:rPr>
        <w:t> 11.pantu</w:t>
      </w:r>
      <w:r w:rsidRPr="0082362E">
        <w:rPr>
          <w:rFonts w:ascii="Times New Roman" w:hAnsi="Times New Roman" w:cs="Times New Roman"/>
          <w:i/>
          <w:iCs/>
          <w:sz w:val="24"/>
          <w:szCs w:val="24"/>
        </w:rPr>
        <w:t>“piemērojamā procentu likme ir likme, kas ir piemērojama dienā, kad nelikumīgais atbalsts pirmo reizi nodots saņēmēja rīcība. [..] Procentu likmes [..] piemēro visā periodā līdz atmaksāšanas datumam. Tomēr, ja no dienas, kad nelikumīgais atbalsts pirmo reizi nodots saņēmēja rīcībā, līdz atbalsta atmaksāšanas dienai pagājis vairāk nekā viens gads, procentu likmi pārrēķina reizi gadā, par pamatu ņemot pārrēķināšanas laikā spēkā esošo likmi.”</w:t>
      </w:r>
      <w:r w:rsidR="00A53F09" w:rsidRPr="0082362E">
        <w:rPr>
          <w:rStyle w:val="FootnoteReference"/>
          <w:rFonts w:ascii="Times New Roman" w:hAnsi="Times New Roman" w:cs="Times New Roman"/>
          <w:i/>
          <w:iCs/>
          <w:sz w:val="24"/>
          <w:szCs w:val="24"/>
        </w:rPr>
        <w:footnoteReference w:id="57"/>
      </w:r>
    </w:p>
    <w:p w14:paraId="7A250ACF" w14:textId="0538F98C" w:rsidR="007906DF" w:rsidRPr="0082362E" w:rsidRDefault="007906DF" w:rsidP="007906DF">
      <w:pPr>
        <w:ind w:firstLine="567"/>
        <w:rPr>
          <w:rFonts w:ascii="Times New Roman" w:hAnsi="Times New Roman" w:cs="Times New Roman"/>
          <w:sz w:val="24"/>
          <w:szCs w:val="24"/>
        </w:rPr>
      </w:pPr>
      <w:r w:rsidRPr="0082362E">
        <w:rPr>
          <w:rFonts w:ascii="Times New Roman" w:hAnsi="Times New Roman" w:cs="Times New Roman"/>
          <w:sz w:val="24"/>
          <w:szCs w:val="24"/>
        </w:rPr>
        <w:t xml:space="preserve">Attiecīgi praksē tas nozīmētu, ka procentu (atgūšanas) likmes aprēķināšanai par pamatu tiek ņemta atsauces likme, kas atrodama Komisijas paziņojumā par pašreizējām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alsta “atgūšanas” procentu likmēm un atsauces/diskonta likmēm</w:t>
      </w:r>
      <w:r w:rsidRPr="0082362E">
        <w:rPr>
          <w:rFonts w:ascii="Times New Roman" w:hAnsi="Times New Roman" w:cs="Times New Roman"/>
          <w:sz w:val="24"/>
          <w:szCs w:val="24"/>
          <w:vertAlign w:val="superscript"/>
        </w:rPr>
        <w:footnoteReference w:id="58"/>
      </w:r>
      <w:r w:rsidRPr="0082362E">
        <w:rPr>
          <w:rFonts w:ascii="Times New Roman" w:hAnsi="Times New Roman" w:cs="Times New Roman"/>
          <w:sz w:val="24"/>
          <w:szCs w:val="24"/>
        </w:rPr>
        <w:t>, pieskaitot 100 bāzes punktus.</w:t>
      </w:r>
      <w:r w:rsidRPr="0082362E">
        <w:rPr>
          <w:rFonts w:ascii="Times New Roman" w:hAnsi="Times New Roman" w:cs="Times New Roman"/>
          <w:i/>
          <w:iCs/>
          <w:sz w:val="24"/>
          <w:szCs w:val="24"/>
        </w:rPr>
        <w:t xml:space="preserve"> </w:t>
      </w:r>
      <w:r w:rsidRPr="0082362E">
        <w:rPr>
          <w:rFonts w:ascii="Times New Roman" w:hAnsi="Times New Roman" w:cs="Times New Roman"/>
          <w:sz w:val="24"/>
          <w:szCs w:val="24"/>
        </w:rPr>
        <w:t>Papildus vēršam uzmanību, ka “atgūšanas” procentus aprēķina atbilstoši salikto procentu aprēķina metodei, precizējot aprēķinu līdz pat brīdim, kad atgūta visa summa.</w:t>
      </w:r>
    </w:p>
    <w:p w14:paraId="7A1CA766" w14:textId="02FB830B" w:rsidR="007906DF" w:rsidRPr="0082362E" w:rsidRDefault="007906DF" w:rsidP="007906DF">
      <w:pPr>
        <w:ind w:firstLine="567"/>
        <w:rPr>
          <w:rFonts w:ascii="Times New Roman" w:hAnsi="Times New Roman" w:cs="Times New Roman"/>
          <w:sz w:val="24"/>
          <w:szCs w:val="24"/>
        </w:rPr>
      </w:pPr>
      <w:r w:rsidRPr="0082362E">
        <w:rPr>
          <w:rFonts w:ascii="Times New Roman" w:hAnsi="Times New Roman" w:cs="Times New Roman"/>
          <w:sz w:val="24"/>
          <w:szCs w:val="24"/>
        </w:rPr>
        <w:t>Būtiski ir atzīmēt, ka nelikumīgs komercdarbības atbalsts ir atmaksājams kopā ar atgūšanas procentiem, kas aprēķināti par atbalsta periodu no brīža, kad atbalsts ir nodots atbalsta saņēmēja rīcībā līdz pilnīgam atbalsta atmaksāšanas brīdim (precizējot atgūstamo nelikumīga komercdarbības atbalsta kopā ar atgūšanas procentiem apmēra aprēķinu uz tā pilnīgu atmaksas brīdi). Attiecīgi nelikumīga komercdarbības atbalsta procentu aprēķināšana nevar tikt pārtraukta vai apturēta jebkādu notikumu dēļ, piemēram, atgūšanas akta apstrīdēšanas vai pārsūdzēšanas dēļ augstāk stāvošajā iestādē vai tiesā.</w:t>
      </w:r>
      <w:r w:rsidR="00A97600" w:rsidRPr="0082362E">
        <w:rPr>
          <w:rStyle w:val="FootnoteReference"/>
          <w:rFonts w:ascii="Times New Roman" w:hAnsi="Times New Roman" w:cs="Times New Roman"/>
          <w:sz w:val="24"/>
          <w:szCs w:val="24"/>
        </w:rPr>
        <w:footnoteReference w:id="59"/>
      </w:r>
    </w:p>
    <w:p w14:paraId="5A88C83F" w14:textId="77777777" w:rsidR="00A97600" w:rsidRPr="0082362E" w:rsidRDefault="00A97600" w:rsidP="007906DF">
      <w:pPr>
        <w:ind w:firstLine="567"/>
        <w:rPr>
          <w:rFonts w:ascii="Times New Roman" w:hAnsi="Times New Roman" w:cs="Times New Roman"/>
          <w:sz w:val="24"/>
          <w:szCs w:val="24"/>
        </w:rPr>
      </w:pPr>
    </w:p>
    <w:p w14:paraId="695EB521" w14:textId="03144CFC" w:rsidR="004C28B8" w:rsidRPr="0082362E" w:rsidRDefault="00021D17" w:rsidP="004C28B8">
      <w:pPr>
        <w:pStyle w:val="ListParagraph"/>
        <w:numPr>
          <w:ilvl w:val="0"/>
          <w:numId w:val="17"/>
        </w:numPr>
        <w:ind w:left="0" w:firstLine="360"/>
        <w:rPr>
          <w:b/>
          <w:color w:val="auto"/>
          <w:sz w:val="24"/>
          <w:szCs w:val="24"/>
        </w:rPr>
      </w:pPr>
      <w:r w:rsidRPr="00021D17">
        <w:rPr>
          <w:b/>
          <w:color w:val="auto"/>
          <w:sz w:val="24"/>
          <w:szCs w:val="24"/>
        </w:rPr>
        <w:t>Nelikumīga komercdarbības atbalsta atgūšanas piemērs nodokļu  atvieglojumu/atbrīvojumu pasākumos</w:t>
      </w:r>
    </w:p>
    <w:p w14:paraId="66415146" w14:textId="17A9E4A0" w:rsidR="00206ABB" w:rsidRPr="0082362E" w:rsidRDefault="00206ABB" w:rsidP="007906DF">
      <w:pPr>
        <w:ind w:firstLine="567"/>
        <w:rPr>
          <w:rFonts w:ascii="Times New Roman" w:hAnsi="Times New Roman" w:cs="Times New Roman"/>
          <w:sz w:val="24"/>
          <w:szCs w:val="24"/>
          <w:u w:val="single"/>
        </w:rPr>
      </w:pPr>
    </w:p>
    <w:p w14:paraId="67FEADDE" w14:textId="39757C58" w:rsidR="00206ABB" w:rsidRPr="0082362E" w:rsidRDefault="00945378" w:rsidP="007906DF">
      <w:pPr>
        <w:ind w:firstLine="567"/>
        <w:rPr>
          <w:rFonts w:ascii="Times New Roman" w:hAnsi="Times New Roman" w:cs="Times New Roman"/>
          <w:sz w:val="24"/>
          <w:szCs w:val="24"/>
          <w:u w:val="single"/>
        </w:rPr>
      </w:pPr>
      <w:r w:rsidRPr="0082362E">
        <w:rPr>
          <w:rFonts w:ascii="Times New Roman" w:hAnsi="Times New Roman" w:cs="Times New Roman"/>
          <w:sz w:val="24"/>
          <w:szCs w:val="24"/>
          <w:u w:val="single"/>
        </w:rPr>
        <w:t>Hipotētiskas situācijas apraksts:</w:t>
      </w:r>
    </w:p>
    <w:p w14:paraId="66280875" w14:textId="2D86D2E5" w:rsidR="000E2F48" w:rsidRPr="0082362E" w:rsidRDefault="000E2F48" w:rsidP="000E2F48">
      <w:pPr>
        <w:ind w:firstLine="567"/>
        <w:rPr>
          <w:rFonts w:ascii="Times New Roman" w:hAnsi="Times New Roman" w:cs="Times New Roman"/>
          <w:sz w:val="24"/>
          <w:szCs w:val="24"/>
        </w:rPr>
      </w:pPr>
      <w:r w:rsidRPr="00815A77">
        <w:rPr>
          <w:rFonts w:ascii="Times New Roman" w:hAnsi="Times New Roman" w:cs="Times New Roman"/>
          <w:sz w:val="24"/>
          <w:szCs w:val="24"/>
        </w:rPr>
        <w:t>Ar atbalsta sniedzējiestādes 2016.gada 1.janvāra lēmumu</w:t>
      </w:r>
      <w:r w:rsidR="00951298" w:rsidRPr="00815A77">
        <w:rPr>
          <w:rFonts w:ascii="Times New Roman" w:hAnsi="Times New Roman" w:cs="Times New Roman"/>
          <w:sz w:val="24"/>
          <w:szCs w:val="24"/>
        </w:rPr>
        <w:t xml:space="preserve"> </w:t>
      </w:r>
      <w:r w:rsidR="001C1547" w:rsidRPr="00815A77">
        <w:rPr>
          <w:rFonts w:ascii="Times New Roman" w:hAnsi="Times New Roman" w:cs="Times New Roman"/>
          <w:sz w:val="24"/>
          <w:szCs w:val="24"/>
        </w:rPr>
        <w:t xml:space="preserve">par nodokļa atvieglojumu </w:t>
      </w:r>
      <w:r w:rsidR="00951298" w:rsidRPr="00815A77">
        <w:rPr>
          <w:rFonts w:ascii="Times New Roman" w:hAnsi="Times New Roman" w:cs="Times New Roman"/>
          <w:sz w:val="24"/>
          <w:szCs w:val="24"/>
        </w:rPr>
        <w:t>atbalsta programm</w:t>
      </w:r>
      <w:r w:rsidR="001C1547" w:rsidRPr="00815A77">
        <w:rPr>
          <w:rFonts w:ascii="Times New Roman" w:hAnsi="Times New Roman" w:cs="Times New Roman"/>
          <w:sz w:val="24"/>
          <w:szCs w:val="24"/>
        </w:rPr>
        <w:t>as ietvaros</w:t>
      </w:r>
      <w:r w:rsidR="00951298" w:rsidRPr="00815A77">
        <w:rPr>
          <w:rFonts w:ascii="Times New Roman" w:hAnsi="Times New Roman" w:cs="Times New Roman"/>
          <w:sz w:val="24"/>
          <w:szCs w:val="24"/>
        </w:rPr>
        <w:t xml:space="preserve">, kas </w:t>
      </w:r>
      <w:r w:rsidR="00150223" w:rsidRPr="00815A77">
        <w:rPr>
          <w:rFonts w:ascii="Times New Roman" w:hAnsi="Times New Roman" w:cs="Times New Roman"/>
          <w:sz w:val="24"/>
          <w:szCs w:val="24"/>
        </w:rPr>
        <w:t xml:space="preserve">paredz komercdarbības atbalsta piešķiršanu nodokļa atvieglojuma veidā, </w:t>
      </w:r>
      <w:r w:rsidR="00B228C3" w:rsidRPr="00815A77">
        <w:rPr>
          <w:rFonts w:ascii="Times New Roman" w:hAnsi="Times New Roman" w:cs="Times New Roman"/>
          <w:sz w:val="24"/>
          <w:szCs w:val="24"/>
        </w:rPr>
        <w:t xml:space="preserve">tika </w:t>
      </w:r>
      <w:r w:rsidR="003E3528" w:rsidRPr="00815A77">
        <w:rPr>
          <w:rFonts w:ascii="Times New Roman" w:hAnsi="Times New Roman" w:cs="Times New Roman"/>
          <w:sz w:val="24"/>
          <w:szCs w:val="24"/>
        </w:rPr>
        <w:t>piešķirts</w:t>
      </w:r>
      <w:r w:rsidR="00B228C3" w:rsidRPr="00815A77">
        <w:rPr>
          <w:rFonts w:ascii="Times New Roman" w:hAnsi="Times New Roman" w:cs="Times New Roman"/>
          <w:sz w:val="24"/>
          <w:szCs w:val="24"/>
        </w:rPr>
        <w:t xml:space="preserve"> </w:t>
      </w:r>
      <w:r w:rsidRPr="00815A77">
        <w:rPr>
          <w:rFonts w:ascii="Times New Roman" w:hAnsi="Times New Roman" w:cs="Times New Roman"/>
          <w:sz w:val="24"/>
          <w:szCs w:val="24"/>
        </w:rPr>
        <w:t>komercdarbības atbalst</w:t>
      </w:r>
      <w:r w:rsidR="003E3528" w:rsidRPr="00815A77">
        <w:rPr>
          <w:rFonts w:ascii="Times New Roman" w:hAnsi="Times New Roman" w:cs="Times New Roman"/>
          <w:sz w:val="24"/>
          <w:szCs w:val="24"/>
        </w:rPr>
        <w:t>s</w:t>
      </w:r>
      <w:r w:rsidRPr="00815A77">
        <w:rPr>
          <w:rFonts w:ascii="Times New Roman" w:hAnsi="Times New Roman" w:cs="Times New Roman"/>
          <w:sz w:val="24"/>
          <w:szCs w:val="24"/>
        </w:rPr>
        <w:t>,</w:t>
      </w:r>
      <w:r w:rsidR="00AA5AC6" w:rsidRPr="00815A77">
        <w:rPr>
          <w:rFonts w:ascii="Times New Roman" w:hAnsi="Times New Roman" w:cs="Times New Roman"/>
          <w:sz w:val="24"/>
          <w:szCs w:val="24"/>
        </w:rPr>
        <w:t xml:space="preserve"> paredzot</w:t>
      </w:r>
      <w:r w:rsidR="00B228C3" w:rsidRPr="00815A77">
        <w:rPr>
          <w:rFonts w:ascii="Times New Roman" w:hAnsi="Times New Roman" w:cs="Times New Roman"/>
          <w:sz w:val="24"/>
          <w:szCs w:val="24"/>
        </w:rPr>
        <w:t xml:space="preserve"> </w:t>
      </w:r>
      <w:r w:rsidR="00150223" w:rsidRPr="00815A77">
        <w:rPr>
          <w:rFonts w:ascii="Times New Roman" w:hAnsi="Times New Roman" w:cs="Times New Roman"/>
          <w:sz w:val="24"/>
          <w:szCs w:val="24"/>
        </w:rPr>
        <w:t>kapitālsabiedrībai</w:t>
      </w:r>
      <w:r w:rsidR="00AA5AC6" w:rsidRPr="00815A77">
        <w:rPr>
          <w:rFonts w:ascii="Times New Roman" w:hAnsi="Times New Roman" w:cs="Times New Roman"/>
          <w:sz w:val="24"/>
          <w:szCs w:val="24"/>
        </w:rPr>
        <w:t xml:space="preserve"> </w:t>
      </w:r>
      <w:r w:rsidRPr="00815A77">
        <w:rPr>
          <w:rFonts w:ascii="Times New Roman" w:hAnsi="Times New Roman" w:cs="Times New Roman"/>
          <w:sz w:val="24"/>
          <w:szCs w:val="24"/>
        </w:rPr>
        <w:t xml:space="preserve">tiesības par turpmākiem 6 taksācijas gadiem nemaksāt nodokli. </w:t>
      </w:r>
      <w:r w:rsidR="00150223" w:rsidRPr="00815A77">
        <w:rPr>
          <w:rFonts w:ascii="Times New Roman" w:hAnsi="Times New Roman" w:cs="Times New Roman"/>
          <w:sz w:val="24"/>
          <w:szCs w:val="24"/>
        </w:rPr>
        <w:t>Atbalsta programm</w:t>
      </w:r>
      <w:r w:rsidR="00B228C3" w:rsidRPr="00815A77">
        <w:rPr>
          <w:rFonts w:ascii="Times New Roman" w:hAnsi="Times New Roman" w:cs="Times New Roman"/>
          <w:sz w:val="24"/>
          <w:szCs w:val="24"/>
        </w:rPr>
        <w:t>ā ietverta</w:t>
      </w:r>
      <w:r w:rsidR="00150223" w:rsidRPr="00815A77">
        <w:rPr>
          <w:rFonts w:ascii="Times New Roman" w:hAnsi="Times New Roman" w:cs="Times New Roman"/>
          <w:sz w:val="24"/>
          <w:szCs w:val="24"/>
        </w:rPr>
        <w:t xml:space="preserve"> nelikumīga komercdarbības atbalsta atgūšan</w:t>
      </w:r>
      <w:r w:rsidR="00B228C3" w:rsidRPr="00815A77">
        <w:rPr>
          <w:rFonts w:ascii="Times New Roman" w:hAnsi="Times New Roman" w:cs="Times New Roman"/>
          <w:sz w:val="24"/>
          <w:szCs w:val="24"/>
        </w:rPr>
        <w:t xml:space="preserve">as norma, saskaņā ar kuru nelikumīgs komercdarbības </w:t>
      </w:r>
      <w:r w:rsidR="00450879" w:rsidRPr="00815A77">
        <w:rPr>
          <w:rFonts w:ascii="Times New Roman" w:hAnsi="Times New Roman" w:cs="Times New Roman"/>
          <w:sz w:val="24"/>
          <w:szCs w:val="24"/>
        </w:rPr>
        <w:t xml:space="preserve">atbalsts </w:t>
      </w:r>
      <w:r w:rsidR="00B228C3" w:rsidRPr="00815A77">
        <w:rPr>
          <w:rFonts w:ascii="Times New Roman" w:hAnsi="Times New Roman" w:cs="Times New Roman"/>
          <w:sz w:val="24"/>
          <w:szCs w:val="24"/>
        </w:rPr>
        <w:t>atgūstams</w:t>
      </w:r>
      <w:r w:rsidR="00150223" w:rsidRPr="00815A77">
        <w:rPr>
          <w:rFonts w:ascii="Times New Roman" w:hAnsi="Times New Roman" w:cs="Times New Roman"/>
          <w:sz w:val="24"/>
          <w:szCs w:val="24"/>
        </w:rPr>
        <w:t xml:space="preserve"> likuma “Par nodokļiem un nodevām” </w:t>
      </w:r>
      <w:r w:rsidR="00150223" w:rsidRPr="00815A77">
        <w:rPr>
          <w:rFonts w:ascii="Times New Roman" w:hAnsi="Times New Roman" w:cs="Times New Roman"/>
          <w:b/>
          <w:bCs/>
          <w:sz w:val="24"/>
          <w:szCs w:val="24"/>
        </w:rPr>
        <w:t>un</w:t>
      </w:r>
      <w:r w:rsidR="00150223" w:rsidRPr="00815A77">
        <w:rPr>
          <w:rFonts w:ascii="Times New Roman" w:hAnsi="Times New Roman" w:cs="Times New Roman"/>
          <w:sz w:val="24"/>
          <w:szCs w:val="24"/>
        </w:rPr>
        <w:t xml:space="preserve"> KAKL noteiktajā kārtībā. </w:t>
      </w:r>
      <w:r w:rsidR="00C36777">
        <w:rPr>
          <w:rFonts w:ascii="Times New Roman" w:hAnsi="Times New Roman" w:cs="Times New Roman"/>
          <w:sz w:val="24"/>
          <w:szCs w:val="24"/>
        </w:rPr>
        <w:t xml:space="preserve">Šīs hipotētiskās situācijas ietvaros </w:t>
      </w:r>
      <w:r w:rsidR="001A609D">
        <w:rPr>
          <w:rFonts w:ascii="Times New Roman" w:hAnsi="Times New Roman" w:cs="Times New Roman"/>
          <w:sz w:val="24"/>
          <w:szCs w:val="24"/>
        </w:rPr>
        <w:t>izmantots</w:t>
      </w:r>
      <w:r w:rsidR="00C36777">
        <w:rPr>
          <w:rFonts w:ascii="Times New Roman" w:hAnsi="Times New Roman" w:cs="Times New Roman"/>
          <w:sz w:val="24"/>
          <w:szCs w:val="24"/>
        </w:rPr>
        <w:t xml:space="preserve"> pieņēmums, ka minētā </w:t>
      </w:r>
      <w:r w:rsidR="00C36777" w:rsidRPr="00C36777">
        <w:rPr>
          <w:rFonts w:ascii="Times New Roman" w:hAnsi="Times New Roman" w:cs="Times New Roman"/>
          <w:sz w:val="24"/>
          <w:szCs w:val="24"/>
        </w:rPr>
        <w:t>nodokļa samaksas termiņš ir vienu reizi gadā līdz 23. aprīlim</w:t>
      </w:r>
      <w:r w:rsidRPr="00815A77">
        <w:rPr>
          <w:rFonts w:ascii="Times New Roman" w:hAnsi="Times New Roman" w:cs="Times New Roman"/>
          <w:sz w:val="24"/>
          <w:szCs w:val="24"/>
        </w:rPr>
        <w:t>. Attiecīgi komercsabiedrība faktiski saņēmusi</w:t>
      </w:r>
      <w:r w:rsidRPr="0082362E">
        <w:rPr>
          <w:rFonts w:ascii="Times New Roman" w:hAnsi="Times New Roman" w:cs="Times New Roman"/>
          <w:sz w:val="24"/>
          <w:szCs w:val="24"/>
        </w:rPr>
        <w:t xml:space="preserve"> šādus </w:t>
      </w:r>
      <w:r w:rsidR="00C36777">
        <w:rPr>
          <w:rFonts w:ascii="Times New Roman" w:hAnsi="Times New Roman" w:cs="Times New Roman"/>
          <w:sz w:val="24"/>
          <w:szCs w:val="24"/>
        </w:rPr>
        <w:t>nodokļa</w:t>
      </w:r>
      <w:r w:rsidR="00C36777" w:rsidRPr="0082362E">
        <w:rPr>
          <w:rFonts w:ascii="Times New Roman" w:hAnsi="Times New Roman" w:cs="Times New Roman"/>
          <w:sz w:val="24"/>
          <w:szCs w:val="24"/>
        </w:rPr>
        <w:t xml:space="preserve"> </w:t>
      </w:r>
      <w:r w:rsidRPr="0082362E">
        <w:rPr>
          <w:rFonts w:ascii="Times New Roman" w:hAnsi="Times New Roman" w:cs="Times New Roman"/>
          <w:sz w:val="24"/>
          <w:szCs w:val="24"/>
        </w:rPr>
        <w:t xml:space="preserve">atbrīvojumus </w:t>
      </w:r>
      <w:r w:rsidR="001469CB">
        <w:rPr>
          <w:rFonts w:ascii="Times New Roman" w:hAnsi="Times New Roman" w:cs="Times New Roman"/>
          <w:sz w:val="24"/>
          <w:szCs w:val="24"/>
        </w:rPr>
        <w:t xml:space="preserve">kā </w:t>
      </w:r>
      <w:r w:rsidRPr="0082362E">
        <w:rPr>
          <w:rFonts w:ascii="Times New Roman" w:hAnsi="Times New Roman" w:cs="Times New Roman"/>
          <w:sz w:val="24"/>
          <w:szCs w:val="24"/>
        </w:rPr>
        <w:t>komercdarbības atbalstu:</w:t>
      </w:r>
    </w:p>
    <w:p w14:paraId="28D95296" w14:textId="16875D5D"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23.04.2017. – 10 000 EUR (</w:t>
      </w:r>
      <w:r w:rsidRPr="0082362E">
        <w:rPr>
          <w:rFonts w:ascii="Times New Roman" w:hAnsi="Times New Roman" w:cs="Times New Roman"/>
          <w:bCs/>
          <w:iCs/>
          <w:sz w:val="24"/>
          <w:szCs w:val="24"/>
        </w:rPr>
        <w:t xml:space="preserve">pirmais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alsta apmērs)</w:t>
      </w:r>
    </w:p>
    <w:p w14:paraId="3442156A" w14:textId="621568AA"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23.04.2018. – 15 000 EUR (</w:t>
      </w:r>
      <w:r w:rsidRPr="0082362E">
        <w:rPr>
          <w:rFonts w:ascii="Times New Roman" w:hAnsi="Times New Roman" w:cs="Times New Roman"/>
          <w:bCs/>
          <w:iCs/>
          <w:sz w:val="24"/>
          <w:szCs w:val="24"/>
        </w:rPr>
        <w:t xml:space="preserve">otrais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alsta apmērs)</w:t>
      </w:r>
    </w:p>
    <w:p w14:paraId="663C63F0" w14:textId="6A5D1E38"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23.04.2019. – 20 000 EUR (</w:t>
      </w:r>
      <w:r w:rsidRPr="0082362E">
        <w:rPr>
          <w:rFonts w:ascii="Times New Roman" w:hAnsi="Times New Roman" w:cs="Times New Roman"/>
          <w:bCs/>
          <w:iCs/>
          <w:sz w:val="24"/>
          <w:szCs w:val="24"/>
        </w:rPr>
        <w:t xml:space="preserve">trešais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alsta apmērs)</w:t>
      </w:r>
    </w:p>
    <w:p w14:paraId="35D2E5A0" w14:textId="115D29BB"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23.04.2020. – 10 000 EUR (</w:t>
      </w:r>
      <w:r w:rsidR="0052655A" w:rsidRPr="0082362E">
        <w:rPr>
          <w:rFonts w:ascii="Times New Roman" w:hAnsi="Times New Roman" w:cs="Times New Roman"/>
          <w:bCs/>
          <w:iCs/>
          <w:sz w:val="24"/>
          <w:szCs w:val="24"/>
        </w:rPr>
        <w:t>ceturtais</w:t>
      </w:r>
      <w:r w:rsidRPr="0082362E">
        <w:rPr>
          <w:rFonts w:ascii="Times New Roman" w:hAnsi="Times New Roman" w:cs="Times New Roman"/>
          <w:bCs/>
          <w:iCs/>
          <w:sz w:val="24"/>
          <w:szCs w:val="24"/>
        </w:rPr>
        <w:t xml:space="preserve">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alsta apmērs)</w:t>
      </w:r>
    </w:p>
    <w:p w14:paraId="76BFF321" w14:textId="3E16A72D"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23.04.2021. – 15 000 EUR (</w:t>
      </w:r>
      <w:r w:rsidRPr="0082362E">
        <w:rPr>
          <w:rFonts w:ascii="Times New Roman" w:hAnsi="Times New Roman" w:cs="Times New Roman"/>
          <w:bCs/>
          <w:iCs/>
          <w:sz w:val="24"/>
          <w:szCs w:val="24"/>
        </w:rPr>
        <w:t xml:space="preserve">piektais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alsta apmērs)</w:t>
      </w:r>
    </w:p>
    <w:p w14:paraId="71C4585A" w14:textId="33C4D733" w:rsidR="00450879"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 xml:space="preserve">2022. gada 1. janvārī atbalsta sniedzējiestāde ir konstatējusi, ka ar </w:t>
      </w:r>
      <w:r w:rsidR="001469CB">
        <w:rPr>
          <w:rFonts w:ascii="Times New Roman" w:hAnsi="Times New Roman" w:cs="Times New Roman"/>
          <w:sz w:val="24"/>
          <w:szCs w:val="24"/>
        </w:rPr>
        <w:t>savu</w:t>
      </w:r>
      <w:r w:rsidR="00C36777">
        <w:rPr>
          <w:rFonts w:ascii="Times New Roman" w:hAnsi="Times New Roman" w:cs="Times New Roman"/>
          <w:sz w:val="24"/>
          <w:szCs w:val="24"/>
        </w:rPr>
        <w:t xml:space="preserve"> </w:t>
      </w:r>
      <w:r w:rsidRPr="0082362E">
        <w:rPr>
          <w:rFonts w:ascii="Times New Roman" w:hAnsi="Times New Roman" w:cs="Times New Roman"/>
          <w:sz w:val="24"/>
          <w:szCs w:val="24"/>
        </w:rPr>
        <w:t>2016.gada 1.janvāra lēmumu komercsabiedrībai tika piešķirts nelikumīgais komercdarbības atbalsts</w:t>
      </w:r>
      <w:r w:rsidR="00450879">
        <w:rPr>
          <w:rFonts w:ascii="Times New Roman" w:hAnsi="Times New Roman" w:cs="Times New Roman"/>
          <w:sz w:val="24"/>
          <w:szCs w:val="24"/>
        </w:rPr>
        <w:t>,</w:t>
      </w:r>
      <w:r w:rsidRPr="0082362E">
        <w:rPr>
          <w:rFonts w:ascii="Times New Roman" w:hAnsi="Times New Roman" w:cs="Times New Roman"/>
          <w:sz w:val="24"/>
          <w:szCs w:val="24"/>
        </w:rPr>
        <w:t xml:space="preserve"> un </w:t>
      </w:r>
      <w:r w:rsidR="00450879">
        <w:rPr>
          <w:rFonts w:ascii="Times New Roman" w:hAnsi="Times New Roman" w:cs="Times New Roman"/>
          <w:sz w:val="24"/>
          <w:szCs w:val="24"/>
        </w:rPr>
        <w:t xml:space="preserve">tāpēc </w:t>
      </w:r>
      <w:r w:rsidRPr="0082362E">
        <w:rPr>
          <w:rFonts w:ascii="Times New Roman" w:hAnsi="Times New Roman" w:cs="Times New Roman"/>
          <w:sz w:val="24"/>
          <w:szCs w:val="24"/>
        </w:rPr>
        <w:t>2022. gada 1. janvārī tā ir izdevusi administratīvo aktu, ar kuru pārtraukusi nelikumīgā atbalsta piešķiršanu un uzlikusi par pienākumu atmaksāt nelikumīgo komercdarbības atbalstu kopā ar nokavējuma naudu</w:t>
      </w:r>
      <w:r w:rsidRPr="007B2F69">
        <w:rPr>
          <w:rFonts w:ascii="Times New Roman" w:hAnsi="Times New Roman" w:cs="Times New Roman"/>
          <w:sz w:val="24"/>
          <w:szCs w:val="24"/>
        </w:rPr>
        <w:t xml:space="preserve"> un nelikumīga komercdarbības atbalsta procentiem.</w:t>
      </w:r>
      <w:r w:rsidRPr="0082362E">
        <w:rPr>
          <w:rFonts w:ascii="Times New Roman" w:hAnsi="Times New Roman" w:cs="Times New Roman"/>
          <w:sz w:val="24"/>
          <w:szCs w:val="24"/>
        </w:rPr>
        <w:t xml:space="preserve"> Administratīvais akts noteic, ka nelikumīga komercdarbības atbalsta summa atmaksājama līdz 2022. gada 1. februārim.</w:t>
      </w:r>
    </w:p>
    <w:p w14:paraId="1C455333" w14:textId="53CB552C" w:rsidR="00450879" w:rsidRDefault="00450879" w:rsidP="000E2F48">
      <w:pPr>
        <w:ind w:firstLine="567"/>
        <w:rPr>
          <w:rFonts w:ascii="Times New Roman" w:hAnsi="Times New Roman" w:cs="Times New Roman"/>
          <w:sz w:val="24"/>
          <w:szCs w:val="24"/>
        </w:rPr>
      </w:pPr>
      <w:r>
        <w:rPr>
          <w:rFonts w:ascii="Times New Roman" w:hAnsi="Times New Roman" w:cs="Times New Roman"/>
          <w:sz w:val="24"/>
          <w:szCs w:val="24"/>
        </w:rPr>
        <w:t>Skaidrojam, ka t</w:t>
      </w:r>
      <w:r w:rsidR="000E2F48" w:rsidRPr="0082362E">
        <w:rPr>
          <w:rFonts w:ascii="Times New Roman" w:hAnsi="Times New Roman" w:cs="Times New Roman"/>
          <w:sz w:val="24"/>
          <w:szCs w:val="24"/>
        </w:rPr>
        <w:t xml:space="preserve">ā kā nelikumīgs komercdarbības atbalsts ticis piešķirts vairākkārt, no kuriem pirmais (23.04.2017.) un otrais (23.04.2018.) tika piešķirts periodā, kas pārsniedz triju gadu periodu, skaitot atpakaļ no dienas, kad pieņemts lēmums/administratīvais akts par nelikumīgā </w:t>
      </w:r>
      <w:r w:rsidR="00D36866">
        <w:rPr>
          <w:rFonts w:ascii="Times New Roman" w:hAnsi="Times New Roman" w:cs="Times New Roman"/>
          <w:sz w:val="24"/>
          <w:szCs w:val="24"/>
        </w:rPr>
        <w:t>komercdarbības atb</w:t>
      </w:r>
      <w:r w:rsidR="000E2F48" w:rsidRPr="0082362E">
        <w:rPr>
          <w:rFonts w:ascii="Times New Roman" w:hAnsi="Times New Roman" w:cs="Times New Roman"/>
          <w:sz w:val="24"/>
          <w:szCs w:val="24"/>
        </w:rPr>
        <w:t>alsta atgūšanu</w:t>
      </w:r>
      <w:r>
        <w:rPr>
          <w:rFonts w:ascii="Times New Roman" w:hAnsi="Times New Roman" w:cs="Times New Roman"/>
          <w:sz w:val="24"/>
          <w:szCs w:val="24"/>
        </w:rPr>
        <w:t xml:space="preserve"> (01.01.2022.)</w:t>
      </w:r>
      <w:r w:rsidR="000E2F48" w:rsidRPr="0082362E">
        <w:rPr>
          <w:rFonts w:ascii="Times New Roman" w:hAnsi="Times New Roman" w:cs="Times New Roman"/>
          <w:sz w:val="24"/>
          <w:szCs w:val="24"/>
        </w:rPr>
        <w:t>, nelikumīga komercdarbības atbalsta atgūšanas summas aprēķināšanai ir piemērojama gan likumā “Par nodokļiem un nodevām” noteiktā kārtība (attiecībā uz 2019., 2020. un 2021.gada summām), gan nelikumīgā komercdarbības atbalsta summas aprēķina formula (attiecībā uz 2017. un 2018.gada summām).</w:t>
      </w:r>
    </w:p>
    <w:p w14:paraId="3CDF282F" w14:textId="1FA34AC6" w:rsidR="000E2F48"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Ņemot vērā iepriekš minēto</w:t>
      </w:r>
      <w:r w:rsidR="00450879">
        <w:rPr>
          <w:rFonts w:ascii="Times New Roman" w:hAnsi="Times New Roman" w:cs="Times New Roman"/>
          <w:sz w:val="24"/>
          <w:szCs w:val="24"/>
        </w:rPr>
        <w:t>,</w:t>
      </w:r>
      <w:r w:rsidRPr="0082362E">
        <w:rPr>
          <w:rFonts w:ascii="Times New Roman" w:hAnsi="Times New Roman" w:cs="Times New Roman"/>
          <w:sz w:val="24"/>
          <w:szCs w:val="24"/>
        </w:rPr>
        <w:t xml:space="preserve"> uz 2022.gada 1.februāri atgūstamā nelikumīgā komercdarbības atbalsta summas aprēķins ir </w:t>
      </w:r>
      <w:r w:rsidRPr="007B2F69">
        <w:rPr>
          <w:rFonts w:ascii="Times New Roman" w:hAnsi="Times New Roman" w:cs="Times New Roman"/>
          <w:sz w:val="24"/>
          <w:szCs w:val="24"/>
        </w:rPr>
        <w:t>šāds:</w:t>
      </w:r>
    </w:p>
    <w:p w14:paraId="769C7BE3" w14:textId="44E9C3F5" w:rsidR="00A532A2" w:rsidRPr="00F85C92" w:rsidRDefault="00450879" w:rsidP="000E2F48">
      <w:pPr>
        <w:ind w:firstLine="567"/>
        <w:rPr>
          <w:rFonts w:ascii="Times New Roman" w:hAnsi="Times New Roman" w:cs="Times New Roman"/>
          <w:b/>
          <w:bCs/>
          <w:i/>
          <w:iCs/>
          <w:sz w:val="24"/>
          <w:szCs w:val="24"/>
        </w:rPr>
      </w:pPr>
      <w:r>
        <w:rPr>
          <w:rFonts w:ascii="Times New Roman" w:hAnsi="Times New Roman" w:cs="Times New Roman"/>
          <w:b/>
          <w:bCs/>
          <w:i/>
          <w:iCs/>
          <w:sz w:val="24"/>
          <w:szCs w:val="24"/>
        </w:rPr>
        <w:t xml:space="preserve">1. </w:t>
      </w:r>
      <w:r w:rsidR="00A532A2" w:rsidRPr="00F85C92">
        <w:rPr>
          <w:rFonts w:ascii="Times New Roman" w:hAnsi="Times New Roman" w:cs="Times New Roman"/>
          <w:b/>
          <w:bCs/>
          <w:i/>
          <w:iCs/>
          <w:sz w:val="24"/>
          <w:szCs w:val="24"/>
        </w:rPr>
        <w:t>Nelikumīga komercdarbības atbalsta apmēra</w:t>
      </w:r>
      <w:r w:rsidR="00AA5AC6">
        <w:rPr>
          <w:rFonts w:ascii="Times New Roman" w:hAnsi="Times New Roman" w:cs="Times New Roman"/>
          <w:b/>
          <w:bCs/>
          <w:i/>
          <w:iCs/>
          <w:sz w:val="24"/>
          <w:szCs w:val="24"/>
        </w:rPr>
        <w:t xml:space="preserve"> un procentu</w:t>
      </w:r>
      <w:r w:rsidR="00A532A2" w:rsidRPr="00F85C92">
        <w:rPr>
          <w:rFonts w:ascii="Times New Roman" w:hAnsi="Times New Roman" w:cs="Times New Roman"/>
          <w:b/>
          <w:bCs/>
          <w:i/>
          <w:iCs/>
          <w:sz w:val="24"/>
          <w:szCs w:val="24"/>
        </w:rPr>
        <w:t xml:space="preserve"> aprēķināšana </w:t>
      </w:r>
      <w:r w:rsidR="00AA5AC6">
        <w:rPr>
          <w:rFonts w:ascii="Times New Roman" w:hAnsi="Times New Roman" w:cs="Times New Roman"/>
          <w:b/>
          <w:bCs/>
          <w:i/>
          <w:iCs/>
          <w:sz w:val="24"/>
          <w:szCs w:val="24"/>
        </w:rPr>
        <w:t xml:space="preserve">saskaņā ar </w:t>
      </w:r>
      <w:r w:rsidR="00AA5AC6" w:rsidRPr="00AA5AC6">
        <w:rPr>
          <w:rFonts w:ascii="Times New Roman" w:hAnsi="Times New Roman" w:cs="Times New Roman"/>
          <w:b/>
          <w:bCs/>
          <w:i/>
          <w:iCs/>
          <w:sz w:val="24"/>
          <w:szCs w:val="24"/>
        </w:rPr>
        <w:t>nelikumīgā komercdarbības atbalsta summas aprēķina formul</w:t>
      </w:r>
      <w:r w:rsidR="00AA5AC6">
        <w:rPr>
          <w:rFonts w:ascii="Times New Roman" w:hAnsi="Times New Roman" w:cs="Times New Roman"/>
          <w:b/>
          <w:bCs/>
          <w:i/>
          <w:iCs/>
          <w:sz w:val="24"/>
          <w:szCs w:val="24"/>
        </w:rPr>
        <w:t>u</w:t>
      </w:r>
      <w:r>
        <w:rPr>
          <w:rFonts w:ascii="Times New Roman" w:hAnsi="Times New Roman" w:cs="Times New Roman"/>
          <w:b/>
          <w:bCs/>
          <w:i/>
          <w:iCs/>
          <w:sz w:val="24"/>
          <w:szCs w:val="24"/>
        </w:rPr>
        <w:t xml:space="preserve"> (atbilstoši KAKL)</w:t>
      </w:r>
      <w:r w:rsidR="00A532A2" w:rsidRPr="00F85C92">
        <w:rPr>
          <w:rFonts w:ascii="Times New Roman" w:hAnsi="Times New Roman" w:cs="Times New Roman"/>
          <w:b/>
          <w:bCs/>
          <w:i/>
          <w:iCs/>
          <w:sz w:val="24"/>
          <w:szCs w:val="24"/>
        </w:rPr>
        <w:t>:</w:t>
      </w:r>
    </w:p>
    <w:p w14:paraId="58155BD4" w14:textId="77777777" w:rsidR="000E2F48" w:rsidRPr="0082362E" w:rsidRDefault="000E2F48" w:rsidP="000E2F48">
      <w:pPr>
        <w:numPr>
          <w:ilvl w:val="0"/>
          <w:numId w:val="19"/>
        </w:numPr>
        <w:rPr>
          <w:rFonts w:ascii="Times New Roman" w:hAnsi="Times New Roman" w:cs="Times New Roman"/>
          <w:sz w:val="24"/>
          <w:szCs w:val="24"/>
        </w:rPr>
      </w:pPr>
      <w:r w:rsidRPr="0082362E">
        <w:rPr>
          <w:rFonts w:ascii="Times New Roman" w:hAnsi="Times New Roman" w:cs="Times New Roman"/>
          <w:sz w:val="24"/>
          <w:szCs w:val="24"/>
        </w:rPr>
        <w:t>Par faktiski piešķirto nelikumīgā komercdarbības atbalsta apmēru 2017. gada 23. aprīlī:</w:t>
      </w:r>
    </w:p>
    <w:p w14:paraId="4670BC2A" w14:textId="6C0FD785"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 xml:space="preserve">Pirmais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alsta apmērs (</w:t>
      </w:r>
      <w:r w:rsidRPr="0082362E">
        <w:rPr>
          <w:rFonts w:ascii="Times New Roman" w:hAnsi="Times New Roman" w:cs="Times New Roman"/>
          <w:sz w:val="24"/>
          <w:szCs w:val="24"/>
        </w:rPr>
        <w:t>M</w:t>
      </w:r>
      <w:r w:rsidRPr="0082362E">
        <w:rPr>
          <w:rFonts w:ascii="Times New Roman" w:hAnsi="Times New Roman" w:cs="Times New Roman"/>
          <w:sz w:val="24"/>
          <w:szCs w:val="24"/>
          <w:vertAlign w:val="subscript"/>
        </w:rPr>
        <w:t>1</w:t>
      </w:r>
      <w:r w:rsidRPr="0082362E">
        <w:rPr>
          <w:rFonts w:ascii="Times New Roman" w:hAnsi="Times New Roman" w:cs="Times New Roman"/>
          <w:bCs/>
          <w:iCs/>
          <w:sz w:val="24"/>
          <w:szCs w:val="24"/>
        </w:rPr>
        <w:t xml:space="preserve">) - </w:t>
      </w:r>
      <w:r w:rsidRPr="0082362E">
        <w:rPr>
          <w:rFonts w:ascii="Times New Roman" w:hAnsi="Times New Roman" w:cs="Times New Roman"/>
          <w:sz w:val="24"/>
          <w:szCs w:val="24"/>
        </w:rPr>
        <w:t>10 000 EUR</w:t>
      </w:r>
    </w:p>
    <w:p w14:paraId="6DEF8387" w14:textId="151743BE"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 xml:space="preserve">2017. (t) </w:t>
      </w:r>
      <w:r w:rsidR="00FA153B">
        <w:rPr>
          <w:rFonts w:ascii="Times New Roman" w:hAnsi="Times New Roman" w:cs="Times New Roman"/>
          <w:sz w:val="24"/>
          <w:szCs w:val="24"/>
        </w:rPr>
        <w:t>–</w:t>
      </w:r>
      <w:r w:rsidRPr="0082362E">
        <w:rPr>
          <w:rFonts w:ascii="Times New Roman" w:hAnsi="Times New Roman" w:cs="Times New Roman"/>
          <w:sz w:val="24"/>
          <w:szCs w:val="24"/>
        </w:rPr>
        <w:t xml:space="preserve"> (-0,08%)</w:t>
      </w:r>
    </w:p>
    <w:p w14:paraId="1895BDF1" w14:textId="5176B338"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 xml:space="preserve">2018. (t+1) </w:t>
      </w:r>
      <w:r w:rsidR="00FA153B">
        <w:rPr>
          <w:rFonts w:ascii="Times New Roman" w:hAnsi="Times New Roman" w:cs="Times New Roman"/>
          <w:sz w:val="24"/>
          <w:szCs w:val="24"/>
        </w:rPr>
        <w:t>–</w:t>
      </w:r>
      <w:r w:rsidR="00FA153B" w:rsidRPr="0082362E">
        <w:rPr>
          <w:rFonts w:ascii="Times New Roman" w:hAnsi="Times New Roman" w:cs="Times New Roman"/>
          <w:sz w:val="24"/>
          <w:szCs w:val="24"/>
        </w:rPr>
        <w:t xml:space="preserve"> </w:t>
      </w:r>
      <w:r w:rsidRPr="0082362E">
        <w:rPr>
          <w:rFonts w:ascii="Times New Roman" w:hAnsi="Times New Roman" w:cs="Times New Roman"/>
          <w:sz w:val="24"/>
          <w:szCs w:val="24"/>
        </w:rPr>
        <w:t>(-0,18%)</w:t>
      </w:r>
    </w:p>
    <w:p w14:paraId="43A48F9B" w14:textId="51C649FA"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 xml:space="preserve">2019. (t+2) </w:t>
      </w:r>
      <w:r w:rsidR="00FA153B">
        <w:rPr>
          <w:rFonts w:ascii="Times New Roman" w:hAnsi="Times New Roman" w:cs="Times New Roman"/>
          <w:sz w:val="24"/>
          <w:szCs w:val="24"/>
        </w:rPr>
        <w:t>–</w:t>
      </w:r>
      <w:r w:rsidR="00FA153B" w:rsidRPr="0082362E">
        <w:rPr>
          <w:rFonts w:ascii="Times New Roman" w:hAnsi="Times New Roman" w:cs="Times New Roman"/>
          <w:sz w:val="24"/>
          <w:szCs w:val="24"/>
        </w:rPr>
        <w:t xml:space="preserve"> </w:t>
      </w:r>
      <w:r w:rsidRPr="0082362E">
        <w:rPr>
          <w:rFonts w:ascii="Times New Roman" w:hAnsi="Times New Roman" w:cs="Times New Roman"/>
          <w:sz w:val="24"/>
          <w:szCs w:val="24"/>
        </w:rPr>
        <w:t>(-0,13%)</w:t>
      </w:r>
    </w:p>
    <w:p w14:paraId="1B260AF9" w14:textId="3F10E578"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2020. (t+3)</w:t>
      </w:r>
      <w:r w:rsidR="00FA153B" w:rsidRPr="00FA153B">
        <w:rPr>
          <w:rFonts w:ascii="Times New Roman" w:hAnsi="Times New Roman" w:cs="Times New Roman"/>
          <w:sz w:val="24"/>
          <w:szCs w:val="24"/>
        </w:rPr>
        <w:t xml:space="preserve"> </w:t>
      </w:r>
      <w:r w:rsidR="00FA153B">
        <w:rPr>
          <w:rFonts w:ascii="Times New Roman" w:hAnsi="Times New Roman" w:cs="Times New Roman"/>
          <w:sz w:val="24"/>
          <w:szCs w:val="24"/>
        </w:rPr>
        <w:t>–</w:t>
      </w:r>
      <w:r w:rsidR="00FA153B" w:rsidRPr="0082362E">
        <w:rPr>
          <w:rFonts w:ascii="Times New Roman" w:hAnsi="Times New Roman" w:cs="Times New Roman"/>
          <w:sz w:val="24"/>
          <w:szCs w:val="24"/>
        </w:rPr>
        <w:t xml:space="preserve"> </w:t>
      </w:r>
      <w:r w:rsidRPr="0082362E">
        <w:rPr>
          <w:rFonts w:ascii="Times New Roman" w:hAnsi="Times New Roman" w:cs="Times New Roman"/>
          <w:sz w:val="24"/>
          <w:szCs w:val="24"/>
        </w:rPr>
        <w:t>(-0,31%)</w:t>
      </w:r>
    </w:p>
    <w:p w14:paraId="1D7FA7E2" w14:textId="06400AC8"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 xml:space="preserve">2021. (t+4) </w:t>
      </w:r>
      <w:r w:rsidR="00FA153B">
        <w:rPr>
          <w:rFonts w:ascii="Times New Roman" w:hAnsi="Times New Roman" w:cs="Times New Roman"/>
          <w:sz w:val="24"/>
          <w:szCs w:val="24"/>
        </w:rPr>
        <w:t>–</w:t>
      </w:r>
      <w:r w:rsidRPr="0082362E">
        <w:rPr>
          <w:rFonts w:ascii="Times New Roman" w:hAnsi="Times New Roman" w:cs="Times New Roman"/>
          <w:sz w:val="24"/>
          <w:szCs w:val="24"/>
        </w:rPr>
        <w:t xml:space="preserve"> (-0,45%)</w:t>
      </w:r>
    </w:p>
    <w:p w14:paraId="45585022" w14:textId="77777777"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Atsauces likmei jāpieskaita 100 bāzes punkti.</w:t>
      </w:r>
    </w:p>
    <w:p w14:paraId="680709AE" w14:textId="77777777" w:rsidR="000E2F48" w:rsidRPr="0082362E" w:rsidRDefault="000E2F48" w:rsidP="000E2F48">
      <w:pPr>
        <w:numPr>
          <w:ilvl w:val="0"/>
          <w:numId w:val="19"/>
        </w:numPr>
        <w:rPr>
          <w:rFonts w:ascii="Times New Roman" w:hAnsi="Times New Roman" w:cs="Times New Roman"/>
          <w:sz w:val="24"/>
          <w:szCs w:val="24"/>
        </w:rPr>
      </w:pPr>
      <w:r w:rsidRPr="0082362E">
        <w:rPr>
          <w:rFonts w:ascii="Times New Roman" w:hAnsi="Times New Roman" w:cs="Times New Roman"/>
          <w:sz w:val="24"/>
          <w:szCs w:val="24"/>
        </w:rPr>
        <w:t>Par faktiski piešķirto nelikumīgā komercdarbības atbalsta apmēru 2018. gada 23. aprīlī:</w:t>
      </w:r>
    </w:p>
    <w:p w14:paraId="710B568A" w14:textId="36CC0360"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 xml:space="preserve">Otrais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alsta apmērs (</w:t>
      </w:r>
      <w:r w:rsidRPr="0082362E">
        <w:rPr>
          <w:rFonts w:ascii="Times New Roman" w:hAnsi="Times New Roman" w:cs="Times New Roman"/>
          <w:sz w:val="24"/>
          <w:szCs w:val="24"/>
        </w:rPr>
        <w:t>M</w:t>
      </w:r>
      <w:r w:rsidRPr="0082362E">
        <w:rPr>
          <w:rFonts w:ascii="Times New Roman" w:hAnsi="Times New Roman" w:cs="Times New Roman"/>
          <w:sz w:val="24"/>
          <w:szCs w:val="24"/>
          <w:vertAlign w:val="subscript"/>
        </w:rPr>
        <w:t>2</w:t>
      </w:r>
      <w:r w:rsidRPr="0082362E">
        <w:rPr>
          <w:rFonts w:ascii="Times New Roman" w:hAnsi="Times New Roman" w:cs="Times New Roman"/>
          <w:bCs/>
          <w:iCs/>
          <w:sz w:val="24"/>
          <w:szCs w:val="24"/>
        </w:rPr>
        <w:t xml:space="preserve">) - </w:t>
      </w:r>
      <w:r w:rsidRPr="0082362E">
        <w:rPr>
          <w:rFonts w:ascii="Times New Roman" w:hAnsi="Times New Roman" w:cs="Times New Roman"/>
          <w:sz w:val="24"/>
          <w:szCs w:val="24"/>
        </w:rPr>
        <w:t>15 000 EUR</w:t>
      </w:r>
    </w:p>
    <w:p w14:paraId="5B03CF69" w14:textId="61EA5A7E"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 xml:space="preserve">2018. (t) </w:t>
      </w:r>
      <w:r w:rsidR="00FA153B">
        <w:rPr>
          <w:rFonts w:ascii="Times New Roman" w:hAnsi="Times New Roman" w:cs="Times New Roman"/>
          <w:sz w:val="24"/>
          <w:szCs w:val="24"/>
        </w:rPr>
        <w:t>–</w:t>
      </w:r>
      <w:r w:rsidR="00FA153B" w:rsidRPr="0082362E">
        <w:rPr>
          <w:rFonts w:ascii="Times New Roman" w:hAnsi="Times New Roman" w:cs="Times New Roman"/>
          <w:sz w:val="24"/>
          <w:szCs w:val="24"/>
        </w:rPr>
        <w:t xml:space="preserve"> </w:t>
      </w:r>
      <w:r w:rsidRPr="0082362E">
        <w:rPr>
          <w:rFonts w:ascii="Times New Roman" w:hAnsi="Times New Roman" w:cs="Times New Roman"/>
          <w:sz w:val="24"/>
          <w:szCs w:val="24"/>
        </w:rPr>
        <w:t>(-0,18%)</w:t>
      </w:r>
    </w:p>
    <w:p w14:paraId="3C38E2E9" w14:textId="769E8AAE"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 xml:space="preserve">2019. (t+1) </w:t>
      </w:r>
      <w:r w:rsidR="00FA153B">
        <w:rPr>
          <w:rFonts w:ascii="Times New Roman" w:hAnsi="Times New Roman" w:cs="Times New Roman"/>
          <w:sz w:val="24"/>
          <w:szCs w:val="24"/>
        </w:rPr>
        <w:t>–</w:t>
      </w:r>
      <w:r w:rsidR="00FA153B" w:rsidRPr="0082362E">
        <w:rPr>
          <w:rFonts w:ascii="Times New Roman" w:hAnsi="Times New Roman" w:cs="Times New Roman"/>
          <w:sz w:val="24"/>
          <w:szCs w:val="24"/>
        </w:rPr>
        <w:t xml:space="preserve"> </w:t>
      </w:r>
      <w:r w:rsidRPr="0082362E">
        <w:rPr>
          <w:rFonts w:ascii="Times New Roman" w:hAnsi="Times New Roman" w:cs="Times New Roman"/>
          <w:sz w:val="24"/>
          <w:szCs w:val="24"/>
        </w:rPr>
        <w:t>(-0,13%)</w:t>
      </w:r>
    </w:p>
    <w:p w14:paraId="6D65D078" w14:textId="3B3B3F87"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 xml:space="preserve">2020. (t+2) </w:t>
      </w:r>
      <w:r w:rsidR="00FA153B">
        <w:rPr>
          <w:rFonts w:ascii="Times New Roman" w:hAnsi="Times New Roman" w:cs="Times New Roman"/>
          <w:sz w:val="24"/>
          <w:szCs w:val="24"/>
        </w:rPr>
        <w:t>–</w:t>
      </w:r>
      <w:r w:rsidR="00FA153B" w:rsidRPr="0082362E">
        <w:rPr>
          <w:rFonts w:ascii="Times New Roman" w:hAnsi="Times New Roman" w:cs="Times New Roman"/>
          <w:sz w:val="24"/>
          <w:szCs w:val="24"/>
        </w:rPr>
        <w:t xml:space="preserve"> </w:t>
      </w:r>
      <w:r w:rsidRPr="0082362E">
        <w:rPr>
          <w:rFonts w:ascii="Times New Roman" w:hAnsi="Times New Roman" w:cs="Times New Roman"/>
          <w:sz w:val="24"/>
          <w:szCs w:val="24"/>
        </w:rPr>
        <w:t>(-0,31%)</w:t>
      </w:r>
    </w:p>
    <w:p w14:paraId="75FB84E6" w14:textId="20FE5615"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Atsauces likme (</w:t>
      </w:r>
      <w:r w:rsidRPr="0082362E">
        <w:rPr>
          <w:rFonts w:ascii="Times New Roman" w:hAnsi="Times New Roman" w:cs="Times New Roman"/>
          <w:sz w:val="24"/>
          <w:szCs w:val="24"/>
        </w:rPr>
        <w:t>r</w:t>
      </w:r>
      <w:r w:rsidRPr="0082362E">
        <w:rPr>
          <w:rFonts w:ascii="Times New Roman" w:hAnsi="Times New Roman" w:cs="Times New Roman"/>
          <w:sz w:val="24"/>
          <w:szCs w:val="24"/>
          <w:vertAlign w:val="subscript"/>
        </w:rPr>
        <w:t>y</w:t>
      </w:r>
      <w:r w:rsidRPr="0082362E">
        <w:rPr>
          <w:rFonts w:ascii="Times New Roman" w:hAnsi="Times New Roman" w:cs="Times New Roman"/>
          <w:bCs/>
          <w:iCs/>
          <w:sz w:val="24"/>
          <w:szCs w:val="24"/>
        </w:rPr>
        <w:t>) uz 23.04.</w:t>
      </w:r>
      <w:r w:rsidRPr="0082362E">
        <w:rPr>
          <w:rFonts w:ascii="Times New Roman" w:hAnsi="Times New Roman" w:cs="Times New Roman"/>
          <w:sz w:val="24"/>
          <w:szCs w:val="24"/>
        </w:rPr>
        <w:t xml:space="preserve">2021. (t+3) </w:t>
      </w:r>
      <w:r w:rsidR="00FA153B">
        <w:rPr>
          <w:rFonts w:ascii="Times New Roman" w:hAnsi="Times New Roman" w:cs="Times New Roman"/>
          <w:sz w:val="24"/>
          <w:szCs w:val="24"/>
        </w:rPr>
        <w:t>–</w:t>
      </w:r>
      <w:r w:rsidR="00FA153B" w:rsidRPr="0082362E">
        <w:rPr>
          <w:rFonts w:ascii="Times New Roman" w:hAnsi="Times New Roman" w:cs="Times New Roman"/>
          <w:sz w:val="24"/>
          <w:szCs w:val="24"/>
        </w:rPr>
        <w:t xml:space="preserve"> </w:t>
      </w:r>
      <w:r w:rsidRPr="0082362E">
        <w:rPr>
          <w:rFonts w:ascii="Times New Roman" w:hAnsi="Times New Roman" w:cs="Times New Roman"/>
          <w:sz w:val="24"/>
          <w:szCs w:val="24"/>
        </w:rPr>
        <w:t>(-0,45%)</w:t>
      </w:r>
    </w:p>
    <w:p w14:paraId="4D266EC1" w14:textId="77777777"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Atsauces likmei jāpieskaita 100 bāzes punkti.</w:t>
      </w:r>
    </w:p>
    <w:p w14:paraId="5673BE0D" w14:textId="7E6FC71F" w:rsidR="000E2F48" w:rsidRPr="0082362E" w:rsidRDefault="000E2F48" w:rsidP="000E2F48">
      <w:pPr>
        <w:ind w:firstLine="567"/>
        <w:rPr>
          <w:rFonts w:ascii="Times New Roman" w:hAnsi="Times New Roman" w:cs="Times New Roman"/>
          <w:i/>
          <w:iCs/>
          <w:sz w:val="24"/>
          <w:szCs w:val="24"/>
        </w:rPr>
      </w:pPr>
      <w:r w:rsidRPr="0082362E">
        <w:rPr>
          <w:rFonts w:ascii="Times New Roman" w:hAnsi="Times New Roman" w:cs="Times New Roman"/>
          <w:i/>
          <w:iCs/>
          <w:sz w:val="24"/>
          <w:szCs w:val="24"/>
        </w:rPr>
        <w:t>Nelikumīga komercdarbības atbalsta summas aprēķins</w:t>
      </w:r>
      <w:r w:rsidR="00450879">
        <w:rPr>
          <w:rStyle w:val="FootnoteReference"/>
          <w:rFonts w:ascii="Times New Roman" w:hAnsi="Times New Roman" w:cs="Times New Roman"/>
          <w:sz w:val="24"/>
          <w:szCs w:val="24"/>
        </w:rPr>
        <w:footnoteReference w:id="60"/>
      </w:r>
      <w:r w:rsidRPr="0082362E">
        <w:rPr>
          <w:rFonts w:ascii="Times New Roman" w:hAnsi="Times New Roman" w:cs="Times New Roman"/>
          <w:i/>
          <w:iCs/>
          <w:sz w:val="24"/>
          <w:szCs w:val="24"/>
        </w:rPr>
        <w:t>:</w:t>
      </w:r>
    </w:p>
    <w:p w14:paraId="314ECDB1" w14:textId="7ED9A3D9"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A= (10000*(1-0,0008+0,01)</w:t>
      </w:r>
      <w:r w:rsidRPr="0082362E">
        <w:rPr>
          <w:rFonts w:ascii="Times New Roman" w:hAnsi="Times New Roman" w:cs="Times New Roman"/>
          <w:sz w:val="24"/>
          <w:szCs w:val="24"/>
          <w:vertAlign w:val="superscript"/>
        </w:rPr>
        <w:t>365/365</w:t>
      </w:r>
      <w:r w:rsidRPr="0082362E">
        <w:rPr>
          <w:rFonts w:ascii="Times New Roman" w:hAnsi="Times New Roman" w:cs="Times New Roman"/>
          <w:sz w:val="24"/>
          <w:szCs w:val="24"/>
        </w:rPr>
        <w:t>*(1-0,0018+0,01)</w:t>
      </w:r>
      <w:r w:rsidRPr="0082362E">
        <w:rPr>
          <w:rFonts w:ascii="Times New Roman" w:hAnsi="Times New Roman" w:cs="Times New Roman"/>
          <w:sz w:val="24"/>
          <w:szCs w:val="24"/>
          <w:vertAlign w:val="superscript"/>
        </w:rPr>
        <w:t>365/365</w:t>
      </w:r>
      <w:r w:rsidRPr="0082362E">
        <w:rPr>
          <w:rFonts w:ascii="Times New Roman" w:hAnsi="Times New Roman" w:cs="Times New Roman"/>
          <w:sz w:val="24"/>
          <w:szCs w:val="24"/>
        </w:rPr>
        <w:t>*(1-0,0013+0,01)</w:t>
      </w:r>
      <w:r w:rsidRPr="0082362E">
        <w:rPr>
          <w:rFonts w:ascii="Times New Roman" w:hAnsi="Times New Roman" w:cs="Times New Roman"/>
          <w:sz w:val="24"/>
          <w:szCs w:val="24"/>
          <w:vertAlign w:val="superscript"/>
        </w:rPr>
        <w:t>365/365</w:t>
      </w:r>
      <w:r w:rsidRPr="0082362E">
        <w:rPr>
          <w:rFonts w:ascii="Times New Roman" w:hAnsi="Times New Roman" w:cs="Times New Roman"/>
          <w:sz w:val="24"/>
          <w:szCs w:val="24"/>
        </w:rPr>
        <w:t>*(1-0,0031+0,01)</w:t>
      </w:r>
      <w:r w:rsidRPr="0082362E">
        <w:rPr>
          <w:rFonts w:ascii="Times New Roman" w:hAnsi="Times New Roman" w:cs="Times New Roman"/>
          <w:sz w:val="24"/>
          <w:szCs w:val="24"/>
          <w:vertAlign w:val="superscript"/>
        </w:rPr>
        <w:t>365/365</w:t>
      </w:r>
      <w:r w:rsidRPr="0082362E">
        <w:rPr>
          <w:rFonts w:ascii="Times New Roman" w:hAnsi="Times New Roman" w:cs="Times New Roman"/>
          <w:sz w:val="24"/>
          <w:szCs w:val="24"/>
        </w:rPr>
        <w:t>*(1-0,0045+0,01)</w:t>
      </w:r>
      <w:r w:rsidRPr="0082362E">
        <w:rPr>
          <w:rFonts w:ascii="Times New Roman" w:hAnsi="Times New Roman" w:cs="Times New Roman"/>
          <w:sz w:val="24"/>
          <w:szCs w:val="24"/>
          <w:vertAlign w:val="superscript"/>
        </w:rPr>
        <w:t>284/365</w:t>
      </w:r>
      <w:r w:rsidRPr="0082362E">
        <w:rPr>
          <w:rFonts w:ascii="Times New Roman" w:hAnsi="Times New Roman" w:cs="Times New Roman"/>
          <w:sz w:val="24"/>
          <w:szCs w:val="24"/>
        </w:rPr>
        <w:t>)+(15000*(1-0,0018+0,01)</w:t>
      </w:r>
      <w:r w:rsidRPr="0082362E">
        <w:rPr>
          <w:rFonts w:ascii="Times New Roman" w:hAnsi="Times New Roman" w:cs="Times New Roman"/>
          <w:sz w:val="24"/>
          <w:szCs w:val="24"/>
          <w:vertAlign w:val="superscript"/>
        </w:rPr>
        <w:t>365/365</w:t>
      </w:r>
      <w:r w:rsidRPr="0082362E">
        <w:rPr>
          <w:rFonts w:ascii="Times New Roman" w:hAnsi="Times New Roman" w:cs="Times New Roman"/>
          <w:sz w:val="24"/>
          <w:szCs w:val="24"/>
        </w:rPr>
        <w:t>*(1-0,0013+0,01)</w:t>
      </w:r>
      <w:r w:rsidRPr="0082362E">
        <w:rPr>
          <w:rFonts w:ascii="Times New Roman" w:hAnsi="Times New Roman" w:cs="Times New Roman"/>
          <w:sz w:val="24"/>
          <w:szCs w:val="24"/>
          <w:vertAlign w:val="superscript"/>
        </w:rPr>
        <w:t>365/365</w:t>
      </w:r>
      <w:r w:rsidRPr="0082362E">
        <w:rPr>
          <w:rFonts w:ascii="Times New Roman" w:hAnsi="Times New Roman" w:cs="Times New Roman"/>
          <w:sz w:val="24"/>
          <w:szCs w:val="24"/>
        </w:rPr>
        <w:t>*(1-0,0031+0,01)</w:t>
      </w:r>
      <w:r w:rsidRPr="0082362E">
        <w:rPr>
          <w:rFonts w:ascii="Times New Roman" w:hAnsi="Times New Roman" w:cs="Times New Roman"/>
          <w:sz w:val="24"/>
          <w:szCs w:val="24"/>
          <w:vertAlign w:val="superscript"/>
        </w:rPr>
        <w:t>365/365</w:t>
      </w:r>
      <w:r w:rsidRPr="0082362E">
        <w:rPr>
          <w:rFonts w:ascii="Times New Roman" w:hAnsi="Times New Roman" w:cs="Times New Roman"/>
          <w:sz w:val="24"/>
          <w:szCs w:val="24"/>
        </w:rPr>
        <w:t>*(1-0,0045+0,01)</w:t>
      </w:r>
      <w:r w:rsidRPr="0082362E">
        <w:rPr>
          <w:rFonts w:ascii="Times New Roman" w:hAnsi="Times New Roman" w:cs="Times New Roman"/>
          <w:sz w:val="24"/>
          <w:szCs w:val="24"/>
          <w:vertAlign w:val="superscript"/>
        </w:rPr>
        <w:t>284/365</w:t>
      </w:r>
      <w:r w:rsidRPr="0082362E">
        <w:rPr>
          <w:rFonts w:ascii="Times New Roman" w:hAnsi="Times New Roman" w:cs="Times New Roman"/>
          <w:sz w:val="24"/>
          <w:szCs w:val="24"/>
        </w:rPr>
        <w:t>)</w:t>
      </w:r>
    </w:p>
    <w:p w14:paraId="3735D864" w14:textId="4E145D5B"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 xml:space="preserve">Atgūstamais nelikumīgā komercdarbības atbalsta apmērs </w:t>
      </w:r>
      <w:r w:rsidR="000E117D" w:rsidRPr="007B2F69">
        <w:rPr>
          <w:rFonts w:ascii="Times New Roman" w:hAnsi="Times New Roman" w:cs="Times New Roman"/>
          <w:sz w:val="24"/>
          <w:szCs w:val="24"/>
        </w:rPr>
        <w:t>kopā ar procentiem</w:t>
      </w:r>
      <w:r w:rsidR="000E117D">
        <w:rPr>
          <w:rFonts w:ascii="Times New Roman" w:hAnsi="Times New Roman" w:cs="Times New Roman"/>
          <w:sz w:val="24"/>
          <w:szCs w:val="24"/>
        </w:rPr>
        <w:t xml:space="preserve"> </w:t>
      </w:r>
      <w:r w:rsidRPr="0082362E">
        <w:rPr>
          <w:rFonts w:ascii="Times New Roman" w:hAnsi="Times New Roman" w:cs="Times New Roman"/>
          <w:sz w:val="24"/>
          <w:szCs w:val="24"/>
        </w:rPr>
        <w:t>uz 2022.gada 1.februāri veido 10378,29+15425,52=</w:t>
      </w:r>
      <w:r w:rsidRPr="0082362E">
        <w:rPr>
          <w:rFonts w:ascii="Times New Roman" w:hAnsi="Times New Roman" w:cs="Times New Roman"/>
          <w:b/>
          <w:bCs/>
          <w:sz w:val="24"/>
          <w:szCs w:val="24"/>
        </w:rPr>
        <w:t>25803,81 EUR</w:t>
      </w:r>
    </w:p>
    <w:p w14:paraId="27BB4D0C" w14:textId="19F7C0A3" w:rsidR="000E2F48" w:rsidRPr="00F85C92" w:rsidRDefault="00450879" w:rsidP="000E2F48">
      <w:pPr>
        <w:ind w:firstLine="567"/>
        <w:rPr>
          <w:rFonts w:ascii="Times New Roman" w:hAnsi="Times New Roman" w:cs="Times New Roman"/>
          <w:b/>
          <w:bCs/>
          <w:i/>
          <w:iCs/>
          <w:sz w:val="24"/>
          <w:szCs w:val="24"/>
        </w:rPr>
      </w:pPr>
      <w:r>
        <w:rPr>
          <w:rFonts w:ascii="Times New Roman" w:hAnsi="Times New Roman" w:cs="Times New Roman"/>
          <w:b/>
          <w:bCs/>
          <w:i/>
          <w:iCs/>
          <w:sz w:val="24"/>
          <w:szCs w:val="24"/>
        </w:rPr>
        <w:t xml:space="preserve">2. </w:t>
      </w:r>
      <w:r w:rsidR="000E2F48" w:rsidRPr="00F85C92">
        <w:rPr>
          <w:rFonts w:ascii="Times New Roman" w:hAnsi="Times New Roman" w:cs="Times New Roman"/>
          <w:b/>
          <w:bCs/>
          <w:i/>
          <w:iCs/>
          <w:sz w:val="24"/>
          <w:szCs w:val="24"/>
        </w:rPr>
        <w:t xml:space="preserve">Nodokļu un nokavējuma naudas aprēķināšana saskaņā ar likumā “Par nodokļiem un nodevām” noteikto kārtību: </w:t>
      </w:r>
    </w:p>
    <w:p w14:paraId="57877B3B" w14:textId="77777777" w:rsidR="000E2F48" w:rsidRPr="0082362E" w:rsidRDefault="000E2F48" w:rsidP="000E2F48">
      <w:pPr>
        <w:numPr>
          <w:ilvl w:val="0"/>
          <w:numId w:val="19"/>
        </w:numPr>
        <w:rPr>
          <w:rFonts w:ascii="Times New Roman" w:hAnsi="Times New Roman" w:cs="Times New Roman"/>
          <w:sz w:val="24"/>
          <w:szCs w:val="24"/>
        </w:rPr>
      </w:pPr>
      <w:r w:rsidRPr="0082362E">
        <w:rPr>
          <w:rFonts w:ascii="Times New Roman" w:hAnsi="Times New Roman" w:cs="Times New Roman"/>
          <w:sz w:val="24"/>
          <w:szCs w:val="24"/>
        </w:rPr>
        <w:t>Par faktiski piešķirto nelikumīgā komercdarbības atbalsta apmēru 2019. gada 23. aprīlī:</w:t>
      </w:r>
    </w:p>
    <w:p w14:paraId="038F7748" w14:textId="4BAA4FAB"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 xml:space="preserve">Trešais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 xml:space="preserve">alsta apmērs - </w:t>
      </w:r>
      <w:r w:rsidRPr="0082362E">
        <w:rPr>
          <w:rFonts w:ascii="Times New Roman" w:hAnsi="Times New Roman" w:cs="Times New Roman"/>
          <w:sz w:val="24"/>
          <w:szCs w:val="24"/>
        </w:rPr>
        <w:t>20 000 EUR</w:t>
      </w:r>
    </w:p>
    <w:p w14:paraId="31DFA766" w14:textId="7798A74B"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20000+20000*0,0005*1015=30150 EUR</w:t>
      </w:r>
      <w:r w:rsidR="00CA12FA">
        <w:rPr>
          <w:rFonts w:ascii="Times New Roman" w:hAnsi="Times New Roman" w:cs="Times New Roman"/>
          <w:sz w:val="24"/>
          <w:szCs w:val="24"/>
        </w:rPr>
        <w:t xml:space="preserve"> (no tās nokavējuma nauda 10 150 EUR)</w:t>
      </w:r>
      <w:r w:rsidRPr="0082362E">
        <w:rPr>
          <w:rFonts w:ascii="Times New Roman" w:hAnsi="Times New Roman" w:cs="Times New Roman"/>
          <w:sz w:val="24"/>
          <w:szCs w:val="24"/>
        </w:rPr>
        <w:t>, taču ņemot vērā to, ka nokavējuma naudas aprēķināšana tiek pārtraukta, ja nokavējuma naudas summa sasniedz divas piektdaļas no nokavētā maksājuma (pamatparāda) apmēra</w:t>
      </w:r>
      <w:r w:rsidRPr="0082362E">
        <w:rPr>
          <w:rFonts w:ascii="Times New Roman" w:hAnsi="Times New Roman" w:cs="Times New Roman"/>
          <w:sz w:val="24"/>
          <w:szCs w:val="24"/>
          <w:vertAlign w:val="superscript"/>
        </w:rPr>
        <w:footnoteReference w:id="61"/>
      </w:r>
      <w:r w:rsidRPr="0082362E">
        <w:rPr>
          <w:rFonts w:ascii="Times New Roman" w:hAnsi="Times New Roman" w:cs="Times New Roman"/>
          <w:sz w:val="24"/>
          <w:szCs w:val="24"/>
        </w:rPr>
        <w:t xml:space="preserve">), nokavējuma naudas apmērs konkrētam nelikumīga komercdarbības atbalsta apmēram nevar pārsniegt 8000 EUR, līdz ar to, nokavējuma nauda kopā ar pamatparādu ir </w:t>
      </w:r>
      <w:r w:rsidRPr="007B2F69">
        <w:rPr>
          <w:rFonts w:ascii="Times New Roman" w:hAnsi="Times New Roman" w:cs="Times New Roman"/>
          <w:b/>
          <w:bCs/>
          <w:sz w:val="24"/>
          <w:szCs w:val="24"/>
        </w:rPr>
        <w:t>28 000 EUR</w:t>
      </w:r>
    </w:p>
    <w:p w14:paraId="6C25CE44" w14:textId="77777777" w:rsidR="000E2F48" w:rsidRPr="0082362E" w:rsidRDefault="000E2F48" w:rsidP="000E2F48">
      <w:pPr>
        <w:numPr>
          <w:ilvl w:val="0"/>
          <w:numId w:val="19"/>
        </w:numPr>
        <w:rPr>
          <w:rFonts w:ascii="Times New Roman" w:hAnsi="Times New Roman" w:cs="Times New Roman"/>
          <w:sz w:val="24"/>
          <w:szCs w:val="24"/>
        </w:rPr>
      </w:pPr>
      <w:r w:rsidRPr="0082362E">
        <w:rPr>
          <w:rFonts w:ascii="Times New Roman" w:hAnsi="Times New Roman" w:cs="Times New Roman"/>
          <w:sz w:val="24"/>
          <w:szCs w:val="24"/>
        </w:rPr>
        <w:t>Par faktiski piešķirto nelikumīgā komercdarbības atbalsta apmēru 2020. gada 23. aprīlī:</w:t>
      </w:r>
    </w:p>
    <w:p w14:paraId="0166FB39" w14:textId="5FBF2C22"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 xml:space="preserve">Ceturtais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 xml:space="preserve">alsta apmērs - </w:t>
      </w:r>
      <w:r w:rsidRPr="0082362E">
        <w:rPr>
          <w:rFonts w:ascii="Times New Roman" w:hAnsi="Times New Roman" w:cs="Times New Roman"/>
          <w:sz w:val="24"/>
          <w:szCs w:val="24"/>
        </w:rPr>
        <w:t>10 000 EUR</w:t>
      </w:r>
    </w:p>
    <w:p w14:paraId="66C05833" w14:textId="77777777"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10000+10000*0,0005*649=13245 EUR,</w:t>
      </w:r>
    </w:p>
    <w:p w14:paraId="7C0499F5" w14:textId="77777777"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 xml:space="preserve">ņemot vērā to, ka aprēķinātā nokavējuma nauda nesasniedz divas piektdaļas no nokavētā maksājuma (pamatparāda) apmēra) (konkrētajā piemērā 4000 EUR), nokavējuma nauda kopā ar pamatparādu (nelikumīga komercdarbības atbalsta apmēru) ir </w:t>
      </w:r>
      <w:r w:rsidRPr="007B2F69">
        <w:rPr>
          <w:rFonts w:ascii="Times New Roman" w:hAnsi="Times New Roman" w:cs="Times New Roman"/>
          <w:b/>
          <w:bCs/>
          <w:sz w:val="24"/>
          <w:szCs w:val="24"/>
        </w:rPr>
        <w:t>13 245 EUR</w:t>
      </w:r>
    </w:p>
    <w:p w14:paraId="579333DA" w14:textId="77777777" w:rsidR="000E2F48" w:rsidRPr="0082362E" w:rsidRDefault="000E2F48" w:rsidP="000E2F48">
      <w:pPr>
        <w:numPr>
          <w:ilvl w:val="0"/>
          <w:numId w:val="19"/>
        </w:numPr>
        <w:rPr>
          <w:rFonts w:ascii="Times New Roman" w:hAnsi="Times New Roman" w:cs="Times New Roman"/>
          <w:sz w:val="24"/>
          <w:szCs w:val="24"/>
        </w:rPr>
      </w:pPr>
      <w:r w:rsidRPr="0082362E">
        <w:rPr>
          <w:rFonts w:ascii="Times New Roman" w:hAnsi="Times New Roman" w:cs="Times New Roman"/>
          <w:sz w:val="24"/>
          <w:szCs w:val="24"/>
        </w:rPr>
        <w:t>Par faktiski piešķirto nelikumīgā komercdarbības atbalsta apmēru 2021. gada 23. aprīlī:</w:t>
      </w:r>
    </w:p>
    <w:p w14:paraId="4539291B" w14:textId="440D0C76" w:rsidR="000E2F48"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bCs/>
          <w:iCs/>
          <w:sz w:val="24"/>
          <w:szCs w:val="24"/>
        </w:rPr>
        <w:t xml:space="preserve">Piektais nelikumīgais </w:t>
      </w:r>
      <w:r w:rsidR="00D36866">
        <w:rPr>
          <w:rFonts w:ascii="Times New Roman" w:hAnsi="Times New Roman" w:cs="Times New Roman"/>
          <w:bCs/>
          <w:iCs/>
          <w:sz w:val="24"/>
          <w:szCs w:val="24"/>
        </w:rPr>
        <w:t>komercdarbības atb</w:t>
      </w:r>
      <w:r w:rsidRPr="0082362E">
        <w:rPr>
          <w:rFonts w:ascii="Times New Roman" w:hAnsi="Times New Roman" w:cs="Times New Roman"/>
          <w:bCs/>
          <w:iCs/>
          <w:sz w:val="24"/>
          <w:szCs w:val="24"/>
        </w:rPr>
        <w:t xml:space="preserve">alsta apmērs - </w:t>
      </w:r>
      <w:r w:rsidRPr="0082362E">
        <w:rPr>
          <w:rFonts w:ascii="Times New Roman" w:hAnsi="Times New Roman" w:cs="Times New Roman"/>
          <w:sz w:val="24"/>
          <w:szCs w:val="24"/>
        </w:rPr>
        <w:t>15 000 EUR</w:t>
      </w:r>
    </w:p>
    <w:p w14:paraId="2390EE0A" w14:textId="3CE8AF6E" w:rsidR="000E117D"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 xml:space="preserve">15000+15000*0,0005*284=17130 EUR, un ņemot vērā to, ka aprēķinātā nokavējuma nauda nesasniedz divas piektdaļas no nokavētā maksājuma (pamatparāda) apmēra) (konkrētajā piemērā 6000 EUR), nokavējuma nauda kopā ar pamatparādu (nelikumīga komercdarbības atbalsta apmēru) ir </w:t>
      </w:r>
      <w:r w:rsidRPr="007B2F69">
        <w:rPr>
          <w:rFonts w:ascii="Times New Roman" w:hAnsi="Times New Roman" w:cs="Times New Roman"/>
          <w:b/>
          <w:bCs/>
          <w:sz w:val="24"/>
          <w:szCs w:val="24"/>
        </w:rPr>
        <w:t>17 130 EUR</w:t>
      </w:r>
    </w:p>
    <w:p w14:paraId="129A82CE" w14:textId="1AECB2EC" w:rsidR="000E117D" w:rsidRPr="0082362E" w:rsidRDefault="000E2F48" w:rsidP="000E2F48">
      <w:pPr>
        <w:ind w:firstLine="567"/>
        <w:rPr>
          <w:rFonts w:ascii="Times New Roman" w:hAnsi="Times New Roman" w:cs="Times New Roman"/>
          <w:sz w:val="24"/>
          <w:szCs w:val="24"/>
        </w:rPr>
      </w:pPr>
      <w:r w:rsidRPr="0082362E">
        <w:rPr>
          <w:rFonts w:ascii="Times New Roman" w:hAnsi="Times New Roman" w:cs="Times New Roman"/>
          <w:sz w:val="24"/>
          <w:szCs w:val="24"/>
        </w:rPr>
        <w:t xml:space="preserve">Attiecīgi aprakstītajā piemērā kopējā </w:t>
      </w:r>
      <w:r w:rsidRPr="007B2F69">
        <w:rPr>
          <w:rFonts w:ascii="Times New Roman" w:hAnsi="Times New Roman" w:cs="Times New Roman"/>
          <w:sz w:val="24"/>
          <w:szCs w:val="24"/>
        </w:rPr>
        <w:t xml:space="preserve">nelikumīgā </w:t>
      </w:r>
      <w:r w:rsidR="000E117D" w:rsidRPr="007B2F69">
        <w:rPr>
          <w:rFonts w:ascii="Times New Roman" w:hAnsi="Times New Roman" w:cs="Times New Roman"/>
          <w:sz w:val="24"/>
          <w:szCs w:val="24"/>
        </w:rPr>
        <w:t xml:space="preserve">komercdarbības </w:t>
      </w:r>
      <w:r w:rsidRPr="007B2F69">
        <w:rPr>
          <w:rFonts w:ascii="Times New Roman" w:hAnsi="Times New Roman" w:cs="Times New Roman"/>
          <w:sz w:val="24"/>
          <w:szCs w:val="24"/>
        </w:rPr>
        <w:t xml:space="preserve">atbalsta summa kopā ar </w:t>
      </w:r>
      <w:r w:rsidR="000E117D" w:rsidRPr="007B2F69">
        <w:rPr>
          <w:rFonts w:ascii="Times New Roman" w:hAnsi="Times New Roman" w:cs="Times New Roman"/>
          <w:sz w:val="24"/>
          <w:szCs w:val="24"/>
        </w:rPr>
        <w:t xml:space="preserve">nokavējuma naudu un </w:t>
      </w:r>
      <w:r w:rsidRPr="007B2F69">
        <w:rPr>
          <w:rFonts w:ascii="Times New Roman" w:hAnsi="Times New Roman" w:cs="Times New Roman"/>
          <w:sz w:val="24"/>
          <w:szCs w:val="24"/>
        </w:rPr>
        <w:t>procentiem vei</w:t>
      </w:r>
      <w:r w:rsidRPr="0082362E">
        <w:rPr>
          <w:rFonts w:ascii="Times New Roman" w:hAnsi="Times New Roman" w:cs="Times New Roman"/>
          <w:sz w:val="24"/>
          <w:szCs w:val="24"/>
        </w:rPr>
        <w:t xml:space="preserve">do 25803,81+28000+13245+17130 = </w:t>
      </w:r>
      <w:r w:rsidRPr="0082362E">
        <w:rPr>
          <w:rFonts w:ascii="Times New Roman" w:hAnsi="Times New Roman" w:cs="Times New Roman"/>
          <w:b/>
          <w:bCs/>
          <w:sz w:val="24"/>
          <w:szCs w:val="24"/>
        </w:rPr>
        <w:t>84 178,81 EUR</w:t>
      </w:r>
      <w:r w:rsidRPr="0082362E">
        <w:rPr>
          <w:rFonts w:ascii="Times New Roman" w:hAnsi="Times New Roman" w:cs="Times New Roman"/>
          <w:sz w:val="24"/>
          <w:szCs w:val="24"/>
        </w:rPr>
        <w:t>, no kuriem 14 178,81 EUR veido nelikumīga komercdarbības atbalsta procenti un nokavējuma nauda.</w:t>
      </w:r>
    </w:p>
    <w:p w14:paraId="637BC341" w14:textId="77777777" w:rsidR="00007674" w:rsidRDefault="00007674">
      <w:pPr>
        <w:rPr>
          <w:rFonts w:ascii="Times New Roman" w:eastAsia="Times New Roman" w:hAnsi="Times New Roman" w:cs="Times New Roman"/>
          <w:b/>
          <w:bCs/>
          <w:iCs/>
          <w:caps/>
          <w:sz w:val="24"/>
          <w:szCs w:val="24"/>
        </w:rPr>
      </w:pPr>
      <w:r>
        <w:br w:type="page"/>
      </w:r>
    </w:p>
    <w:p w14:paraId="2A6C6BB3" w14:textId="0B980EC8" w:rsidR="00D50B89" w:rsidRPr="0082362E" w:rsidRDefault="00DC01CB" w:rsidP="00007674">
      <w:pPr>
        <w:pStyle w:val="Heading3"/>
      </w:pPr>
      <w:r w:rsidRPr="0082362E">
        <w:t>Noilguma periods</w:t>
      </w:r>
    </w:p>
    <w:p w14:paraId="1C6C746B" w14:textId="77777777" w:rsidR="00D50B89" w:rsidRPr="0082362E" w:rsidRDefault="00D50B89" w:rsidP="00444DFF">
      <w:pPr>
        <w:rPr>
          <w:rFonts w:ascii="Times New Roman" w:hAnsi="Times New Roman" w:cs="Times New Roman"/>
          <w:sz w:val="24"/>
          <w:szCs w:val="24"/>
        </w:rPr>
      </w:pPr>
    </w:p>
    <w:p w14:paraId="07BADDCE" w14:textId="112EB7CC" w:rsidR="00D50B89" w:rsidRPr="0082362E" w:rsidRDefault="00DC01CB" w:rsidP="00444DFF">
      <w:pPr>
        <w:ind w:firstLine="567"/>
        <w:rPr>
          <w:rFonts w:ascii="Times New Roman" w:hAnsi="Times New Roman" w:cs="Times New Roman"/>
        </w:rPr>
      </w:pPr>
      <w:r w:rsidRPr="0082362E">
        <w:rPr>
          <w:rFonts w:ascii="Times New Roman" w:hAnsi="Times New Roman" w:cs="Times New Roman"/>
          <w:sz w:val="24"/>
          <w:szCs w:val="24"/>
        </w:rPr>
        <w:t xml:space="preserve">Procedūras regulas 17.panta 1.punkts ietver norādi, ka uz </w:t>
      </w:r>
      <w:r w:rsidR="00797FC2" w:rsidRPr="0082362E">
        <w:rPr>
          <w:rFonts w:ascii="Times New Roman" w:hAnsi="Times New Roman" w:cs="Times New Roman"/>
          <w:sz w:val="24"/>
          <w:szCs w:val="24"/>
        </w:rPr>
        <w:t xml:space="preserve">EK </w:t>
      </w:r>
      <w:r w:rsidRPr="0082362E">
        <w:rPr>
          <w:rFonts w:ascii="Times New Roman" w:hAnsi="Times New Roman" w:cs="Times New Roman"/>
          <w:sz w:val="24"/>
          <w:szCs w:val="24"/>
          <w:shd w:val="clear" w:color="auto" w:fill="FFFFFF"/>
        </w:rPr>
        <w:t xml:space="preserve">tiesībām atgūt </w:t>
      </w:r>
      <w:r w:rsidR="00D36866">
        <w:rPr>
          <w:rFonts w:ascii="Times New Roman" w:hAnsi="Times New Roman" w:cs="Times New Roman"/>
          <w:sz w:val="24"/>
          <w:szCs w:val="24"/>
          <w:shd w:val="clear" w:color="auto" w:fill="FFFFFF"/>
        </w:rPr>
        <w:t>komercdarbības atb</w:t>
      </w:r>
      <w:r w:rsidRPr="0082362E">
        <w:rPr>
          <w:rFonts w:ascii="Times New Roman" w:hAnsi="Times New Roman" w:cs="Times New Roman"/>
          <w:sz w:val="24"/>
          <w:szCs w:val="24"/>
          <w:shd w:val="clear" w:color="auto" w:fill="FFFFFF"/>
        </w:rPr>
        <w:t>alstu attiecas desmit gadu noilguma termiņš</w:t>
      </w:r>
      <w:r w:rsidRPr="0082362E">
        <w:rPr>
          <w:rFonts w:ascii="Times New Roman" w:hAnsi="Times New Roman" w:cs="Times New Roman"/>
          <w:sz w:val="24"/>
          <w:szCs w:val="24"/>
        </w:rPr>
        <w:t xml:space="preserve"> (“noilguma periods”). Desmit gadu noilguma termiņš </w:t>
      </w:r>
      <w:r w:rsidRPr="0082362E">
        <w:rPr>
          <w:rFonts w:ascii="Times New Roman" w:eastAsia="Times New Roman" w:hAnsi="Times New Roman" w:cs="Times New Roman"/>
          <w:sz w:val="24"/>
          <w:szCs w:val="24"/>
          <w:lang w:bidi="ar-SA"/>
        </w:rPr>
        <w:t xml:space="preserve">attiecas arī uz gadījumiem, </w:t>
      </w:r>
      <w:r w:rsidRPr="0082362E">
        <w:rPr>
          <w:rFonts w:ascii="Times New Roman" w:hAnsi="Times New Roman" w:cs="Times New Roman"/>
          <w:sz w:val="24"/>
          <w:szCs w:val="24"/>
        </w:rPr>
        <w:t>kad</w:t>
      </w:r>
      <w:r w:rsidRPr="0082362E">
        <w:rPr>
          <w:rFonts w:ascii="Times New Roman" w:hAnsi="Times New Roman" w:cs="Times New Roman"/>
          <w:sz w:val="24"/>
          <w:szCs w:val="24"/>
          <w:shd w:val="clear" w:color="auto" w:fill="FFFFFF"/>
        </w:rPr>
        <w:t xml:space="preserve"> valsts vai pašvaldību institūcija ir piešķīrusi atbalstu, kļūdaini piemērojot kādu no regulām, </w:t>
      </w:r>
      <w:r w:rsidRPr="0082362E">
        <w:rPr>
          <w:rFonts w:ascii="Times New Roman" w:eastAsia="Times New Roman" w:hAnsi="Times New Roman" w:cs="Times New Roman"/>
          <w:sz w:val="24"/>
          <w:szCs w:val="24"/>
          <w:lang w:bidi="ar-SA"/>
        </w:rPr>
        <w:t xml:space="preserve">kas kvalificē, kad </w:t>
      </w:r>
      <w:r w:rsidR="00D36866">
        <w:rPr>
          <w:rFonts w:ascii="Times New Roman" w:eastAsia="Times New Roman" w:hAnsi="Times New Roman" w:cs="Times New Roman"/>
          <w:sz w:val="24"/>
          <w:szCs w:val="24"/>
          <w:lang w:bidi="ar-SA"/>
        </w:rPr>
        <w:t>komercdarbības atb</w:t>
      </w:r>
      <w:r w:rsidRPr="0082362E">
        <w:rPr>
          <w:rFonts w:ascii="Times New Roman" w:hAnsi="Times New Roman" w:cs="Times New Roman"/>
          <w:sz w:val="24"/>
          <w:szCs w:val="24"/>
        </w:rPr>
        <w:t>alsts nav paziņojams EK</w:t>
      </w:r>
      <w:r w:rsidRPr="0082362E">
        <w:rPr>
          <w:rFonts w:ascii="Times New Roman" w:hAnsi="Times New Roman" w:cs="Times New Roman"/>
          <w:sz w:val="24"/>
          <w:szCs w:val="24"/>
          <w:shd w:val="clear" w:color="auto" w:fill="FFFFFF"/>
        </w:rPr>
        <w:t xml:space="preserve">, vai atbalsta saņēmējs ir </w:t>
      </w:r>
      <w:r w:rsidRPr="0082362E">
        <w:rPr>
          <w:rFonts w:ascii="Times New Roman" w:eastAsia="EUAlbertina-Bold-Identity-H" w:hAnsi="Times New Roman" w:cs="Times New Roman"/>
          <w:bCs/>
          <w:sz w:val="24"/>
          <w:szCs w:val="24"/>
          <w:lang w:eastAsia="en-US" w:bidi="ar-SA"/>
        </w:rPr>
        <w:t xml:space="preserve">veicis </w:t>
      </w:r>
      <w:r w:rsidRPr="0082362E">
        <w:rPr>
          <w:rFonts w:ascii="Times New Roman" w:eastAsia="Times New Roman" w:hAnsi="Times New Roman" w:cs="Times New Roman"/>
          <w:sz w:val="24"/>
          <w:szCs w:val="24"/>
          <w:lang w:bidi="ar-SA"/>
        </w:rPr>
        <w:t>“pārkāpumu” ES tiesību izpratnē</w:t>
      </w:r>
      <w:r w:rsidRPr="0082362E">
        <w:rPr>
          <w:rFonts w:ascii="Times New Roman" w:hAnsi="Times New Roman" w:cs="Times New Roman"/>
          <w:sz w:val="24"/>
          <w:szCs w:val="24"/>
          <w:shd w:val="clear" w:color="auto" w:fill="FFFFFF"/>
        </w:rPr>
        <w:t>, nelikumīgā</w:t>
      </w:r>
      <w:r w:rsidR="00751174">
        <w:rPr>
          <w:rFonts w:ascii="Times New Roman" w:hAnsi="Times New Roman" w:cs="Times New Roman"/>
          <w:sz w:val="24"/>
          <w:szCs w:val="24"/>
          <w:shd w:val="clear" w:color="auto" w:fill="FFFFFF"/>
        </w:rPr>
        <w:t xml:space="preserve"> </w:t>
      </w:r>
      <w:r w:rsidR="00D36866">
        <w:rPr>
          <w:rFonts w:ascii="Times New Roman" w:hAnsi="Times New Roman" w:cs="Times New Roman"/>
          <w:sz w:val="24"/>
          <w:szCs w:val="24"/>
          <w:shd w:val="clear" w:color="auto" w:fill="FFFFFF"/>
        </w:rPr>
        <w:t>komercdarbības atb</w:t>
      </w:r>
      <w:r w:rsidRPr="0082362E">
        <w:rPr>
          <w:rFonts w:ascii="Times New Roman" w:hAnsi="Times New Roman" w:cs="Times New Roman"/>
          <w:sz w:val="24"/>
          <w:szCs w:val="24"/>
          <w:shd w:val="clear" w:color="auto" w:fill="FFFFFF"/>
        </w:rPr>
        <w:t xml:space="preserve">alsta atgūšanai piemērojamais piemērojamajos valsts tiesību aktos paredzētais termiņš. </w:t>
      </w:r>
      <w:r w:rsidR="00102A1C" w:rsidRPr="0082362E">
        <w:rPr>
          <w:rFonts w:ascii="Times New Roman" w:hAnsi="Times New Roman" w:cs="Times New Roman"/>
          <w:sz w:val="24"/>
          <w:szCs w:val="24"/>
          <w:shd w:val="clear" w:color="auto" w:fill="FFFFFF"/>
        </w:rPr>
        <w:t xml:space="preserve">Attiecīgi KAKL ir noteikts noilguma termiņš </w:t>
      </w:r>
      <w:r w:rsidR="00102A1C" w:rsidRPr="0082362E">
        <w:rPr>
          <w:rFonts w:ascii="Times New Roman" w:hAnsi="Times New Roman" w:cs="Times New Roman"/>
          <w:sz w:val="24"/>
          <w:szCs w:val="24"/>
          <w:lang w:eastAsia="ru-RU"/>
        </w:rPr>
        <w:t>saskaņā ar ES tiesību normām, proti, desmit gadi.</w:t>
      </w:r>
    </w:p>
    <w:p w14:paraId="26DBCC67" w14:textId="77777777" w:rsidR="00D50B89" w:rsidRPr="0082362E" w:rsidRDefault="00D50B89" w:rsidP="00444DFF">
      <w:pPr>
        <w:ind w:firstLine="567"/>
        <w:rPr>
          <w:rFonts w:ascii="Times New Roman" w:hAnsi="Times New Roman" w:cs="Times New Roman"/>
          <w:sz w:val="24"/>
          <w:szCs w:val="24"/>
        </w:rPr>
      </w:pPr>
    </w:p>
    <w:p w14:paraId="593D5778" w14:textId="6977B0F2" w:rsidR="00D50B89" w:rsidRPr="0082362E" w:rsidRDefault="00DC01CB" w:rsidP="00444DFF">
      <w:pPr>
        <w:ind w:firstLine="567"/>
      </w:pPr>
      <w:r w:rsidRPr="0082362E">
        <w:rPr>
          <w:rFonts w:ascii="Times New Roman" w:hAnsi="Times New Roman" w:cs="Times New Roman"/>
          <w:sz w:val="24"/>
          <w:szCs w:val="24"/>
        </w:rPr>
        <w:t>Noilguma periodu sāk skaitīt dienā, kad nelikumīgais</w:t>
      </w:r>
      <w:r w:rsidR="00751174">
        <w:rPr>
          <w:rFonts w:ascii="Times New Roman" w:hAnsi="Times New Roman" w:cs="Times New Roman"/>
          <w:sz w:val="24"/>
          <w:szCs w:val="24"/>
        </w:rPr>
        <w:t xml:space="preserve">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alsts tiek piešķirts saņēmējam kā </w:t>
      </w:r>
      <w:r w:rsidRPr="0082362E">
        <w:rPr>
          <w:rFonts w:ascii="Times New Roman" w:hAnsi="Times New Roman" w:cs="Times New Roman"/>
          <w:i/>
          <w:iCs/>
          <w:sz w:val="24"/>
          <w:szCs w:val="24"/>
        </w:rPr>
        <w:t xml:space="preserve">ad hoc </w:t>
      </w:r>
      <w:r w:rsidRPr="0082362E">
        <w:rPr>
          <w:rFonts w:ascii="Times New Roman" w:hAnsi="Times New Roman" w:cs="Times New Roman"/>
          <w:sz w:val="24"/>
          <w:szCs w:val="24"/>
        </w:rPr>
        <w:t xml:space="preserve">atbalsts, vai kā individuālais atbalsts saskaņā ar atbalsta shēmu. Atbalsta shēmas gadījumā noilguma periodu neskaita no tā juridiskā pamata pieņemšanas dienas, bet no brīža, kad saskaņā ar minēto shēmu </w:t>
      </w:r>
      <w:r w:rsidR="00263FF7" w:rsidRPr="0082362E">
        <w:rPr>
          <w:rFonts w:ascii="Times New Roman" w:hAnsi="Times New Roman" w:cs="Times New Roman"/>
          <w:sz w:val="24"/>
          <w:szCs w:val="24"/>
          <w:lang w:eastAsia="ru-RU"/>
        </w:rPr>
        <w:t xml:space="preserve">izmaksāts (piemēram, grants) vai piešķirts (piemēram, garantija) konkrētais atbalsts </w:t>
      </w:r>
      <w:r w:rsidRPr="0082362E">
        <w:rPr>
          <w:rStyle w:val="Vresenkurs"/>
          <w:rFonts w:ascii="Times New Roman" w:hAnsi="Times New Roman" w:cs="Times New Roman"/>
          <w:sz w:val="24"/>
          <w:szCs w:val="24"/>
        </w:rPr>
        <w:footnoteReference w:id="62"/>
      </w:r>
      <w:r w:rsidRPr="0082362E">
        <w:rPr>
          <w:rFonts w:ascii="Times New Roman" w:eastAsia="EUAlbertina-Regular-Identity-H" w:hAnsi="Times New Roman" w:cs="Times New Roman"/>
          <w:sz w:val="24"/>
          <w:szCs w:val="24"/>
          <w:lang w:eastAsia="en-US" w:bidi="ar-SA"/>
        </w:rPr>
        <w:t>.</w:t>
      </w:r>
      <w:r w:rsidRPr="0082362E">
        <w:rPr>
          <w:rFonts w:ascii="Times New Roman" w:hAnsi="Times New Roman" w:cs="Times New Roman"/>
          <w:sz w:val="24"/>
          <w:szCs w:val="24"/>
        </w:rPr>
        <w:t xml:space="preserve"> Atbalsta piešķiršanas datums ir atkarīgs no attiecīgā atbalsta veida. Daudzgadu shēmas gadījumā, kas paredz regulārus maksājumus vai regulāru citu finansiālu priekšrocību piešķiršanu, starp atbalsta shēmas juridiskā pamata (piemēram, Ministru kabineta noteikumi) pieņemšanas datumu un datumu, kurā attiecīgajam uzņēmumam faktiski tiek piešķirts šis atbalsts (piemēram, pieņemts lēmums par atbalsta piešķiršanu), var paiet ievērojams laika periods. Šādā gadījumā, aprēķinot noilguma termiņu, atbalsts jāuzskata par piešķirtu saņēmējam tikai datumā, kurā tas ir faktiski izmaksāts minētajam saņēmējam</w:t>
      </w:r>
      <w:r w:rsidR="003C422F" w:rsidRPr="0082362E">
        <w:rPr>
          <w:rStyle w:val="FootnoteReference"/>
          <w:rFonts w:ascii="Times New Roman" w:hAnsi="Times New Roman" w:cs="Times New Roman"/>
          <w:sz w:val="24"/>
          <w:szCs w:val="24"/>
        </w:rPr>
        <w:footnoteReference w:id="63"/>
      </w:r>
      <w:r w:rsidR="003C422F" w:rsidRPr="0082362E">
        <w:rPr>
          <w:rFonts w:ascii="Times New Roman" w:hAnsi="Times New Roman" w:cs="Times New Roman"/>
          <w:sz w:val="24"/>
          <w:szCs w:val="24"/>
        </w:rPr>
        <w:t>.</w:t>
      </w:r>
      <w:r w:rsidRPr="0082362E">
        <w:rPr>
          <w:rFonts w:ascii="Times New Roman" w:hAnsi="Times New Roman" w:cs="Times New Roman"/>
          <w:sz w:val="24"/>
          <w:szCs w:val="24"/>
        </w:rPr>
        <w:t xml:space="preserve"> Minēto principu piemēro arī atbalsta shēm</w:t>
      </w:r>
      <w:r w:rsidR="000D3287" w:rsidRPr="0082362E">
        <w:rPr>
          <w:rFonts w:ascii="Times New Roman" w:hAnsi="Times New Roman" w:cs="Times New Roman"/>
          <w:sz w:val="24"/>
          <w:szCs w:val="24"/>
        </w:rPr>
        <w:t>ām, kas paredz regulārus</w:t>
      </w:r>
      <w:r w:rsidRPr="0082362E">
        <w:rPr>
          <w:rFonts w:ascii="Times New Roman" w:hAnsi="Times New Roman" w:cs="Times New Roman"/>
          <w:sz w:val="24"/>
          <w:szCs w:val="24"/>
        </w:rPr>
        <w:t xml:space="preserve"> fiskālos pasākumus, kuriem noilguma periods attiecībā uz katru fiskālo gadu sākas dienā, </w:t>
      </w:r>
      <w:r w:rsidR="003C422F" w:rsidRPr="0082362E">
        <w:rPr>
          <w:rFonts w:ascii="Times New Roman" w:hAnsi="Times New Roman" w:cs="Times New Roman"/>
          <w:sz w:val="24"/>
          <w:szCs w:val="24"/>
        </w:rPr>
        <w:t xml:space="preserve">piemēram, </w:t>
      </w:r>
      <w:r w:rsidRPr="0082362E">
        <w:rPr>
          <w:rFonts w:ascii="Times New Roman" w:hAnsi="Times New Roman" w:cs="Times New Roman"/>
          <w:sz w:val="24"/>
          <w:szCs w:val="24"/>
        </w:rPr>
        <w:t>kad jāsamaksā nodoklis.</w:t>
      </w:r>
    </w:p>
    <w:p w14:paraId="21517E72" w14:textId="77777777" w:rsidR="00D50B89" w:rsidRPr="0082362E" w:rsidRDefault="00DC01CB" w:rsidP="00444DFF">
      <w:pPr>
        <w:ind w:firstLine="567"/>
        <w:rPr>
          <w:rFonts w:ascii="Times New Roman" w:hAnsi="Times New Roman" w:cs="Times New Roman"/>
          <w:b/>
          <w:sz w:val="24"/>
          <w:szCs w:val="24"/>
        </w:rPr>
      </w:pPr>
      <w:r w:rsidRPr="0082362E">
        <w:rPr>
          <w:rFonts w:ascii="Times New Roman" w:eastAsia="EUAlbertina-Regular-Identity-H" w:hAnsi="Times New Roman" w:cs="Times New Roman"/>
          <w:sz w:val="24"/>
          <w:szCs w:val="24"/>
          <w:lang w:eastAsia="en-US" w:bidi="ar-SA"/>
        </w:rPr>
        <w:t>Noilguma termiņu pārtrauc kompetento iestāžu lēmumi, kas attiecas uz pārkāpumu izmeklēšanu vai iztiesāšanu un kuri konkrētajām personām darīti zināmi. Noilguma termiņš pēc katra pārtraukuma atsākas no jauna.</w:t>
      </w:r>
    </w:p>
    <w:p w14:paraId="4E6CABD0" w14:textId="77777777" w:rsidR="00D50B89" w:rsidRPr="0082362E" w:rsidRDefault="00D50B89" w:rsidP="00444DFF">
      <w:pPr>
        <w:rPr>
          <w:rFonts w:ascii="Times New Roman" w:hAnsi="Times New Roman" w:cs="Times New Roman"/>
          <w:b/>
          <w:sz w:val="24"/>
          <w:szCs w:val="24"/>
        </w:rPr>
      </w:pPr>
    </w:p>
    <w:p w14:paraId="2060DC20" w14:textId="77777777" w:rsidR="0082362E" w:rsidRDefault="0082362E">
      <w:pPr>
        <w:rPr>
          <w:rFonts w:ascii="Times New Roman" w:hAnsi="Times New Roman" w:cs="Times New Roman"/>
          <w:b/>
          <w:caps/>
          <w:sz w:val="24"/>
          <w:szCs w:val="24"/>
        </w:rPr>
      </w:pPr>
      <w:r>
        <w:rPr>
          <w:rFonts w:ascii="Times New Roman" w:hAnsi="Times New Roman" w:cs="Times New Roman"/>
          <w:b/>
          <w:caps/>
          <w:sz w:val="24"/>
          <w:szCs w:val="24"/>
        </w:rPr>
        <w:br w:type="page"/>
      </w:r>
    </w:p>
    <w:p w14:paraId="11AE1801" w14:textId="15015883" w:rsidR="00D50B89" w:rsidRPr="0082362E" w:rsidRDefault="00DC01CB" w:rsidP="00444DFF">
      <w:pPr>
        <w:ind w:firstLine="567"/>
        <w:jc w:val="center"/>
      </w:pPr>
      <w:r w:rsidRPr="0082362E">
        <w:rPr>
          <w:rFonts w:ascii="Times New Roman" w:hAnsi="Times New Roman" w:cs="Times New Roman"/>
          <w:b/>
          <w:caps/>
          <w:sz w:val="24"/>
          <w:szCs w:val="24"/>
        </w:rPr>
        <w:t>VI</w:t>
      </w:r>
      <w:r w:rsidR="008937C8">
        <w:rPr>
          <w:rFonts w:ascii="Times New Roman" w:hAnsi="Times New Roman" w:cs="Times New Roman"/>
          <w:b/>
          <w:caps/>
          <w:sz w:val="24"/>
          <w:szCs w:val="24"/>
        </w:rPr>
        <w:t>I</w:t>
      </w:r>
      <w:r w:rsidRPr="0082362E">
        <w:rPr>
          <w:rFonts w:ascii="Times New Roman" w:hAnsi="Times New Roman" w:cs="Times New Roman"/>
          <w:b/>
          <w:caps/>
          <w:sz w:val="24"/>
          <w:szCs w:val="24"/>
        </w:rPr>
        <w:t>. PAPILDU INFORMĀCIJA</w:t>
      </w:r>
    </w:p>
    <w:p w14:paraId="5EDB9955" w14:textId="77777777" w:rsidR="00D50B89" w:rsidRPr="0082362E" w:rsidRDefault="00D50B89" w:rsidP="00444DFF">
      <w:pPr>
        <w:ind w:firstLine="567"/>
        <w:jc w:val="center"/>
        <w:rPr>
          <w:rFonts w:ascii="Times New Roman" w:hAnsi="Times New Roman" w:cs="Times New Roman"/>
          <w:b/>
          <w:caps/>
          <w:sz w:val="24"/>
          <w:szCs w:val="24"/>
        </w:rPr>
      </w:pPr>
    </w:p>
    <w:p w14:paraId="299629D9" w14:textId="68CBC281" w:rsidR="00D50B89" w:rsidRPr="0082362E" w:rsidRDefault="00DC01CB" w:rsidP="00444DFF">
      <w:pPr>
        <w:ind w:firstLine="567"/>
      </w:pPr>
      <w:r w:rsidRPr="0082362E">
        <w:rPr>
          <w:rFonts w:ascii="Times New Roman" w:hAnsi="Times New Roman" w:cs="Times New Roman"/>
          <w:sz w:val="24"/>
          <w:szCs w:val="24"/>
        </w:rPr>
        <w:t xml:space="preserve">LESD 108.pants paredz plašas pilnvaras EK attiecībā uz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alsta uzraudzīšanu un nodrošināšanu, lai dalībvalstu rīcība, piešķirot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alstu, būtu saderīga ar ES normatīvo regulējumu. Pirmkārt, LESD 108.panta 1.</w:t>
      </w:r>
      <w:r w:rsidR="00A95E8F" w:rsidRPr="0082362E">
        <w:rPr>
          <w:rFonts w:ascii="Times New Roman" w:hAnsi="Times New Roman" w:cs="Times New Roman"/>
          <w:sz w:val="24"/>
          <w:szCs w:val="24"/>
        </w:rPr>
        <w:t>punktā</w:t>
      </w:r>
      <w:r w:rsidRPr="0082362E">
        <w:rPr>
          <w:rFonts w:ascii="Times New Roman" w:hAnsi="Times New Roman" w:cs="Times New Roman"/>
          <w:sz w:val="24"/>
          <w:szCs w:val="24"/>
        </w:rPr>
        <w:t xml:space="preserve"> ietvertas EK tiesības un reizē arī pienākums pastāvīgi pārskatīt visas atbalsta piešķiršanas </w:t>
      </w:r>
      <w:r w:rsidR="0093583A" w:rsidRPr="0082362E">
        <w:rPr>
          <w:rFonts w:ascii="Times New Roman" w:hAnsi="Times New Roman" w:cs="Times New Roman"/>
          <w:sz w:val="24"/>
          <w:szCs w:val="24"/>
        </w:rPr>
        <w:t>pasākumus</w:t>
      </w:r>
      <w:r w:rsidRPr="0082362E">
        <w:rPr>
          <w:rFonts w:ascii="Times New Roman" w:hAnsi="Times New Roman" w:cs="Times New Roman"/>
          <w:sz w:val="24"/>
          <w:szCs w:val="24"/>
        </w:rPr>
        <w:t>, kas pastāv dalībvalstī</w:t>
      </w:r>
      <w:r w:rsidR="00A95E8F" w:rsidRPr="0082362E">
        <w:rPr>
          <w:rFonts w:ascii="Times New Roman" w:hAnsi="Times New Roman" w:cs="Times New Roman"/>
          <w:sz w:val="24"/>
          <w:szCs w:val="24"/>
        </w:rPr>
        <w:t>s. Otrkārt, LESD 108.panta 2.punkts</w:t>
      </w:r>
      <w:r w:rsidRPr="0082362E">
        <w:rPr>
          <w:rFonts w:ascii="Times New Roman" w:hAnsi="Times New Roman" w:cs="Times New Roman"/>
          <w:sz w:val="24"/>
          <w:szCs w:val="24"/>
        </w:rPr>
        <w:t xml:space="preserve"> nosaka EK pilnvaras situācijā, kad šī ES institūcija ir konstatējusi to, ka </w:t>
      </w:r>
      <w:r w:rsidR="00D36866">
        <w:rPr>
          <w:rFonts w:ascii="Times New Roman" w:hAnsi="Times New Roman" w:cs="Times New Roman"/>
          <w:sz w:val="24"/>
          <w:szCs w:val="24"/>
        </w:rPr>
        <w:t>komercdarbības atb</w:t>
      </w:r>
      <w:r w:rsidRPr="0082362E">
        <w:rPr>
          <w:rFonts w:ascii="Times New Roman" w:hAnsi="Times New Roman" w:cs="Times New Roman"/>
          <w:sz w:val="24"/>
          <w:szCs w:val="24"/>
        </w:rPr>
        <w:t xml:space="preserve">alsts ir </w:t>
      </w:r>
      <w:r w:rsidR="0093583A" w:rsidRPr="0082362E">
        <w:rPr>
          <w:rFonts w:ascii="Times New Roman" w:hAnsi="Times New Roman" w:cs="Times New Roman"/>
          <w:sz w:val="24"/>
          <w:szCs w:val="24"/>
        </w:rPr>
        <w:t xml:space="preserve">potenciāli </w:t>
      </w:r>
      <w:r w:rsidRPr="0082362E">
        <w:rPr>
          <w:rFonts w:ascii="Times New Roman" w:hAnsi="Times New Roman" w:cs="Times New Roman"/>
          <w:sz w:val="24"/>
          <w:szCs w:val="24"/>
        </w:rPr>
        <w:t>nesaderīgs ar</w:t>
      </w:r>
      <w:r w:rsidR="007B24AC" w:rsidRPr="0082362E">
        <w:rPr>
          <w:rFonts w:ascii="Times New Roman" w:hAnsi="Times New Roman" w:cs="Times New Roman"/>
          <w:sz w:val="24"/>
          <w:szCs w:val="24"/>
        </w:rPr>
        <w:t xml:space="preserve"> ES</w:t>
      </w:r>
      <w:r w:rsidRPr="0082362E">
        <w:rPr>
          <w:rFonts w:ascii="Times New Roman" w:hAnsi="Times New Roman" w:cs="Times New Roman"/>
          <w:sz w:val="24"/>
          <w:szCs w:val="24"/>
        </w:rPr>
        <w:t xml:space="preserve"> iekšējo tirgu vai arī šis atbalsts tiek izlietots nepareizi. </w:t>
      </w:r>
    </w:p>
    <w:p w14:paraId="00D026C1" w14:textId="6BF1BC55" w:rsidR="00D50B89" w:rsidRPr="0082362E" w:rsidRDefault="00DC01CB" w:rsidP="00444DFF">
      <w:pPr>
        <w:pStyle w:val="NumPar1"/>
        <w:tabs>
          <w:tab w:val="left" w:pos="851"/>
        </w:tabs>
        <w:spacing w:after="0"/>
        <w:ind w:left="0" w:right="0" w:firstLine="567"/>
        <w:outlineLvl w:val="9"/>
      </w:pPr>
      <w:r w:rsidRPr="0082362E">
        <w:rPr>
          <w:szCs w:val="24"/>
          <w:lang w:bidi="ar-SA"/>
        </w:rPr>
        <w:t xml:space="preserve">Taču, kā minēts </w:t>
      </w:r>
      <w:r w:rsidRPr="0082362E">
        <w:rPr>
          <w:szCs w:val="24"/>
        </w:rPr>
        <w:t xml:space="preserve">Komisijas paziņojumā par nelikumīga un nesaderīga </w:t>
      </w:r>
      <w:r w:rsidR="00D36866">
        <w:rPr>
          <w:szCs w:val="24"/>
        </w:rPr>
        <w:t>komercdarbības atb</w:t>
      </w:r>
      <w:r w:rsidRPr="0082362E">
        <w:rPr>
          <w:szCs w:val="24"/>
        </w:rPr>
        <w:t>alsta atgūšanu</w:t>
      </w:r>
      <w:r w:rsidR="006148BA" w:rsidRPr="0082362E">
        <w:rPr>
          <w:szCs w:val="24"/>
        </w:rPr>
        <w:t xml:space="preserve"> (2019/C 247/01)</w:t>
      </w:r>
      <w:r w:rsidRPr="0082362E">
        <w:rPr>
          <w:szCs w:val="24"/>
        </w:rPr>
        <w:t>,</w:t>
      </w:r>
      <w:r w:rsidRPr="0082362E">
        <w:rPr>
          <w:szCs w:val="24"/>
          <w:lang w:bidi="ar-SA"/>
        </w:rPr>
        <w:t xml:space="preserve"> no ES Tiesu judikatūras izriet, ka atsevišķos gadījumos</w:t>
      </w:r>
      <w:r w:rsidRPr="0082362E">
        <w:rPr>
          <w:szCs w:val="24"/>
        </w:rPr>
        <w:t xml:space="preserve"> EK </w:t>
      </w:r>
      <w:r w:rsidR="00632184" w:rsidRPr="0082362E">
        <w:rPr>
          <w:szCs w:val="24"/>
        </w:rPr>
        <w:t>var piekrist</w:t>
      </w:r>
      <w:r w:rsidRPr="0082362E">
        <w:rPr>
          <w:szCs w:val="24"/>
        </w:rPr>
        <w:t xml:space="preserve"> </w:t>
      </w:r>
      <w:r w:rsidRPr="0082362E">
        <w:rPr>
          <w:i/>
          <w:szCs w:val="24"/>
        </w:rPr>
        <w:t>de minimis</w:t>
      </w:r>
      <w:r w:rsidRPr="0082362E">
        <w:rPr>
          <w:szCs w:val="24"/>
        </w:rPr>
        <w:t xml:space="preserve"> noteikuma piemērošanai ar atpakaļejošu spēku. Proti, tas iespējams, ja kumulatīvi izpildās šādi nosacījumi:</w:t>
      </w:r>
    </w:p>
    <w:p w14:paraId="4C6B6113" w14:textId="77777777" w:rsidR="00D50B89" w:rsidRPr="0082362E" w:rsidRDefault="00DC01CB" w:rsidP="00444DFF">
      <w:pPr>
        <w:pStyle w:val="ListDash2"/>
        <w:numPr>
          <w:ilvl w:val="0"/>
          <w:numId w:val="2"/>
        </w:numPr>
        <w:spacing w:before="0" w:after="0"/>
        <w:ind w:left="0" w:firstLine="567"/>
      </w:pPr>
      <w:r w:rsidRPr="0082362E">
        <w:rPr>
          <w:color w:val="auto"/>
        </w:rPr>
        <w:t xml:space="preserve">visam nelikumīgā atbalsta apjomam jābūt mazākam par </w:t>
      </w:r>
      <w:r w:rsidRPr="0082362E">
        <w:rPr>
          <w:i/>
          <w:color w:val="auto"/>
        </w:rPr>
        <w:t>de minimis</w:t>
      </w:r>
      <w:r w:rsidRPr="0082362E">
        <w:rPr>
          <w:color w:val="auto"/>
        </w:rPr>
        <w:t xml:space="preserve"> maksimālo robežu</w:t>
      </w:r>
      <w:r w:rsidRPr="0082362E">
        <w:rPr>
          <w:rStyle w:val="Vresenkurs"/>
          <w:color w:val="auto"/>
        </w:rPr>
        <w:footnoteReference w:id="64"/>
      </w:r>
      <w:r w:rsidRPr="0082362E">
        <w:rPr>
          <w:color w:val="auto"/>
        </w:rPr>
        <w:t>; šajā kontekstā nedrīkst izmantot vidējo summu uz vienu saņēmēju, jo tādējādi nevar garantēt, ka kopsumma nevienam uzņēmumam nepārsniedza minēto maksimālo robežu</w:t>
      </w:r>
      <w:r w:rsidRPr="0082362E">
        <w:rPr>
          <w:rStyle w:val="Vresenkurs"/>
          <w:color w:val="auto"/>
        </w:rPr>
        <w:footnoteReference w:id="65"/>
      </w:r>
      <w:r w:rsidRPr="0082362E">
        <w:rPr>
          <w:color w:val="auto"/>
        </w:rPr>
        <w:t>; un</w:t>
      </w:r>
    </w:p>
    <w:p w14:paraId="4E780120" w14:textId="77777777" w:rsidR="00D50B89" w:rsidRPr="0082362E" w:rsidRDefault="00DC01CB" w:rsidP="00444DFF">
      <w:pPr>
        <w:pStyle w:val="ListDash2"/>
        <w:numPr>
          <w:ilvl w:val="0"/>
          <w:numId w:val="2"/>
        </w:numPr>
        <w:spacing w:before="0" w:after="0"/>
        <w:ind w:left="0" w:firstLine="567"/>
      </w:pPr>
      <w:r w:rsidRPr="0082362E">
        <w:rPr>
          <w:color w:val="auto"/>
        </w:rPr>
        <w:t xml:space="preserve">retrospektīvi pārbaudot </w:t>
      </w:r>
      <w:r w:rsidRPr="0082362E">
        <w:rPr>
          <w:i/>
          <w:color w:val="auto"/>
        </w:rPr>
        <w:t>de minimis</w:t>
      </w:r>
      <w:r w:rsidRPr="0082362E">
        <w:rPr>
          <w:color w:val="auto"/>
        </w:rPr>
        <w:t xml:space="preserve"> atbalsta summu, kas piešķirta jebkuru triju finanšu gadu laikā, dalībvalstij ir jāizvērtē katrs trīsgadu periods, kurā ietverts datums, kad tika piešķirts atbalsts, kuram it kā nebūtu jāpiemēro atgūšana</w:t>
      </w:r>
      <w:r w:rsidRPr="0082362E">
        <w:rPr>
          <w:rStyle w:val="Vresenkurs"/>
          <w:color w:val="auto"/>
        </w:rPr>
        <w:footnoteReference w:id="66"/>
      </w:r>
      <w:r w:rsidRPr="0082362E">
        <w:rPr>
          <w:color w:val="auto"/>
        </w:rPr>
        <w:t>; un</w:t>
      </w:r>
    </w:p>
    <w:p w14:paraId="6CD00B27" w14:textId="77777777" w:rsidR="00D50B89" w:rsidRPr="0082362E" w:rsidRDefault="00DC01CB" w:rsidP="00444DFF">
      <w:pPr>
        <w:pStyle w:val="ListDash2"/>
        <w:numPr>
          <w:ilvl w:val="0"/>
          <w:numId w:val="2"/>
        </w:numPr>
        <w:spacing w:before="0" w:after="0"/>
        <w:ind w:left="0" w:firstLine="567"/>
        <w:rPr>
          <w:rFonts w:eastAsiaTheme="minorHAnsi"/>
          <w:color w:val="000000"/>
          <w:lang w:eastAsia="en-US" w:bidi="ar-SA"/>
        </w:rPr>
      </w:pPr>
      <w:r w:rsidRPr="0082362E">
        <w:rPr>
          <w:color w:val="auto"/>
        </w:rPr>
        <w:t>jābūt izpildītiem visiem attiecīgajiem piemērojamajā regulā minētajiem nosacījumiem</w:t>
      </w:r>
      <w:r w:rsidRPr="0082362E">
        <w:rPr>
          <w:rStyle w:val="Vresenkurs"/>
          <w:color w:val="auto"/>
        </w:rPr>
        <w:footnoteReference w:id="67"/>
      </w:r>
      <w:r w:rsidRPr="0082362E">
        <w:rPr>
          <w:color w:val="auto"/>
        </w:rPr>
        <w:t xml:space="preserve"> </w:t>
      </w:r>
      <w:r w:rsidRPr="0082362E">
        <w:rPr>
          <w:rFonts w:eastAsiaTheme="minorHAnsi"/>
          <w:color w:val="000000"/>
          <w:lang w:eastAsia="en-US" w:bidi="ar-SA"/>
        </w:rPr>
        <w:t>(piemērojot retrospektīvi).</w:t>
      </w:r>
    </w:p>
    <w:p w14:paraId="0448D1E8" w14:textId="77777777" w:rsidR="00D50B89" w:rsidRPr="0082362E" w:rsidRDefault="00D50B89" w:rsidP="00444DFF">
      <w:pPr>
        <w:rPr>
          <w:rFonts w:ascii="Times New Roman" w:eastAsiaTheme="minorHAnsi" w:hAnsi="Times New Roman" w:cs="Times New Roman"/>
          <w:color w:val="000000"/>
          <w:sz w:val="24"/>
          <w:szCs w:val="24"/>
          <w:lang w:eastAsia="en-US" w:bidi="ar-SA"/>
        </w:rPr>
      </w:pPr>
    </w:p>
    <w:p w14:paraId="78A952C5" w14:textId="3E7B458E" w:rsidR="0093583A" w:rsidRPr="0082362E" w:rsidRDefault="00DC01CB" w:rsidP="00FD62BE">
      <w:pPr>
        <w:ind w:firstLine="567"/>
        <w:rPr>
          <w:rFonts w:ascii="Times New Roman" w:hAnsi="Times New Roman" w:cs="Times New Roman"/>
          <w:sz w:val="24"/>
          <w:szCs w:val="24"/>
          <w:lang w:bidi="ar-SA"/>
        </w:rPr>
      </w:pPr>
      <w:r w:rsidRPr="0082362E">
        <w:rPr>
          <w:rFonts w:ascii="Times New Roman" w:hAnsi="Times New Roman" w:cs="Times New Roman"/>
          <w:sz w:val="24"/>
          <w:szCs w:val="24"/>
          <w:lang w:bidi="ar-SA"/>
        </w:rPr>
        <w:t>Ņemot vērā iepriekš minēto</w:t>
      </w:r>
      <w:r w:rsidR="005C17D0" w:rsidRPr="0082362E">
        <w:rPr>
          <w:rFonts w:ascii="Times New Roman" w:hAnsi="Times New Roman" w:cs="Times New Roman"/>
          <w:sz w:val="24"/>
          <w:szCs w:val="24"/>
          <w:lang w:bidi="ar-SA"/>
        </w:rPr>
        <w:t>,</w:t>
      </w:r>
      <w:r w:rsidRPr="0082362E">
        <w:rPr>
          <w:rFonts w:ascii="Times New Roman" w:hAnsi="Times New Roman" w:cs="Times New Roman"/>
          <w:sz w:val="24"/>
          <w:szCs w:val="24"/>
          <w:lang w:bidi="ar-SA"/>
        </w:rPr>
        <w:t xml:space="preserve"> ir secināms, ka, ja valsts (pašvaldību) iestāde ir konstatējusi, ka atbalsts, kuru tā jau ir piešķīrusi, ir kvalificējams kā </w:t>
      </w:r>
      <w:r w:rsidR="00D36866">
        <w:rPr>
          <w:rFonts w:ascii="Times New Roman" w:hAnsi="Times New Roman" w:cs="Times New Roman"/>
          <w:sz w:val="24"/>
          <w:szCs w:val="24"/>
          <w:lang w:bidi="ar-SA"/>
        </w:rPr>
        <w:t>komercdarbības atb</w:t>
      </w:r>
      <w:r w:rsidRPr="0082362E">
        <w:rPr>
          <w:rFonts w:ascii="Times New Roman" w:hAnsi="Times New Roman" w:cs="Times New Roman"/>
          <w:sz w:val="24"/>
          <w:szCs w:val="24"/>
          <w:lang w:bidi="ar-SA"/>
        </w:rPr>
        <w:t xml:space="preserve">alsts, bet atbilst kādai no </w:t>
      </w:r>
      <w:r w:rsidRPr="0082362E">
        <w:rPr>
          <w:rFonts w:ascii="Times New Roman" w:hAnsi="Times New Roman" w:cs="Times New Roman"/>
          <w:i/>
          <w:sz w:val="24"/>
          <w:szCs w:val="24"/>
          <w:lang w:bidi="ar-SA"/>
        </w:rPr>
        <w:t>de minimis</w:t>
      </w:r>
      <w:r w:rsidRPr="0082362E">
        <w:rPr>
          <w:rFonts w:ascii="Times New Roman" w:hAnsi="Times New Roman" w:cs="Times New Roman"/>
          <w:sz w:val="24"/>
          <w:szCs w:val="24"/>
          <w:lang w:bidi="ar-SA"/>
        </w:rPr>
        <w:t xml:space="preserve"> atbalsta regulām, valsts (pašvaldību) iestāde var izvērtēt arī iespēju šādam atbalstam piemērot kādu no </w:t>
      </w:r>
      <w:r w:rsidRPr="0082362E">
        <w:rPr>
          <w:rFonts w:ascii="Times New Roman" w:hAnsi="Times New Roman" w:cs="Times New Roman"/>
          <w:i/>
          <w:sz w:val="24"/>
          <w:szCs w:val="24"/>
          <w:lang w:bidi="ar-SA"/>
        </w:rPr>
        <w:t>de minimis</w:t>
      </w:r>
      <w:r w:rsidRPr="0082362E">
        <w:rPr>
          <w:rFonts w:ascii="Times New Roman" w:hAnsi="Times New Roman" w:cs="Times New Roman"/>
          <w:sz w:val="24"/>
          <w:szCs w:val="24"/>
          <w:lang w:bidi="ar-SA"/>
        </w:rPr>
        <w:t xml:space="preserve"> atbalsta regulām retrospektīvi</w:t>
      </w:r>
      <w:r w:rsidR="007B24AC" w:rsidRPr="0082362E">
        <w:rPr>
          <w:rFonts w:ascii="Times New Roman" w:hAnsi="Times New Roman" w:cs="Times New Roman"/>
          <w:sz w:val="24"/>
          <w:szCs w:val="24"/>
          <w:lang w:bidi="ar-SA"/>
        </w:rPr>
        <w:t xml:space="preserve">, taču vienlaikus jāņem vērā </w:t>
      </w:r>
      <w:r w:rsidR="0021105F">
        <w:rPr>
          <w:rFonts w:ascii="Times New Roman" w:hAnsi="Times New Roman" w:cs="Times New Roman"/>
          <w:sz w:val="24"/>
          <w:szCs w:val="24"/>
          <w:lang w:bidi="ar-SA"/>
        </w:rPr>
        <w:t>IV</w:t>
      </w:r>
      <w:r w:rsidR="0021105F" w:rsidRPr="0082362E">
        <w:rPr>
          <w:rFonts w:ascii="Times New Roman" w:hAnsi="Times New Roman" w:cs="Times New Roman"/>
          <w:sz w:val="24"/>
          <w:szCs w:val="24"/>
          <w:lang w:bidi="ar-SA"/>
        </w:rPr>
        <w:t xml:space="preserve"> </w:t>
      </w:r>
      <w:r w:rsidR="007B24AC" w:rsidRPr="0082362E">
        <w:rPr>
          <w:rFonts w:ascii="Times New Roman" w:hAnsi="Times New Roman" w:cs="Times New Roman"/>
          <w:sz w:val="24"/>
          <w:szCs w:val="24"/>
          <w:lang w:bidi="ar-SA"/>
        </w:rPr>
        <w:t>sadaļas c) apakšpunktā noteiktais</w:t>
      </w:r>
      <w:r w:rsidRPr="0082362E">
        <w:rPr>
          <w:rFonts w:ascii="Times New Roman" w:hAnsi="Times New Roman" w:cs="Times New Roman"/>
          <w:sz w:val="24"/>
          <w:szCs w:val="24"/>
          <w:lang w:bidi="ar-SA"/>
        </w:rPr>
        <w:t xml:space="preserve">. </w:t>
      </w:r>
    </w:p>
    <w:p w14:paraId="12D95731" w14:textId="3AF9CD22" w:rsidR="00D50B89" w:rsidRPr="0082362E" w:rsidRDefault="0093583A" w:rsidP="00FD62BE">
      <w:pPr>
        <w:pStyle w:val="NumPar1"/>
        <w:tabs>
          <w:tab w:val="left" w:pos="851"/>
        </w:tabs>
        <w:spacing w:after="0"/>
        <w:ind w:left="0" w:right="0" w:firstLine="567"/>
        <w:outlineLvl w:val="9"/>
        <w:rPr>
          <w:b/>
          <w:bCs/>
        </w:rPr>
      </w:pPr>
      <w:r w:rsidRPr="0082362E">
        <w:rPr>
          <w:b/>
          <w:bCs/>
        </w:rPr>
        <w:t xml:space="preserve">NB! Jāņem vērā, ka tas nav iespējams gadījumos, kad EK ir lēmusi par nesaderīga </w:t>
      </w:r>
      <w:r w:rsidR="00D36866">
        <w:rPr>
          <w:b/>
          <w:bCs/>
        </w:rPr>
        <w:t>komercdarbības atb</w:t>
      </w:r>
      <w:r w:rsidRPr="0082362E">
        <w:rPr>
          <w:b/>
          <w:bCs/>
        </w:rPr>
        <w:t>alsta atgūšanu</w:t>
      </w:r>
      <w:r w:rsidR="00BD61D4">
        <w:rPr>
          <w:b/>
          <w:bCs/>
        </w:rPr>
        <w:t xml:space="preserve"> (ja vien pats EK lēmums neparedz šādu risinājumu)</w:t>
      </w:r>
      <w:r w:rsidRPr="0082362E">
        <w:rPr>
          <w:b/>
          <w:bCs/>
        </w:rPr>
        <w:t>!</w:t>
      </w:r>
    </w:p>
    <w:p w14:paraId="36F29D96" w14:textId="77777777" w:rsidR="00D50B89" w:rsidRPr="0082362E" w:rsidRDefault="00D50B89" w:rsidP="00444DFF">
      <w:pPr>
        <w:pStyle w:val="ListDash2"/>
        <w:spacing w:before="0" w:after="0"/>
        <w:ind w:left="0" w:firstLine="567"/>
        <w:rPr>
          <w:color w:val="auto"/>
        </w:rPr>
      </w:pPr>
    </w:p>
    <w:p w14:paraId="14945278" w14:textId="0A227014" w:rsidR="008B0EA6" w:rsidRPr="0082362E" w:rsidRDefault="008B0EA6">
      <w:pPr>
        <w:rPr>
          <w:rFonts w:ascii="Times New Roman" w:eastAsia="Times New Roman" w:hAnsi="Times New Roman" w:cs="Times New Roman"/>
          <w:sz w:val="24"/>
          <w:szCs w:val="24"/>
        </w:rPr>
      </w:pPr>
      <w:r w:rsidRPr="0082362E">
        <w:br w:type="page"/>
      </w:r>
    </w:p>
    <w:p w14:paraId="413595FC" w14:textId="77777777" w:rsidR="008B0EA6" w:rsidRPr="0082362E" w:rsidRDefault="008B0EA6" w:rsidP="008B0EA6">
      <w:pPr>
        <w:ind w:firstLine="567"/>
        <w:jc w:val="center"/>
        <w:rPr>
          <w:rFonts w:ascii="Times New Roman" w:hAnsi="Times New Roman" w:cs="Times New Roman"/>
          <w:b/>
          <w:caps/>
          <w:sz w:val="24"/>
          <w:szCs w:val="24"/>
        </w:rPr>
        <w:sectPr w:rsidR="008B0EA6" w:rsidRPr="0082362E" w:rsidSect="00CD2AB0">
          <w:footerReference w:type="default" r:id="rId15"/>
          <w:pgSz w:w="11906" w:h="16838"/>
          <w:pgMar w:top="1134" w:right="1134" w:bottom="1134" w:left="1134" w:header="0" w:footer="709" w:gutter="0"/>
          <w:cols w:space="720"/>
          <w:formProt w:val="0"/>
          <w:titlePg/>
          <w:docGrid w:linePitch="360"/>
        </w:sectPr>
      </w:pPr>
    </w:p>
    <w:p w14:paraId="74598B60" w14:textId="023EBD7B" w:rsidR="008B0EA6" w:rsidRPr="0082362E" w:rsidRDefault="008B0EA6" w:rsidP="008B0EA6">
      <w:pPr>
        <w:ind w:firstLine="567"/>
        <w:jc w:val="center"/>
      </w:pPr>
      <w:r w:rsidRPr="0082362E">
        <w:rPr>
          <w:rFonts w:ascii="Times New Roman" w:hAnsi="Times New Roman" w:cs="Times New Roman"/>
          <w:b/>
          <w:caps/>
          <w:sz w:val="24"/>
          <w:szCs w:val="24"/>
        </w:rPr>
        <w:t>VI</w:t>
      </w:r>
      <w:r w:rsidR="00BD7393">
        <w:rPr>
          <w:rFonts w:ascii="Times New Roman" w:hAnsi="Times New Roman" w:cs="Times New Roman"/>
          <w:b/>
          <w:caps/>
          <w:sz w:val="24"/>
          <w:szCs w:val="24"/>
        </w:rPr>
        <w:t>II</w:t>
      </w:r>
      <w:r w:rsidRPr="0082362E">
        <w:rPr>
          <w:rFonts w:ascii="Times New Roman" w:hAnsi="Times New Roman" w:cs="Times New Roman"/>
          <w:b/>
          <w:caps/>
          <w:sz w:val="24"/>
          <w:szCs w:val="24"/>
        </w:rPr>
        <w:t>. pielikums</w:t>
      </w:r>
    </w:p>
    <w:p w14:paraId="04AD17C5" w14:textId="77777777" w:rsidR="007D1042" w:rsidRPr="0082362E" w:rsidRDefault="007D1042" w:rsidP="0082362E">
      <w:pPr>
        <w:spacing w:before="120" w:after="120"/>
        <w:ind w:firstLine="567"/>
        <w:jc w:val="center"/>
        <w:rPr>
          <w:rFonts w:cs="Times New Roman"/>
          <w:b/>
          <w:bCs/>
          <w:i/>
          <w:iCs/>
          <w:szCs w:val="24"/>
        </w:rPr>
      </w:pPr>
      <w:r w:rsidRPr="0082362E">
        <w:rPr>
          <w:rFonts w:cs="Times New Roman"/>
          <w:b/>
          <w:bCs/>
          <w:i/>
          <w:iCs/>
          <w:szCs w:val="24"/>
        </w:rPr>
        <w:t>Grafiski attēlota kārtība nelikumīga komercdarbības atbalsta summas aprēķināšanai nodokļu atvieglojuma/atbrīvojuma gadījumā</w:t>
      </w:r>
    </w:p>
    <w:p w14:paraId="7F75844E" w14:textId="77777777" w:rsidR="007D1042" w:rsidRPr="0082362E" w:rsidRDefault="007D1042" w:rsidP="007D1042">
      <w:pPr>
        <w:spacing w:before="120" w:after="120"/>
        <w:jc w:val="center"/>
        <w:rPr>
          <w:rFonts w:cs="Times New Roman"/>
          <w:szCs w:val="24"/>
          <w:shd w:val="clear" w:color="auto" w:fill="FFFFFF"/>
        </w:rPr>
      </w:pPr>
      <w:r w:rsidRPr="0082362E">
        <w:rPr>
          <w:noProof/>
        </w:rPr>
        <w:drawing>
          <wp:inline distT="0" distB="0" distL="0" distR="0" wp14:anchorId="38A5F006" wp14:editId="2155A0E2">
            <wp:extent cx="9211910" cy="518125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9248615" cy="5201900"/>
                    </a:xfrm>
                    <a:prstGeom prst="rect">
                      <a:avLst/>
                    </a:prstGeom>
                  </pic:spPr>
                </pic:pic>
              </a:graphicData>
            </a:graphic>
          </wp:inline>
        </w:drawing>
      </w:r>
    </w:p>
    <w:p w14:paraId="2DAB3A1F" w14:textId="77777777" w:rsidR="007D1042" w:rsidRPr="0082362E" w:rsidRDefault="007D1042" w:rsidP="007D1042">
      <w:pPr>
        <w:spacing w:before="120" w:after="120"/>
        <w:rPr>
          <w:rFonts w:cs="Times New Roman"/>
          <w:i/>
          <w:iCs/>
          <w:sz w:val="20"/>
          <w:szCs w:val="20"/>
          <w:shd w:val="clear" w:color="auto" w:fill="FFFFFF"/>
        </w:rPr>
      </w:pPr>
    </w:p>
    <w:p w14:paraId="596CB37B" w14:textId="77777777" w:rsidR="007D1042" w:rsidRPr="0082362E" w:rsidRDefault="007D1042" w:rsidP="007D1042">
      <w:pPr>
        <w:spacing w:before="120" w:after="120"/>
        <w:rPr>
          <w:rFonts w:cs="Times New Roman"/>
          <w:i/>
          <w:iCs/>
          <w:sz w:val="20"/>
          <w:szCs w:val="20"/>
          <w:shd w:val="clear" w:color="auto" w:fill="FFFFFF"/>
        </w:rPr>
      </w:pPr>
    </w:p>
    <w:p w14:paraId="5A6196D3" w14:textId="6420CD31" w:rsidR="007D1042" w:rsidRPr="0082362E" w:rsidRDefault="007D1042" w:rsidP="007D1042">
      <w:pPr>
        <w:spacing w:before="120" w:after="120"/>
        <w:rPr>
          <w:rFonts w:cs="Times New Roman"/>
          <w:i/>
          <w:iCs/>
          <w:sz w:val="20"/>
          <w:szCs w:val="20"/>
          <w:shd w:val="clear" w:color="auto" w:fill="FFFFFF"/>
        </w:rPr>
      </w:pPr>
      <w:r w:rsidRPr="0082362E">
        <w:rPr>
          <w:rFonts w:cs="Times New Roman"/>
          <w:i/>
          <w:iCs/>
          <w:sz w:val="20"/>
          <w:szCs w:val="20"/>
          <w:shd w:val="clear" w:color="auto" w:fill="FFFFFF"/>
        </w:rPr>
        <w:t>Lietotie apzīmējumi:</w:t>
      </w:r>
    </w:p>
    <w:p w14:paraId="6CE40B78" w14:textId="1C3F6A4B" w:rsidR="007D1042" w:rsidRPr="0082362E" w:rsidRDefault="007D1042" w:rsidP="007D1042">
      <w:pPr>
        <w:spacing w:before="120" w:after="120"/>
        <w:rPr>
          <w:rFonts w:cs="Times New Roman"/>
          <w:i/>
          <w:iCs/>
          <w:sz w:val="20"/>
          <w:szCs w:val="20"/>
          <w:shd w:val="clear" w:color="auto" w:fill="FFFFFF"/>
        </w:rPr>
      </w:pPr>
      <w:r w:rsidRPr="0082362E">
        <w:rPr>
          <w:rFonts w:cs="Times New Roman"/>
          <w:i/>
          <w:iCs/>
          <w:sz w:val="20"/>
          <w:szCs w:val="20"/>
          <w:shd w:val="clear" w:color="auto" w:fill="FFFFFF"/>
        </w:rPr>
        <w:t xml:space="preserve">VA – </w:t>
      </w:r>
      <w:r w:rsidR="00D36866">
        <w:rPr>
          <w:rFonts w:cs="Times New Roman"/>
          <w:i/>
          <w:iCs/>
          <w:sz w:val="20"/>
          <w:szCs w:val="20"/>
          <w:shd w:val="clear" w:color="auto" w:fill="FFFFFF"/>
        </w:rPr>
        <w:t>komercdarbības atb</w:t>
      </w:r>
      <w:r w:rsidRPr="0082362E">
        <w:rPr>
          <w:rFonts w:cs="Times New Roman"/>
          <w:i/>
          <w:iCs/>
          <w:sz w:val="20"/>
          <w:szCs w:val="20"/>
          <w:shd w:val="clear" w:color="auto" w:fill="FFFFFF"/>
        </w:rPr>
        <w:t>alsts</w:t>
      </w:r>
    </w:p>
    <w:p w14:paraId="0398ED3D" w14:textId="77777777" w:rsidR="007D1042" w:rsidRPr="0082362E" w:rsidRDefault="007D1042" w:rsidP="007D1042">
      <w:pPr>
        <w:spacing w:before="120" w:after="120"/>
        <w:rPr>
          <w:rFonts w:cs="Times New Roman"/>
          <w:i/>
          <w:iCs/>
          <w:sz w:val="20"/>
          <w:szCs w:val="20"/>
          <w:shd w:val="clear" w:color="auto" w:fill="FFFFFF"/>
        </w:rPr>
      </w:pPr>
      <w:r w:rsidRPr="0082362E">
        <w:rPr>
          <w:rFonts w:cs="Times New Roman"/>
          <w:i/>
          <w:iCs/>
          <w:sz w:val="20"/>
          <w:szCs w:val="20"/>
          <w:shd w:val="clear" w:color="auto" w:fill="FFFFFF"/>
        </w:rPr>
        <w:t>VID – Valsts ieņēmumu dienests</w:t>
      </w:r>
    </w:p>
    <w:p w14:paraId="1CD1ED57" w14:textId="77777777" w:rsidR="007D1042" w:rsidRPr="0082362E" w:rsidRDefault="007D1042" w:rsidP="007D1042">
      <w:pPr>
        <w:spacing w:before="120" w:after="120"/>
        <w:rPr>
          <w:rFonts w:cs="Times New Roman"/>
          <w:i/>
          <w:iCs/>
          <w:sz w:val="20"/>
          <w:szCs w:val="20"/>
          <w:shd w:val="clear" w:color="auto" w:fill="FFFFFF"/>
        </w:rPr>
      </w:pPr>
      <w:r w:rsidRPr="0082362E">
        <w:rPr>
          <w:rFonts w:cs="Times New Roman"/>
          <w:i/>
          <w:iCs/>
          <w:sz w:val="20"/>
          <w:szCs w:val="20"/>
          <w:shd w:val="clear" w:color="auto" w:fill="FFFFFF"/>
        </w:rPr>
        <w:t>VA metodika – šajā dokumentā minētā nelikumīgā komercdarbības atbalsta un nelikumīgā komercdarbības atbalsta procentu summas aprēķina formula</w:t>
      </w:r>
    </w:p>
    <w:p w14:paraId="3C8AF494" w14:textId="77777777" w:rsidR="007D1042" w:rsidRPr="0082362E" w:rsidRDefault="007D1042" w:rsidP="007D1042">
      <w:pPr>
        <w:spacing w:before="120" w:after="120"/>
        <w:rPr>
          <w:rFonts w:cs="Times New Roman"/>
          <w:i/>
          <w:iCs/>
          <w:sz w:val="20"/>
          <w:szCs w:val="20"/>
          <w:shd w:val="clear" w:color="auto" w:fill="FFFFFF"/>
        </w:rPr>
      </w:pPr>
      <w:r w:rsidRPr="0082362E">
        <w:rPr>
          <w:rFonts w:cs="Times New Roman"/>
          <w:i/>
          <w:iCs/>
          <w:sz w:val="20"/>
          <w:szCs w:val="20"/>
          <w:shd w:val="clear" w:color="auto" w:fill="FFFFFF"/>
        </w:rPr>
        <w:t>NN likums – likums “Par nodokļiem un nodevām”</w:t>
      </w:r>
    </w:p>
    <w:p w14:paraId="39D5A0AA" w14:textId="77777777" w:rsidR="007D1042" w:rsidRPr="0082362E" w:rsidRDefault="007D1042" w:rsidP="007D1042">
      <w:pPr>
        <w:spacing w:before="120" w:after="120"/>
        <w:ind w:firstLine="567"/>
        <w:rPr>
          <w:rFonts w:cs="Times New Roman"/>
          <w:szCs w:val="24"/>
          <w:shd w:val="clear" w:color="auto" w:fill="FFFFFF"/>
        </w:rPr>
      </w:pPr>
      <w:r w:rsidRPr="0082362E">
        <w:rPr>
          <w:rFonts w:cs="Times New Roman"/>
          <w:szCs w:val="24"/>
          <w:shd w:val="clear" w:color="auto" w:fill="FFFFFF"/>
        </w:rPr>
        <w:t>Augstāk redzamais grafiskais attēlojums balstīts uz hipotētisku pieņēmumu, ka nelikumīgs komercdarbības atbalsts ir konstatēts un par tā atgūšanu ir izdots attiecīgs tiesību akts 2022. gada 1. janvārī. Kā redzams no grafiskā piemēra, par nelikumīga komercdarbības atbalsta apmēriem, kas faktiski saņemti attiecīgi 2019., 2020. un 2021. gada 19. martā, tiek aprēķināta nokavējuma nauda saskaņā ar likuma “Par nodokļiem un nodevām” 29. pantu, savukārt par nelikumīga komercdarbības atbalsta apmēriem, kas faktiski saņemti attiecīgi 2017. un 2018. gada 19. martā, tiek aprēķināti nelikumības procenti saskaņā ar nelikumīgā komercdarbības atbalsta un nelikumīgā komercdarbības atbalsta procentu summas aprēķina formulu.</w:t>
      </w:r>
    </w:p>
    <w:p w14:paraId="53817DDC" w14:textId="77777777" w:rsidR="007D1042" w:rsidRDefault="007D1042" w:rsidP="007D1042">
      <w:pPr>
        <w:spacing w:before="120" w:after="120"/>
        <w:ind w:firstLine="567"/>
        <w:rPr>
          <w:rFonts w:cs="Times New Roman"/>
          <w:b/>
          <w:bCs/>
          <w:i/>
          <w:iCs/>
          <w:szCs w:val="24"/>
          <w:shd w:val="clear" w:color="auto" w:fill="FFFFFF"/>
        </w:rPr>
      </w:pPr>
      <w:r w:rsidRPr="0082362E">
        <w:rPr>
          <w:rFonts w:cs="Times New Roman"/>
          <w:b/>
          <w:bCs/>
          <w:i/>
          <w:iCs/>
          <w:szCs w:val="24"/>
          <w:shd w:val="clear" w:color="auto" w:fill="FFFFFF"/>
        </w:rPr>
        <w:t>NB! Deklarācijas iesniegšanas brīdis VID ir tikai viens no veidiem, faktiskā komercdarbības atbalsta piešķiršanas brīžiem un atkarībā no atbalsta pasākuma specifikas tas var būt arī cits brīdis, kad atbalsta saņēmējs faktiski gūst savā rīcībā faktisku labumu no saņemtā atbalsta.</w:t>
      </w:r>
    </w:p>
    <w:p w14:paraId="29C6548A" w14:textId="77777777" w:rsidR="007D1042" w:rsidRDefault="007D1042" w:rsidP="007D1042">
      <w:pPr>
        <w:spacing w:before="120" w:after="120"/>
        <w:ind w:firstLine="567"/>
        <w:rPr>
          <w:rFonts w:cs="Times New Roman"/>
          <w:szCs w:val="24"/>
          <w:shd w:val="clear" w:color="auto" w:fill="FFFFFF"/>
        </w:rPr>
      </w:pPr>
    </w:p>
    <w:p w14:paraId="192C8A4E" w14:textId="77777777" w:rsidR="00D50B89" w:rsidRDefault="00D50B89" w:rsidP="00444DFF">
      <w:pPr>
        <w:ind w:firstLine="567"/>
        <w:rPr>
          <w:rFonts w:ascii="Times New Roman" w:hAnsi="Times New Roman" w:cs="Times New Roman"/>
          <w:sz w:val="24"/>
          <w:szCs w:val="24"/>
        </w:rPr>
      </w:pPr>
    </w:p>
    <w:p w14:paraId="5CC29B77" w14:textId="77777777" w:rsidR="00D50B89" w:rsidRDefault="00D50B89" w:rsidP="00444DFF">
      <w:pPr>
        <w:ind w:firstLine="567"/>
      </w:pPr>
    </w:p>
    <w:sectPr w:rsidR="00D50B89" w:rsidSect="0082362E">
      <w:pgSz w:w="16838" w:h="11906" w:orient="landscape"/>
      <w:pgMar w:top="1134" w:right="1134" w:bottom="1418"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78E0" w14:textId="77777777" w:rsidR="00735277" w:rsidRDefault="00735277">
      <w:r>
        <w:separator/>
      </w:r>
    </w:p>
  </w:endnote>
  <w:endnote w:type="continuationSeparator" w:id="0">
    <w:p w14:paraId="3B94D4B1" w14:textId="77777777" w:rsidR="00735277" w:rsidRDefault="0073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roman"/>
    <w:pitch w:val="variable"/>
  </w:font>
  <w:font w:name="Cambria">
    <w:panose1 w:val="02040503050406030204"/>
    <w:charset w:val="BA"/>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CC"/>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Albertina-Bold-Identity-H">
    <w:panose1 w:val="00000000000000000000"/>
    <w:charset w:val="00"/>
    <w:family w:val="roman"/>
    <w:notTrueType/>
    <w:pitch w:val="default"/>
  </w:font>
  <w:font w:name="EUAlbertina-Regular-Identity-H">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31353"/>
      <w:docPartObj>
        <w:docPartGallery w:val="Page Numbers (Bottom of Page)"/>
        <w:docPartUnique/>
      </w:docPartObj>
    </w:sdtPr>
    <w:sdtContent>
      <w:p w14:paraId="391D07CB" w14:textId="77777777" w:rsidR="004D5036" w:rsidRDefault="004D5036">
        <w:pPr>
          <w:pStyle w:val="Footer"/>
          <w:jc w:val="center"/>
        </w:pPr>
      </w:p>
      <w:p w14:paraId="427C4EF7" w14:textId="78FDBBDD" w:rsidR="0078034D" w:rsidRDefault="0078034D">
        <w:pPr>
          <w:pStyle w:val="Footer"/>
          <w:jc w:val="center"/>
        </w:pPr>
        <w:r>
          <w:fldChar w:fldCharType="begin"/>
        </w:r>
        <w:r>
          <w:instrText>PAGE</w:instrText>
        </w:r>
        <w:r>
          <w:fldChar w:fldCharType="separate"/>
        </w:r>
        <w:r w:rsidR="00221C94">
          <w:rPr>
            <w:noProof/>
          </w:rPr>
          <w:t>16</w:t>
        </w:r>
        <w:r>
          <w:fldChar w:fldCharType="end"/>
        </w:r>
      </w:p>
    </w:sdtContent>
  </w:sdt>
  <w:p w14:paraId="35EE3358" w14:textId="77777777" w:rsidR="0078034D" w:rsidRDefault="0078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B3FE" w14:textId="77777777" w:rsidR="00735277" w:rsidRDefault="00735277">
      <w:r>
        <w:separator/>
      </w:r>
    </w:p>
  </w:footnote>
  <w:footnote w:type="continuationSeparator" w:id="0">
    <w:p w14:paraId="1DD27A2B" w14:textId="77777777" w:rsidR="00735277" w:rsidRDefault="00735277">
      <w:r>
        <w:continuationSeparator/>
      </w:r>
    </w:p>
  </w:footnote>
  <w:footnote w:id="1">
    <w:p w14:paraId="29B3168A" w14:textId="0C78E84A" w:rsidR="00D36866" w:rsidRPr="0082362E" w:rsidRDefault="00D36866" w:rsidP="00D36866">
      <w:pPr>
        <w:rPr>
          <w:rFonts w:ascii="Times New Roman" w:eastAsiaTheme="minorHAnsi"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T</w:t>
      </w:r>
      <w:r w:rsidRPr="0082362E">
        <w:rPr>
          <w:rFonts w:ascii="Times New Roman" w:eastAsiaTheme="minorHAnsi" w:hAnsi="Times New Roman" w:cs="Times New Roman"/>
          <w:sz w:val="20"/>
          <w:szCs w:val="20"/>
        </w:rPr>
        <w:t>ermina “</w:t>
      </w:r>
      <w:r w:rsidR="002713CD">
        <w:rPr>
          <w:rFonts w:ascii="Times New Roman" w:eastAsiaTheme="minorHAnsi" w:hAnsi="Times New Roman" w:cs="Times New Roman"/>
          <w:sz w:val="20"/>
          <w:szCs w:val="20"/>
        </w:rPr>
        <w:t xml:space="preserve">valsts </w:t>
      </w:r>
      <w:r>
        <w:rPr>
          <w:rFonts w:ascii="Times New Roman" w:eastAsiaTheme="minorHAnsi" w:hAnsi="Times New Roman" w:cs="Times New Roman"/>
          <w:sz w:val="20"/>
          <w:szCs w:val="20"/>
        </w:rPr>
        <w:t>atb</w:t>
      </w:r>
      <w:r w:rsidRPr="0082362E">
        <w:rPr>
          <w:rFonts w:ascii="Times New Roman" w:eastAsiaTheme="minorHAnsi" w:hAnsi="Times New Roman" w:cs="Times New Roman"/>
          <w:sz w:val="20"/>
          <w:szCs w:val="20"/>
        </w:rPr>
        <w:t>alsts” vietā šajā materiālā tiek lietots arī termins “komercdarbības atbalsts” atbilstoši nacionālajos normatīvajos aktos komercdarbības atbalsta kontroles jomā lietotajai terminoloģijai. Jēdziens “</w:t>
      </w:r>
      <w:r w:rsidR="008F76C9">
        <w:rPr>
          <w:rFonts w:ascii="Times New Roman" w:eastAsiaTheme="minorHAnsi" w:hAnsi="Times New Roman" w:cs="Times New Roman"/>
          <w:sz w:val="20"/>
          <w:szCs w:val="20"/>
        </w:rPr>
        <w:t xml:space="preserve">valsts </w:t>
      </w:r>
      <w:r>
        <w:rPr>
          <w:rFonts w:ascii="Times New Roman" w:eastAsiaTheme="minorHAnsi" w:hAnsi="Times New Roman" w:cs="Times New Roman"/>
          <w:sz w:val="20"/>
          <w:szCs w:val="20"/>
        </w:rPr>
        <w:t>atb</w:t>
      </w:r>
      <w:r w:rsidRPr="0082362E">
        <w:rPr>
          <w:rFonts w:ascii="Times New Roman" w:eastAsiaTheme="minorHAnsi" w:hAnsi="Times New Roman" w:cs="Times New Roman"/>
          <w:sz w:val="20"/>
          <w:szCs w:val="20"/>
        </w:rPr>
        <w:t xml:space="preserve">alsts”  parasti tiek lietots tajos gadījumos, kad ir valsts īstenoti atbalsta pasākumi, kuri vienlaicīgi neizpilda visus Līguma par Eiropas Savienības darbību 107.panta 1.punkta nosacījumus. </w:t>
      </w:r>
      <w:r w:rsidRPr="0082362E">
        <w:rPr>
          <w:rFonts w:ascii="Times New Roman" w:hAnsi="Times New Roman" w:cs="Times New Roman"/>
          <w:sz w:val="20"/>
          <w:szCs w:val="20"/>
        </w:rPr>
        <w:t xml:space="preserve">Detalizēti par </w:t>
      </w:r>
      <w:r>
        <w:rPr>
          <w:rFonts w:ascii="Times New Roman" w:hAnsi="Times New Roman" w:cs="Times New Roman"/>
          <w:sz w:val="20"/>
          <w:szCs w:val="20"/>
        </w:rPr>
        <w:t>komercdarbības atb</w:t>
      </w:r>
      <w:r w:rsidRPr="0082362E">
        <w:rPr>
          <w:rFonts w:ascii="Times New Roman" w:hAnsi="Times New Roman" w:cs="Times New Roman"/>
          <w:sz w:val="20"/>
          <w:szCs w:val="20"/>
        </w:rPr>
        <w:t>alsta veidiem, tā piešķiršanas pamatprincipiem un piemērojamo regulējumu lūdzam skatīt materiālu “</w:t>
      </w:r>
      <w:r>
        <w:rPr>
          <w:rFonts w:ascii="Times New Roman" w:hAnsi="Times New Roman" w:cs="Times New Roman"/>
          <w:sz w:val="20"/>
          <w:szCs w:val="20"/>
        </w:rPr>
        <w:t>Komercdarbības atb</w:t>
      </w:r>
      <w:r w:rsidRPr="0082362E">
        <w:rPr>
          <w:rFonts w:ascii="Times New Roman" w:hAnsi="Times New Roman" w:cs="Times New Roman"/>
          <w:sz w:val="20"/>
          <w:szCs w:val="20"/>
        </w:rPr>
        <w:t>alsta vadlīnijas”, kas publicēts Finanšu ministrijas mājas lapā sadaļā “Komercdarbības atbalsta kontrole” → “Skaidrojošie materiāli”</w:t>
      </w:r>
    </w:p>
  </w:footnote>
  <w:footnote w:id="2">
    <w:p w14:paraId="5674660D" w14:textId="77777777" w:rsidR="00D36866" w:rsidRPr="0082362E" w:rsidRDefault="00D36866" w:rsidP="00D36866">
      <w:pPr>
        <w:pStyle w:val="FootnoteText"/>
        <w:rPr>
          <w:rFonts w:ascii="Times New Roman" w:hAnsi="Times New Roman" w:cs="Times New Roman"/>
          <w:b/>
          <w:sz w:val="20"/>
          <w:szCs w:val="20"/>
        </w:rPr>
      </w:pPr>
      <w:r w:rsidRPr="0082362E">
        <w:rPr>
          <w:rStyle w:val="FootnoteReference"/>
          <w:rFonts w:ascii="Times New Roman" w:hAnsi="Times New Roman" w:cs="Times New Roman"/>
          <w:b/>
          <w:sz w:val="20"/>
          <w:szCs w:val="20"/>
        </w:rPr>
        <w:footnoteRef/>
      </w:r>
      <w:r w:rsidRPr="0082362E">
        <w:rPr>
          <w:rFonts w:ascii="Times New Roman" w:hAnsi="Times New Roman" w:cs="Times New Roman"/>
          <w:b/>
          <w:sz w:val="20"/>
          <w:szCs w:val="20"/>
        </w:rPr>
        <w:t xml:space="preserve"> NB! Materiāls tapis balstoties uz materiāla izstrādes brīdī aktuālo Eiropas Savienības tiesu (turpmāk – ES Tiesa) praksi, Eiropas Komisijas lēmumiem un skaidrojumiem. Ja tiesu prakse vai lēmumi mainīs materiālā izklāstītos principus vai metodoloģiju, materiāls tiks precizēts.</w:t>
      </w:r>
    </w:p>
  </w:footnote>
  <w:footnote w:id="3">
    <w:p w14:paraId="7ECA2272" w14:textId="0783A8D3"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Sīkāku skaidrojumu, ko saprot ar pu</w:t>
      </w:r>
      <w:r w:rsidRPr="0082362E">
        <w:rPr>
          <w:rFonts w:ascii="Times New Roman" w:hAnsi="Times New Roman" w:cs="Times New Roman"/>
          <w:color w:val="000000"/>
          <w:sz w:val="20"/>
          <w:szCs w:val="20"/>
        </w:rPr>
        <w:t xml:space="preserve">bliskajiem resursiem, kā arī konceptuālus </w:t>
      </w:r>
      <w:r w:rsidR="00D36866">
        <w:rPr>
          <w:rFonts w:ascii="Times New Roman" w:hAnsi="Times New Roman" w:cs="Times New Roman"/>
          <w:color w:val="000000"/>
          <w:sz w:val="20"/>
          <w:szCs w:val="20"/>
        </w:rPr>
        <w:t>komercdarbības atb</w:t>
      </w:r>
      <w:r w:rsidRPr="0082362E">
        <w:rPr>
          <w:rFonts w:ascii="Times New Roman" w:hAnsi="Times New Roman" w:cs="Times New Roman"/>
          <w:color w:val="000000"/>
          <w:sz w:val="20"/>
          <w:szCs w:val="20"/>
        </w:rPr>
        <w:t xml:space="preserve">alsta pamatprincipus lūdzam skatīt </w:t>
      </w:r>
      <w:r w:rsidR="00D36866">
        <w:rPr>
          <w:rFonts w:ascii="Times New Roman" w:hAnsi="Times New Roman" w:cs="Times New Roman"/>
          <w:color w:val="000000"/>
          <w:sz w:val="20"/>
          <w:szCs w:val="20"/>
        </w:rPr>
        <w:t>Komercdarbības atb</w:t>
      </w:r>
      <w:r w:rsidRPr="0082362E">
        <w:rPr>
          <w:rFonts w:ascii="Times New Roman" w:hAnsi="Times New Roman" w:cs="Times New Roman"/>
          <w:color w:val="000000"/>
          <w:sz w:val="20"/>
          <w:szCs w:val="20"/>
        </w:rPr>
        <w:t xml:space="preserve">alsta vadlīnijās </w:t>
      </w:r>
      <w:hyperlink r:id="rId1">
        <w:r w:rsidRPr="0082362E">
          <w:rPr>
            <w:rStyle w:val="Internetasaite"/>
            <w:rFonts w:ascii="Times New Roman" w:hAnsi="Times New Roman" w:cs="Times New Roman"/>
            <w:color w:val="000000"/>
            <w:sz w:val="20"/>
            <w:szCs w:val="20"/>
            <w:u w:val="none"/>
          </w:rPr>
          <w:t>https://fm.gov.lv/files/files/06.10.2016%20preciz%20FINAL%20Valsts%20atbalsta%20VADLINIJAS.pdf</w:t>
        </w:r>
      </w:hyperlink>
      <w:r w:rsidRPr="0082362E">
        <w:rPr>
          <w:rFonts w:ascii="Times New Roman" w:hAnsi="Times New Roman" w:cs="Times New Roman"/>
          <w:color w:val="000000"/>
          <w:sz w:val="20"/>
          <w:szCs w:val="20"/>
        </w:rPr>
        <w:t xml:space="preserve"> , kā arī Komercdarbības atbalsta likuma 7.pantu.</w:t>
      </w:r>
    </w:p>
  </w:footnote>
  <w:footnote w:id="4">
    <w:p w14:paraId="2B98710B" w14:textId="77777777" w:rsidR="0078034D" w:rsidRPr="0082362E" w:rsidRDefault="0078034D" w:rsidP="00995C19">
      <w:pPr>
        <w:pStyle w:val="Heading1"/>
        <w:shd w:val="clear" w:color="auto" w:fill="FFFFFF"/>
        <w:spacing w:before="0" w:after="0"/>
        <w:rPr>
          <w:b w:val="0"/>
          <w:bCs w:val="0"/>
          <w:sz w:val="20"/>
          <w:szCs w:val="20"/>
          <w:lang w:bidi="ar-SA"/>
        </w:rPr>
      </w:pPr>
      <w:r w:rsidRPr="0082362E">
        <w:rPr>
          <w:rStyle w:val="FootnoteReference"/>
          <w:b w:val="0"/>
          <w:bCs w:val="0"/>
          <w:sz w:val="20"/>
          <w:szCs w:val="20"/>
        </w:rPr>
        <w:footnoteRef/>
      </w:r>
      <w:r w:rsidRPr="0082362E">
        <w:rPr>
          <w:b w:val="0"/>
          <w:bCs w:val="0"/>
          <w:sz w:val="20"/>
          <w:szCs w:val="20"/>
        </w:rPr>
        <w:t xml:space="preserve"> Lūdzam skatīt EK materiālu State aid manual of procedures Internal DG Competition working documents on procedures for the application of Articles 107 and 108 TFEU https://op.europa.eu/lv/publication-detail/-/publication/a0a0b02a-03ba-467e-82fd-a3eee78b59cb</w:t>
      </w:r>
    </w:p>
  </w:footnote>
  <w:footnote w:id="5">
    <w:p w14:paraId="12356FC4"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Piemēram, Komisijas 2014.gada 17.jūnija Regula (ES) Nr.651/2014, ar ko noteiktas atbalsta kategorijas atzīst par saderīgām ar iekšējo tirgu, piemērojot Līguma 107. un 108.pantu (turpmāk – </w:t>
      </w:r>
      <w:r w:rsidRPr="0082362E">
        <w:rPr>
          <w:rFonts w:ascii="Times New Roman" w:hAnsi="Times New Roman" w:cs="Times New Roman"/>
          <w:b/>
          <w:bCs/>
          <w:sz w:val="20"/>
          <w:szCs w:val="20"/>
        </w:rPr>
        <w:t>Komisijas regula Nr.651/2014</w:t>
      </w:r>
      <w:r w:rsidRPr="0082362E">
        <w:rPr>
          <w:rFonts w:ascii="Times New Roman" w:hAnsi="Times New Roman" w:cs="Times New Roman"/>
          <w:sz w:val="20"/>
          <w:szCs w:val="20"/>
        </w:rPr>
        <w:t xml:space="preserve">),  jeb vispārējā grupu atbrīvojuma regula, vai Komisijas Regula (EK) Nr. 1407/2013 (2013.gada 18.decembris) par Līguma par Eiropas Savienības darbību 107. un 108.panta piemērošanu </w:t>
      </w:r>
      <w:r w:rsidRPr="0082362E">
        <w:rPr>
          <w:rFonts w:ascii="Times New Roman" w:hAnsi="Times New Roman" w:cs="Times New Roman"/>
          <w:i/>
          <w:iCs/>
          <w:sz w:val="20"/>
          <w:szCs w:val="20"/>
        </w:rPr>
        <w:t xml:space="preserve">de minimis </w:t>
      </w:r>
      <w:r w:rsidRPr="0082362E">
        <w:rPr>
          <w:rFonts w:ascii="Times New Roman" w:hAnsi="Times New Roman" w:cs="Times New Roman"/>
          <w:sz w:val="20"/>
          <w:szCs w:val="20"/>
        </w:rPr>
        <w:t xml:space="preserve">atbalstam  </w:t>
      </w:r>
    </w:p>
  </w:footnote>
  <w:footnote w:id="6">
    <w:p w14:paraId="270D7198"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Komisijas regulas Nr.651/2014 3.pants.</w:t>
      </w:r>
    </w:p>
  </w:footnote>
  <w:footnote w:id="7">
    <w:p w14:paraId="49CBA152"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hyperlink r:id="rId2">
        <w:r w:rsidRPr="0082362E">
          <w:rPr>
            <w:rStyle w:val="InternetLink"/>
            <w:rFonts w:ascii="Times New Roman" w:hAnsi="Times New Roman" w:cs="Times New Roman"/>
            <w:color w:val="auto"/>
            <w:sz w:val="20"/>
            <w:szCs w:val="20"/>
            <w:u w:val="none"/>
          </w:rPr>
          <w:t>Padomes 2015.gada 13.jūlija Regulu (ES) 2015/1589, ar ko nosaka sīki izstrādātus noteikumus Līguma par Eiropas Savienības darbību 108.panta piemērošanai</w:t>
        </w:r>
      </w:hyperlink>
      <w:r w:rsidRPr="0082362E">
        <w:rPr>
          <w:rFonts w:ascii="Times New Roman" w:hAnsi="Times New Roman" w:cs="Times New Roman"/>
          <w:sz w:val="20"/>
          <w:szCs w:val="20"/>
        </w:rPr>
        <w:t xml:space="preserve"> (kodificēta redakcija) (</w:t>
      </w:r>
      <w:r w:rsidRPr="0082362E">
        <w:rPr>
          <w:rFonts w:ascii="Times New Roman" w:hAnsi="Times New Roman" w:cs="Times New Roman"/>
          <w:b/>
          <w:bCs/>
          <w:sz w:val="20"/>
          <w:szCs w:val="20"/>
        </w:rPr>
        <w:t>Procedūras regula</w:t>
      </w:r>
      <w:r w:rsidRPr="0082362E">
        <w:rPr>
          <w:rFonts w:ascii="Times New Roman" w:hAnsi="Times New Roman" w:cs="Times New Roman"/>
          <w:sz w:val="20"/>
          <w:szCs w:val="20"/>
        </w:rPr>
        <w:t>), ieviešot pamatnoteikumus atgūšanas jomā.</w:t>
      </w:r>
    </w:p>
  </w:footnote>
  <w:footnote w:id="8">
    <w:p w14:paraId="23F89D1C" w14:textId="77777777" w:rsidR="0078034D" w:rsidRPr="0082362E" w:rsidRDefault="0078034D">
      <w:pPr>
        <w:shd w:val="clear" w:color="auto" w:fill="FFFFFF"/>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Papildus lūdzam skatīt ģenerāladvokāta secinājumu 108.punktu l</w:t>
      </w:r>
      <w:r w:rsidRPr="0082362E">
        <w:rPr>
          <w:rFonts w:ascii="Times New Roman" w:eastAsia="Times New Roman" w:hAnsi="Times New Roman" w:cs="Times New Roman"/>
          <w:bCs/>
          <w:sz w:val="20"/>
          <w:szCs w:val="20"/>
        </w:rPr>
        <w:t>ietā C</w:t>
      </w:r>
      <w:r w:rsidRPr="0082362E">
        <w:rPr>
          <w:rFonts w:ascii="Times New Roman" w:eastAsia="Times New Roman" w:hAnsi="Times New Roman" w:cs="Times New Roman"/>
          <w:bCs/>
          <w:sz w:val="20"/>
          <w:szCs w:val="20"/>
        </w:rPr>
        <w:noBreakHyphen/>
        <w:t>349/17.</w:t>
      </w:r>
    </w:p>
  </w:footnote>
  <w:footnote w:id="9">
    <w:p w14:paraId="13AFF83E"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Sk. 2019.gada 5.marta Tiesas sprieduma lietā C-349/17 89.punktu. </w:t>
      </w:r>
    </w:p>
  </w:footnote>
  <w:footnote w:id="10">
    <w:p w14:paraId="60D3176C" w14:textId="77777777" w:rsidR="0078034D" w:rsidRPr="0082362E" w:rsidRDefault="0078034D">
      <w:pPr>
        <w:tabs>
          <w:tab w:val="left" w:pos="284"/>
        </w:tabs>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ab/>
        <w:t xml:space="preserve"> Sk. 2012.gada 11.decembra Tiesas sprieduma lietā C-610/10 105.punktu.</w:t>
      </w:r>
    </w:p>
  </w:footnote>
  <w:footnote w:id="11">
    <w:p w14:paraId="1D366D38" w14:textId="77777777" w:rsidR="0078034D" w:rsidRPr="0082362E" w:rsidRDefault="0078034D">
      <w:pPr>
        <w:tabs>
          <w:tab w:val="left" w:pos="284"/>
        </w:tabs>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ab/>
        <w:t xml:space="preserve"> Sk. 1995.gada 4.aprīļa Tiesas sprieduma lietā C-348/93, 27.punktu.</w:t>
      </w:r>
    </w:p>
  </w:footnote>
  <w:footnote w:id="12">
    <w:p w14:paraId="4C08AECC" w14:textId="77777777" w:rsidR="0078034D" w:rsidRPr="0082362E" w:rsidRDefault="0078034D">
      <w:pPr>
        <w:pStyle w:val="footnotetext1"/>
        <w:tabs>
          <w:tab w:val="left" w:pos="284"/>
          <w:tab w:val="left" w:pos="720"/>
          <w:tab w:val="left" w:pos="1440"/>
          <w:tab w:val="left" w:pos="2160"/>
          <w:tab w:val="left" w:pos="2880"/>
          <w:tab w:val="left" w:pos="3600"/>
          <w:tab w:val="left" w:pos="4320"/>
          <w:tab w:val="left" w:pos="5040"/>
          <w:tab w:val="left" w:pos="5760"/>
          <w:tab w:val="left" w:pos="7935"/>
        </w:tabs>
        <w:spacing w:after="0"/>
        <w:ind w:left="0" w:firstLine="0"/>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ab/>
        <w:t xml:space="preserve"> Sk. 1995.gada 8.jūnija Pirmās instances tiesas sprieduma lietā T-459/93 97.–101.punktu.</w:t>
      </w:r>
    </w:p>
  </w:footnote>
  <w:footnote w:id="13">
    <w:p w14:paraId="04269D75" w14:textId="77777777" w:rsidR="0078034D" w:rsidRPr="0082362E" w:rsidRDefault="0078034D">
      <w:pPr>
        <w:pStyle w:val="footnotetext1"/>
        <w:tabs>
          <w:tab w:val="left" w:pos="284"/>
        </w:tabs>
        <w:spacing w:after="0"/>
        <w:ind w:left="0" w:firstLine="0"/>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5314F8">
        <w:rPr>
          <w:rFonts w:ascii="Times New Roman" w:hAnsi="Times New Roman" w:cs="Times New Roman"/>
          <w:sz w:val="20"/>
          <w:szCs w:val="20"/>
          <w:vertAlign w:val="superscript"/>
        </w:rPr>
        <w:tab/>
      </w:r>
      <w:r w:rsidRPr="0082362E">
        <w:rPr>
          <w:rFonts w:ascii="Times New Roman" w:hAnsi="Times New Roman" w:cs="Times New Roman"/>
          <w:sz w:val="20"/>
          <w:szCs w:val="20"/>
        </w:rPr>
        <w:t xml:space="preserve"> Sk. 1999.gada 17.jūnija Tiesas sprieduma lietā C-75/97 65.punktu.</w:t>
      </w:r>
    </w:p>
  </w:footnote>
  <w:footnote w:id="14">
    <w:p w14:paraId="587340B5" w14:textId="77777777" w:rsidR="0078034D" w:rsidRPr="0082362E" w:rsidRDefault="0078034D">
      <w:pPr>
        <w:pStyle w:val="footnotetext1"/>
        <w:tabs>
          <w:tab w:val="left" w:pos="284"/>
        </w:tabs>
        <w:spacing w:after="0"/>
        <w:ind w:left="0" w:firstLine="0"/>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ab/>
        <w:t xml:space="preserve"> Sk. 2016.gada 21.decembra Tiesas sprieduma lietās C-164/15 P un C-165/15 114. un 116.punktu.</w:t>
      </w:r>
    </w:p>
  </w:footnote>
  <w:footnote w:id="15">
    <w:p w14:paraId="58864A3A" w14:textId="77777777" w:rsidR="0078034D" w:rsidRPr="0082362E" w:rsidRDefault="0078034D">
      <w:pPr>
        <w:pStyle w:val="footnotetext1"/>
        <w:tabs>
          <w:tab w:val="left" w:pos="284"/>
        </w:tabs>
        <w:spacing w:after="0"/>
        <w:ind w:left="0" w:firstLine="0"/>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ab/>
        <w:t xml:space="preserve"> Sk. 2015.gada 17.septembra Tiesas sprieduma lietā C-367/14 41.punktu.</w:t>
      </w:r>
    </w:p>
  </w:footnote>
  <w:footnote w:id="16">
    <w:p w14:paraId="32DA712E" w14:textId="77777777" w:rsidR="0078034D" w:rsidRPr="0082362E" w:rsidRDefault="0078034D">
      <w:pPr>
        <w:pStyle w:val="footnotetext1"/>
        <w:tabs>
          <w:tab w:val="left" w:pos="284"/>
        </w:tabs>
        <w:spacing w:after="0"/>
        <w:ind w:left="0" w:firstLine="0"/>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5314F8">
        <w:rPr>
          <w:rFonts w:ascii="Times New Roman" w:hAnsi="Times New Roman" w:cs="Times New Roman"/>
          <w:sz w:val="20"/>
          <w:szCs w:val="20"/>
          <w:vertAlign w:val="superscript"/>
        </w:rPr>
        <w:tab/>
      </w:r>
      <w:r w:rsidRPr="0082362E">
        <w:rPr>
          <w:rFonts w:ascii="Times New Roman" w:hAnsi="Times New Roman" w:cs="Times New Roman"/>
          <w:sz w:val="20"/>
          <w:szCs w:val="20"/>
        </w:rPr>
        <w:t xml:space="preserve"> Sk. 1990.gada 21.marta Tiesas sprieduma lietā C-142/87 66.punktu.</w:t>
      </w:r>
    </w:p>
  </w:footnote>
  <w:footnote w:id="17">
    <w:p w14:paraId="0134D0F3" w14:textId="77777777" w:rsidR="0078034D" w:rsidRPr="0082362E" w:rsidRDefault="0078034D">
      <w:pPr>
        <w:pStyle w:val="footnotetext1"/>
        <w:tabs>
          <w:tab w:val="left" w:pos="284"/>
        </w:tabs>
        <w:spacing w:after="0"/>
        <w:ind w:left="0" w:firstLine="0"/>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ab/>
        <w:t xml:space="preserve"> Sk. 2017.gada 1.marta Vispārējās tiesas sprieduma lietā  T-454/13 269.punktu.</w:t>
      </w:r>
    </w:p>
  </w:footnote>
  <w:footnote w:id="18">
    <w:p w14:paraId="6240A895" w14:textId="77777777" w:rsidR="0078034D" w:rsidRPr="0082362E" w:rsidRDefault="0078034D">
      <w:pPr>
        <w:shd w:val="clear" w:color="auto" w:fill="FFFFFF"/>
        <w:tabs>
          <w:tab w:val="left" w:pos="284"/>
        </w:tabs>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Sk. ģenerāladvokāta secinājumu 108.punktu l</w:t>
      </w:r>
      <w:r w:rsidRPr="0082362E">
        <w:rPr>
          <w:rFonts w:ascii="Times New Roman" w:eastAsia="Times New Roman" w:hAnsi="Times New Roman" w:cs="Times New Roman"/>
          <w:bCs/>
          <w:sz w:val="20"/>
          <w:szCs w:val="20"/>
        </w:rPr>
        <w:t>ietā C</w:t>
      </w:r>
      <w:r w:rsidRPr="0082362E">
        <w:rPr>
          <w:rFonts w:ascii="Times New Roman" w:eastAsia="Times New Roman" w:hAnsi="Times New Roman" w:cs="Times New Roman"/>
          <w:bCs/>
          <w:sz w:val="20"/>
          <w:szCs w:val="20"/>
        </w:rPr>
        <w:noBreakHyphen/>
        <w:t>349/17.</w:t>
      </w:r>
    </w:p>
  </w:footnote>
  <w:footnote w:id="19">
    <w:p w14:paraId="65903FB5" w14:textId="77777777" w:rsidR="0078034D" w:rsidRPr="0082362E" w:rsidRDefault="0078034D">
      <w:pPr>
        <w:pStyle w:val="footnotetext1"/>
        <w:tabs>
          <w:tab w:val="left" w:pos="284"/>
        </w:tabs>
        <w:spacing w:after="0"/>
        <w:ind w:left="0" w:firstLine="0"/>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Saskaņā ar ES Tiesas judikatūru, ja juridiski nodalītas fiziskas vai juridiskas personas veido vienu saimniecisku vienību, Savienības konkurences tiesību izpratnē tās jāuzskata par vienu uzņēmumu. Sk. 1984.gada 12 jūlija Tiesas sprieduma lietā C-170/83 11.punktu.</w:t>
      </w:r>
    </w:p>
  </w:footnote>
  <w:footnote w:id="20">
    <w:p w14:paraId="69E8F76A" w14:textId="77777777" w:rsidR="0078034D" w:rsidRPr="0082362E" w:rsidRDefault="0078034D">
      <w:pPr>
        <w:pStyle w:val="footnotetext1"/>
        <w:tabs>
          <w:tab w:val="left" w:pos="284"/>
        </w:tabs>
        <w:spacing w:after="0"/>
        <w:ind w:left="0" w:firstLine="0"/>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5314F8">
        <w:rPr>
          <w:rFonts w:ascii="Times New Roman" w:hAnsi="Times New Roman" w:cs="Times New Roman"/>
          <w:sz w:val="20"/>
          <w:szCs w:val="20"/>
          <w:vertAlign w:val="superscript"/>
        </w:rPr>
        <w:tab/>
      </w:r>
      <w:r w:rsidRPr="0082362E">
        <w:rPr>
          <w:rFonts w:ascii="Times New Roman" w:hAnsi="Times New Roman" w:cs="Times New Roman"/>
          <w:sz w:val="20"/>
          <w:szCs w:val="20"/>
        </w:rPr>
        <w:t>Sk. 2010.gada 13.septembra Vispārējās tiesas sprieduma lietās T-415/05, T-416/05 un T-423/05 143.–146.punktu.</w:t>
      </w:r>
    </w:p>
  </w:footnote>
  <w:footnote w:id="21">
    <w:p w14:paraId="29689698" w14:textId="77777777" w:rsidR="0078034D" w:rsidRPr="0082362E" w:rsidRDefault="0078034D" w:rsidP="00995C19">
      <w:pPr>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Sīkā lūdzam skatīt Finanšu ministrijas mājaslapā sadaļā “Noderīgi materiāli atbalsta sniedzējiem” materiālu “Nelikumīga (un nesaderīga) komercdarbības atbalsta atgūšana saimnieciskās (ekonomiskās) pēctecības gadījumā”</w:t>
      </w:r>
    </w:p>
  </w:footnote>
  <w:footnote w:id="22">
    <w:p w14:paraId="2C660D14" w14:textId="77777777" w:rsidR="0078034D" w:rsidRPr="0082362E" w:rsidRDefault="0078034D">
      <w:pPr>
        <w:pStyle w:val="footnotetext1"/>
        <w:spacing w:after="0"/>
        <w:ind w:left="284" w:hanging="284"/>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ab/>
        <w:t>Sk. 2004.gada 29.aprīļa Tiesas sprieduma lietās C-277/00 78. un 84.punkts.</w:t>
      </w:r>
    </w:p>
  </w:footnote>
  <w:footnote w:id="23">
    <w:p w14:paraId="62107328" w14:textId="77777777" w:rsidR="0078034D" w:rsidRPr="0082362E" w:rsidRDefault="0078034D" w:rsidP="00A34BED">
      <w:pPr>
        <w:pStyle w:val="ListParagraph"/>
        <w:tabs>
          <w:tab w:val="left" w:pos="400"/>
        </w:tabs>
        <w:ind w:left="0"/>
        <w:rPr>
          <w:iCs/>
          <w:color w:val="auto"/>
          <w:sz w:val="20"/>
          <w:szCs w:val="20"/>
        </w:rPr>
      </w:pPr>
      <w:r w:rsidRPr="0082362E">
        <w:rPr>
          <w:rStyle w:val="FootnoteReference"/>
          <w:color w:val="auto"/>
          <w:sz w:val="24"/>
          <w:szCs w:val="24"/>
        </w:rPr>
        <w:footnoteRef/>
      </w:r>
      <w:r w:rsidRPr="0082362E">
        <w:rPr>
          <w:color w:val="auto"/>
          <w:sz w:val="24"/>
          <w:szCs w:val="24"/>
        </w:rPr>
        <w:t xml:space="preserve"> </w:t>
      </w:r>
      <w:r w:rsidRPr="0082362E">
        <w:rPr>
          <w:iCs/>
          <w:color w:val="auto"/>
          <w:sz w:val="20"/>
          <w:szCs w:val="20"/>
        </w:rPr>
        <w:t>Atbalsta piešķiršanas brīža identificēšana ir būtisks priekšnosacījums korektai interpretācijai par datumu, kurā uzskatāms, ka saskaņā ar konkrēto EK tiesību aktu komercdarbības atbalsts ir piešķirts tā saņēmējam. Atbalsta piešķiršanas diena ir diena, kad saņēmējam saskaņā ar piemērojamo valsts tiesisko regulējumu ir nodotas likumīgās tiesības saņemt atbalstu. Ar šo jēdzienu var tikt saprasts administratīvā akta spēkā stāšanās datums (Administratīvā procesa likuma 70. panta pirmās daļas izpratnē), piemēram, pašvaldības domes lēmums, vai arī civiltiesiska līguma noslēgšanas (spēkā stāšanās) datums, vai arī cita dokumenta datums, kas ir atbilstošs konkrētajai situācijai un atbalsta sniedzēja pilnvarām un kurš nosaka pienākumu atbalsta sniedzējam piešķirt komercdarbības atbalstu attiecīgajam pretendentam, taču, kurš dokuments vai darbība ir uzskatāms par atbalsta piešķiršanas brīdi katrā specifiskajā gadījumā atbilstoši faktiskajai un tiesiskajai situācijai jānosaka katrā gadījumā atsevišķi.</w:t>
      </w:r>
    </w:p>
  </w:footnote>
  <w:footnote w:id="24">
    <w:p w14:paraId="2C1EBCE5" w14:textId="77777777" w:rsidR="0078034D" w:rsidRPr="0082362E" w:rsidRDefault="0078034D">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w:t>
      </w:r>
      <w:r w:rsidRPr="0082362E">
        <w:rPr>
          <w:rFonts w:ascii="Times New Roman" w:hAnsi="Times New Roman" w:cs="Times New Roman"/>
          <w:bCs/>
          <w:sz w:val="20"/>
          <w:szCs w:val="20"/>
        </w:rPr>
        <w:t>Piemēram, Eiropas Savienības struktūrfondu un Kohēzijas fonda 2014.—2020.gada plānošanas perioda vadības likumā ir noteikti speciāli nosacījumi attiecībā uz strīdu risināšanas kārtību, ja finansējuma saņēmējs ir fiziskā vai juridiskā persona (likuma 31.pants), kā arī, ja finansējuma saņēmējs ir tiešās vai pastarpinātās pārvaldes iestāde, atvasināta publiska persona vai cita valsts iestāde (32.pants). Kā arī, piemēram, likuma “Par nodokļu piemērošanu brīvostās un speciālajās ekonomiskajās zonās” 8. panta astotās daļas gadījums.</w:t>
      </w:r>
    </w:p>
  </w:footnote>
  <w:footnote w:id="25">
    <w:p w14:paraId="32415E3B" w14:textId="77777777" w:rsidR="0078034D" w:rsidRPr="0082362E" w:rsidRDefault="0078034D">
      <w:pPr>
        <w:pStyle w:val="NormalWeb"/>
        <w:tabs>
          <w:tab w:val="left" w:pos="284"/>
        </w:tabs>
        <w:spacing w:beforeAutospacing="0" w:afterAutospacing="0"/>
        <w:rPr>
          <w:sz w:val="20"/>
          <w:szCs w:val="20"/>
        </w:rPr>
      </w:pPr>
      <w:r w:rsidRPr="0082362E">
        <w:rPr>
          <w:rStyle w:val="Vresrakstzmes"/>
          <w:sz w:val="20"/>
          <w:szCs w:val="20"/>
        </w:rPr>
        <w:footnoteRef/>
      </w:r>
      <w:r w:rsidRPr="0082362E">
        <w:rPr>
          <w:rStyle w:val="FootnoteCharacters"/>
          <w:sz w:val="20"/>
          <w:szCs w:val="20"/>
        </w:rPr>
        <w:t xml:space="preserve"> </w:t>
      </w:r>
      <w:r w:rsidRPr="0082362E">
        <w:rPr>
          <w:sz w:val="20"/>
          <w:szCs w:val="20"/>
        </w:rPr>
        <w:t>Sk. 2005.gada 12.maija Tiesas spriedumu lietā: C-415/03 44. un 46.punkts.</w:t>
      </w:r>
    </w:p>
  </w:footnote>
  <w:footnote w:id="26">
    <w:p w14:paraId="10C8CA63" w14:textId="77777777" w:rsidR="0078034D" w:rsidRPr="0082362E" w:rsidRDefault="0078034D">
      <w:pPr>
        <w:pStyle w:val="NormalWeb"/>
        <w:tabs>
          <w:tab w:val="left" w:pos="284"/>
        </w:tabs>
        <w:spacing w:beforeAutospacing="0" w:afterAutospacing="0"/>
        <w:rPr>
          <w:sz w:val="20"/>
          <w:szCs w:val="20"/>
        </w:rPr>
      </w:pPr>
      <w:r w:rsidRPr="00811859">
        <w:rPr>
          <w:rStyle w:val="Vresrakstzmes"/>
          <w:sz w:val="20"/>
          <w:szCs w:val="20"/>
          <w:vertAlign w:val="superscript"/>
        </w:rPr>
        <w:footnoteRef/>
      </w:r>
      <w:r w:rsidRPr="00811859">
        <w:rPr>
          <w:rStyle w:val="FootnoteCharacters"/>
          <w:sz w:val="20"/>
          <w:szCs w:val="20"/>
        </w:rPr>
        <w:t xml:space="preserve"> </w:t>
      </w:r>
      <w:r w:rsidRPr="0082362E">
        <w:rPr>
          <w:sz w:val="20"/>
          <w:szCs w:val="20"/>
        </w:rPr>
        <w:t>Sk. 2006.gada 5.oktobra Tiesas spriedumu lietā: C-232/05, īpaši 50.punkts</w:t>
      </w:r>
      <w:r w:rsidRPr="0082362E">
        <w:rPr>
          <w:iCs/>
          <w:sz w:val="20"/>
          <w:szCs w:val="20"/>
        </w:rPr>
        <w:t>.</w:t>
      </w:r>
    </w:p>
  </w:footnote>
  <w:footnote w:id="27">
    <w:p w14:paraId="0209005A" w14:textId="77777777" w:rsidR="0078034D" w:rsidRPr="0082362E" w:rsidRDefault="0078034D">
      <w:pPr>
        <w:pStyle w:val="FootnoteText"/>
        <w:tabs>
          <w:tab w:val="left" w:pos="284"/>
        </w:tabs>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Style w:val="FootnoteCharacters"/>
          <w:rFonts w:ascii="Times New Roman" w:hAnsi="Times New Roman" w:cs="Times New Roman"/>
          <w:sz w:val="20"/>
          <w:szCs w:val="20"/>
        </w:rPr>
        <w:t xml:space="preserve"> </w:t>
      </w:r>
      <w:r w:rsidRPr="0082362E">
        <w:rPr>
          <w:rFonts w:ascii="Times New Roman" w:hAnsi="Times New Roman" w:cs="Times New Roman"/>
          <w:sz w:val="20"/>
          <w:szCs w:val="20"/>
        </w:rPr>
        <w:t xml:space="preserve">Sk. 2005.gada 12.maija Tiesas sprieduma lietā: C-415/03 35-44.punktu. </w:t>
      </w:r>
    </w:p>
  </w:footnote>
  <w:footnote w:id="28">
    <w:p w14:paraId="2E5F1BA4" w14:textId="77777777" w:rsidR="0078034D" w:rsidRPr="0082362E" w:rsidRDefault="0078034D">
      <w:pPr>
        <w:pStyle w:val="FootnoteText"/>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Sk. EST sprieduma Nr. C-349/17 131.punkts.</w:t>
      </w:r>
    </w:p>
  </w:footnote>
  <w:footnote w:id="29">
    <w:p w14:paraId="11B43D19" w14:textId="3DC8E6F0"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 xml:space="preserve">Sk. </w:t>
      </w:r>
      <w:r w:rsidRPr="0082362E">
        <w:rPr>
          <w:rFonts w:ascii="Times New Roman" w:eastAsia="Times New Roman" w:hAnsi="Times New Roman" w:cs="Times New Roman"/>
          <w:sz w:val="20"/>
          <w:szCs w:val="20"/>
          <w:lang w:bidi="ar-SA"/>
        </w:rPr>
        <w:t xml:space="preserve">2011.gada 8.decembra Tiesas spriedums lietā C-275/10 </w:t>
      </w:r>
      <w:hyperlink r:id="rId3">
        <w:r w:rsidRPr="0082362E">
          <w:rPr>
            <w:rStyle w:val="Internetasaite"/>
            <w:rFonts w:ascii="Times New Roman" w:eastAsia="Times New Roman" w:hAnsi="Times New Roman" w:cs="Times New Roman"/>
            <w:color w:val="auto"/>
            <w:sz w:val="20"/>
            <w:szCs w:val="20"/>
            <w:u w:val="none"/>
            <w:lang w:bidi="ar-SA"/>
          </w:rPr>
          <w:t>33.</w:t>
        </w:r>
      </w:hyperlink>
      <w:r w:rsidRPr="0082362E">
        <w:rPr>
          <w:rFonts w:ascii="Times New Roman" w:eastAsia="Times New Roman" w:hAnsi="Times New Roman" w:cs="Times New Roman"/>
          <w:sz w:val="20"/>
          <w:szCs w:val="20"/>
          <w:lang w:bidi="ar-SA"/>
        </w:rPr>
        <w:t> un </w:t>
      </w:r>
      <w:hyperlink r:id="rId4">
        <w:r w:rsidRPr="0082362E">
          <w:rPr>
            <w:rStyle w:val="Internetasaite"/>
            <w:rFonts w:ascii="Times New Roman" w:eastAsia="Times New Roman" w:hAnsi="Times New Roman" w:cs="Times New Roman"/>
            <w:color w:val="auto"/>
            <w:sz w:val="20"/>
            <w:szCs w:val="20"/>
            <w:u w:val="none"/>
            <w:lang w:bidi="ar-SA"/>
          </w:rPr>
          <w:t>34.</w:t>
        </w:r>
      </w:hyperlink>
      <w:r w:rsidRPr="0082362E">
        <w:rPr>
          <w:rFonts w:ascii="Times New Roman" w:eastAsia="Times New Roman" w:hAnsi="Times New Roman" w:cs="Times New Roman"/>
          <w:sz w:val="20"/>
          <w:szCs w:val="20"/>
          <w:lang w:bidi="ar-SA"/>
        </w:rPr>
        <w:t> punktu.</w:t>
      </w:r>
    </w:p>
  </w:footnote>
  <w:footnote w:id="30">
    <w:p w14:paraId="4A989C62" w14:textId="5F504B52" w:rsidR="0078034D" w:rsidRPr="0082362E" w:rsidRDefault="0078034D">
      <w:pPr>
        <w:pStyle w:val="FootnoteText"/>
        <w:tabs>
          <w:tab w:val="left" w:pos="284"/>
        </w:tabs>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 xml:space="preserve">Sk. </w:t>
      </w:r>
      <w:r w:rsidRPr="0082362E">
        <w:rPr>
          <w:rFonts w:ascii="Times New Roman" w:eastAsia="Times New Roman" w:hAnsi="Times New Roman" w:cs="Times New Roman"/>
          <w:sz w:val="20"/>
          <w:szCs w:val="20"/>
          <w:lang w:bidi="ar-SA"/>
        </w:rPr>
        <w:t xml:space="preserve">2005.gada 15.decembra tiesas sprieduma lietā </w:t>
      </w:r>
      <w:hyperlink r:id="rId5" w:tgtFrame="CourtTab">
        <w:r w:rsidRPr="0082362E">
          <w:rPr>
            <w:rStyle w:val="Internetasaite"/>
            <w:rFonts w:ascii="Times New Roman" w:eastAsia="Times New Roman" w:hAnsi="Times New Roman" w:cs="Times New Roman"/>
            <w:color w:val="auto"/>
            <w:sz w:val="20"/>
            <w:szCs w:val="20"/>
            <w:u w:val="none"/>
            <w:lang w:bidi="ar-SA"/>
          </w:rPr>
          <w:t>C</w:t>
        </w:r>
        <w:r w:rsidRPr="0082362E">
          <w:rPr>
            <w:rStyle w:val="Internetasaite"/>
            <w:rFonts w:ascii="Times New Roman" w:eastAsia="Times New Roman" w:hAnsi="Times New Roman" w:cs="Times New Roman"/>
            <w:color w:val="auto"/>
            <w:sz w:val="20"/>
            <w:szCs w:val="20"/>
            <w:u w:val="none"/>
            <w:lang w:bidi="ar-SA"/>
          </w:rPr>
          <w:noBreakHyphen/>
          <w:t>148/04</w:t>
        </w:r>
      </w:hyperlink>
      <w:r w:rsidRPr="0082362E">
        <w:rPr>
          <w:rFonts w:ascii="Times New Roman" w:hAnsi="Times New Roman" w:cs="Times New Roman"/>
          <w:sz w:val="20"/>
          <w:szCs w:val="20"/>
        </w:rPr>
        <w:t xml:space="preserve"> </w:t>
      </w:r>
      <w:hyperlink r:id="rId6">
        <w:r w:rsidRPr="0082362E">
          <w:rPr>
            <w:rStyle w:val="Internetasaite"/>
            <w:rFonts w:ascii="Times New Roman" w:eastAsia="Times New Roman" w:hAnsi="Times New Roman" w:cs="Times New Roman"/>
            <w:color w:val="auto"/>
            <w:sz w:val="20"/>
            <w:szCs w:val="20"/>
            <w:u w:val="none"/>
            <w:lang w:bidi="ar-SA"/>
          </w:rPr>
          <w:t>104.</w:t>
        </w:r>
      </w:hyperlink>
      <w:r w:rsidRPr="0082362E">
        <w:rPr>
          <w:rFonts w:ascii="Times New Roman" w:eastAsia="Times New Roman" w:hAnsi="Times New Roman" w:cs="Times New Roman"/>
          <w:sz w:val="20"/>
          <w:szCs w:val="20"/>
          <w:lang w:bidi="ar-SA"/>
        </w:rPr>
        <w:t> punktu.</w:t>
      </w:r>
    </w:p>
  </w:footnote>
  <w:footnote w:id="31">
    <w:p w14:paraId="5BB42D32" w14:textId="77777777" w:rsidR="0078034D" w:rsidRPr="0082362E" w:rsidRDefault="0078034D">
      <w:pPr>
        <w:pStyle w:val="FootnoteText"/>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 xml:space="preserve">Sk. 2019.gada 5.marta Tiesas sprieduma lietā C-349/17 106.punktu. </w:t>
      </w:r>
    </w:p>
  </w:footnote>
  <w:footnote w:id="32">
    <w:p w14:paraId="2A36CFF3" w14:textId="15741090" w:rsidR="0078034D" w:rsidRPr="0082362E" w:rsidRDefault="0078034D">
      <w:pPr>
        <w:pStyle w:val="Default"/>
        <w:rPr>
          <w:sz w:val="20"/>
          <w:szCs w:val="20"/>
        </w:rPr>
      </w:pPr>
      <w:r w:rsidRPr="00811859">
        <w:rPr>
          <w:rStyle w:val="Vresrakstzmes"/>
          <w:sz w:val="20"/>
          <w:szCs w:val="20"/>
          <w:vertAlign w:val="superscript"/>
        </w:rPr>
        <w:footnoteRef/>
      </w:r>
      <w:r w:rsidRPr="0082362E">
        <w:rPr>
          <w:sz w:val="20"/>
          <w:szCs w:val="20"/>
        </w:rPr>
        <w:t xml:space="preserve"> </w:t>
      </w:r>
      <w:r w:rsidR="00B85B05" w:rsidRPr="00B85B05">
        <w:rPr>
          <w:bCs/>
          <w:sz w:val="20"/>
          <w:szCs w:val="20"/>
        </w:rPr>
        <w:t xml:space="preserve">Komisijas paziņojums par </w:t>
      </w:r>
      <w:r w:rsidR="00D36866">
        <w:rPr>
          <w:bCs/>
          <w:sz w:val="20"/>
          <w:szCs w:val="20"/>
        </w:rPr>
        <w:t>komercdarbības atb</w:t>
      </w:r>
      <w:r w:rsidR="00B85B05" w:rsidRPr="00B85B05">
        <w:rPr>
          <w:bCs/>
          <w:sz w:val="20"/>
          <w:szCs w:val="20"/>
        </w:rPr>
        <w:t>alsta noteikumu izpildi valstu tiesās</w:t>
      </w:r>
      <w:r w:rsidR="00B85B05" w:rsidRPr="00B85B05" w:rsidDel="00B85B05">
        <w:rPr>
          <w:bCs/>
          <w:sz w:val="20"/>
          <w:szCs w:val="20"/>
        </w:rPr>
        <w:t xml:space="preserve"> </w:t>
      </w:r>
      <w:r w:rsidRPr="0082362E">
        <w:rPr>
          <w:sz w:val="20"/>
          <w:szCs w:val="20"/>
        </w:rPr>
        <w:t>(</w:t>
      </w:r>
      <w:r w:rsidR="00B85B05" w:rsidRPr="00B85B05">
        <w:rPr>
          <w:sz w:val="20"/>
          <w:szCs w:val="20"/>
        </w:rPr>
        <w:t>2021/C 305/01</w:t>
      </w:r>
      <w:r w:rsidRPr="0082362E">
        <w:rPr>
          <w:sz w:val="20"/>
          <w:szCs w:val="20"/>
        </w:rPr>
        <w:t xml:space="preserve">) </w:t>
      </w:r>
      <w:r w:rsidR="00B85B05">
        <w:rPr>
          <w:sz w:val="20"/>
          <w:szCs w:val="20"/>
        </w:rPr>
        <w:t>48. un 49.</w:t>
      </w:r>
      <w:r w:rsidRPr="0082362E">
        <w:rPr>
          <w:sz w:val="20"/>
          <w:szCs w:val="20"/>
        </w:rPr>
        <w:t xml:space="preserve"> punkts.</w:t>
      </w:r>
    </w:p>
  </w:footnote>
  <w:footnote w:id="33">
    <w:p w14:paraId="2577DC5D" w14:textId="20AC2833" w:rsidR="0078034D" w:rsidRPr="0082362E" w:rsidRDefault="0078034D">
      <w:pPr>
        <w:pStyle w:val="Default"/>
        <w:rPr>
          <w:sz w:val="20"/>
          <w:szCs w:val="20"/>
        </w:rPr>
      </w:pPr>
      <w:r w:rsidRPr="00811859">
        <w:rPr>
          <w:rStyle w:val="Vresrakstzmes"/>
          <w:sz w:val="20"/>
          <w:szCs w:val="20"/>
          <w:vertAlign w:val="superscript"/>
        </w:rPr>
        <w:footnoteRef/>
      </w:r>
      <w:r w:rsidRPr="0082362E">
        <w:rPr>
          <w:sz w:val="20"/>
          <w:szCs w:val="20"/>
        </w:rPr>
        <w:t xml:space="preserve"> </w:t>
      </w:r>
      <w:r w:rsidR="00B85B05" w:rsidRPr="00B85B05">
        <w:rPr>
          <w:bCs/>
          <w:sz w:val="20"/>
          <w:szCs w:val="20"/>
        </w:rPr>
        <w:t xml:space="preserve">Komisijas paziņojums par </w:t>
      </w:r>
      <w:r w:rsidR="00D36866">
        <w:rPr>
          <w:bCs/>
          <w:sz w:val="20"/>
          <w:szCs w:val="20"/>
        </w:rPr>
        <w:t>komercdarbības atb</w:t>
      </w:r>
      <w:r w:rsidR="00B85B05" w:rsidRPr="00B85B05">
        <w:rPr>
          <w:bCs/>
          <w:sz w:val="20"/>
          <w:szCs w:val="20"/>
        </w:rPr>
        <w:t>alsta noteikumu izpildi valstu tiesās</w:t>
      </w:r>
      <w:r w:rsidR="00B85B05" w:rsidRPr="00B85B05" w:rsidDel="00B85B05">
        <w:rPr>
          <w:bCs/>
          <w:sz w:val="20"/>
          <w:szCs w:val="20"/>
        </w:rPr>
        <w:t xml:space="preserve"> </w:t>
      </w:r>
      <w:r w:rsidR="00B85B05" w:rsidRPr="0082362E">
        <w:rPr>
          <w:sz w:val="20"/>
          <w:szCs w:val="20"/>
        </w:rPr>
        <w:t>(</w:t>
      </w:r>
      <w:r w:rsidR="00B85B05" w:rsidRPr="00B85B05">
        <w:rPr>
          <w:sz w:val="20"/>
          <w:szCs w:val="20"/>
        </w:rPr>
        <w:t>2021/C 305/01</w:t>
      </w:r>
      <w:r w:rsidR="00B85B05" w:rsidRPr="0082362E">
        <w:rPr>
          <w:sz w:val="20"/>
          <w:szCs w:val="20"/>
        </w:rPr>
        <w:t xml:space="preserve">) </w:t>
      </w:r>
      <w:r w:rsidR="00B85B05">
        <w:rPr>
          <w:sz w:val="20"/>
          <w:szCs w:val="20"/>
        </w:rPr>
        <w:t>87</w:t>
      </w:r>
      <w:r w:rsidRPr="0082362E">
        <w:rPr>
          <w:sz w:val="20"/>
          <w:szCs w:val="20"/>
        </w:rPr>
        <w:t>.punkts.</w:t>
      </w:r>
    </w:p>
  </w:footnote>
  <w:footnote w:id="34">
    <w:p w14:paraId="024DAAEA" w14:textId="0450725F"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w:t>
      </w:r>
      <w:hyperlink r:id="rId7">
        <w:r w:rsidRPr="0082362E">
          <w:rPr>
            <w:rStyle w:val="InternetLink"/>
            <w:rFonts w:ascii="Times New Roman" w:hAnsi="Times New Roman" w:cs="Times New Roman"/>
            <w:color w:val="auto"/>
            <w:sz w:val="20"/>
            <w:szCs w:val="20"/>
            <w:u w:val="none"/>
          </w:rPr>
          <w:t>Padomes 2015.gada 13.jūlija Regulu (ES) 2015/1589, ar ko nosaka sīki izstrādātus noteikumus Līguma par Eiropas Savienības darbību 108.panta piemērošanai</w:t>
        </w:r>
      </w:hyperlink>
      <w:r w:rsidRPr="0082362E">
        <w:rPr>
          <w:rFonts w:ascii="Times New Roman" w:hAnsi="Times New Roman" w:cs="Times New Roman"/>
          <w:sz w:val="20"/>
          <w:szCs w:val="20"/>
        </w:rPr>
        <w:t xml:space="preserve"> (kodificēta redakcija) (turpmāk - </w:t>
      </w:r>
      <w:r w:rsidRPr="0082362E">
        <w:rPr>
          <w:rFonts w:ascii="Times New Roman" w:hAnsi="Times New Roman" w:cs="Times New Roman"/>
          <w:b/>
          <w:sz w:val="20"/>
          <w:szCs w:val="20"/>
        </w:rPr>
        <w:t>Procedūras regula</w:t>
      </w:r>
      <w:r w:rsidRPr="0082362E">
        <w:rPr>
          <w:rFonts w:ascii="Times New Roman" w:hAnsi="Times New Roman" w:cs="Times New Roman"/>
          <w:sz w:val="20"/>
          <w:szCs w:val="20"/>
        </w:rPr>
        <w:t xml:space="preserve">), kā arī </w:t>
      </w:r>
      <w:r w:rsidRPr="0082362E">
        <w:rPr>
          <w:rFonts w:ascii="Times New Roman" w:hAnsi="Times New Roman" w:cs="Times New Roman"/>
          <w:spacing w:val="-2"/>
          <w:sz w:val="20"/>
          <w:szCs w:val="20"/>
          <w:lang w:eastAsia="ru-RU"/>
        </w:rPr>
        <w:t xml:space="preserve">Komisijas 2004. gada 21. aprīļa regula (EK) Nr. 794/2004, ar ko īsteno Padomes Regulu (ES) 2015/1589, ar ko nosaka sīki izstrādātus noteikumus Līguma par Eiropas Savienības darbību 108. panta piemērošanai </w:t>
      </w:r>
      <w:r w:rsidRPr="0082362E">
        <w:rPr>
          <w:rFonts w:ascii="Times New Roman" w:hAnsi="Times New Roman" w:cs="Times New Roman"/>
          <w:sz w:val="20"/>
          <w:szCs w:val="20"/>
        </w:rPr>
        <w:t xml:space="preserve">(turpmāk - </w:t>
      </w:r>
      <w:r w:rsidRPr="0082362E">
        <w:rPr>
          <w:rFonts w:ascii="Times New Roman" w:hAnsi="Times New Roman" w:cs="Times New Roman"/>
          <w:b/>
          <w:sz w:val="20"/>
          <w:szCs w:val="20"/>
        </w:rPr>
        <w:t>Īstenošanas regula</w:t>
      </w:r>
      <w:r w:rsidRPr="0082362E">
        <w:rPr>
          <w:rFonts w:ascii="Times New Roman" w:hAnsi="Times New Roman" w:cs="Times New Roman"/>
          <w:sz w:val="20"/>
          <w:szCs w:val="20"/>
        </w:rPr>
        <w:t>)</w:t>
      </w:r>
    </w:p>
  </w:footnote>
  <w:footnote w:id="35">
    <w:p w14:paraId="78A27F4A" w14:textId="5AFB9AC9"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Style w:val="FootnoteCharacters"/>
          <w:rFonts w:ascii="Times New Roman" w:hAnsi="Times New Roman" w:cs="Times New Roman"/>
          <w:sz w:val="20"/>
          <w:szCs w:val="20"/>
        </w:rPr>
        <w:t xml:space="preserve"> </w:t>
      </w:r>
      <w:r w:rsidRPr="0082362E">
        <w:rPr>
          <w:rFonts w:ascii="Times New Roman" w:hAnsi="Times New Roman" w:cs="Times New Roman"/>
          <w:sz w:val="20"/>
          <w:szCs w:val="20"/>
        </w:rPr>
        <w:t xml:space="preserve">Sk. piemēram, </w:t>
      </w:r>
      <w:r w:rsidRPr="0082362E">
        <w:rPr>
          <w:rFonts w:ascii="Times New Roman" w:hAnsi="Times New Roman" w:cs="Times New Roman"/>
          <w:sz w:val="20"/>
          <w:szCs w:val="20"/>
          <w:shd w:val="clear" w:color="auto" w:fill="FFFFFF"/>
        </w:rPr>
        <w:t>2011. gada 20. septembra Vispārējās tiesas sprieduma lietās Lietas T</w:t>
      </w:r>
      <w:r w:rsidRPr="0082362E">
        <w:rPr>
          <w:rFonts w:ascii="Times New Roman" w:hAnsi="Times New Roman" w:cs="Times New Roman"/>
          <w:sz w:val="20"/>
          <w:szCs w:val="20"/>
          <w:shd w:val="clear" w:color="auto" w:fill="FFFFFF"/>
        </w:rPr>
        <w:noBreakHyphen/>
        <w:t>394/08, T</w:t>
      </w:r>
      <w:r w:rsidRPr="0082362E">
        <w:rPr>
          <w:rFonts w:ascii="Times New Roman" w:hAnsi="Times New Roman" w:cs="Times New Roman"/>
          <w:sz w:val="20"/>
          <w:szCs w:val="20"/>
          <w:shd w:val="clear" w:color="auto" w:fill="FFFFFF"/>
        </w:rPr>
        <w:noBreakHyphen/>
        <w:t>408/08, T</w:t>
      </w:r>
      <w:r w:rsidRPr="0082362E">
        <w:rPr>
          <w:rFonts w:ascii="Times New Roman" w:hAnsi="Times New Roman" w:cs="Times New Roman"/>
          <w:sz w:val="20"/>
          <w:szCs w:val="20"/>
          <w:shd w:val="clear" w:color="auto" w:fill="FFFFFF"/>
        </w:rPr>
        <w:noBreakHyphen/>
        <w:t>453/08 un T</w:t>
      </w:r>
      <w:r w:rsidRPr="0082362E">
        <w:rPr>
          <w:rFonts w:ascii="Times New Roman" w:hAnsi="Times New Roman" w:cs="Times New Roman"/>
          <w:sz w:val="20"/>
          <w:szCs w:val="20"/>
          <w:shd w:val="clear" w:color="auto" w:fill="FFFFFF"/>
        </w:rPr>
        <w:noBreakHyphen/>
        <w:t>454/08. Kā arī v</w:t>
      </w:r>
      <w:r w:rsidRPr="0082362E">
        <w:rPr>
          <w:rFonts w:ascii="Times New Roman" w:hAnsi="Times New Roman" w:cs="Times New Roman"/>
          <w:sz w:val="20"/>
          <w:szCs w:val="20"/>
        </w:rPr>
        <w:t xml:space="preserve">iens no tipiskākajiem gadījumiem, kad </w:t>
      </w:r>
      <w:r w:rsidR="00D36866">
        <w:rPr>
          <w:rFonts w:ascii="Times New Roman" w:hAnsi="Times New Roman" w:cs="Times New Roman"/>
          <w:sz w:val="20"/>
          <w:szCs w:val="20"/>
        </w:rPr>
        <w:t>komercdarbības atb</w:t>
      </w:r>
      <w:r w:rsidRPr="0082362E">
        <w:rPr>
          <w:rFonts w:ascii="Times New Roman" w:hAnsi="Times New Roman" w:cs="Times New Roman"/>
          <w:sz w:val="20"/>
          <w:szCs w:val="20"/>
        </w:rPr>
        <w:t xml:space="preserve">alsts ir izmantots ļaunprātīgi, ir situācija, kad atbalsts ir piešķirts konkrētam mērķim, taču saņēmējs izlieto šo atbalstu kādam citam mērķim. </w:t>
      </w:r>
    </w:p>
  </w:footnote>
  <w:footnote w:id="36">
    <w:p w14:paraId="0CFA2124"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Sk. 2019.gada 5.marta Tiesas sprieduma lietā C-349/17 90.-95.punkts.</w:t>
      </w:r>
    </w:p>
  </w:footnote>
  <w:footnote w:id="37">
    <w:p w14:paraId="72D611CE"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Sk. 2019.gada 5.marta Tiesas sprieduma lietā C-349/17 142.punkts.</w:t>
      </w:r>
    </w:p>
  </w:footnote>
  <w:footnote w:id="38">
    <w:p w14:paraId="197600BA" w14:textId="77777777" w:rsidR="0078034D" w:rsidRPr="0082362E" w:rsidRDefault="0078034D">
      <w:pPr>
        <w:pStyle w:val="FootnoteText"/>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Sk. 2019.gada 5.marta Tiesas sprieduma lietā C-349/17 137.punkts.</w:t>
      </w:r>
    </w:p>
  </w:footnote>
  <w:footnote w:id="39">
    <w:p w14:paraId="5F06A0D5"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Sk. Pirmās instances tiesas 1995.gada 8.jūnija spriedumu </w:t>
      </w:r>
      <w:r w:rsidRPr="0082362E">
        <w:rPr>
          <w:rFonts w:ascii="Times New Roman" w:hAnsi="Times New Roman" w:cs="Times New Roman"/>
          <w:i/>
          <w:sz w:val="20"/>
          <w:szCs w:val="20"/>
        </w:rPr>
        <w:t>Siemens</w:t>
      </w:r>
      <w:r w:rsidRPr="0082362E">
        <w:rPr>
          <w:rFonts w:ascii="Times New Roman" w:hAnsi="Times New Roman" w:cs="Times New Roman"/>
          <w:sz w:val="20"/>
          <w:szCs w:val="20"/>
        </w:rPr>
        <w:t>/Komisija, T-459/93, ECLI:EU:T:1995:100, 97.–101.punkts.</w:t>
      </w:r>
    </w:p>
  </w:footnote>
  <w:footnote w:id="40">
    <w:p w14:paraId="1C54ED3D"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 xml:space="preserve">Sk. piemēram, Eiropas Komisijas lēmuma lietā SA.43785 (2018/C) (ex 2015/PN, ex 2018/NN) </w:t>
      </w:r>
      <w:r w:rsidRPr="0082362E">
        <w:rPr>
          <w:rFonts w:ascii="Times New Roman" w:hAnsi="Times New Roman" w:cs="Times New Roman"/>
          <w:i/>
          <w:sz w:val="20"/>
          <w:szCs w:val="20"/>
        </w:rPr>
        <w:t xml:space="preserve">implemented by Romania for restructuring Complexul Energetic Hunedoara </w:t>
      </w:r>
      <w:r w:rsidRPr="0082362E">
        <w:rPr>
          <w:rFonts w:ascii="Times New Roman" w:hAnsi="Times New Roman" w:cs="Times New Roman"/>
          <w:sz w:val="20"/>
          <w:szCs w:val="20"/>
        </w:rPr>
        <w:t>129.punktu.</w:t>
      </w:r>
    </w:p>
  </w:footnote>
  <w:footnote w:id="41">
    <w:p w14:paraId="011DF92F" w14:textId="77777777" w:rsidR="0078034D" w:rsidRPr="0082362E" w:rsidRDefault="0078034D">
      <w:pPr>
        <w:pStyle w:val="FootnoteText"/>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rPr>
        <w:t xml:space="preserve"> Papildus skat. EST sprieduma Nr.C-349/17 134.punktu.</w:t>
      </w:r>
    </w:p>
  </w:footnote>
  <w:footnote w:id="42">
    <w:p w14:paraId="75ED2024" w14:textId="77777777" w:rsidR="0078034D" w:rsidRPr="0082362E" w:rsidRDefault="0078034D">
      <w:pPr>
        <w:pStyle w:val="footnotetext1"/>
        <w:tabs>
          <w:tab w:val="left" w:pos="284"/>
        </w:tabs>
        <w:spacing w:after="0"/>
        <w:ind w:left="0" w:firstLine="0"/>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vertAlign w:val="superscript"/>
        </w:rPr>
        <w:tab/>
      </w:r>
      <w:r w:rsidRPr="0082362E">
        <w:rPr>
          <w:rFonts w:ascii="Times New Roman" w:hAnsi="Times New Roman" w:cs="Times New Roman"/>
          <w:sz w:val="20"/>
          <w:szCs w:val="20"/>
        </w:rPr>
        <w:t xml:space="preserve"> Sk. 2005.gada 15.decembra Tiesas sprieduma lietā  C-148/04 117.punktu.</w:t>
      </w:r>
    </w:p>
  </w:footnote>
  <w:footnote w:id="43">
    <w:p w14:paraId="24F6FB65" w14:textId="77777777" w:rsidR="0078034D" w:rsidRPr="0082362E" w:rsidRDefault="0078034D">
      <w:pPr>
        <w:pStyle w:val="footnotetext1"/>
        <w:tabs>
          <w:tab w:val="left" w:pos="284"/>
        </w:tabs>
        <w:spacing w:after="0"/>
        <w:ind w:left="0" w:firstLine="0"/>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ab/>
      </w:r>
      <w:r w:rsidRPr="0082362E">
        <w:rPr>
          <w:rFonts w:ascii="Times New Roman" w:hAnsi="Times New Roman" w:cs="Times New Roman"/>
          <w:sz w:val="20"/>
          <w:szCs w:val="20"/>
        </w:rPr>
        <w:t xml:space="preserve"> Sk. Turpat 119.punktu.</w:t>
      </w:r>
    </w:p>
  </w:footnote>
  <w:footnote w:id="44">
    <w:p w14:paraId="32170984" w14:textId="77777777" w:rsidR="0078034D" w:rsidRPr="0082362E" w:rsidRDefault="0078034D">
      <w:pPr>
        <w:pStyle w:val="FootnoteText"/>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 xml:space="preserve">Pieejams: </w:t>
      </w:r>
      <w:hyperlink r:id="rId8">
        <w:r w:rsidRPr="0082362E">
          <w:rPr>
            <w:rStyle w:val="InternetLink"/>
            <w:rFonts w:ascii="Times New Roman" w:hAnsi="Times New Roman" w:cs="Times New Roman"/>
            <w:color w:val="auto"/>
            <w:sz w:val="20"/>
            <w:szCs w:val="20"/>
          </w:rPr>
          <w:t>http://ec.europa.eu/competition/state_aid/legislation/base_rates2018_12_en.pdf</w:t>
        </w:r>
      </w:hyperlink>
    </w:p>
  </w:footnote>
  <w:footnote w:id="45">
    <w:p w14:paraId="38D4CCCB" w14:textId="016DFBAF" w:rsidR="0078034D" w:rsidRPr="0082362E" w:rsidRDefault="0078034D" w:rsidP="00626099">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Komisijas 2011.gada 20.decembra lēmums Nr.2012/21/ES par Līguma par Eiropas Savienības darbību 106.panta 2.punkta piemērošanu </w:t>
      </w:r>
      <w:r w:rsidR="00D36866">
        <w:rPr>
          <w:rFonts w:ascii="Times New Roman" w:hAnsi="Times New Roman" w:cs="Times New Roman"/>
          <w:sz w:val="20"/>
          <w:szCs w:val="20"/>
        </w:rPr>
        <w:t>komercdarbības atb</w:t>
      </w:r>
      <w:r w:rsidRPr="0082362E">
        <w:rPr>
          <w:rFonts w:ascii="Times New Roman" w:hAnsi="Times New Roman" w:cs="Times New Roman"/>
          <w:sz w:val="20"/>
          <w:szCs w:val="20"/>
        </w:rPr>
        <w:t>alstam attiecībā uz kompensāciju par sabiedriskajiem pakalpojumiem dažiem uzņēmumiem, kuriem uzticēts sniegt pakalpojumus ar vispārēju tautsaimniecisku nozīmi</w:t>
      </w:r>
    </w:p>
  </w:footnote>
  <w:footnote w:id="46">
    <w:p w14:paraId="56C1584B" w14:textId="77777777" w:rsidR="0078034D" w:rsidRPr="0082362E" w:rsidRDefault="0078034D" w:rsidP="00626099">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Komisijas 2014.gada 17.jūnija Regulas (ES) Nr.651/2014, ar ko noteiktas atbalsta kategorijas atzīst par saderīgām ar iekšējo tirgu, piemērojot Līguma 107. un 108.pantu</w:t>
      </w:r>
    </w:p>
  </w:footnote>
  <w:footnote w:id="47">
    <w:p w14:paraId="52651933" w14:textId="77777777" w:rsidR="0078034D" w:rsidRPr="0082362E" w:rsidRDefault="0078034D">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NB! Jāņem vērā, ka EK skaidrojums attiecas tikai uz gadījumu, kad tika pārkāpta tikai atbalsta intensitāte, bet visi pārējie GBER nosacījumi tika ievēroti.</w:t>
      </w:r>
    </w:p>
  </w:footnote>
  <w:footnote w:id="48">
    <w:p w14:paraId="0B849F35" w14:textId="77777777" w:rsidR="0078034D" w:rsidRPr="0082362E" w:rsidRDefault="0078034D" w:rsidP="00626099">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Komisijas </w:t>
      </w:r>
      <w:r w:rsidRPr="0082362E">
        <w:rPr>
          <w:rFonts w:ascii="Times New Roman" w:hAnsi="Times New Roman" w:cs="Times New Roman"/>
          <w:bCs/>
          <w:sz w:val="20"/>
          <w:szCs w:val="20"/>
        </w:rPr>
        <w:t xml:space="preserve">2013.gada 18.decembra </w:t>
      </w:r>
      <w:r w:rsidRPr="0082362E">
        <w:rPr>
          <w:rFonts w:ascii="Times New Roman" w:hAnsi="Times New Roman" w:cs="Times New Roman"/>
          <w:sz w:val="20"/>
          <w:szCs w:val="20"/>
        </w:rPr>
        <w:t>Regulas (ES) Nr.</w:t>
      </w:r>
      <w:r w:rsidRPr="0082362E">
        <w:rPr>
          <w:rFonts w:ascii="Times New Roman" w:hAnsi="Times New Roman" w:cs="Times New Roman"/>
          <w:bCs/>
          <w:sz w:val="20"/>
          <w:szCs w:val="20"/>
        </w:rPr>
        <w:t>1407/2013 par Līguma par Eiropas Savienības darbību 107. un 108.panta piemērošanu </w:t>
      </w:r>
      <w:r w:rsidRPr="0082362E">
        <w:rPr>
          <w:rStyle w:val="italic"/>
          <w:rFonts w:ascii="Times New Roman" w:hAnsi="Times New Roman" w:cs="Times New Roman"/>
          <w:bCs/>
          <w:sz w:val="20"/>
          <w:szCs w:val="20"/>
        </w:rPr>
        <w:t>de minimis</w:t>
      </w:r>
      <w:r w:rsidRPr="0082362E">
        <w:rPr>
          <w:rFonts w:ascii="Times New Roman" w:hAnsi="Times New Roman" w:cs="Times New Roman"/>
          <w:bCs/>
          <w:sz w:val="20"/>
          <w:szCs w:val="20"/>
        </w:rPr>
        <w:t> atbalstam</w:t>
      </w:r>
    </w:p>
  </w:footnote>
  <w:footnote w:id="49">
    <w:p w14:paraId="79DC7A62" w14:textId="77777777" w:rsidR="0078034D" w:rsidRPr="0082362E" w:rsidRDefault="0078034D" w:rsidP="00A34BED">
      <w:pPr>
        <w:pStyle w:val="c02alineaalta"/>
        <w:spacing w:before="0" w:beforeAutospacing="0" w:after="0" w:afterAutospacing="0"/>
        <w:jc w:val="both"/>
        <w:rPr>
          <w:color w:val="000000"/>
          <w:sz w:val="20"/>
          <w:szCs w:val="20"/>
        </w:rPr>
      </w:pPr>
      <w:r w:rsidRPr="0082362E">
        <w:rPr>
          <w:rStyle w:val="FootnoteReference"/>
          <w:sz w:val="20"/>
          <w:szCs w:val="20"/>
        </w:rPr>
        <w:footnoteRef/>
      </w:r>
      <w:r w:rsidRPr="0082362E">
        <w:rPr>
          <w:sz w:val="20"/>
          <w:szCs w:val="20"/>
        </w:rPr>
        <w:t xml:space="preserve"> Sk. 2011.gada 20.septembra Tiesas spriedumu lietās T</w:t>
      </w:r>
      <w:r w:rsidRPr="0082362E">
        <w:rPr>
          <w:sz w:val="20"/>
          <w:szCs w:val="20"/>
        </w:rPr>
        <w:noBreakHyphen/>
        <w:t>394/08, T</w:t>
      </w:r>
      <w:r w:rsidRPr="0082362E">
        <w:rPr>
          <w:sz w:val="20"/>
          <w:szCs w:val="20"/>
        </w:rPr>
        <w:noBreakHyphen/>
        <w:t>408/08, T</w:t>
      </w:r>
      <w:r w:rsidRPr="0082362E">
        <w:rPr>
          <w:sz w:val="20"/>
          <w:szCs w:val="20"/>
        </w:rPr>
        <w:noBreakHyphen/>
        <w:t>453/08 un T</w:t>
      </w:r>
      <w:r w:rsidRPr="0082362E">
        <w:rPr>
          <w:sz w:val="20"/>
          <w:szCs w:val="20"/>
        </w:rPr>
        <w:noBreakHyphen/>
        <w:t xml:space="preserve">454/08 un </w:t>
      </w:r>
      <w:r w:rsidRPr="0082362E">
        <w:rPr>
          <w:color w:val="000000"/>
          <w:sz w:val="20"/>
          <w:szCs w:val="20"/>
        </w:rPr>
        <w:t>2020.gada 28.oktobra tiesas spriedumu lietā C</w:t>
      </w:r>
      <w:r w:rsidRPr="0082362E">
        <w:rPr>
          <w:color w:val="000000"/>
          <w:sz w:val="20"/>
          <w:szCs w:val="20"/>
        </w:rPr>
        <w:noBreakHyphen/>
        <w:t>608/19.</w:t>
      </w:r>
    </w:p>
  </w:footnote>
  <w:footnote w:id="50">
    <w:p w14:paraId="1A500268" w14:textId="078EF5BC" w:rsidR="0078034D" w:rsidRPr="0082362E" w:rsidRDefault="0078034D">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w:t>
      </w:r>
      <w:r w:rsidRPr="0082362E">
        <w:rPr>
          <w:rFonts w:ascii="Times New Roman" w:hAnsi="Times New Roman" w:cs="Times New Roman"/>
          <w:iCs/>
          <w:sz w:val="20"/>
          <w:szCs w:val="20"/>
        </w:rPr>
        <w:t xml:space="preserve">Komisijas paziņojums par nelikumīga un nesaderīga </w:t>
      </w:r>
      <w:r w:rsidR="003F0423">
        <w:rPr>
          <w:rFonts w:ascii="Times New Roman" w:hAnsi="Times New Roman" w:cs="Times New Roman"/>
          <w:iCs/>
          <w:sz w:val="20"/>
          <w:szCs w:val="20"/>
        </w:rPr>
        <w:t xml:space="preserve">valsts </w:t>
      </w:r>
      <w:r w:rsidR="00D36866">
        <w:rPr>
          <w:rFonts w:ascii="Times New Roman" w:hAnsi="Times New Roman" w:cs="Times New Roman"/>
          <w:iCs/>
          <w:sz w:val="20"/>
          <w:szCs w:val="20"/>
        </w:rPr>
        <w:t>atb</w:t>
      </w:r>
      <w:r w:rsidRPr="0082362E">
        <w:rPr>
          <w:rFonts w:ascii="Times New Roman" w:hAnsi="Times New Roman" w:cs="Times New Roman"/>
          <w:iCs/>
          <w:sz w:val="20"/>
          <w:szCs w:val="20"/>
        </w:rPr>
        <w:t>alsta atgūšanu (</w:t>
      </w:r>
      <w:r w:rsidRPr="0082362E">
        <w:rPr>
          <w:rFonts w:ascii="Times New Roman" w:hAnsi="Times New Roman" w:cs="Times New Roman"/>
          <w:sz w:val="20"/>
          <w:szCs w:val="20"/>
        </w:rPr>
        <w:t>2019/C 247/01)</w:t>
      </w:r>
    </w:p>
  </w:footnote>
  <w:footnote w:id="51">
    <w:p w14:paraId="0A790C8D" w14:textId="77777777" w:rsidR="0078034D" w:rsidRPr="0082362E" w:rsidRDefault="0078034D">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SK. 2009. gada 7. jūlija Tiesas sprieduma lietā C-369/07 81.punktu.</w:t>
      </w:r>
    </w:p>
  </w:footnote>
  <w:footnote w:id="52">
    <w:p w14:paraId="60E33C9C" w14:textId="1275F289" w:rsidR="0078034D" w:rsidRPr="0082362E" w:rsidRDefault="0078034D">
      <w:pPr>
        <w:pStyle w:val="FootnoteText"/>
        <w:rPr>
          <w:rFonts w:ascii="Times New Roman" w:hAnsi="Times New Roman" w:cs="Times New Roman"/>
          <w:sz w:val="20"/>
          <w:szCs w:val="20"/>
        </w:rPr>
      </w:pPr>
      <w:r w:rsidRPr="0082362E">
        <w:rPr>
          <w:rStyle w:val="FootnoteReference"/>
        </w:rPr>
        <w:footnoteRef/>
      </w:r>
      <w:r w:rsidRPr="0082362E">
        <w:t xml:space="preserve"> </w:t>
      </w:r>
      <w:r w:rsidRPr="0082362E">
        <w:rPr>
          <w:rFonts w:ascii="Times New Roman" w:hAnsi="Times New Roman" w:cs="Times New Roman"/>
          <w:iCs/>
          <w:sz w:val="20"/>
          <w:szCs w:val="20"/>
        </w:rPr>
        <w:t xml:space="preserve">Komisijas paziņojums par nelikumīga un nesaderīga </w:t>
      </w:r>
      <w:r w:rsidR="003F0423">
        <w:rPr>
          <w:rFonts w:ascii="Times New Roman" w:hAnsi="Times New Roman" w:cs="Times New Roman"/>
          <w:iCs/>
          <w:sz w:val="20"/>
          <w:szCs w:val="20"/>
        </w:rPr>
        <w:t xml:space="preserve">valsts </w:t>
      </w:r>
      <w:r w:rsidR="00D36866">
        <w:rPr>
          <w:rFonts w:ascii="Times New Roman" w:hAnsi="Times New Roman" w:cs="Times New Roman"/>
          <w:iCs/>
          <w:sz w:val="20"/>
          <w:szCs w:val="20"/>
        </w:rPr>
        <w:t>atb</w:t>
      </w:r>
      <w:r w:rsidRPr="0082362E">
        <w:rPr>
          <w:rFonts w:ascii="Times New Roman" w:hAnsi="Times New Roman" w:cs="Times New Roman"/>
          <w:iCs/>
          <w:sz w:val="20"/>
          <w:szCs w:val="20"/>
        </w:rPr>
        <w:t>alsta atgūšanu (</w:t>
      </w:r>
      <w:r w:rsidRPr="0082362E">
        <w:rPr>
          <w:rFonts w:ascii="Times New Roman" w:hAnsi="Times New Roman" w:cs="Times New Roman"/>
          <w:sz w:val="20"/>
          <w:szCs w:val="20"/>
        </w:rPr>
        <w:t>2019/C 247/01)</w:t>
      </w:r>
    </w:p>
  </w:footnote>
  <w:footnote w:id="53">
    <w:p w14:paraId="430985DB" w14:textId="7E33D27F" w:rsidR="00951298" w:rsidRPr="0082362E" w:rsidRDefault="00951298" w:rsidP="00951298">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Ievērojot KAKL normu temporālo piemērošanu, atzīmējams, ka publiskajās tiesībās tiesību normai ir tūlītējs spēks (</w:t>
      </w:r>
      <w:r w:rsidRPr="0082362E">
        <w:rPr>
          <w:rFonts w:ascii="Times New Roman" w:hAnsi="Times New Roman" w:cs="Times New Roman"/>
          <w:i/>
          <w:iCs/>
          <w:sz w:val="20"/>
          <w:szCs w:val="20"/>
        </w:rPr>
        <w:t>sk, piemēram, Kalniņš E. Tiesību normu spēkā esamība un intertemporālā piemērojamība. Likums un Tiesības, Nr. 7, 2000. 219. lpp.</w:t>
      </w:r>
      <w:r w:rsidRPr="0082362E">
        <w:rPr>
          <w:rFonts w:ascii="Times New Roman" w:hAnsi="Times New Roman" w:cs="Times New Roman"/>
          <w:sz w:val="20"/>
          <w:szCs w:val="20"/>
        </w:rPr>
        <w:t xml:space="preserve">). Tādējādi, ņemot vērā to, ka KAKL V. nodaļa ir ieviesta ar 2021. gada 8. jūnijā pieņemto likumu “Grozījumi Komercdarbības atbalsta kontroles likumā” (turpmāk – grozījumi), tajā ietvertajām tiesību normām ir tūlītējs spēks, ciktāl tās attiecināmas uz publiski tiesiskām attiecībām, kas uz grozījumu spēkā stāšanās brīdi ir jau ievadītas, kā arī uz nākotnes apstākļiem. Proti, minētās normas būtu piemērojamas uz tām publiski tiesiskajām attiecībām, kas ir nodibinātas pirms grozījumu stāšanas spēkā un vēl nav noslēgtas. Attiecīgi grozījumu normas nav attiecināmas uz jau noslēgtām tiesiskām attiecībām. Ar jau noslēgtām tiesiskām attiecībām saprot, piemēram, tādus gadījumus, kad darbs pie atbalstāmā projekta ir pabeigts un ir veikts noslēguma maksājums, beidzies projekta uzraudzības periods u.tml. Attiecīgi, šajos gadījumos nebūtu piemērojama KAKL noteiktā nelikumīga komercdarbības atbalsta atgūšanas kārtība, kas paredzēta ar grozījumiem, kas stājās spēkā 2021. gada 8. jūnijā. Minētais tomēr neatceļ Eiropas Savienības tiesas 2019. gada 5. marta spriedumā lietā C‑349/17 noteikto, ka </w:t>
      </w:r>
      <w:r w:rsidR="00D36866">
        <w:rPr>
          <w:rFonts w:ascii="Times New Roman" w:hAnsi="Times New Roman" w:cs="Times New Roman"/>
          <w:sz w:val="20"/>
          <w:szCs w:val="20"/>
        </w:rPr>
        <w:t>komercdarbības atb</w:t>
      </w:r>
      <w:r w:rsidRPr="0082362E">
        <w:rPr>
          <w:rFonts w:ascii="Times New Roman" w:hAnsi="Times New Roman" w:cs="Times New Roman"/>
          <w:sz w:val="20"/>
          <w:szCs w:val="20"/>
        </w:rPr>
        <w:t xml:space="preserve">alsta sniedzējam ir pienākums atgūt nelikumīgu </w:t>
      </w:r>
      <w:r w:rsidR="00D36866">
        <w:rPr>
          <w:rFonts w:ascii="Times New Roman" w:hAnsi="Times New Roman" w:cs="Times New Roman"/>
          <w:sz w:val="20"/>
          <w:szCs w:val="20"/>
        </w:rPr>
        <w:t>komercdarbības atb</w:t>
      </w:r>
      <w:r w:rsidRPr="0082362E">
        <w:rPr>
          <w:rFonts w:ascii="Times New Roman" w:hAnsi="Times New Roman" w:cs="Times New Roman"/>
          <w:sz w:val="20"/>
          <w:szCs w:val="20"/>
        </w:rPr>
        <w:t>alstu ar procentiem. Šis pienākums pastāvēja arī pirms 2021. gada 8. jūnija, kad ar grozījumiem KAKL tika noteikta kārtība, kādā procenti būtu aprēķināmi un atgūstami, kas līdz tam nebija KAKL paredzēta.</w:t>
      </w:r>
    </w:p>
  </w:footnote>
  <w:footnote w:id="54">
    <w:p w14:paraId="07CFD78B" w14:textId="77777777" w:rsidR="000A6511" w:rsidRPr="00F85C92" w:rsidRDefault="000A6511" w:rsidP="000A6511">
      <w:pPr>
        <w:pStyle w:val="FootnoteText"/>
        <w:rPr>
          <w:rFonts w:ascii="Times New Roman" w:hAnsi="Times New Roman" w:cs="Times New Roman"/>
          <w:sz w:val="20"/>
          <w:szCs w:val="20"/>
        </w:rPr>
      </w:pPr>
      <w:bookmarkStart w:id="204" w:name="_Hlk117018424"/>
      <w:bookmarkStart w:id="205" w:name="_Hlk89028171"/>
      <w:r w:rsidRPr="00F85C92">
        <w:rPr>
          <w:rStyle w:val="FootnoteReference"/>
          <w:rFonts w:ascii="Times New Roman" w:hAnsi="Times New Roman" w:cs="Times New Roman"/>
          <w:sz w:val="20"/>
          <w:szCs w:val="20"/>
        </w:rPr>
        <w:footnoteRef/>
      </w:r>
      <w:r w:rsidRPr="00F85C92">
        <w:rPr>
          <w:rFonts w:ascii="Times New Roman" w:hAnsi="Times New Roman" w:cs="Times New Roman"/>
          <w:sz w:val="20"/>
          <w:szCs w:val="20"/>
        </w:rPr>
        <w:t xml:space="preserve"> </w:t>
      </w:r>
      <w:bookmarkEnd w:id="204"/>
      <w:bookmarkEnd w:id="205"/>
      <w:r w:rsidRPr="00F85C92">
        <w:rPr>
          <w:rFonts w:ascii="Times New Roman" w:hAnsi="Times New Roman" w:cs="Times New Roman"/>
          <w:b/>
          <w:bCs/>
          <w:sz w:val="20"/>
          <w:szCs w:val="20"/>
        </w:rPr>
        <w:t>Vispārīgai izpratnei – informācija par nodokļu un nodevu nokavējuma naudas aprēķināšanas, iekasēšanas un atmaksāšanas kārtību saskaņā ar likumu “Par nodokļiem un nodevām”:</w:t>
      </w:r>
    </w:p>
    <w:p w14:paraId="3DE2CE34" w14:textId="338EC95E" w:rsidR="000A6511" w:rsidRPr="00F85C92" w:rsidRDefault="000A6511" w:rsidP="000A6511">
      <w:pPr>
        <w:pStyle w:val="FootnoteText"/>
        <w:rPr>
          <w:rFonts w:ascii="Times New Roman" w:hAnsi="Times New Roman" w:cs="Times New Roman"/>
          <w:sz w:val="20"/>
          <w:szCs w:val="20"/>
        </w:rPr>
      </w:pPr>
      <w:r w:rsidRPr="00F85C92">
        <w:rPr>
          <w:rFonts w:ascii="Times New Roman" w:hAnsi="Times New Roman" w:cs="Times New Roman"/>
          <w:sz w:val="20"/>
          <w:szCs w:val="20"/>
        </w:rPr>
        <w:t xml:space="preserve">Likums “Par nodokļiem un nodevām” nosaka nodokļu un nodevu sistēmas principus, valsts nodokļu veidus, nodevu veidus, pašvaldības nodevu objektus, </w:t>
      </w:r>
      <w:r w:rsidRPr="00F85C92">
        <w:rPr>
          <w:rFonts w:ascii="Times New Roman" w:hAnsi="Times New Roman" w:cs="Times New Roman"/>
          <w:sz w:val="20"/>
          <w:szCs w:val="20"/>
          <w:u w:val="single"/>
        </w:rPr>
        <w:t>nodokļu un nodevu noteikšanas, aprēķināšanas, iekasēšanas un atmaksāšanas kārtību</w:t>
      </w:r>
      <w:r w:rsidRPr="00F85C92">
        <w:rPr>
          <w:rFonts w:ascii="Times New Roman" w:hAnsi="Times New Roman" w:cs="Times New Roman"/>
          <w:sz w:val="20"/>
          <w:szCs w:val="20"/>
        </w:rPr>
        <w:t>, nodokļu un nodevu maksātāju (turpmāk — nodokļu maksātāji) un nodokļu administrācijas, kā arī valsts nodevas administrācijas un pašvaldības nodevu administrācijas (turpmāk — nodevu administrācija) tiesības un pienākumus, nodokļu maksātāju klasifikāciju un reģistrācijas kārtību, nodokļu un nodevu jautājumos pieņemto lēmumu apstrīdēšanas un pārsūdzēšanas kārtību, informācijas apmaiņas kārtību nodokļu jomā, elektronisko informācijas uzskaiti būvlaukumā un tās izmantošanas kārtību, kā arī atbildību par nodokļu pārkāpumiem, tajā skaitā nosakot administratīvos pārkāpumus nodokļu jomā, par tiem piemērojamos sodus un kompetenci sodu piemērošanā (Likuma “Par nodokļiem un nodevām” 2. panta pirmā daļa).</w:t>
      </w:r>
    </w:p>
    <w:p w14:paraId="410D65E6" w14:textId="77777777" w:rsidR="000A6511" w:rsidRPr="00F85C92" w:rsidRDefault="000A6511" w:rsidP="000A6511">
      <w:pPr>
        <w:pStyle w:val="FootnoteText"/>
        <w:rPr>
          <w:rFonts w:ascii="Times New Roman" w:hAnsi="Times New Roman" w:cs="Times New Roman"/>
          <w:sz w:val="20"/>
          <w:szCs w:val="20"/>
        </w:rPr>
      </w:pPr>
      <w:r w:rsidRPr="00F85C92">
        <w:rPr>
          <w:rFonts w:ascii="Times New Roman" w:hAnsi="Times New Roman" w:cs="Times New Roman"/>
          <w:sz w:val="20"/>
          <w:szCs w:val="20"/>
        </w:rPr>
        <w:t>Saskaņā ar likuma “Par nodokļiem un nodevām” 1. panta 1. punktu “nodoklis” ir ar likumu noteikts obligāts periodisks vai vienreizējs maksājums valsts budžeta vai pašvaldību budžetu (pamatbudžeta vai speciālā budžeta) ieņēmumu nodrošināšanai un valsts funkciju un pašvaldību funkciju finansēšanai. Nodokļu samaksa neparedz atlīdzinājumu nodokļa maksātājam tiešā veidā. Minētais termins piemērojams arī valsts sociālās apdrošināšanas obligātajām iemaksām, kā arī muitas nodoklim un citiem līdzvērtīgiem maksājumiem, kuri noteikti tieši piemērojamos Eiropas Savienības normatīvajos aktos par muitas lietām.</w:t>
      </w:r>
    </w:p>
    <w:p w14:paraId="3A0B0D8F" w14:textId="77777777" w:rsidR="000A6511" w:rsidRPr="00F85C92" w:rsidRDefault="000A6511" w:rsidP="000A6511">
      <w:pPr>
        <w:pStyle w:val="FootnoteText"/>
        <w:rPr>
          <w:rFonts w:ascii="Times New Roman" w:hAnsi="Times New Roman" w:cs="Times New Roman"/>
          <w:sz w:val="20"/>
          <w:szCs w:val="20"/>
        </w:rPr>
      </w:pPr>
      <w:r w:rsidRPr="00F85C92">
        <w:rPr>
          <w:rFonts w:ascii="Times New Roman" w:hAnsi="Times New Roman" w:cs="Times New Roman"/>
          <w:sz w:val="20"/>
          <w:szCs w:val="20"/>
        </w:rPr>
        <w:t>Par nodokļa samaksas termiņa nokavējumu likums “Par nodokļiem un nodevām” paredz noteikta veida sekas, kas izpaužas kā nokavējuma naudas samaksas pienākuma uzlikšanu nodokļu maksātājam. Saskaņā ar likuma “Par nodokļiem un nodevām” 1. panta 22. punktu “nokavējuma nauda” ir procentu maksājums par nodokļu, nodevu samaksas termiņa nokavējumu Savukārt saskaņā ar likuma “Par nodokļiem un nodevām” 29. panta otro daļu “</w:t>
      </w:r>
      <w:r w:rsidRPr="00F85C92">
        <w:rPr>
          <w:rFonts w:ascii="Times New Roman" w:hAnsi="Times New Roman" w:cs="Times New Roman"/>
          <w:i/>
          <w:iCs/>
          <w:sz w:val="20"/>
          <w:szCs w:val="20"/>
        </w:rPr>
        <w:t>Par nodokļu un nodevu maksājuma samaksas termiņa nokavējumu maksātājam tiek aprēķināta nokavējuma nauda — no laikā nenomaksātā pamatparāda 0,05 procenti par katru nokavēto dienu, ja konkrētā nodokļa likumā nav noteikti citi nokavējuma naudas apmēri</w:t>
      </w:r>
      <w:r w:rsidRPr="00F85C92">
        <w:rPr>
          <w:rFonts w:ascii="Times New Roman" w:hAnsi="Times New Roman" w:cs="Times New Roman"/>
          <w:sz w:val="20"/>
          <w:szCs w:val="20"/>
        </w:rPr>
        <w:t>”. Turklāt likuma 29. panta trešā daļa paredz, ka “</w:t>
      </w:r>
      <w:r w:rsidRPr="00F85C92">
        <w:rPr>
          <w:rFonts w:ascii="Times New Roman" w:hAnsi="Times New Roman" w:cs="Times New Roman"/>
          <w:i/>
          <w:iCs/>
          <w:sz w:val="20"/>
          <w:szCs w:val="20"/>
        </w:rPr>
        <w:t>Nokavējuma naudu neaprēķina, ja valsts vai pašvaldības budžets tam piekritīgo nodokļa maksājumu ir saņēmis piecu darbdienu laikā pēc maksājuma termiņa iestāšanās. Ja minētais nosacījums netiek ievērots, nokavējuma naudu aprēķina par periodu no nākamās dienas pēc konkrētā nodokļa likumā noteiktā maksāšanas termiņa iestāšanās līdz samaksas dienai (to ieskaitot). Ja maksāšanas termiņš sakrīt ar brīvdienu (svētku dienu), tad par maksāšanas dienu uzskatāma pirmā darbdiena pēc brīvdienas (svētku dienas)</w:t>
      </w:r>
      <w:r w:rsidRPr="00F85C92">
        <w:rPr>
          <w:rFonts w:ascii="Times New Roman" w:hAnsi="Times New Roman" w:cs="Times New Roman"/>
          <w:sz w:val="20"/>
          <w:szCs w:val="20"/>
        </w:rPr>
        <w:t>.”</w:t>
      </w:r>
    </w:p>
    <w:p w14:paraId="3E055DD2" w14:textId="3ABDB0EC" w:rsidR="000A6511" w:rsidRPr="00F85C92" w:rsidRDefault="000A6511">
      <w:pPr>
        <w:pStyle w:val="FootnoteText"/>
        <w:rPr>
          <w:rFonts w:ascii="Times New Roman" w:hAnsi="Times New Roman" w:cs="Times New Roman"/>
          <w:sz w:val="20"/>
          <w:szCs w:val="20"/>
        </w:rPr>
      </w:pPr>
      <w:r w:rsidRPr="00F85C92">
        <w:rPr>
          <w:rFonts w:ascii="Times New Roman" w:hAnsi="Times New Roman" w:cs="Times New Roman"/>
          <w:sz w:val="20"/>
          <w:szCs w:val="20"/>
        </w:rPr>
        <w:t>Papildus likuma “Par nodokļiem un nodevām” 29. panta ceturtā daļa nosaka</w:t>
      </w:r>
      <w:r w:rsidR="00705717">
        <w:rPr>
          <w:rFonts w:ascii="Times New Roman" w:hAnsi="Times New Roman" w:cs="Times New Roman"/>
          <w:sz w:val="20"/>
          <w:szCs w:val="20"/>
        </w:rPr>
        <w:t xml:space="preserve"> gadījumus</w:t>
      </w:r>
      <w:r w:rsidRPr="00F85C92">
        <w:rPr>
          <w:rFonts w:ascii="Times New Roman" w:hAnsi="Times New Roman" w:cs="Times New Roman"/>
          <w:sz w:val="20"/>
          <w:szCs w:val="20"/>
        </w:rPr>
        <w:t>, ka</w:t>
      </w:r>
      <w:r w:rsidR="00705717">
        <w:rPr>
          <w:rFonts w:ascii="Times New Roman" w:hAnsi="Times New Roman" w:cs="Times New Roman"/>
          <w:sz w:val="20"/>
          <w:szCs w:val="20"/>
        </w:rPr>
        <w:t>d</w:t>
      </w:r>
      <w:r w:rsidRPr="00F85C92">
        <w:rPr>
          <w:rFonts w:ascii="Times New Roman" w:hAnsi="Times New Roman" w:cs="Times New Roman"/>
          <w:sz w:val="20"/>
          <w:szCs w:val="20"/>
        </w:rPr>
        <w:t xml:space="preserve"> nokavējuma naudas aprēķināšana</w:t>
      </w:r>
      <w:r w:rsidR="00705717">
        <w:rPr>
          <w:rFonts w:ascii="Times New Roman" w:hAnsi="Times New Roman" w:cs="Times New Roman"/>
          <w:sz w:val="20"/>
          <w:szCs w:val="20"/>
        </w:rPr>
        <w:t xml:space="preserve"> tiek pārtraukta un atjaunota</w:t>
      </w:r>
      <w:r w:rsidR="00FA3BF2">
        <w:rPr>
          <w:rFonts w:ascii="Times New Roman" w:hAnsi="Times New Roman" w:cs="Times New Roman"/>
          <w:sz w:val="20"/>
          <w:szCs w:val="20"/>
        </w:rPr>
        <w:t xml:space="preserve">. </w:t>
      </w:r>
      <w:r w:rsidRPr="00F85C92">
        <w:rPr>
          <w:rFonts w:ascii="Times New Roman" w:hAnsi="Times New Roman" w:cs="Times New Roman"/>
          <w:sz w:val="20"/>
          <w:szCs w:val="20"/>
        </w:rPr>
        <w:t xml:space="preserve">Būtiski ir atzīmēt, ka likuma “Par nodokļiem un nodevām” 29. panta septītā daļa nosaka, ka </w:t>
      </w:r>
      <w:r w:rsidRPr="00F85C92">
        <w:rPr>
          <w:rFonts w:ascii="Times New Roman" w:hAnsi="Times New Roman" w:cs="Times New Roman"/>
          <w:sz w:val="20"/>
          <w:szCs w:val="20"/>
          <w:u w:val="single"/>
        </w:rPr>
        <w:t>nokavējuma naudas aprēķināšana tiek pārtraukta, ja nokavējuma naudas summa sasniedz divas piektdaļas no nokavētā maksājuma (pamatparāda) apmēra</w:t>
      </w:r>
      <w:r w:rsidRPr="00F85C92">
        <w:rPr>
          <w:rFonts w:ascii="Times New Roman" w:hAnsi="Times New Roman" w:cs="Times New Roman"/>
          <w:sz w:val="20"/>
          <w:szCs w:val="20"/>
        </w:rPr>
        <w:t>. Balstoties uz veiktajiem provizoriskajiem aprēķiniem, tika secināts, ka likuma “Par nodokļiem un nodevām” 29. panta kārtībā aprēķinātā nokavējuma nauda gandrīz vienmēr būs lielāka, nekā aprēķinātie nelikumīga komercdarbības atbalsta procenti saskaņā ar KAKL 19. panta otrajā daļā noteikto kārtību, tādējādi nelikumīga komercdarbības atbalsta atgūšanas principi tiks ievēroti.</w:t>
      </w:r>
    </w:p>
  </w:footnote>
  <w:footnote w:id="55">
    <w:p w14:paraId="33BC58C9" w14:textId="77777777" w:rsidR="007906DF" w:rsidRPr="0082362E" w:rsidRDefault="007906DF" w:rsidP="007906DF">
      <w:pPr>
        <w:pStyle w:val="FootnoteText"/>
        <w:rPr>
          <w:rFonts w:ascii="Times New Roman" w:hAnsi="Times New Roman" w:cs="Times New Roman"/>
          <w:sz w:val="20"/>
          <w:szCs w:val="20"/>
        </w:rPr>
      </w:pPr>
      <w:r w:rsidRPr="0082362E">
        <w:rPr>
          <w:rStyle w:val="FootnoteReference"/>
          <w:rFonts w:ascii="Times New Roman" w:hAnsi="Times New Roman"/>
          <w:sz w:val="20"/>
          <w:szCs w:val="20"/>
        </w:rPr>
        <w:footnoteRef/>
      </w:r>
      <w:r w:rsidRPr="0082362E">
        <w:rPr>
          <w:rFonts w:ascii="Times New Roman" w:hAnsi="Times New Roman" w:cs="Times New Roman"/>
          <w:sz w:val="20"/>
          <w:szCs w:val="20"/>
        </w:rPr>
        <w:t xml:space="preserve"> Likuma “Par nodokļiem un nodevām” izpratnē</w:t>
      </w:r>
    </w:p>
  </w:footnote>
  <w:footnote w:id="56">
    <w:p w14:paraId="69B6D492" w14:textId="77777777" w:rsidR="007906DF" w:rsidRPr="0082362E" w:rsidRDefault="007906DF" w:rsidP="007906DF">
      <w:pPr>
        <w:pStyle w:val="FootnoteText"/>
        <w:rPr>
          <w:rFonts w:ascii="Times New Roman" w:hAnsi="Times New Roman" w:cs="Times New Roman"/>
        </w:rPr>
      </w:pPr>
      <w:r w:rsidRPr="0082362E">
        <w:rPr>
          <w:rStyle w:val="FootnoteReference"/>
          <w:rFonts w:ascii="Times New Roman" w:hAnsi="Times New Roman"/>
          <w:sz w:val="20"/>
          <w:szCs w:val="20"/>
        </w:rPr>
        <w:footnoteRef/>
      </w:r>
      <w:r w:rsidRPr="0082362E">
        <w:rPr>
          <w:rFonts w:ascii="Times New Roman" w:hAnsi="Times New Roman" w:cs="Times New Roman"/>
          <w:sz w:val="20"/>
          <w:szCs w:val="20"/>
        </w:rPr>
        <w:t xml:space="preserve"> Ja to nosaka attiecīgā atbalsta programma, nelikumīga komercdarbības atbalsta atmaksa var tikt īstenota arī citai iestādei vai budžetā, kas nav lēmuma pieņēmēja par nelikumīga komercdarbības atbalsta un procentu atgūšanas pieņēmēja budžets</w:t>
      </w:r>
    </w:p>
  </w:footnote>
  <w:footnote w:id="57">
    <w:p w14:paraId="7AE02F01" w14:textId="3EA7233F" w:rsidR="00A53F09" w:rsidRPr="0082362E" w:rsidRDefault="00A53F09">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Sīkāk lūdzam skatīt arī šī materiāla IV. nodaļā sniegto skaidrojumu</w:t>
      </w:r>
    </w:p>
  </w:footnote>
  <w:footnote w:id="58">
    <w:p w14:paraId="46C6E7B1" w14:textId="77777777" w:rsidR="007906DF" w:rsidRPr="0082362E" w:rsidRDefault="007906DF" w:rsidP="007906DF">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Pieejams: </w:t>
      </w:r>
      <w:hyperlink r:id="rId9" w:history="1">
        <w:r w:rsidRPr="0082362E">
          <w:rPr>
            <w:rStyle w:val="Hyperlink"/>
            <w:rFonts w:ascii="Times New Roman" w:hAnsi="Times New Roman" w:cs="Times New Roman"/>
            <w:sz w:val="20"/>
            <w:szCs w:val="20"/>
          </w:rPr>
          <w:t>https://ec.europa.eu/competition-policy/state-aid/legislation/reference-discount-rates-and-recovery-interest-rates/reference-and-discount-rates_en</w:t>
        </w:r>
      </w:hyperlink>
      <w:r w:rsidRPr="0082362E">
        <w:rPr>
          <w:rFonts w:ascii="Times New Roman" w:hAnsi="Times New Roman" w:cs="Times New Roman"/>
          <w:sz w:val="20"/>
          <w:szCs w:val="20"/>
        </w:rPr>
        <w:t xml:space="preserve"> </w:t>
      </w:r>
      <w:r w:rsidRPr="0082362E">
        <w:rPr>
          <w:rFonts w:ascii="Times New Roman" w:hAnsi="Times New Roman" w:cs="Times New Roman"/>
          <w:spacing w:val="-2"/>
          <w:sz w:val="20"/>
          <w:szCs w:val="20"/>
          <w:lang w:eastAsia="ru-RU"/>
        </w:rPr>
        <w:t>[skatīts 28.11.2021.]</w:t>
      </w:r>
    </w:p>
  </w:footnote>
  <w:footnote w:id="59">
    <w:p w14:paraId="05DEF42F" w14:textId="4B1702D4" w:rsidR="00A97600" w:rsidRPr="0082362E" w:rsidRDefault="00A97600">
      <w:pPr>
        <w:pStyle w:val="FootnoteText"/>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Grafiski attēlotu kārtību nelikumīga komercdarbības atbalsta summas aprēķināšanai nodokļu atvieglojuma/atbrīvojuma gadījumā lūdzam skatīt </w:t>
      </w:r>
      <w:r w:rsidR="008B0EA6" w:rsidRPr="0082362E">
        <w:rPr>
          <w:rFonts w:ascii="Times New Roman" w:hAnsi="Times New Roman" w:cs="Times New Roman"/>
          <w:sz w:val="20"/>
          <w:szCs w:val="20"/>
        </w:rPr>
        <w:t>pielikumā.</w:t>
      </w:r>
    </w:p>
  </w:footnote>
  <w:footnote w:id="60">
    <w:p w14:paraId="2136E3E1" w14:textId="77777777" w:rsidR="00450879" w:rsidRDefault="00450879" w:rsidP="00450879">
      <w:pPr>
        <w:pStyle w:val="FootnoteText"/>
      </w:pPr>
      <w:r>
        <w:rPr>
          <w:rStyle w:val="FootnoteReference"/>
        </w:rPr>
        <w:footnoteRef/>
      </w:r>
      <w:r>
        <w:t xml:space="preserve"> </w:t>
      </w:r>
      <w:r w:rsidRPr="00450879">
        <w:rPr>
          <w:i/>
          <w:iCs/>
        </w:rPr>
        <w:t>A -</w:t>
      </w:r>
      <w:r w:rsidRPr="00015BA0">
        <w:rPr>
          <w:i/>
          <w:iCs/>
        </w:rPr>
        <w:t xml:space="preserve"> </w:t>
      </w:r>
      <w:r w:rsidRPr="00450879">
        <w:rPr>
          <w:rFonts w:ascii="Times New Roman" w:hAnsi="Times New Roman" w:cs="Times New Roman"/>
          <w:i/>
          <w:iCs/>
          <w:sz w:val="20"/>
          <w:szCs w:val="20"/>
          <w:shd w:val="clear" w:color="auto" w:fill="FFFFFF"/>
        </w:rPr>
        <w:t xml:space="preserve">nelikumīgā </w:t>
      </w:r>
      <w:r w:rsidRPr="00E02827">
        <w:rPr>
          <w:rFonts w:ascii="Times New Roman" w:hAnsi="Times New Roman" w:cs="Times New Roman"/>
          <w:i/>
          <w:iCs/>
          <w:sz w:val="20"/>
          <w:szCs w:val="20"/>
          <w:shd w:val="clear" w:color="auto" w:fill="FFFFFF"/>
        </w:rPr>
        <w:t>komercdarbības atbalsta apmēra un nelikumīgā komercdarbības atbalsta procentu summa par saņemto minētā atbalsta apmēru nelikumīgā komercdarbības atbalsta procentu aprēķina periodā, kas pārsniedz trīs gadus</w:t>
      </w:r>
    </w:p>
  </w:footnote>
  <w:footnote w:id="61">
    <w:p w14:paraId="68F45D43" w14:textId="70F82130" w:rsidR="00A532A2" w:rsidRPr="0082362E" w:rsidRDefault="000E2F48" w:rsidP="000E2F48">
      <w:pPr>
        <w:pStyle w:val="FootnoteText"/>
        <w:rPr>
          <w:rFonts w:ascii="Times New Roman" w:hAnsi="Times New Roman" w:cs="Times New Roman"/>
          <w:sz w:val="20"/>
          <w:szCs w:val="20"/>
        </w:rPr>
      </w:pPr>
      <w:r w:rsidRPr="0082362E">
        <w:rPr>
          <w:rStyle w:val="FootnoteReference"/>
          <w:rFonts w:ascii="Times New Roman" w:hAnsi="Times New Roman"/>
          <w:sz w:val="20"/>
          <w:szCs w:val="20"/>
        </w:rPr>
        <w:footnoteRef/>
      </w:r>
      <w:r w:rsidRPr="0082362E">
        <w:rPr>
          <w:rFonts w:ascii="Times New Roman" w:hAnsi="Times New Roman" w:cs="Times New Roman"/>
          <w:sz w:val="20"/>
          <w:szCs w:val="20"/>
        </w:rPr>
        <w:t xml:space="preserve"> Skat. </w:t>
      </w:r>
      <w:r w:rsidRPr="0082362E">
        <w:rPr>
          <w:rFonts w:ascii="Times New Roman" w:hAnsi="Times New Roman" w:cs="Times New Roman"/>
          <w:sz w:val="20"/>
          <w:szCs w:val="20"/>
          <w:shd w:val="clear" w:color="auto" w:fill="FFFFFF"/>
        </w:rPr>
        <w:t>likuma “Par nodokļiem un nodevām” 29. panta septīto daļu</w:t>
      </w:r>
    </w:p>
  </w:footnote>
  <w:footnote w:id="62">
    <w:p w14:paraId="7572B508" w14:textId="77777777" w:rsidR="0078034D" w:rsidRPr="0082362E" w:rsidRDefault="0078034D">
      <w:pPr>
        <w:pStyle w:val="footnotetext1"/>
        <w:spacing w:after="0"/>
        <w:ind w:left="0" w:firstLine="0"/>
        <w:contextualSpacing/>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 xml:space="preserve"> </w:t>
      </w:r>
      <w:r w:rsidRPr="0082362E">
        <w:rPr>
          <w:rFonts w:ascii="Times New Roman" w:hAnsi="Times New Roman" w:cs="Times New Roman"/>
          <w:sz w:val="20"/>
          <w:szCs w:val="20"/>
        </w:rPr>
        <w:t>Sk. 2011.gada 8.decembra Tiesas sprieduma C-81/10 P 80. un 82.punktu.</w:t>
      </w:r>
    </w:p>
  </w:footnote>
  <w:footnote w:id="63">
    <w:p w14:paraId="4C97D756" w14:textId="77777777" w:rsidR="0078034D" w:rsidRPr="0082362E" w:rsidRDefault="0078034D">
      <w:pPr>
        <w:pStyle w:val="FootnoteText"/>
        <w:rPr>
          <w:rFonts w:ascii="Times New Roman" w:hAnsi="Times New Roman" w:cs="Times New Roman"/>
          <w:sz w:val="20"/>
          <w:szCs w:val="20"/>
        </w:rPr>
      </w:pPr>
      <w:r w:rsidRPr="0082362E">
        <w:rPr>
          <w:rStyle w:val="FootnoteReference"/>
          <w:rFonts w:ascii="Times New Roman" w:hAnsi="Times New Roman" w:cs="Times New Roman"/>
          <w:sz w:val="20"/>
          <w:szCs w:val="20"/>
        </w:rPr>
        <w:footnoteRef/>
      </w:r>
      <w:r w:rsidRPr="0082362E">
        <w:rPr>
          <w:rFonts w:ascii="Times New Roman" w:hAnsi="Times New Roman" w:cs="Times New Roman"/>
          <w:sz w:val="20"/>
          <w:szCs w:val="20"/>
        </w:rPr>
        <w:t xml:space="preserve"> </w:t>
      </w:r>
      <w:r w:rsidRPr="0082362E">
        <w:rPr>
          <w:rFonts w:ascii="Times New Roman" w:hAnsi="Times New Roman" w:cs="Times New Roman"/>
          <w:color w:val="000000"/>
          <w:sz w:val="20"/>
          <w:szCs w:val="20"/>
        </w:rPr>
        <w:t>Sk. 2011.gada 8.decembra Tiesas sprieduma lietā C-81/10 P  82.punktu.</w:t>
      </w:r>
    </w:p>
  </w:footnote>
  <w:footnote w:id="64">
    <w:p w14:paraId="782CD994" w14:textId="77777777" w:rsidR="0078034D" w:rsidRPr="0082362E" w:rsidRDefault="0078034D">
      <w:pPr>
        <w:pStyle w:val="footnotetext1"/>
        <w:tabs>
          <w:tab w:val="left" w:pos="142"/>
          <w:tab w:val="left" w:pos="426"/>
        </w:tabs>
        <w:spacing w:after="0"/>
        <w:ind w:left="0" w:firstLine="0"/>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vertAlign w:val="superscript"/>
        </w:rPr>
        <w:tab/>
      </w:r>
      <w:r w:rsidRPr="0082362E">
        <w:rPr>
          <w:rFonts w:ascii="Times New Roman" w:hAnsi="Times New Roman" w:cs="Times New Roman"/>
          <w:sz w:val="20"/>
          <w:szCs w:val="20"/>
        </w:rPr>
        <w:t xml:space="preserve"> Sk. 2011.gada 20.septembra Vispārējās tiesas spriedumu T-394/08, T-408/08, T-453/08 un T-454/08 310.–312.punktu.</w:t>
      </w:r>
    </w:p>
  </w:footnote>
  <w:footnote w:id="65">
    <w:p w14:paraId="6BA3ECB6" w14:textId="77777777" w:rsidR="0078034D" w:rsidRPr="0082362E" w:rsidRDefault="0078034D">
      <w:pPr>
        <w:pStyle w:val="footnotetext1"/>
        <w:tabs>
          <w:tab w:val="left" w:pos="142"/>
          <w:tab w:val="left" w:pos="426"/>
        </w:tabs>
        <w:spacing w:after="0"/>
        <w:ind w:left="0" w:firstLine="0"/>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vertAlign w:val="superscript"/>
        </w:rPr>
        <w:tab/>
      </w:r>
      <w:r w:rsidRPr="0082362E">
        <w:rPr>
          <w:rFonts w:ascii="Times New Roman" w:hAnsi="Times New Roman" w:cs="Times New Roman"/>
          <w:sz w:val="20"/>
          <w:szCs w:val="20"/>
        </w:rPr>
        <w:t xml:space="preserve"> Sk. 2017.gada 13.septembra Tiesas sprieduma C-591/14 46.punktu.</w:t>
      </w:r>
    </w:p>
  </w:footnote>
  <w:footnote w:id="66">
    <w:p w14:paraId="0ABCFC54" w14:textId="77777777" w:rsidR="0078034D" w:rsidRPr="0082362E" w:rsidRDefault="0078034D">
      <w:pPr>
        <w:pStyle w:val="footnotetext1"/>
        <w:tabs>
          <w:tab w:val="left" w:pos="142"/>
          <w:tab w:val="left" w:pos="426"/>
        </w:tabs>
        <w:spacing w:after="0"/>
        <w:ind w:left="0" w:firstLine="0"/>
        <w:rPr>
          <w:rFonts w:ascii="Times New Roman" w:hAnsi="Times New Roman" w:cs="Times New Roman"/>
          <w:sz w:val="20"/>
          <w:szCs w:val="20"/>
        </w:rPr>
      </w:pPr>
      <w:r w:rsidRPr="00811859">
        <w:rPr>
          <w:rStyle w:val="Vresrakstzmes"/>
          <w:rFonts w:ascii="Times New Roman" w:hAnsi="Times New Roman" w:cs="Times New Roman"/>
          <w:sz w:val="20"/>
          <w:szCs w:val="20"/>
          <w:vertAlign w:val="superscript"/>
        </w:rPr>
        <w:footnoteRef/>
      </w:r>
      <w:r w:rsidRPr="00811859">
        <w:rPr>
          <w:rFonts w:ascii="Times New Roman" w:hAnsi="Times New Roman" w:cs="Times New Roman"/>
          <w:sz w:val="20"/>
          <w:szCs w:val="20"/>
          <w:vertAlign w:val="superscript"/>
        </w:rPr>
        <w:tab/>
      </w:r>
      <w:r w:rsidRPr="0082362E">
        <w:rPr>
          <w:rFonts w:ascii="Times New Roman" w:hAnsi="Times New Roman" w:cs="Times New Roman"/>
          <w:sz w:val="20"/>
          <w:szCs w:val="20"/>
        </w:rPr>
        <w:t xml:space="preserve"> Piemēram, ja atbalsta piešķīrējs 2019.gadā apgalvo, ka 2015.gada 31.decembrī piešķirto priekšrocību var retrospektīvi uzskatīt par </w:t>
      </w:r>
      <w:r w:rsidRPr="0082362E">
        <w:rPr>
          <w:rFonts w:ascii="Times New Roman" w:hAnsi="Times New Roman" w:cs="Times New Roman"/>
          <w:i/>
          <w:sz w:val="20"/>
          <w:szCs w:val="20"/>
        </w:rPr>
        <w:t>de minimis</w:t>
      </w:r>
      <w:r w:rsidRPr="0082362E">
        <w:rPr>
          <w:rFonts w:ascii="Times New Roman" w:hAnsi="Times New Roman" w:cs="Times New Roman"/>
          <w:sz w:val="20"/>
          <w:szCs w:val="20"/>
        </w:rPr>
        <w:t xml:space="preserve"> atbalstu, tam ir jāpierāda, ka, arī iekļaujot šo jauno </w:t>
      </w:r>
      <w:r w:rsidRPr="0082362E">
        <w:rPr>
          <w:rFonts w:ascii="Times New Roman" w:hAnsi="Times New Roman" w:cs="Times New Roman"/>
          <w:i/>
          <w:sz w:val="20"/>
          <w:szCs w:val="20"/>
        </w:rPr>
        <w:t>de minimis</w:t>
      </w:r>
      <w:r w:rsidRPr="0082362E">
        <w:rPr>
          <w:rFonts w:ascii="Times New Roman" w:hAnsi="Times New Roman" w:cs="Times New Roman"/>
          <w:sz w:val="20"/>
          <w:szCs w:val="20"/>
        </w:rPr>
        <w:t xml:space="preserve"> atbalstu, attiecīgā maksimālā robeža nav pārsniegta nevienā no šādiem trīsgadu periodiem — 2013.–2015., 2014.–2016. un 2015.–2017.gadā. No tā izriet, ka Komisija var atļaut retrospektīvi pieskaitīt minēto iespējamo atbalstu  </w:t>
      </w:r>
      <w:r w:rsidRPr="0082362E">
        <w:rPr>
          <w:rFonts w:ascii="Times New Roman" w:hAnsi="Times New Roman" w:cs="Times New Roman"/>
          <w:i/>
          <w:sz w:val="20"/>
          <w:szCs w:val="20"/>
        </w:rPr>
        <w:t>de minimis</w:t>
      </w:r>
      <w:r w:rsidRPr="0082362E">
        <w:rPr>
          <w:rFonts w:ascii="Times New Roman" w:hAnsi="Times New Roman" w:cs="Times New Roman"/>
          <w:sz w:val="20"/>
          <w:szCs w:val="20"/>
        </w:rPr>
        <w:t xml:space="preserve"> atbalstam tikai ar nosacījumu, ka ne reizi nav pārsniegta attiecīgā </w:t>
      </w:r>
      <w:r w:rsidRPr="0082362E">
        <w:rPr>
          <w:rFonts w:ascii="Times New Roman" w:hAnsi="Times New Roman" w:cs="Times New Roman"/>
          <w:i/>
          <w:sz w:val="20"/>
          <w:szCs w:val="20"/>
        </w:rPr>
        <w:t>de minimis</w:t>
      </w:r>
      <w:r w:rsidRPr="0082362E">
        <w:rPr>
          <w:rFonts w:ascii="Times New Roman" w:hAnsi="Times New Roman" w:cs="Times New Roman"/>
          <w:sz w:val="20"/>
          <w:szCs w:val="20"/>
        </w:rPr>
        <w:t xml:space="preserve"> maksimālā robeža.</w:t>
      </w:r>
    </w:p>
  </w:footnote>
  <w:footnote w:id="67">
    <w:p w14:paraId="0F28DFE3" w14:textId="77777777" w:rsidR="0078034D" w:rsidRDefault="0078034D">
      <w:pPr>
        <w:pStyle w:val="footnotetext1"/>
        <w:tabs>
          <w:tab w:val="left" w:pos="142"/>
          <w:tab w:val="left" w:pos="426"/>
        </w:tabs>
        <w:spacing w:after="0"/>
        <w:ind w:left="0" w:firstLine="0"/>
      </w:pPr>
      <w:r w:rsidRPr="00811859">
        <w:rPr>
          <w:rStyle w:val="Vresrakstzmes"/>
          <w:rFonts w:ascii="Times New Roman" w:hAnsi="Times New Roman" w:cs="Times New Roman"/>
          <w:sz w:val="20"/>
          <w:szCs w:val="20"/>
          <w:vertAlign w:val="superscript"/>
        </w:rPr>
        <w:footnoteRef/>
      </w:r>
      <w:r w:rsidRPr="0082362E">
        <w:rPr>
          <w:rFonts w:ascii="Times New Roman" w:hAnsi="Times New Roman" w:cs="Times New Roman"/>
          <w:sz w:val="20"/>
          <w:szCs w:val="20"/>
          <w:vertAlign w:val="superscript"/>
        </w:rPr>
        <w:tab/>
      </w:r>
      <w:r w:rsidRPr="0082362E">
        <w:rPr>
          <w:rFonts w:ascii="Times New Roman" w:hAnsi="Times New Roman" w:cs="Times New Roman"/>
          <w:sz w:val="20"/>
          <w:szCs w:val="20"/>
        </w:rPr>
        <w:t xml:space="preserve"> Kā ir noteikts arī Komisijas 2013. gada 18. decembra Regulā (ES) Nr. 1407/2013 par Līguma par Eiropas Savienības darbību 107. un 108. panta piemērošanu </w:t>
      </w:r>
      <w:r w:rsidRPr="0082362E">
        <w:rPr>
          <w:rFonts w:ascii="Times New Roman" w:hAnsi="Times New Roman" w:cs="Times New Roman"/>
          <w:i/>
          <w:sz w:val="20"/>
          <w:szCs w:val="20"/>
        </w:rPr>
        <w:t>de minimis</w:t>
      </w:r>
      <w:r w:rsidRPr="0082362E">
        <w:rPr>
          <w:rFonts w:ascii="Times New Roman" w:hAnsi="Times New Roman" w:cs="Times New Roman"/>
          <w:sz w:val="20"/>
          <w:szCs w:val="20"/>
        </w:rPr>
        <w:t xml:space="preserve"> atbalstam, OV L 352, 24.12.2013., 1.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87F"/>
    <w:multiLevelType w:val="hybridMultilevel"/>
    <w:tmpl w:val="74D0D566"/>
    <w:lvl w:ilvl="0" w:tplc="C4DE1F92">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83479"/>
    <w:multiLevelType w:val="multilevel"/>
    <w:tmpl w:val="6AC0C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652D6A"/>
    <w:multiLevelType w:val="multilevel"/>
    <w:tmpl w:val="015EE364"/>
    <w:lvl w:ilvl="0">
      <w:start w:val="1"/>
      <w:numFmt w:val="bullet"/>
      <w:lvlText w:val=""/>
      <w:lvlJc w:val="left"/>
      <w:pPr>
        <w:ind w:left="1571" w:hanging="360"/>
      </w:pPr>
      <w:rPr>
        <w:rFonts w:ascii="Symbol" w:hAnsi="Symbol" w:cs="Symbol" w:hint="default"/>
        <w:sz w:val="20"/>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 w15:restartNumberingAfterBreak="0">
    <w:nsid w:val="2F517FC7"/>
    <w:multiLevelType w:val="hybridMultilevel"/>
    <w:tmpl w:val="1AB04D58"/>
    <w:lvl w:ilvl="0" w:tplc="BE36C3F4">
      <w:start w:val="2"/>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9D3B40"/>
    <w:multiLevelType w:val="multilevel"/>
    <w:tmpl w:val="95FA2300"/>
    <w:lvl w:ilvl="0">
      <w:start w:val="1"/>
      <w:numFmt w:val="upperRoman"/>
      <w:lvlText w:val="%1."/>
      <w:lvlJc w:val="left"/>
      <w:pPr>
        <w:ind w:left="1080" w:hanging="720"/>
      </w:pPr>
      <w:rPr>
        <w:b/>
        <w:sz w:val="24"/>
      </w:rPr>
    </w:lvl>
    <w:lvl w:ilvl="1">
      <w:start w:val="1"/>
      <w:numFmt w:val="decimal"/>
      <w:pStyle w:val="Heading2"/>
      <w:lvlText w:val="%2"/>
      <w:lvlJc w:val="left"/>
      <w:pPr>
        <w:ind w:left="576" w:hanging="576"/>
      </w:pPr>
    </w:lvl>
    <w:lvl w:ilvl="2">
      <w:start w:val="1"/>
      <w:numFmt w:val="none"/>
      <w:suff w:val="nothing"/>
      <w:lvlText w:val=""/>
      <w:lvlJc w:val="left"/>
      <w:pPr>
        <w:ind w:left="0" w:firstLine="0"/>
      </w:pPr>
    </w:lvl>
    <w:lvl w:ilvl="3">
      <w:start w:val="1"/>
      <w:numFmt w:val="decimal"/>
      <w:pStyle w:val="Heading4"/>
      <w:lvlText w:val="%2.%4"/>
      <w:lvlJc w:val="left"/>
      <w:pPr>
        <w:ind w:left="864" w:hanging="864"/>
      </w:pPr>
    </w:lvl>
    <w:lvl w:ilvl="4">
      <w:start w:val="1"/>
      <w:numFmt w:val="decimal"/>
      <w:pStyle w:val="Heading5"/>
      <w:lvlText w:val="%2.%4.%5"/>
      <w:lvlJc w:val="left"/>
      <w:pPr>
        <w:ind w:left="1008" w:hanging="1008"/>
      </w:pPr>
    </w:lvl>
    <w:lvl w:ilvl="5">
      <w:start w:val="1"/>
      <w:numFmt w:val="decimal"/>
      <w:pStyle w:val="Heading6"/>
      <w:lvlText w:val="%2.%4.%5.%6"/>
      <w:lvlJc w:val="left"/>
      <w:pPr>
        <w:ind w:left="1152" w:hanging="1152"/>
      </w:pPr>
    </w:lvl>
    <w:lvl w:ilvl="6">
      <w:start w:val="1"/>
      <w:numFmt w:val="decimal"/>
      <w:pStyle w:val="Heading7"/>
      <w:lvlText w:val="%2.%4.%5.%6.%7"/>
      <w:lvlJc w:val="left"/>
      <w:pPr>
        <w:ind w:left="1296" w:hanging="1296"/>
      </w:pPr>
    </w:lvl>
    <w:lvl w:ilvl="7">
      <w:start w:val="1"/>
      <w:numFmt w:val="decimal"/>
      <w:pStyle w:val="Heading8"/>
      <w:lvlText w:val="%2.%4.%5.%6.%7.%8"/>
      <w:lvlJc w:val="left"/>
      <w:pPr>
        <w:ind w:left="1440" w:hanging="1440"/>
      </w:pPr>
    </w:lvl>
    <w:lvl w:ilvl="8">
      <w:start w:val="1"/>
      <w:numFmt w:val="decimal"/>
      <w:pStyle w:val="Heading9"/>
      <w:lvlText w:val="%2.%4.%5.%6.%7.%8.%9"/>
      <w:lvlJc w:val="left"/>
      <w:pPr>
        <w:ind w:left="1584" w:hanging="1584"/>
      </w:pPr>
    </w:lvl>
  </w:abstractNum>
  <w:abstractNum w:abstractNumId="5" w15:restartNumberingAfterBreak="0">
    <w:nsid w:val="3AAF7A1D"/>
    <w:multiLevelType w:val="multilevel"/>
    <w:tmpl w:val="918AE9F4"/>
    <w:lvl w:ilvl="0">
      <w:start w:val="1"/>
      <w:numFmt w:val="upperRoman"/>
      <w:pStyle w:val="Heading3"/>
      <w:lvlText w:val="%1."/>
      <w:lvlJc w:val="left"/>
      <w:pPr>
        <w:ind w:left="1080" w:hanging="72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670755"/>
    <w:multiLevelType w:val="multilevel"/>
    <w:tmpl w:val="03ECF75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8C02F9"/>
    <w:multiLevelType w:val="hybridMultilevel"/>
    <w:tmpl w:val="593AA0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3C6848"/>
    <w:multiLevelType w:val="hybridMultilevel"/>
    <w:tmpl w:val="B8E0FCE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540E5E5C"/>
    <w:multiLevelType w:val="hybridMultilevel"/>
    <w:tmpl w:val="F2AAEAD8"/>
    <w:lvl w:ilvl="0" w:tplc="889ADB5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5DD3F5A"/>
    <w:multiLevelType w:val="multilevel"/>
    <w:tmpl w:val="46FECC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84E79BF"/>
    <w:multiLevelType w:val="multilevel"/>
    <w:tmpl w:val="C27A523E"/>
    <w:lvl w:ilvl="0">
      <w:start w:val="1"/>
      <w:numFmt w:val="low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0D041A"/>
    <w:multiLevelType w:val="multilevel"/>
    <w:tmpl w:val="973EA2C0"/>
    <w:lvl w:ilvl="0">
      <w:start w:val="1"/>
      <w:numFmt w:val="decimal"/>
      <w:lvlText w:val="%1."/>
      <w:lvlJc w:val="left"/>
      <w:pPr>
        <w:ind w:left="720" w:hanging="360"/>
      </w:pPr>
      <w:rPr>
        <w:rFonts w:ascii="Times New Roman" w:eastAsia="Calibri" w:hAnsi="Times New Roman" w:cs="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836D7F"/>
    <w:multiLevelType w:val="hybridMultilevel"/>
    <w:tmpl w:val="179E86D8"/>
    <w:lvl w:ilvl="0" w:tplc="FA5EA34C">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D5D630E"/>
    <w:multiLevelType w:val="multilevel"/>
    <w:tmpl w:val="C27A523E"/>
    <w:lvl w:ilvl="0">
      <w:start w:val="1"/>
      <w:numFmt w:val="low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100295"/>
    <w:multiLevelType w:val="hybridMultilevel"/>
    <w:tmpl w:val="6660C610"/>
    <w:lvl w:ilvl="0" w:tplc="ADB8EA2E">
      <w:start w:val="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647532F"/>
    <w:multiLevelType w:val="multilevel"/>
    <w:tmpl w:val="E432F20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7CAF063D"/>
    <w:multiLevelType w:val="hybridMultilevel"/>
    <w:tmpl w:val="5986DB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EA6906"/>
    <w:multiLevelType w:val="hybridMultilevel"/>
    <w:tmpl w:val="C868C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89340495">
    <w:abstractNumId w:val="4"/>
  </w:num>
  <w:num w:numId="2" w16cid:durableId="1469515206">
    <w:abstractNumId w:val="2"/>
  </w:num>
  <w:num w:numId="3" w16cid:durableId="1190412348">
    <w:abstractNumId w:val="1"/>
  </w:num>
  <w:num w:numId="4" w16cid:durableId="1661230849">
    <w:abstractNumId w:val="6"/>
  </w:num>
  <w:num w:numId="5" w16cid:durableId="910239441">
    <w:abstractNumId w:val="12"/>
  </w:num>
  <w:num w:numId="6" w16cid:durableId="105852216">
    <w:abstractNumId w:val="14"/>
  </w:num>
  <w:num w:numId="7" w16cid:durableId="813837926">
    <w:abstractNumId w:val="5"/>
  </w:num>
  <w:num w:numId="8" w16cid:durableId="715736749">
    <w:abstractNumId w:val="10"/>
  </w:num>
  <w:num w:numId="9" w16cid:durableId="1869680036">
    <w:abstractNumId w:val="16"/>
  </w:num>
  <w:num w:numId="10" w16cid:durableId="1058241844">
    <w:abstractNumId w:val="7"/>
  </w:num>
  <w:num w:numId="11" w16cid:durableId="2010987831">
    <w:abstractNumId w:val="9"/>
  </w:num>
  <w:num w:numId="12" w16cid:durableId="1297756703">
    <w:abstractNumId w:val="0"/>
  </w:num>
  <w:num w:numId="13" w16cid:durableId="1671562213">
    <w:abstractNumId w:val="17"/>
  </w:num>
  <w:num w:numId="14" w16cid:durableId="833836831">
    <w:abstractNumId w:val="15"/>
  </w:num>
  <w:num w:numId="15" w16cid:durableId="1150948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5121265">
    <w:abstractNumId w:val="3"/>
  </w:num>
  <w:num w:numId="17" w16cid:durableId="1660694758">
    <w:abstractNumId w:val="11"/>
  </w:num>
  <w:num w:numId="18" w16cid:durableId="1201942004">
    <w:abstractNumId w:val="8"/>
  </w:num>
  <w:num w:numId="19" w16cid:durableId="875431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89"/>
    <w:rsid w:val="00000897"/>
    <w:rsid w:val="0000485B"/>
    <w:rsid w:val="00005EED"/>
    <w:rsid w:val="00007674"/>
    <w:rsid w:val="0000788A"/>
    <w:rsid w:val="00015247"/>
    <w:rsid w:val="00017A96"/>
    <w:rsid w:val="00021D17"/>
    <w:rsid w:val="00034D7B"/>
    <w:rsid w:val="00044698"/>
    <w:rsid w:val="00060C5E"/>
    <w:rsid w:val="00073C0C"/>
    <w:rsid w:val="0007795B"/>
    <w:rsid w:val="000948FA"/>
    <w:rsid w:val="00095720"/>
    <w:rsid w:val="00097FE2"/>
    <w:rsid w:val="000A0574"/>
    <w:rsid w:val="000A2765"/>
    <w:rsid w:val="000A6511"/>
    <w:rsid w:val="000D3287"/>
    <w:rsid w:val="000D4CFE"/>
    <w:rsid w:val="000E0915"/>
    <w:rsid w:val="000E117D"/>
    <w:rsid w:val="000E2F48"/>
    <w:rsid w:val="000E6653"/>
    <w:rsid w:val="00102A1C"/>
    <w:rsid w:val="001142BB"/>
    <w:rsid w:val="00123F7D"/>
    <w:rsid w:val="00124701"/>
    <w:rsid w:val="00126C19"/>
    <w:rsid w:val="00135230"/>
    <w:rsid w:val="001402AF"/>
    <w:rsid w:val="0014275C"/>
    <w:rsid w:val="001469CB"/>
    <w:rsid w:val="00150223"/>
    <w:rsid w:val="001503BB"/>
    <w:rsid w:val="00186725"/>
    <w:rsid w:val="001879B4"/>
    <w:rsid w:val="0019095C"/>
    <w:rsid w:val="00191E13"/>
    <w:rsid w:val="001A609D"/>
    <w:rsid w:val="001A68E6"/>
    <w:rsid w:val="001B0729"/>
    <w:rsid w:val="001C1547"/>
    <w:rsid w:val="001C522B"/>
    <w:rsid w:val="001C660C"/>
    <w:rsid w:val="001D3CD5"/>
    <w:rsid w:val="001D61EB"/>
    <w:rsid w:val="001D62CB"/>
    <w:rsid w:val="001D68D6"/>
    <w:rsid w:val="001E3736"/>
    <w:rsid w:val="001E67A9"/>
    <w:rsid w:val="001F5434"/>
    <w:rsid w:val="00206ABB"/>
    <w:rsid w:val="0021105F"/>
    <w:rsid w:val="00212277"/>
    <w:rsid w:val="002133C4"/>
    <w:rsid w:val="0021601E"/>
    <w:rsid w:val="00221C94"/>
    <w:rsid w:val="002257E3"/>
    <w:rsid w:val="00236B97"/>
    <w:rsid w:val="0024466A"/>
    <w:rsid w:val="00263FF7"/>
    <w:rsid w:val="00266DCE"/>
    <w:rsid w:val="00270735"/>
    <w:rsid w:val="002713CD"/>
    <w:rsid w:val="00281076"/>
    <w:rsid w:val="002951E3"/>
    <w:rsid w:val="002A0922"/>
    <w:rsid w:val="002A4402"/>
    <w:rsid w:val="002C53BE"/>
    <w:rsid w:val="002D6401"/>
    <w:rsid w:val="002E2114"/>
    <w:rsid w:val="002E217A"/>
    <w:rsid w:val="002F058E"/>
    <w:rsid w:val="002F19D8"/>
    <w:rsid w:val="00303094"/>
    <w:rsid w:val="00304E0A"/>
    <w:rsid w:val="00327498"/>
    <w:rsid w:val="00344472"/>
    <w:rsid w:val="003633E0"/>
    <w:rsid w:val="00373537"/>
    <w:rsid w:val="00380D96"/>
    <w:rsid w:val="003937A7"/>
    <w:rsid w:val="003955A0"/>
    <w:rsid w:val="003B0585"/>
    <w:rsid w:val="003B18E3"/>
    <w:rsid w:val="003C32A5"/>
    <w:rsid w:val="003C422F"/>
    <w:rsid w:val="003E1766"/>
    <w:rsid w:val="003E3528"/>
    <w:rsid w:val="003E6252"/>
    <w:rsid w:val="003F0423"/>
    <w:rsid w:val="004127EC"/>
    <w:rsid w:val="00423E80"/>
    <w:rsid w:val="00432596"/>
    <w:rsid w:val="00437874"/>
    <w:rsid w:val="00443396"/>
    <w:rsid w:val="00444DFF"/>
    <w:rsid w:val="00444F4F"/>
    <w:rsid w:val="00450879"/>
    <w:rsid w:val="00496265"/>
    <w:rsid w:val="00496D1A"/>
    <w:rsid w:val="004A1B6D"/>
    <w:rsid w:val="004A7ABF"/>
    <w:rsid w:val="004C28B8"/>
    <w:rsid w:val="004D0B6C"/>
    <w:rsid w:val="004D5036"/>
    <w:rsid w:val="00507DA1"/>
    <w:rsid w:val="005203AE"/>
    <w:rsid w:val="0052655A"/>
    <w:rsid w:val="005272DE"/>
    <w:rsid w:val="005314F8"/>
    <w:rsid w:val="00534677"/>
    <w:rsid w:val="00550A2F"/>
    <w:rsid w:val="005546FA"/>
    <w:rsid w:val="00557A73"/>
    <w:rsid w:val="005908B4"/>
    <w:rsid w:val="00595A69"/>
    <w:rsid w:val="00597CB5"/>
    <w:rsid w:val="005B372E"/>
    <w:rsid w:val="005C17D0"/>
    <w:rsid w:val="005C4632"/>
    <w:rsid w:val="005C75BC"/>
    <w:rsid w:val="005E2BCC"/>
    <w:rsid w:val="005E60F5"/>
    <w:rsid w:val="005E6D4B"/>
    <w:rsid w:val="005F0F04"/>
    <w:rsid w:val="005F59CB"/>
    <w:rsid w:val="006148BA"/>
    <w:rsid w:val="00617D05"/>
    <w:rsid w:val="00626099"/>
    <w:rsid w:val="00626822"/>
    <w:rsid w:val="00632184"/>
    <w:rsid w:val="00633E4D"/>
    <w:rsid w:val="00635A7D"/>
    <w:rsid w:val="00645303"/>
    <w:rsid w:val="006461D0"/>
    <w:rsid w:val="00646C95"/>
    <w:rsid w:val="00650458"/>
    <w:rsid w:val="00666F77"/>
    <w:rsid w:val="00672110"/>
    <w:rsid w:val="0067246E"/>
    <w:rsid w:val="00672502"/>
    <w:rsid w:val="00676FA2"/>
    <w:rsid w:val="0068490A"/>
    <w:rsid w:val="00693056"/>
    <w:rsid w:val="00695FF3"/>
    <w:rsid w:val="0069676F"/>
    <w:rsid w:val="006A034D"/>
    <w:rsid w:val="006A4B6A"/>
    <w:rsid w:val="006A5C29"/>
    <w:rsid w:val="006B2017"/>
    <w:rsid w:val="006E319D"/>
    <w:rsid w:val="006F67CF"/>
    <w:rsid w:val="00705717"/>
    <w:rsid w:val="00711552"/>
    <w:rsid w:val="0071190C"/>
    <w:rsid w:val="0072155C"/>
    <w:rsid w:val="00727143"/>
    <w:rsid w:val="0072728D"/>
    <w:rsid w:val="00735277"/>
    <w:rsid w:val="0073604C"/>
    <w:rsid w:val="007424A1"/>
    <w:rsid w:val="00742573"/>
    <w:rsid w:val="00751174"/>
    <w:rsid w:val="00753863"/>
    <w:rsid w:val="007637FD"/>
    <w:rsid w:val="0077160B"/>
    <w:rsid w:val="0078034D"/>
    <w:rsid w:val="00780457"/>
    <w:rsid w:val="00785B4D"/>
    <w:rsid w:val="007906DF"/>
    <w:rsid w:val="00797FC2"/>
    <w:rsid w:val="007B24AC"/>
    <w:rsid w:val="007B2F69"/>
    <w:rsid w:val="007B5D09"/>
    <w:rsid w:val="007D1042"/>
    <w:rsid w:val="007D44BB"/>
    <w:rsid w:val="007D75ED"/>
    <w:rsid w:val="007E0044"/>
    <w:rsid w:val="007F2F35"/>
    <w:rsid w:val="00811859"/>
    <w:rsid w:val="00815A77"/>
    <w:rsid w:val="008160F5"/>
    <w:rsid w:val="00822352"/>
    <w:rsid w:val="0082362E"/>
    <w:rsid w:val="0085299A"/>
    <w:rsid w:val="0086079C"/>
    <w:rsid w:val="008703B7"/>
    <w:rsid w:val="00880FA1"/>
    <w:rsid w:val="00885C3B"/>
    <w:rsid w:val="00891FEC"/>
    <w:rsid w:val="008937C8"/>
    <w:rsid w:val="008A4A31"/>
    <w:rsid w:val="008B0EA6"/>
    <w:rsid w:val="008C3400"/>
    <w:rsid w:val="008D47DC"/>
    <w:rsid w:val="008E7294"/>
    <w:rsid w:val="008F76C9"/>
    <w:rsid w:val="00903461"/>
    <w:rsid w:val="0092359E"/>
    <w:rsid w:val="0093583A"/>
    <w:rsid w:val="00945378"/>
    <w:rsid w:val="00950755"/>
    <w:rsid w:val="00951298"/>
    <w:rsid w:val="009546C5"/>
    <w:rsid w:val="00977ABE"/>
    <w:rsid w:val="00977FEA"/>
    <w:rsid w:val="00991B58"/>
    <w:rsid w:val="00994AE9"/>
    <w:rsid w:val="00995C19"/>
    <w:rsid w:val="009A2E95"/>
    <w:rsid w:val="009B2957"/>
    <w:rsid w:val="009B33A6"/>
    <w:rsid w:val="009C0ED0"/>
    <w:rsid w:val="009C200D"/>
    <w:rsid w:val="009E239E"/>
    <w:rsid w:val="009E6C2A"/>
    <w:rsid w:val="009F2F06"/>
    <w:rsid w:val="009F6C5C"/>
    <w:rsid w:val="00A04533"/>
    <w:rsid w:val="00A253BE"/>
    <w:rsid w:val="00A2604F"/>
    <w:rsid w:val="00A30000"/>
    <w:rsid w:val="00A34BED"/>
    <w:rsid w:val="00A46BBE"/>
    <w:rsid w:val="00A50682"/>
    <w:rsid w:val="00A532A2"/>
    <w:rsid w:val="00A53F09"/>
    <w:rsid w:val="00A55B65"/>
    <w:rsid w:val="00A7478E"/>
    <w:rsid w:val="00A758F7"/>
    <w:rsid w:val="00A86248"/>
    <w:rsid w:val="00A9058E"/>
    <w:rsid w:val="00A95E8F"/>
    <w:rsid w:val="00A97600"/>
    <w:rsid w:val="00AA3B6D"/>
    <w:rsid w:val="00AA5AC6"/>
    <w:rsid w:val="00AC228B"/>
    <w:rsid w:val="00AD4A90"/>
    <w:rsid w:val="00AF56CE"/>
    <w:rsid w:val="00AF7A22"/>
    <w:rsid w:val="00B00333"/>
    <w:rsid w:val="00B11A21"/>
    <w:rsid w:val="00B228C3"/>
    <w:rsid w:val="00B3544D"/>
    <w:rsid w:val="00B54B07"/>
    <w:rsid w:val="00B809EA"/>
    <w:rsid w:val="00B82261"/>
    <w:rsid w:val="00B85B05"/>
    <w:rsid w:val="00B873C4"/>
    <w:rsid w:val="00B9173A"/>
    <w:rsid w:val="00B93073"/>
    <w:rsid w:val="00BA05B5"/>
    <w:rsid w:val="00BA0A98"/>
    <w:rsid w:val="00BA6431"/>
    <w:rsid w:val="00BC60BB"/>
    <w:rsid w:val="00BD0140"/>
    <w:rsid w:val="00BD055D"/>
    <w:rsid w:val="00BD61D4"/>
    <w:rsid w:val="00BD7393"/>
    <w:rsid w:val="00BE3864"/>
    <w:rsid w:val="00C013B8"/>
    <w:rsid w:val="00C22968"/>
    <w:rsid w:val="00C23DBA"/>
    <w:rsid w:val="00C36777"/>
    <w:rsid w:val="00C4144E"/>
    <w:rsid w:val="00C46947"/>
    <w:rsid w:val="00C47250"/>
    <w:rsid w:val="00C54994"/>
    <w:rsid w:val="00C7247D"/>
    <w:rsid w:val="00C75E97"/>
    <w:rsid w:val="00C7601B"/>
    <w:rsid w:val="00C81373"/>
    <w:rsid w:val="00C850C6"/>
    <w:rsid w:val="00C85B08"/>
    <w:rsid w:val="00C91903"/>
    <w:rsid w:val="00C929AB"/>
    <w:rsid w:val="00CA12FA"/>
    <w:rsid w:val="00CA5F36"/>
    <w:rsid w:val="00CA6AE4"/>
    <w:rsid w:val="00CA6DA1"/>
    <w:rsid w:val="00CB1822"/>
    <w:rsid w:val="00CB3D4D"/>
    <w:rsid w:val="00CB6021"/>
    <w:rsid w:val="00CB7EF1"/>
    <w:rsid w:val="00CD09AD"/>
    <w:rsid w:val="00CD2AB0"/>
    <w:rsid w:val="00CD797D"/>
    <w:rsid w:val="00CE18CA"/>
    <w:rsid w:val="00CE3743"/>
    <w:rsid w:val="00CE6383"/>
    <w:rsid w:val="00CF3060"/>
    <w:rsid w:val="00CF565A"/>
    <w:rsid w:val="00D06BF9"/>
    <w:rsid w:val="00D13F48"/>
    <w:rsid w:val="00D152ED"/>
    <w:rsid w:val="00D2238E"/>
    <w:rsid w:val="00D262E7"/>
    <w:rsid w:val="00D36866"/>
    <w:rsid w:val="00D42E19"/>
    <w:rsid w:val="00D50B89"/>
    <w:rsid w:val="00D5157A"/>
    <w:rsid w:val="00D51B4F"/>
    <w:rsid w:val="00D5494F"/>
    <w:rsid w:val="00D667DB"/>
    <w:rsid w:val="00D70EBD"/>
    <w:rsid w:val="00D83803"/>
    <w:rsid w:val="00D905FD"/>
    <w:rsid w:val="00D90BC4"/>
    <w:rsid w:val="00D9238B"/>
    <w:rsid w:val="00D94839"/>
    <w:rsid w:val="00DB5F4F"/>
    <w:rsid w:val="00DC01CB"/>
    <w:rsid w:val="00DC144E"/>
    <w:rsid w:val="00DD43CF"/>
    <w:rsid w:val="00DE526D"/>
    <w:rsid w:val="00E0336B"/>
    <w:rsid w:val="00E37C8F"/>
    <w:rsid w:val="00E41F45"/>
    <w:rsid w:val="00E50D63"/>
    <w:rsid w:val="00E52A90"/>
    <w:rsid w:val="00E5686D"/>
    <w:rsid w:val="00E74F08"/>
    <w:rsid w:val="00E8151F"/>
    <w:rsid w:val="00E867E2"/>
    <w:rsid w:val="00E9654A"/>
    <w:rsid w:val="00ED52A0"/>
    <w:rsid w:val="00ED7CC8"/>
    <w:rsid w:val="00EE0ACF"/>
    <w:rsid w:val="00F3600A"/>
    <w:rsid w:val="00F47DCF"/>
    <w:rsid w:val="00F6404D"/>
    <w:rsid w:val="00F6566C"/>
    <w:rsid w:val="00F7005A"/>
    <w:rsid w:val="00F72C42"/>
    <w:rsid w:val="00F81708"/>
    <w:rsid w:val="00F83D67"/>
    <w:rsid w:val="00F85C92"/>
    <w:rsid w:val="00F94696"/>
    <w:rsid w:val="00F9688A"/>
    <w:rsid w:val="00FA153B"/>
    <w:rsid w:val="00FA3BF2"/>
    <w:rsid w:val="00FB6E01"/>
    <w:rsid w:val="00FC26AE"/>
    <w:rsid w:val="00FC63AD"/>
    <w:rsid w:val="00FC7C30"/>
    <w:rsid w:val="00FD0D2C"/>
    <w:rsid w:val="00FD50DC"/>
    <w:rsid w:val="00FD62BE"/>
    <w:rsid w:val="00FD799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3455"/>
  <w15:docId w15:val="{EDBBE649-0A6D-4C5F-A90E-D469A463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412A"/>
    <w:rPr>
      <w:rFonts w:asciiTheme="minorHAnsi" w:eastAsia="Calibri" w:hAnsiTheme="minorHAnsi"/>
      <w:sz w:val="22"/>
      <w:lang w:eastAsia="lv-LV" w:bidi="lv-LV"/>
    </w:rPr>
  </w:style>
  <w:style w:type="paragraph" w:styleId="Heading1">
    <w:name w:val="heading 1"/>
    <w:basedOn w:val="Normal"/>
    <w:next w:val="Normal"/>
    <w:link w:val="Heading1Char"/>
    <w:qFormat/>
    <w:rsid w:val="0067412A"/>
    <w:pPr>
      <w:keepNext/>
      <w:keepLines/>
      <w:tabs>
        <w:tab w:val="left" w:pos="426"/>
      </w:tabs>
      <w:suppressAutoHyphens/>
      <w:spacing w:before="480" w:after="24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67412A"/>
    <w:pPr>
      <w:keepNext/>
      <w:keepLines/>
      <w:numPr>
        <w:ilvl w:val="1"/>
        <w:numId w:val="1"/>
      </w:numPr>
      <w:spacing w:before="200" w:after="240"/>
      <w:outlineLvl w:val="1"/>
    </w:pPr>
    <w:rPr>
      <w:rFonts w:ascii="Times New Roman Bold" w:eastAsia="Times New Roman" w:hAnsi="Times New Roman Bold" w:cs="Times New Roman"/>
      <w:b/>
      <w:bCs/>
      <w:smallCaps/>
      <w:sz w:val="24"/>
      <w:szCs w:val="24"/>
    </w:rPr>
  </w:style>
  <w:style w:type="paragraph" w:styleId="Heading3">
    <w:name w:val="heading 3"/>
    <w:basedOn w:val="Normal"/>
    <w:next w:val="Normal"/>
    <w:link w:val="Heading3Char"/>
    <w:autoRedefine/>
    <w:unhideWhenUsed/>
    <w:qFormat/>
    <w:rsid w:val="00007674"/>
    <w:pPr>
      <w:keepNext/>
      <w:keepLines/>
      <w:numPr>
        <w:numId w:val="7"/>
      </w:numPr>
      <w:ind w:left="0" w:firstLine="0"/>
      <w:jc w:val="center"/>
      <w:outlineLvl w:val="2"/>
    </w:pPr>
    <w:rPr>
      <w:rFonts w:ascii="Times New Roman" w:eastAsia="Times New Roman" w:hAnsi="Times New Roman" w:cs="Times New Roman"/>
      <w:b/>
      <w:bCs/>
      <w:iCs/>
      <w:caps/>
      <w:sz w:val="24"/>
      <w:szCs w:val="24"/>
    </w:rPr>
  </w:style>
  <w:style w:type="paragraph" w:styleId="Heading4">
    <w:name w:val="heading 4"/>
    <w:basedOn w:val="Normal"/>
    <w:next w:val="Normal"/>
    <w:link w:val="Heading4Char"/>
    <w:unhideWhenUsed/>
    <w:qFormat/>
    <w:rsid w:val="0067412A"/>
    <w:pPr>
      <w:keepNext/>
      <w:keepLines/>
      <w:numPr>
        <w:ilvl w:val="3"/>
        <w:numId w:val="1"/>
      </w:numPr>
      <w:spacing w:after="240"/>
      <w:outlineLvl w:val="3"/>
    </w:pPr>
    <w:rPr>
      <w:rFonts w:ascii="Times New Roman" w:eastAsia="Times New Roman" w:hAnsi="Times New Roman" w:cs="Times New Roman"/>
      <w:i/>
      <w:iCs/>
      <w:sz w:val="24"/>
      <w:szCs w:val="24"/>
    </w:rPr>
  </w:style>
  <w:style w:type="paragraph" w:styleId="Heading5">
    <w:name w:val="heading 5"/>
    <w:basedOn w:val="Normal"/>
    <w:next w:val="Normal"/>
    <w:link w:val="Heading5Char"/>
    <w:uiPriority w:val="9"/>
    <w:unhideWhenUsed/>
    <w:qFormat/>
    <w:rsid w:val="0067412A"/>
    <w:pPr>
      <w:keepNext/>
      <w:keepLines/>
      <w:numPr>
        <w:ilvl w:val="4"/>
        <w:numId w:val="1"/>
      </w:numPr>
      <w:spacing w:after="240"/>
      <w:outlineLvl w:val="4"/>
    </w:pPr>
    <w:rPr>
      <w:rFonts w:ascii="Times New Roman" w:eastAsia="Times New Roman" w:hAnsi="Times New Roman" w:cs="Times New Roman"/>
      <w:sz w:val="24"/>
      <w:szCs w:val="24"/>
      <w:u w:val="single"/>
    </w:rPr>
  </w:style>
  <w:style w:type="paragraph" w:styleId="Heading6">
    <w:name w:val="heading 6"/>
    <w:basedOn w:val="Normal"/>
    <w:next w:val="Normal"/>
    <w:link w:val="Heading6Char"/>
    <w:uiPriority w:val="9"/>
    <w:semiHidden/>
    <w:unhideWhenUsed/>
    <w:qFormat/>
    <w:rsid w:val="0067412A"/>
    <w:pPr>
      <w:keepNext/>
      <w:keepLines/>
      <w:numPr>
        <w:ilvl w:val="5"/>
        <w:numId w:val="1"/>
      </w:numPr>
      <w:spacing w:before="200"/>
      <w:outlineLvl w:val="5"/>
    </w:pPr>
    <w:rPr>
      <w:rFonts w:ascii="Cambria" w:eastAsia="Times New Roman" w:hAnsi="Cambria" w:cs="Mangal"/>
      <w:i/>
      <w:iCs/>
      <w:color w:val="243F60"/>
    </w:rPr>
  </w:style>
  <w:style w:type="paragraph" w:styleId="Heading7">
    <w:name w:val="heading 7"/>
    <w:basedOn w:val="Normal"/>
    <w:next w:val="Normal"/>
    <w:link w:val="Heading7Char"/>
    <w:uiPriority w:val="9"/>
    <w:semiHidden/>
    <w:unhideWhenUsed/>
    <w:qFormat/>
    <w:rsid w:val="0067412A"/>
    <w:pPr>
      <w:keepNext/>
      <w:keepLines/>
      <w:numPr>
        <w:ilvl w:val="6"/>
        <w:numId w:val="1"/>
      </w:numPr>
      <w:spacing w:before="200"/>
      <w:outlineLvl w:val="6"/>
    </w:pPr>
    <w:rPr>
      <w:rFonts w:ascii="Cambria" w:eastAsia="Times New Roman" w:hAnsi="Cambria" w:cs="Mangal"/>
      <w:i/>
      <w:iCs/>
      <w:color w:val="404040"/>
    </w:rPr>
  </w:style>
  <w:style w:type="paragraph" w:styleId="Heading8">
    <w:name w:val="heading 8"/>
    <w:basedOn w:val="Normal"/>
    <w:next w:val="Normal"/>
    <w:link w:val="Heading8Char"/>
    <w:uiPriority w:val="9"/>
    <w:semiHidden/>
    <w:unhideWhenUsed/>
    <w:qFormat/>
    <w:rsid w:val="0067412A"/>
    <w:pPr>
      <w:keepNext/>
      <w:keepLines/>
      <w:numPr>
        <w:ilvl w:val="7"/>
        <w:numId w:val="1"/>
      </w:numPr>
      <w:spacing w:before="200"/>
      <w:outlineLvl w:val="7"/>
    </w:pPr>
    <w:rPr>
      <w:rFonts w:ascii="Cambria" w:eastAsia="Times New Roman" w:hAnsi="Cambria" w:cs="Mangal"/>
      <w:color w:val="404040"/>
      <w:sz w:val="20"/>
      <w:szCs w:val="20"/>
    </w:rPr>
  </w:style>
  <w:style w:type="paragraph" w:styleId="Heading9">
    <w:name w:val="heading 9"/>
    <w:basedOn w:val="Normal"/>
    <w:next w:val="Normal"/>
    <w:link w:val="Heading9Char"/>
    <w:uiPriority w:val="9"/>
    <w:semiHidden/>
    <w:unhideWhenUsed/>
    <w:qFormat/>
    <w:rsid w:val="0067412A"/>
    <w:pPr>
      <w:keepNext/>
      <w:keepLines/>
      <w:numPr>
        <w:ilvl w:val="8"/>
        <w:numId w:val="1"/>
      </w:numPr>
      <w:spacing w:before="200"/>
      <w:outlineLvl w:val="8"/>
    </w:pPr>
    <w:rPr>
      <w:rFonts w:ascii="Cambria" w:eastAsia="Times New Roman" w:hAnsi="Cambria"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7412A"/>
    <w:rPr>
      <w:rFonts w:eastAsia="Times New Roman" w:cs="Times New Roman"/>
      <w:b/>
      <w:bCs/>
      <w:szCs w:val="24"/>
      <w:lang w:eastAsia="lv-LV" w:bidi="lv-LV"/>
    </w:rPr>
  </w:style>
  <w:style w:type="character" w:customStyle="1" w:styleId="Heading2Char">
    <w:name w:val="Heading 2 Char"/>
    <w:basedOn w:val="DefaultParagraphFont"/>
    <w:link w:val="Heading2"/>
    <w:qFormat/>
    <w:rsid w:val="0067412A"/>
    <w:rPr>
      <w:rFonts w:ascii="Times New Roman Bold" w:eastAsia="Times New Roman" w:hAnsi="Times New Roman Bold" w:cs="Times New Roman"/>
      <w:b/>
      <w:bCs/>
      <w:smallCaps/>
      <w:szCs w:val="24"/>
      <w:lang w:eastAsia="lv-LV" w:bidi="lv-LV"/>
    </w:rPr>
  </w:style>
  <w:style w:type="character" w:customStyle="1" w:styleId="Heading3Char">
    <w:name w:val="Heading 3 Char"/>
    <w:basedOn w:val="DefaultParagraphFont"/>
    <w:link w:val="Heading3"/>
    <w:qFormat/>
    <w:rsid w:val="00007674"/>
    <w:rPr>
      <w:rFonts w:eastAsia="Times New Roman" w:cs="Times New Roman"/>
      <w:b/>
      <w:bCs/>
      <w:iCs/>
      <w:caps/>
      <w:sz w:val="24"/>
      <w:szCs w:val="24"/>
      <w:lang w:eastAsia="lv-LV" w:bidi="lv-LV"/>
    </w:rPr>
  </w:style>
  <w:style w:type="character" w:customStyle="1" w:styleId="Heading4Char">
    <w:name w:val="Heading 4 Char"/>
    <w:basedOn w:val="DefaultParagraphFont"/>
    <w:link w:val="Heading4"/>
    <w:qFormat/>
    <w:rsid w:val="0067412A"/>
    <w:rPr>
      <w:rFonts w:eastAsia="Times New Roman" w:cs="Times New Roman"/>
      <w:i/>
      <w:iCs/>
      <w:szCs w:val="24"/>
      <w:lang w:eastAsia="lv-LV" w:bidi="lv-LV"/>
    </w:rPr>
  </w:style>
  <w:style w:type="character" w:customStyle="1" w:styleId="Heading5Char">
    <w:name w:val="Heading 5 Char"/>
    <w:basedOn w:val="DefaultParagraphFont"/>
    <w:link w:val="Heading5"/>
    <w:uiPriority w:val="9"/>
    <w:qFormat/>
    <w:rsid w:val="0067412A"/>
    <w:rPr>
      <w:rFonts w:eastAsia="Times New Roman" w:cs="Times New Roman"/>
      <w:szCs w:val="24"/>
      <w:u w:val="single"/>
      <w:lang w:eastAsia="lv-LV" w:bidi="lv-LV"/>
    </w:rPr>
  </w:style>
  <w:style w:type="character" w:customStyle="1" w:styleId="Heading6Char">
    <w:name w:val="Heading 6 Char"/>
    <w:basedOn w:val="DefaultParagraphFont"/>
    <w:link w:val="Heading6"/>
    <w:uiPriority w:val="9"/>
    <w:semiHidden/>
    <w:qFormat/>
    <w:rsid w:val="0067412A"/>
    <w:rPr>
      <w:rFonts w:ascii="Cambria" w:eastAsia="Times New Roman" w:hAnsi="Cambria" w:cs="Mangal"/>
      <w:i/>
      <w:iCs/>
      <w:color w:val="243F60"/>
      <w:sz w:val="22"/>
      <w:lang w:eastAsia="lv-LV" w:bidi="lv-LV"/>
    </w:rPr>
  </w:style>
  <w:style w:type="character" w:customStyle="1" w:styleId="Heading7Char">
    <w:name w:val="Heading 7 Char"/>
    <w:basedOn w:val="DefaultParagraphFont"/>
    <w:link w:val="Heading7"/>
    <w:uiPriority w:val="9"/>
    <w:semiHidden/>
    <w:qFormat/>
    <w:rsid w:val="0067412A"/>
    <w:rPr>
      <w:rFonts w:ascii="Cambria" w:eastAsia="Times New Roman" w:hAnsi="Cambria" w:cs="Mangal"/>
      <w:i/>
      <w:iCs/>
      <w:color w:val="404040"/>
      <w:sz w:val="22"/>
      <w:lang w:eastAsia="lv-LV" w:bidi="lv-LV"/>
    </w:rPr>
  </w:style>
  <w:style w:type="character" w:customStyle="1" w:styleId="Heading8Char">
    <w:name w:val="Heading 8 Char"/>
    <w:basedOn w:val="DefaultParagraphFont"/>
    <w:link w:val="Heading8"/>
    <w:uiPriority w:val="9"/>
    <w:semiHidden/>
    <w:qFormat/>
    <w:rsid w:val="0067412A"/>
    <w:rPr>
      <w:rFonts w:ascii="Cambria" w:eastAsia="Times New Roman" w:hAnsi="Cambria" w:cs="Mangal"/>
      <w:color w:val="404040"/>
      <w:sz w:val="20"/>
      <w:szCs w:val="20"/>
      <w:lang w:eastAsia="lv-LV" w:bidi="lv-LV"/>
    </w:rPr>
  </w:style>
  <w:style w:type="character" w:customStyle="1" w:styleId="Heading9Char">
    <w:name w:val="Heading 9 Char"/>
    <w:basedOn w:val="DefaultParagraphFont"/>
    <w:link w:val="Heading9"/>
    <w:uiPriority w:val="9"/>
    <w:semiHidden/>
    <w:qFormat/>
    <w:rsid w:val="0067412A"/>
    <w:rPr>
      <w:rFonts w:ascii="Cambria" w:eastAsia="Times New Roman" w:hAnsi="Cambria" w:cs="Mangal"/>
      <w:i/>
      <w:iCs/>
      <w:color w:val="404040"/>
      <w:sz w:val="20"/>
      <w:szCs w:val="20"/>
      <w:lang w:eastAsia="lv-LV" w:bidi="lv-LV"/>
    </w:rPr>
  </w:style>
  <w:style w:type="character" w:customStyle="1" w:styleId="HeaderChar">
    <w:name w:val="Header Char"/>
    <w:basedOn w:val="DefaultParagraphFont"/>
    <w:link w:val="Header"/>
    <w:uiPriority w:val="99"/>
    <w:qFormat/>
    <w:rsid w:val="0067412A"/>
    <w:rPr>
      <w:rFonts w:asciiTheme="minorHAnsi" w:hAnsiTheme="minorHAnsi"/>
      <w:sz w:val="22"/>
      <w:lang w:eastAsia="lv-LV" w:bidi="lv-LV"/>
    </w:rPr>
  </w:style>
  <w:style w:type="character" w:customStyle="1" w:styleId="FooterChar">
    <w:name w:val="Footer Char"/>
    <w:basedOn w:val="DefaultParagraphFont"/>
    <w:link w:val="Footer"/>
    <w:uiPriority w:val="99"/>
    <w:qFormat/>
    <w:rsid w:val="0067412A"/>
    <w:rPr>
      <w:rFonts w:asciiTheme="minorHAnsi" w:hAnsiTheme="minorHAnsi"/>
      <w:sz w:val="22"/>
      <w:lang w:eastAsia="lv-LV" w:bidi="lv-LV"/>
    </w:rPr>
  </w:style>
  <w:style w:type="character" w:customStyle="1" w:styleId="InternetLink">
    <w:name w:val="Internet Link"/>
    <w:uiPriority w:val="99"/>
    <w:unhideWhenUsed/>
    <w:qFormat/>
    <w:rsid w:val="0067412A"/>
    <w:rPr>
      <w:color w:val="0000FF"/>
      <w:u w:val="single"/>
    </w:rPr>
  </w:style>
  <w:style w:type="character" w:customStyle="1" w:styleId="italic">
    <w:name w:val="italic"/>
    <w:basedOn w:val="DefaultParagraphFont"/>
    <w:qFormat/>
    <w:rsid w:val="0067412A"/>
  </w:style>
  <w:style w:type="character" w:customStyle="1" w:styleId="outputecliaff">
    <w:name w:val="outputecliaff"/>
    <w:qFormat/>
    <w:rsid w:val="0067412A"/>
  </w:style>
  <w:style w:type="character" w:customStyle="1" w:styleId="outputecli">
    <w:name w:val="outputecli"/>
    <w:basedOn w:val="DefaultParagraphFont"/>
    <w:qFormat/>
    <w:rsid w:val="0067412A"/>
  </w:style>
  <w:style w:type="character" w:customStyle="1" w:styleId="affairetitle">
    <w:name w:val="affaire_title"/>
    <w:basedOn w:val="DefaultParagraphFont"/>
    <w:qFormat/>
    <w:rsid w:val="0067412A"/>
  </w:style>
  <w:style w:type="character" w:customStyle="1" w:styleId="Uzsvars">
    <w:name w:val="Uzsvars"/>
    <w:uiPriority w:val="20"/>
    <w:qFormat/>
    <w:rsid w:val="0067412A"/>
    <w:rPr>
      <w:i/>
      <w:iCs/>
    </w:rPr>
  </w:style>
  <w:style w:type="character" w:styleId="Strong">
    <w:name w:val="Strong"/>
    <w:uiPriority w:val="22"/>
    <w:qFormat/>
    <w:rsid w:val="0067412A"/>
    <w:rPr>
      <w:b/>
      <w:bCs/>
    </w:rPr>
  </w:style>
  <w:style w:type="character" w:customStyle="1" w:styleId="FootnoteTextChar">
    <w:name w:val="Footnote Text Char"/>
    <w:aliases w:val="fn Char,Char Char Char,Footnote Text2 Char,Footnote Text11 Char,ALTS FOOTNOTE11 Char,Footnote Text Char111 Char,Footnote Text Char Char Char11 Char,Footnote Text Char1 Char Char Char Char11 Char,ALTS FOOTNOTE2 Char,Footnote Text1 Char"/>
    <w:basedOn w:val="DefaultParagraphFont"/>
    <w:link w:val="FootnoteText"/>
    <w:uiPriority w:val="99"/>
    <w:qFormat/>
    <w:rsid w:val="0067412A"/>
    <w:rPr>
      <w:rFonts w:ascii="Calibri" w:eastAsia="Calibri" w:hAnsi="Calibri" w:cs="Mangal"/>
      <w:sz w:val="20"/>
      <w:szCs w:val="20"/>
      <w:lang w:eastAsia="lv-LV" w:bidi="lv-LV"/>
    </w:rPr>
  </w:style>
  <w:style w:type="character" w:customStyle="1" w:styleId="Vresenkurs">
    <w:name w:val="Vēres enkurs"/>
    <w:rPr>
      <w:vertAlign w:val="superscript"/>
    </w:rPr>
  </w:style>
  <w:style w:type="character" w:customStyle="1" w:styleId="FootnoteCharacters">
    <w:name w:val="Footnote Characters"/>
    <w:basedOn w:val="DefaultParagraphFont"/>
    <w:semiHidden/>
    <w:unhideWhenUsed/>
    <w:qFormat/>
    <w:rsid w:val="00DD4C7A"/>
    <w:rPr>
      <w:vertAlign w:val="superscript"/>
    </w:rPr>
  </w:style>
  <w:style w:type="character" w:customStyle="1" w:styleId="ListLabel1">
    <w:name w:val="ListLabel 1"/>
    <w:qFormat/>
    <w:rPr>
      <w:b/>
      <w:i w:val="0"/>
      <w:strike w:val="0"/>
      <w:dstrike w:val="0"/>
      <w:color w:val="00000A"/>
      <w:sz w:val="24"/>
      <w:szCs w:val="24"/>
    </w:rPr>
  </w:style>
  <w:style w:type="character" w:customStyle="1" w:styleId="ListLabel2">
    <w:name w:val="ListLabel 2"/>
    <w:qFormat/>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3">
    <w:name w:val="ListLabel 3"/>
    <w:qFormat/>
    <w:rPr>
      <w:b w:val="0"/>
      <w:i w:val="0"/>
      <w:strike w:val="0"/>
      <w:dstrike w:val="0"/>
      <w:color w:val="00000A"/>
      <w:sz w:val="24"/>
      <w:szCs w:val="24"/>
    </w:rPr>
  </w:style>
  <w:style w:type="character" w:customStyle="1" w:styleId="ListLabel4">
    <w:name w:val="ListLabel 4"/>
    <w:qFormat/>
    <w:rPr>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EndnoteCharacters">
    <w:name w:val="Endnote Characters"/>
    <w:qFormat/>
  </w:style>
  <w:style w:type="character" w:customStyle="1" w:styleId="Internetasaite">
    <w:name w:val="Interneta saite"/>
    <w:basedOn w:val="DefaultParagraphFont"/>
    <w:uiPriority w:val="99"/>
    <w:semiHidden/>
    <w:unhideWhenUsed/>
    <w:rsid w:val="002241C8"/>
    <w:rPr>
      <w:color w:val="0000FF"/>
      <w:u w:val="single"/>
    </w:rPr>
  </w:style>
  <w:style w:type="character" w:customStyle="1" w:styleId="ListLabel8">
    <w:name w:val="ListLabel 8"/>
    <w:qFormat/>
    <w:rPr>
      <w:b/>
      <w:i w:val="0"/>
      <w:strike w:val="0"/>
      <w:dstrike w:val="0"/>
      <w:color w:val="00000A"/>
      <w:sz w:val="24"/>
      <w:szCs w:val="24"/>
    </w:rPr>
  </w:style>
  <w:style w:type="character" w:customStyle="1" w:styleId="ListLabel9">
    <w:name w:val="ListLabel 9"/>
    <w:qFormat/>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10">
    <w:name w:val="ListLabel 10"/>
    <w:qFormat/>
    <w:rPr>
      <w:b w:val="0"/>
      <w:i w:val="0"/>
      <w:strike w:val="0"/>
      <w:dstrike w:val="0"/>
      <w:color w:val="00000A"/>
      <w:sz w:val="24"/>
      <w:szCs w:val="24"/>
    </w:rPr>
  </w:style>
  <w:style w:type="character" w:customStyle="1" w:styleId="ListLabel11">
    <w:name w:val="ListLabel 11"/>
    <w:qFormat/>
    <w:rPr>
      <w:rFonts w:cs="Symbol"/>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eastAsia="Calibri" w:hAnsi="Times New Roman" w:cs="Times New Roman"/>
      <w:sz w:val="24"/>
    </w:rPr>
  </w:style>
  <w:style w:type="character" w:customStyle="1" w:styleId="ListLabel21">
    <w:name w:val="ListLabel 21"/>
    <w:qFormat/>
    <w:rPr>
      <w:b/>
      <w:sz w:val="24"/>
    </w:rPr>
  </w:style>
  <w:style w:type="character" w:customStyle="1" w:styleId="ListLabel22">
    <w:name w:val="ListLabel 22"/>
    <w:qFormat/>
    <w:rPr>
      <w:rFonts w:ascii="Times New Roman Bold" w:hAnsi="Times New Roman Bold"/>
      <w:b/>
      <w:sz w:val="24"/>
    </w:rPr>
  </w:style>
  <w:style w:type="character" w:customStyle="1" w:styleId="ListLabel23">
    <w:name w:val="ListLabel 23"/>
    <w:qFormat/>
    <w:rPr>
      <w:b/>
    </w:rPr>
  </w:style>
  <w:style w:type="character" w:customStyle="1" w:styleId="ListLabel24">
    <w:name w:val="ListLabel 24"/>
    <w:qFormat/>
    <w:rPr>
      <w:color w:val="auto"/>
      <w:u w:val="none"/>
    </w:rPr>
  </w:style>
  <w:style w:type="character" w:customStyle="1" w:styleId="ListLabel25">
    <w:name w:val="ListLabel 25"/>
    <w:qFormat/>
    <w:rPr>
      <w:rFonts w:ascii="Times New Roman" w:hAnsi="Times New Roman" w:cs="Times New Roman"/>
      <w:i/>
      <w:color w:val="auto"/>
      <w:sz w:val="24"/>
      <w:szCs w:val="24"/>
      <w:shd w:val="clear" w:color="auto" w:fill="FFFFFF"/>
    </w:rPr>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26">
    <w:name w:val="ListLabel 26"/>
    <w:qFormat/>
    <w:rPr>
      <w:rFonts w:cs="Symbol"/>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Times New Roman" w:eastAsia="Calibri" w:hAnsi="Times New Roman" w:cs="Times New Roman"/>
      <w:sz w:val="24"/>
    </w:rPr>
  </w:style>
  <w:style w:type="character" w:customStyle="1" w:styleId="ListLabel36">
    <w:name w:val="ListLabel 36"/>
    <w:qFormat/>
    <w:rPr>
      <w:b/>
      <w:sz w:val="24"/>
    </w:rPr>
  </w:style>
  <w:style w:type="character" w:customStyle="1" w:styleId="ListLabel37">
    <w:name w:val="ListLabel 37"/>
    <w:qFormat/>
    <w:rPr>
      <w:rFonts w:ascii="Times New Roman Bold" w:hAnsi="Times New Roman Bold"/>
      <w:b/>
      <w:sz w:val="24"/>
    </w:rPr>
  </w:style>
  <w:style w:type="character" w:customStyle="1" w:styleId="ListLabel38">
    <w:name w:val="ListLabel 38"/>
    <w:qFormat/>
    <w:rPr>
      <w:color w:val="auto"/>
      <w:u w:val="none"/>
    </w:rPr>
  </w:style>
  <w:style w:type="character" w:customStyle="1" w:styleId="ListLabel39">
    <w:name w:val="ListLabel 39"/>
    <w:qFormat/>
  </w:style>
  <w:style w:type="character" w:customStyle="1" w:styleId="ListLabel40">
    <w:name w:val="ListLabel 40"/>
    <w:qFormat/>
    <w:rPr>
      <w:rFonts w:ascii="Times New Roman" w:hAnsi="Times New Roman" w:cs="Times New Roman"/>
      <w:i/>
      <w:color w:val="auto"/>
      <w:sz w:val="24"/>
      <w:szCs w:val="24"/>
      <w:highlight w:val="white"/>
      <w:u w:val="none"/>
    </w:rPr>
  </w:style>
  <w:style w:type="character" w:customStyle="1" w:styleId="BalloonTextChar">
    <w:name w:val="Balloon Text Char"/>
    <w:basedOn w:val="DefaultParagraphFont"/>
    <w:link w:val="BalloonText"/>
    <w:uiPriority w:val="99"/>
    <w:semiHidden/>
    <w:qFormat/>
    <w:rsid w:val="00496118"/>
    <w:rPr>
      <w:rFonts w:ascii="Segoe UI" w:eastAsia="Calibri" w:hAnsi="Segoe UI" w:cs="Segoe UI"/>
      <w:sz w:val="18"/>
      <w:szCs w:val="18"/>
      <w:lang w:eastAsia="lv-LV" w:bidi="lv-LV"/>
    </w:rPr>
  </w:style>
  <w:style w:type="character" w:customStyle="1" w:styleId="ListLabel41">
    <w:name w:val="ListLabel 41"/>
    <w:qFormat/>
    <w:rPr>
      <w:rFonts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eastAsia="Calibri" w:hAnsi="Times New Roman" w:cs="Times New Roman"/>
      <w:sz w:val="24"/>
    </w:rPr>
  </w:style>
  <w:style w:type="character" w:customStyle="1" w:styleId="ListLabel51">
    <w:name w:val="ListLabel 51"/>
    <w:qFormat/>
    <w:rPr>
      <w:b/>
      <w:sz w:val="24"/>
    </w:rPr>
  </w:style>
  <w:style w:type="character" w:customStyle="1" w:styleId="ListLabel52">
    <w:name w:val="ListLabel 52"/>
    <w:qFormat/>
    <w:rPr>
      <w:b/>
      <w:sz w:val="24"/>
    </w:rPr>
  </w:style>
  <w:style w:type="character" w:customStyle="1" w:styleId="ListLabel53">
    <w:name w:val="ListLabel 53"/>
    <w:qFormat/>
    <w:rPr>
      <w:i/>
      <w:color w:val="auto"/>
      <w:szCs w:val="24"/>
      <w:shd w:val="clear" w:color="auto" w:fill="FFFFFF"/>
    </w:rPr>
  </w:style>
  <w:style w:type="character" w:customStyle="1" w:styleId="ListLabel54">
    <w:name w:val="ListLabel 54"/>
    <w:qFormat/>
    <w:rPr>
      <w:color w:val="auto"/>
      <w:u w:val="none"/>
    </w:rPr>
  </w:style>
  <w:style w:type="character" w:customStyle="1" w:styleId="ListLabel55">
    <w:name w:val="ListLabel 55"/>
    <w:qFormat/>
  </w:style>
  <w:style w:type="character" w:customStyle="1" w:styleId="ListLabel56">
    <w:name w:val="ListLabel 56"/>
    <w:qFormat/>
    <w:rPr>
      <w:b/>
      <w:sz w:val="24"/>
    </w:rPr>
  </w:style>
  <w:style w:type="character" w:customStyle="1" w:styleId="ListLabel57">
    <w:name w:val="ListLabel 57"/>
    <w:qFormat/>
    <w:rPr>
      <w:rFonts w:cs="Symbol"/>
      <w:sz w:val="20"/>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eastAsia="Calibri" w:hAnsi="Times New Roman" w:cs="Times New Roman"/>
      <w:sz w:val="24"/>
    </w:rPr>
  </w:style>
  <w:style w:type="character" w:customStyle="1" w:styleId="ListLabel67">
    <w:name w:val="ListLabel 67"/>
    <w:qFormat/>
    <w:rPr>
      <w:b/>
      <w:sz w:val="24"/>
    </w:rPr>
  </w:style>
  <w:style w:type="character" w:customStyle="1" w:styleId="ListLabel68">
    <w:name w:val="ListLabel 68"/>
    <w:qFormat/>
    <w:rPr>
      <w:b/>
      <w:sz w:val="24"/>
    </w:rPr>
  </w:style>
  <w:style w:type="character" w:customStyle="1" w:styleId="ListLabel69">
    <w:name w:val="ListLabel 69"/>
    <w:qFormat/>
    <w:rPr>
      <w:i/>
      <w:color w:val="auto"/>
      <w:szCs w:val="24"/>
      <w:highlight w:val="white"/>
      <w:u w:val="none"/>
    </w:rPr>
  </w:style>
  <w:style w:type="character" w:customStyle="1" w:styleId="ListLabel70">
    <w:name w:val="ListLabel 70"/>
    <w:qFormat/>
    <w:rPr>
      <w:color w:val="auto"/>
      <w:u w:val="none"/>
    </w:rPr>
  </w:style>
  <w:style w:type="character" w:customStyle="1" w:styleId="ListLabel71">
    <w:name w:val="ListLabel 71"/>
    <w:qFormat/>
  </w:style>
  <w:style w:type="paragraph" w:customStyle="1" w:styleId="Virsraksts">
    <w:name w:val="Virsraksts"/>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Rdtjs">
    <w:name w:val="Rādītājs"/>
    <w:basedOn w:val="Normal"/>
    <w:qFormat/>
    <w:pPr>
      <w:suppressLineNumbers/>
    </w:pPr>
    <w:rPr>
      <w:rFonts w:cs="Mangal"/>
    </w:rPr>
  </w:style>
  <w:style w:type="paragraph" w:styleId="Header">
    <w:name w:val="header"/>
    <w:basedOn w:val="Normal"/>
    <w:link w:val="HeaderChar"/>
    <w:uiPriority w:val="99"/>
    <w:unhideWhenUsed/>
    <w:rsid w:val="0067412A"/>
    <w:pPr>
      <w:tabs>
        <w:tab w:val="center" w:pos="4513"/>
        <w:tab w:val="right" w:pos="9026"/>
      </w:tabs>
    </w:pPr>
  </w:style>
  <w:style w:type="paragraph" w:styleId="Footer">
    <w:name w:val="footer"/>
    <w:basedOn w:val="Normal"/>
    <w:link w:val="FooterChar"/>
    <w:uiPriority w:val="99"/>
    <w:unhideWhenUsed/>
    <w:rsid w:val="0067412A"/>
    <w:pPr>
      <w:tabs>
        <w:tab w:val="center" w:pos="4513"/>
        <w:tab w:val="right" w:pos="9026"/>
      </w:tabs>
    </w:pPr>
  </w:style>
  <w:style w:type="paragraph" w:styleId="ListParagraph">
    <w:name w:val="List Paragraph"/>
    <w:aliases w:val="2,Bullet list,H&amp;P List Paragraph,Normal bullet 2,Saraksta rindkopa1,Strip"/>
    <w:basedOn w:val="Normal"/>
    <w:link w:val="ListParagraphChar"/>
    <w:uiPriority w:val="34"/>
    <w:qFormat/>
    <w:rsid w:val="0067412A"/>
    <w:pPr>
      <w:ind w:left="1620"/>
      <w:contextualSpacing/>
    </w:pPr>
    <w:rPr>
      <w:rFonts w:ascii="Times New Roman" w:hAnsi="Times New Roman" w:cs="Times New Roman"/>
      <w:color w:val="808080"/>
    </w:rPr>
  </w:style>
  <w:style w:type="paragraph" w:customStyle="1" w:styleId="footnotetext1">
    <w:name w:val="footnote text1"/>
    <w:basedOn w:val="Normal"/>
    <w:unhideWhenUsed/>
    <w:qFormat/>
    <w:rsid w:val="0067412A"/>
    <w:pPr>
      <w:spacing w:after="240"/>
      <w:ind w:left="357" w:hanging="357"/>
    </w:pPr>
    <w:rPr>
      <w:rFonts w:ascii="Calibri" w:hAnsi="Calibri" w:cs="Mangal"/>
    </w:rPr>
  </w:style>
  <w:style w:type="paragraph" w:styleId="NormalWeb">
    <w:name w:val="Normal (Web)"/>
    <w:basedOn w:val="Normal"/>
    <w:uiPriority w:val="99"/>
    <w:unhideWhenUsed/>
    <w:qFormat/>
    <w:rsid w:val="0067412A"/>
    <w:pPr>
      <w:spacing w:beforeAutospacing="1" w:afterAutospacing="1"/>
    </w:pPr>
    <w:rPr>
      <w:rFonts w:ascii="Times New Roman" w:eastAsia="Times New Roman" w:hAnsi="Times New Roman" w:cs="Times New Roman"/>
      <w:sz w:val="24"/>
      <w:szCs w:val="24"/>
    </w:rPr>
  </w:style>
  <w:style w:type="paragraph" w:customStyle="1" w:styleId="NumPar1">
    <w:name w:val="NumPar 1"/>
    <w:basedOn w:val="Heading1"/>
    <w:next w:val="Normal"/>
    <w:qFormat/>
    <w:rsid w:val="0067412A"/>
    <w:pPr>
      <w:keepLines w:val="0"/>
      <w:tabs>
        <w:tab w:val="left" w:pos="480"/>
      </w:tabs>
      <w:spacing w:before="0"/>
      <w:ind w:left="480" w:right="-172" w:hanging="480"/>
    </w:pPr>
    <w:rPr>
      <w:b w:val="0"/>
      <w:bCs w:val="0"/>
      <w:szCs w:val="20"/>
    </w:rPr>
  </w:style>
  <w:style w:type="paragraph" w:customStyle="1" w:styleId="ListDash2">
    <w:name w:val="List Dash 2"/>
    <w:basedOn w:val="ListParagraph"/>
    <w:qFormat/>
    <w:rsid w:val="0067412A"/>
    <w:pPr>
      <w:spacing w:before="120" w:after="120"/>
    </w:pPr>
    <w:rPr>
      <w:rFonts w:eastAsia="Times New Roman"/>
      <w:color w:val="00000A"/>
      <w:sz w:val="24"/>
      <w:szCs w:val="24"/>
    </w:rPr>
  </w:style>
  <w:style w:type="paragraph" w:styleId="FootnoteText">
    <w:name w:val="footnote text"/>
    <w:aliases w:val="fn,Char Char,Footnote Text2,Footnote Text11,ALTS FOOTNOTE11,Footnote Text Char111,Footnote Text Char Char Char11,Footnote Text Char1 Char Char Char Char11,Footnote Text Char1 Char Char Char11,ALTS FOOTNOTE2,Footnote Text1,ft,footnote te"/>
    <w:basedOn w:val="Normal"/>
    <w:link w:val="FootnoteTextChar"/>
    <w:uiPriority w:val="99"/>
  </w:style>
  <w:style w:type="paragraph" w:customStyle="1" w:styleId="tv213">
    <w:name w:val="tv213"/>
    <w:basedOn w:val="Normal"/>
    <w:qFormat/>
    <w:rsid w:val="001D712E"/>
    <w:pPr>
      <w:spacing w:beforeAutospacing="1" w:afterAutospacing="1"/>
    </w:pPr>
    <w:rPr>
      <w:rFonts w:ascii="Times New Roman" w:hAnsi="Times New Roman" w:cs="Times New Roman"/>
      <w:sz w:val="24"/>
      <w:szCs w:val="24"/>
      <w:lang w:bidi="ar-SA"/>
    </w:rPr>
  </w:style>
  <w:style w:type="paragraph" w:customStyle="1" w:styleId="Normal1">
    <w:name w:val="Normal1"/>
    <w:basedOn w:val="Normal"/>
    <w:qFormat/>
    <w:rsid w:val="00EA73C7"/>
    <w:pPr>
      <w:spacing w:beforeAutospacing="1" w:afterAutospacing="1"/>
    </w:pPr>
    <w:rPr>
      <w:rFonts w:ascii="Times New Roman" w:eastAsia="Times New Roman" w:hAnsi="Times New Roman" w:cs="Times New Roman"/>
      <w:sz w:val="24"/>
      <w:szCs w:val="24"/>
      <w:lang w:bidi="ar-SA"/>
    </w:rPr>
  </w:style>
  <w:style w:type="paragraph" w:customStyle="1" w:styleId="count">
    <w:name w:val="count"/>
    <w:basedOn w:val="Normal"/>
    <w:qFormat/>
    <w:rsid w:val="00EA73C7"/>
    <w:pPr>
      <w:spacing w:beforeAutospacing="1" w:afterAutospacing="1"/>
    </w:pPr>
    <w:rPr>
      <w:rFonts w:ascii="Times New Roman" w:eastAsia="Times New Roman" w:hAnsi="Times New Roman" w:cs="Times New Roman"/>
      <w:sz w:val="24"/>
      <w:szCs w:val="24"/>
      <w:lang w:bidi="ar-SA"/>
    </w:rPr>
  </w:style>
  <w:style w:type="paragraph" w:customStyle="1" w:styleId="Default">
    <w:name w:val="Default"/>
    <w:qFormat/>
    <w:rsid w:val="009A6918"/>
    <w:rPr>
      <w:rFonts w:eastAsia="Calibri" w:cs="Times New Roman"/>
      <w:color w:val="000000"/>
      <w:sz w:val="24"/>
      <w:szCs w:val="24"/>
    </w:rPr>
  </w:style>
  <w:style w:type="paragraph" w:customStyle="1" w:styleId="CM1">
    <w:name w:val="CM1"/>
    <w:basedOn w:val="Normal"/>
    <w:next w:val="Normal"/>
    <w:uiPriority w:val="99"/>
    <w:qFormat/>
    <w:rsid w:val="001B11FD"/>
    <w:rPr>
      <w:rFonts w:ascii="EUAlbertina" w:hAnsi="EUAlbertina" w:cs="Times New Roman"/>
      <w:sz w:val="24"/>
      <w:szCs w:val="24"/>
      <w:lang w:eastAsia="en-US" w:bidi="ar-SA"/>
    </w:rPr>
  </w:style>
  <w:style w:type="paragraph" w:customStyle="1" w:styleId="ti-art">
    <w:name w:val="ti-art"/>
    <w:basedOn w:val="Normal"/>
    <w:qFormat/>
    <w:rsid w:val="00B92482"/>
    <w:pPr>
      <w:spacing w:beforeAutospacing="1" w:afterAutospacing="1"/>
    </w:pPr>
    <w:rPr>
      <w:rFonts w:ascii="Times New Roman" w:eastAsia="Times New Roman" w:hAnsi="Times New Roman" w:cs="Times New Roman"/>
      <w:sz w:val="24"/>
      <w:szCs w:val="24"/>
      <w:lang w:bidi="ar-SA"/>
    </w:rPr>
  </w:style>
  <w:style w:type="paragraph" w:customStyle="1" w:styleId="sti-art">
    <w:name w:val="sti-art"/>
    <w:basedOn w:val="Normal"/>
    <w:qFormat/>
    <w:rsid w:val="00B92482"/>
    <w:pPr>
      <w:spacing w:beforeAutospacing="1" w:afterAutospacing="1"/>
    </w:pPr>
    <w:rPr>
      <w:rFonts w:ascii="Times New Roman" w:eastAsia="Times New Roman" w:hAnsi="Times New Roman" w:cs="Times New Roman"/>
      <w:sz w:val="24"/>
      <w:szCs w:val="24"/>
      <w:lang w:bidi="ar-SA"/>
    </w:rPr>
  </w:style>
  <w:style w:type="paragraph" w:customStyle="1" w:styleId="Normal2">
    <w:name w:val="Normal2"/>
    <w:basedOn w:val="Normal"/>
    <w:qFormat/>
    <w:rsid w:val="00B92482"/>
    <w:pPr>
      <w:spacing w:beforeAutospacing="1" w:afterAutospacing="1"/>
    </w:pPr>
    <w:rPr>
      <w:rFonts w:ascii="Times New Roman" w:eastAsia="Times New Roman" w:hAnsi="Times New Roman" w:cs="Times New Roman"/>
      <w:sz w:val="24"/>
      <w:szCs w:val="24"/>
      <w:lang w:bidi="ar-SA"/>
    </w:rPr>
  </w:style>
  <w:style w:type="paragraph" w:customStyle="1" w:styleId="CM4">
    <w:name w:val="CM4"/>
    <w:basedOn w:val="Default"/>
    <w:next w:val="Default"/>
    <w:uiPriority w:val="99"/>
    <w:qFormat/>
    <w:rsid w:val="00784FB6"/>
    <w:rPr>
      <w:rFonts w:ascii="EUAlbertina" w:hAnsi="EUAlbertina" w:cstheme="minorBidi"/>
      <w:color w:val="auto"/>
    </w:rPr>
  </w:style>
  <w:style w:type="paragraph" w:styleId="BalloonText">
    <w:name w:val="Balloon Text"/>
    <w:basedOn w:val="Normal"/>
    <w:link w:val="BalloonTextChar"/>
    <w:uiPriority w:val="99"/>
    <w:semiHidden/>
    <w:unhideWhenUsed/>
    <w:qFormat/>
    <w:rsid w:val="00496118"/>
    <w:rPr>
      <w:rFonts w:ascii="Segoe UI" w:hAnsi="Segoe UI" w:cs="Segoe UI"/>
      <w:sz w:val="18"/>
      <w:szCs w:val="18"/>
    </w:rPr>
  </w:style>
  <w:style w:type="table" w:customStyle="1" w:styleId="TableGrid1">
    <w:name w:val="Table Grid1"/>
    <w:basedOn w:val="TableNormal"/>
    <w:uiPriority w:val="39"/>
    <w:rsid w:val="002B35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B3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C422F"/>
    <w:rPr>
      <w:vertAlign w:val="superscript"/>
    </w:rPr>
  </w:style>
  <w:style w:type="character" w:customStyle="1" w:styleId="ListParagraphChar">
    <w:name w:val="List Paragraph Char"/>
    <w:aliases w:val="2 Char,Bullet list Char,H&amp;P List Paragraph Char,Normal bullet 2 Char,Saraksta rindkopa1 Char,Strip Char"/>
    <w:link w:val="ListParagraph"/>
    <w:uiPriority w:val="34"/>
    <w:qFormat/>
    <w:rsid w:val="00CE18CA"/>
    <w:rPr>
      <w:rFonts w:eastAsia="Calibri" w:cs="Times New Roman"/>
      <w:color w:val="808080"/>
      <w:sz w:val="22"/>
      <w:lang w:eastAsia="lv-LV" w:bidi="lv-LV"/>
    </w:rPr>
  </w:style>
  <w:style w:type="paragraph" w:customStyle="1" w:styleId="c02alineaalta">
    <w:name w:val="c02alineaalta"/>
    <w:basedOn w:val="Normal"/>
    <w:rsid w:val="00626099"/>
    <w:pPr>
      <w:spacing w:before="100" w:beforeAutospacing="1" w:after="100" w:afterAutospacing="1"/>
      <w:jc w:val="lef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CD797D"/>
    <w:rPr>
      <w:sz w:val="18"/>
      <w:szCs w:val="18"/>
    </w:rPr>
  </w:style>
  <w:style w:type="paragraph" w:styleId="CommentText">
    <w:name w:val="annotation text"/>
    <w:basedOn w:val="Normal"/>
    <w:link w:val="CommentTextChar"/>
    <w:uiPriority w:val="99"/>
    <w:unhideWhenUsed/>
    <w:rsid w:val="00CD797D"/>
    <w:rPr>
      <w:sz w:val="24"/>
      <w:szCs w:val="24"/>
    </w:rPr>
  </w:style>
  <w:style w:type="character" w:customStyle="1" w:styleId="CommentTextChar">
    <w:name w:val="Comment Text Char"/>
    <w:basedOn w:val="DefaultParagraphFont"/>
    <w:link w:val="CommentText"/>
    <w:uiPriority w:val="99"/>
    <w:rsid w:val="00CD797D"/>
    <w:rPr>
      <w:rFonts w:asciiTheme="minorHAnsi" w:eastAsia="Calibri" w:hAnsiTheme="minorHAnsi"/>
      <w:sz w:val="24"/>
      <w:szCs w:val="24"/>
      <w:lang w:eastAsia="lv-LV" w:bidi="lv-LV"/>
    </w:rPr>
  </w:style>
  <w:style w:type="paragraph" w:styleId="CommentSubject">
    <w:name w:val="annotation subject"/>
    <w:basedOn w:val="CommentText"/>
    <w:next w:val="CommentText"/>
    <w:link w:val="CommentSubjectChar"/>
    <w:uiPriority w:val="99"/>
    <w:semiHidden/>
    <w:unhideWhenUsed/>
    <w:rsid w:val="00CD797D"/>
    <w:rPr>
      <w:b/>
      <w:bCs/>
      <w:sz w:val="20"/>
      <w:szCs w:val="20"/>
    </w:rPr>
  </w:style>
  <w:style w:type="character" w:customStyle="1" w:styleId="CommentSubjectChar">
    <w:name w:val="Comment Subject Char"/>
    <w:basedOn w:val="CommentTextChar"/>
    <w:link w:val="CommentSubject"/>
    <w:uiPriority w:val="99"/>
    <w:semiHidden/>
    <w:rsid w:val="00CD797D"/>
    <w:rPr>
      <w:rFonts w:asciiTheme="minorHAnsi" w:eastAsia="Calibri" w:hAnsiTheme="minorHAnsi"/>
      <w:b/>
      <w:bCs/>
      <w:sz w:val="24"/>
      <w:szCs w:val="20"/>
      <w:lang w:eastAsia="lv-LV" w:bidi="lv-LV"/>
    </w:rPr>
  </w:style>
  <w:style w:type="character" w:styleId="Hyperlink">
    <w:name w:val="Hyperlink"/>
    <w:basedOn w:val="DefaultParagraphFont"/>
    <w:uiPriority w:val="99"/>
    <w:unhideWhenUsed/>
    <w:rsid w:val="007424A1"/>
    <w:rPr>
      <w:color w:val="0563C1"/>
      <w:u w:val="single"/>
    </w:rPr>
  </w:style>
  <w:style w:type="character" w:customStyle="1" w:styleId="cf01">
    <w:name w:val="cf01"/>
    <w:basedOn w:val="DefaultParagraphFont"/>
    <w:rsid w:val="00C22968"/>
    <w:rPr>
      <w:rFonts w:ascii="Segoe UI" w:hAnsi="Segoe UI" w:cs="Segoe UI" w:hint="default"/>
      <w:sz w:val="18"/>
      <w:szCs w:val="18"/>
      <w:u w:val="single"/>
    </w:rPr>
  </w:style>
  <w:style w:type="character" w:customStyle="1" w:styleId="cf11">
    <w:name w:val="cf11"/>
    <w:basedOn w:val="DefaultParagraphFont"/>
    <w:rsid w:val="00C22968"/>
    <w:rPr>
      <w:rFonts w:ascii="Segoe UI" w:hAnsi="Segoe UI" w:cs="Segoe UI" w:hint="default"/>
      <w:sz w:val="18"/>
      <w:szCs w:val="18"/>
    </w:rPr>
  </w:style>
  <w:style w:type="paragraph" w:styleId="Revision">
    <w:name w:val="Revision"/>
    <w:hidden/>
    <w:uiPriority w:val="99"/>
    <w:semiHidden/>
    <w:rsid w:val="00C4144E"/>
    <w:pPr>
      <w:jc w:val="left"/>
    </w:pPr>
    <w:rPr>
      <w:rFonts w:asciiTheme="minorHAnsi" w:eastAsia="Calibri" w:hAnsiTheme="minorHAnsi"/>
      <w:sz w:val="22"/>
      <w:lang w:eastAsia="lv-LV" w:bidi="lv-LV"/>
    </w:rPr>
  </w:style>
  <w:style w:type="character" w:customStyle="1" w:styleId="UnresolvedMention1">
    <w:name w:val="Unresolved Mention1"/>
    <w:basedOn w:val="DefaultParagraphFont"/>
    <w:uiPriority w:val="99"/>
    <w:semiHidden/>
    <w:unhideWhenUsed/>
    <w:rsid w:val="0077160B"/>
    <w:rPr>
      <w:color w:val="605E5C"/>
      <w:shd w:val="clear" w:color="auto" w:fill="E1DFDD"/>
    </w:rPr>
  </w:style>
  <w:style w:type="character" w:styleId="UnresolvedMention">
    <w:name w:val="Unresolved Mention"/>
    <w:basedOn w:val="DefaultParagraphFont"/>
    <w:uiPriority w:val="99"/>
    <w:rsid w:val="00B3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26124">
      <w:bodyDiv w:val="1"/>
      <w:marLeft w:val="0"/>
      <w:marRight w:val="0"/>
      <w:marTop w:val="0"/>
      <w:marBottom w:val="0"/>
      <w:divBdr>
        <w:top w:val="none" w:sz="0" w:space="0" w:color="auto"/>
        <w:left w:val="none" w:sz="0" w:space="0" w:color="auto"/>
        <w:bottom w:val="none" w:sz="0" w:space="0" w:color="auto"/>
        <w:right w:val="none" w:sz="0" w:space="0" w:color="auto"/>
      </w:divBdr>
    </w:div>
    <w:div w:id="349651794">
      <w:bodyDiv w:val="1"/>
      <w:marLeft w:val="0"/>
      <w:marRight w:val="0"/>
      <w:marTop w:val="0"/>
      <w:marBottom w:val="0"/>
      <w:divBdr>
        <w:top w:val="none" w:sz="0" w:space="0" w:color="auto"/>
        <w:left w:val="none" w:sz="0" w:space="0" w:color="auto"/>
        <w:bottom w:val="none" w:sz="0" w:space="0" w:color="auto"/>
        <w:right w:val="none" w:sz="0" w:space="0" w:color="auto"/>
      </w:divBdr>
    </w:div>
    <w:div w:id="652490975">
      <w:bodyDiv w:val="1"/>
      <w:marLeft w:val="0"/>
      <w:marRight w:val="0"/>
      <w:marTop w:val="0"/>
      <w:marBottom w:val="0"/>
      <w:divBdr>
        <w:top w:val="none" w:sz="0" w:space="0" w:color="auto"/>
        <w:left w:val="none" w:sz="0" w:space="0" w:color="auto"/>
        <w:bottom w:val="none" w:sz="0" w:space="0" w:color="auto"/>
        <w:right w:val="none" w:sz="0" w:space="0" w:color="auto"/>
      </w:divBdr>
    </w:div>
    <w:div w:id="652561856">
      <w:bodyDiv w:val="1"/>
      <w:marLeft w:val="0"/>
      <w:marRight w:val="0"/>
      <w:marTop w:val="0"/>
      <w:marBottom w:val="0"/>
      <w:divBdr>
        <w:top w:val="none" w:sz="0" w:space="0" w:color="auto"/>
        <w:left w:val="none" w:sz="0" w:space="0" w:color="auto"/>
        <w:bottom w:val="none" w:sz="0" w:space="0" w:color="auto"/>
        <w:right w:val="none" w:sz="0" w:space="0" w:color="auto"/>
      </w:divBdr>
    </w:div>
    <w:div w:id="774399664">
      <w:bodyDiv w:val="1"/>
      <w:marLeft w:val="0"/>
      <w:marRight w:val="0"/>
      <w:marTop w:val="0"/>
      <w:marBottom w:val="0"/>
      <w:divBdr>
        <w:top w:val="none" w:sz="0" w:space="0" w:color="auto"/>
        <w:left w:val="none" w:sz="0" w:space="0" w:color="auto"/>
        <w:bottom w:val="none" w:sz="0" w:space="0" w:color="auto"/>
        <w:right w:val="none" w:sz="0" w:space="0" w:color="auto"/>
      </w:divBdr>
    </w:div>
    <w:div w:id="1197960039">
      <w:bodyDiv w:val="1"/>
      <w:marLeft w:val="0"/>
      <w:marRight w:val="0"/>
      <w:marTop w:val="0"/>
      <w:marBottom w:val="0"/>
      <w:divBdr>
        <w:top w:val="none" w:sz="0" w:space="0" w:color="auto"/>
        <w:left w:val="none" w:sz="0" w:space="0" w:color="auto"/>
        <w:bottom w:val="none" w:sz="0" w:space="0" w:color="auto"/>
        <w:right w:val="none" w:sz="0" w:space="0" w:color="auto"/>
      </w:divBdr>
    </w:div>
    <w:div w:id="1264800819">
      <w:bodyDiv w:val="1"/>
      <w:marLeft w:val="0"/>
      <w:marRight w:val="0"/>
      <w:marTop w:val="0"/>
      <w:marBottom w:val="0"/>
      <w:divBdr>
        <w:top w:val="none" w:sz="0" w:space="0" w:color="auto"/>
        <w:left w:val="none" w:sz="0" w:space="0" w:color="auto"/>
        <w:bottom w:val="none" w:sz="0" w:space="0" w:color="auto"/>
        <w:right w:val="none" w:sz="0" w:space="0" w:color="auto"/>
      </w:divBdr>
    </w:div>
    <w:div w:id="1447576358">
      <w:bodyDiv w:val="1"/>
      <w:marLeft w:val="0"/>
      <w:marRight w:val="0"/>
      <w:marTop w:val="0"/>
      <w:marBottom w:val="0"/>
      <w:divBdr>
        <w:top w:val="none" w:sz="0" w:space="0" w:color="auto"/>
        <w:left w:val="none" w:sz="0" w:space="0" w:color="auto"/>
        <w:bottom w:val="none" w:sz="0" w:space="0" w:color="auto"/>
        <w:right w:val="none" w:sz="0" w:space="0" w:color="auto"/>
      </w:divBdr>
    </w:div>
    <w:div w:id="1491360305">
      <w:bodyDiv w:val="1"/>
      <w:marLeft w:val="0"/>
      <w:marRight w:val="0"/>
      <w:marTop w:val="0"/>
      <w:marBottom w:val="0"/>
      <w:divBdr>
        <w:top w:val="none" w:sz="0" w:space="0" w:color="auto"/>
        <w:left w:val="none" w:sz="0" w:space="0" w:color="auto"/>
        <w:bottom w:val="none" w:sz="0" w:space="0" w:color="auto"/>
        <w:right w:val="none" w:sz="0" w:space="0" w:color="auto"/>
      </w:divBdr>
    </w:div>
    <w:div w:id="1679237946">
      <w:bodyDiv w:val="1"/>
      <w:marLeft w:val="0"/>
      <w:marRight w:val="0"/>
      <w:marTop w:val="0"/>
      <w:marBottom w:val="0"/>
      <w:divBdr>
        <w:top w:val="none" w:sz="0" w:space="0" w:color="auto"/>
        <w:left w:val="none" w:sz="0" w:space="0" w:color="auto"/>
        <w:bottom w:val="none" w:sz="0" w:space="0" w:color="auto"/>
        <w:right w:val="none" w:sz="0" w:space="0" w:color="auto"/>
      </w:divBdr>
    </w:div>
    <w:div w:id="1818449330">
      <w:bodyDiv w:val="1"/>
      <w:marLeft w:val="0"/>
      <w:marRight w:val="0"/>
      <w:marTop w:val="0"/>
      <w:marBottom w:val="0"/>
      <w:divBdr>
        <w:top w:val="none" w:sz="0" w:space="0" w:color="auto"/>
        <w:left w:val="none" w:sz="0" w:space="0" w:color="auto"/>
        <w:bottom w:val="none" w:sz="0" w:space="0" w:color="auto"/>
        <w:right w:val="none" w:sz="0" w:space="0" w:color="auto"/>
      </w:divBdr>
    </w:div>
    <w:div w:id="2098137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query.html?DN=62005T?0415&amp;locale=LV" TargetMode="External"/><Relationship Id="rId13" Type="http://schemas.openxmlformats.org/officeDocument/2006/relationships/hyperlink" Target="https://likumi.lv/ta/id/2901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90128" TargetMode="External"/><Relationship Id="rId17" Type="http://schemas.openxmlformats.org/officeDocument/2006/relationships/image" Target="media/image3.sv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5/1589/oj/?loca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LV/TXT/PDF/?uri=OJ:C:2019:247:FULL&amp;from=EN" TargetMode="External"/><Relationship Id="rId14" Type="http://schemas.openxmlformats.org/officeDocument/2006/relationships/hyperlink" Target="http://eur-lex.europa.eu/eli/reg/2004/794/oj/?locale=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state_aid/legislation/base_rates2018_12_en.pdf" TargetMode="External"/><Relationship Id="rId3" Type="http://schemas.openxmlformats.org/officeDocument/2006/relationships/hyperlink" Target="file:///C:\Users\ka-kreic\AppData\Local\Microsoft\Windows\INetCache\Content.Outlook\8WZWXMKB\CourtTab" TargetMode="External"/><Relationship Id="rId7" Type="http://schemas.openxmlformats.org/officeDocument/2006/relationships/hyperlink" Target="http://eur-lex.europa.eu/legal-content/EN/TXT/?uri=uriserv:OJ.L_.2015.248.01.0009.01.ENG" TargetMode="External"/><Relationship Id="rId2" Type="http://schemas.openxmlformats.org/officeDocument/2006/relationships/hyperlink" Target="http://eur-lex.europa.eu/legal-content/EN/TXT/?uri=uriserv:OJ.L_.2015.248.01.0009.01.ENG" TargetMode="External"/><Relationship Id="rId1" Type="http://schemas.openxmlformats.org/officeDocument/2006/relationships/hyperlink" Target="https://fm.gov.lv/files/files/06.10.2016%20preciz%20FINAL%20Valsts%20atbalsta%20VADLINIJAS.pdf" TargetMode="External"/><Relationship Id="rId6" Type="http://schemas.openxmlformats.org/officeDocument/2006/relationships/hyperlink" Target="file:///C:\Users\ka-kreic\AppData\Local\Microsoft\Windows\INetCache\Content.Outlook\8WZWXMKB\CourtTab" TargetMode="External"/><Relationship Id="rId5" Type="http://schemas.openxmlformats.org/officeDocument/2006/relationships/hyperlink" Target="https://eur-lex.europa.eu/legal-content/LV/AUTO/?uri=ecli:ECLI%3AEU%3AC%3A2005%3A774&amp;locale=lv" TargetMode="External"/><Relationship Id="rId4" Type="http://schemas.openxmlformats.org/officeDocument/2006/relationships/hyperlink" Target="file:///C:\Users\ka-kreic\AppData\Local\Microsoft\Windows\INetCache\Content.Outlook\8WZWXMKB\CourtTab" TargetMode="External"/><Relationship Id="rId9" Type="http://schemas.openxmlformats.org/officeDocument/2006/relationships/hyperlink" Target="https://ec.europa.eu/competition-policy/state-aid/legislation/reference-discount-rates-and-recovery-interest-rates/reference-and-discount-rat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06417-754D-7C4F-B307-6F6CA3ED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38524</Words>
  <Characters>21959</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 KAKD</dc:creator>
  <cp:keywords/>
  <dc:description/>
  <cp:lastModifiedBy>FM KAKD</cp:lastModifiedBy>
  <cp:revision>4</cp:revision>
  <dcterms:created xsi:type="dcterms:W3CDTF">2023-04-04T07:36:00Z</dcterms:created>
  <dcterms:modified xsi:type="dcterms:W3CDTF">2023-04-04T07:48:00Z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