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DE6A6" w14:textId="77777777" w:rsidR="004B008D" w:rsidRPr="00BF0B1B" w:rsidRDefault="00947957" w:rsidP="0046225A">
      <w:pPr>
        <w:pStyle w:val="naiskr"/>
        <w:spacing w:before="0" w:after="0"/>
        <w:jc w:val="center"/>
        <w:rPr>
          <w:b/>
          <w:sz w:val="28"/>
          <w:szCs w:val="28"/>
        </w:rPr>
      </w:pPr>
      <w:bookmarkStart w:id="0" w:name="_GoBack"/>
      <w:bookmarkEnd w:id="0"/>
      <w:r w:rsidRPr="00BF0B1B">
        <w:rPr>
          <w:b/>
          <w:sz w:val="28"/>
          <w:szCs w:val="28"/>
        </w:rPr>
        <w:t xml:space="preserve">Likumprojekta "Grozījumi Komercdarbības atbalsta kontroles likumā" </w:t>
      </w:r>
      <w:r w:rsidR="004B008D" w:rsidRPr="00BF0B1B">
        <w:rPr>
          <w:b/>
          <w:sz w:val="28"/>
          <w:szCs w:val="28"/>
        </w:rPr>
        <w:t xml:space="preserve">sākotnējās ietekmes novērtējuma </w:t>
      </w:r>
      <w:smartTag w:uri="schemas-tilde-lv/tildestengine" w:element="veidnes">
        <w:smartTagPr>
          <w:attr w:name="text" w:val="ziņojums"/>
          <w:attr w:name="baseform" w:val="ziņojums"/>
          <w:attr w:name="id" w:val="-1"/>
        </w:smartTagPr>
        <w:r w:rsidR="004B008D" w:rsidRPr="00BF0B1B">
          <w:rPr>
            <w:b/>
            <w:sz w:val="28"/>
            <w:szCs w:val="28"/>
          </w:rPr>
          <w:t>ziņojums</w:t>
        </w:r>
      </w:smartTag>
      <w:r w:rsidR="004B008D" w:rsidRPr="00BF0B1B">
        <w:rPr>
          <w:b/>
          <w:sz w:val="28"/>
          <w:szCs w:val="28"/>
        </w:rPr>
        <w:t xml:space="preserve"> (anotācija)</w:t>
      </w:r>
    </w:p>
    <w:p w14:paraId="677665F7" w14:textId="77777777" w:rsidR="00E5323B" w:rsidRPr="00BF0B1B" w:rsidRDefault="00E5323B" w:rsidP="0046225A">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87B19" w:rsidRPr="00BF0B1B" w14:paraId="630A236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3291A4"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Tiesību akta projekta anotācijas kopsavilkums</w:t>
            </w:r>
          </w:p>
        </w:tc>
      </w:tr>
      <w:tr w:rsidR="006F1E1B" w:rsidRPr="00BF0B1B" w14:paraId="7FF9F005" w14:textId="77777777" w:rsidTr="006F1E1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6FD3D07" w14:textId="77777777" w:rsidR="006F1E1B" w:rsidRPr="00BF0B1B" w:rsidRDefault="006F1E1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0C1AECC5" w14:textId="3C32A0BD" w:rsidR="006F1E1B" w:rsidRPr="00BF0B1B" w:rsidRDefault="00947957" w:rsidP="00355C7B">
            <w:pPr>
              <w:pStyle w:val="ListParagraph"/>
              <w:ind w:left="0"/>
              <w:jc w:val="both"/>
              <w:rPr>
                <w:rFonts w:eastAsia="Calibri"/>
                <w:bCs/>
                <w:color w:val="000000" w:themeColor="text1"/>
                <w:sz w:val="24"/>
                <w:szCs w:val="24"/>
              </w:rPr>
            </w:pPr>
            <w:r w:rsidRPr="00BF0B1B">
              <w:rPr>
                <w:color w:val="000000" w:themeColor="text1"/>
                <w:sz w:val="24"/>
                <w:szCs w:val="24"/>
              </w:rPr>
              <w:t>Likumprojekta “Grozījumi Komercdarbības atbalsta kontroles likumā” (turpmāk – likumprojekts) mērķis ir nodrošināt komercdarbības atbalsta kontroli atbilstoši aktuālajam Eiropas Savienības normatīvajam regulējumam un Eiropas Savienības Tiesas atziņām komercdarbības atbalsta kontroles jomā nacionālajā līmenī. Mērķis sasniedzams ar grozījumu Komercdarbības atbalsta kontroles likumā</w:t>
            </w:r>
            <w:r w:rsidR="00BF0B1B">
              <w:rPr>
                <w:color w:val="000000" w:themeColor="text1"/>
                <w:sz w:val="24"/>
                <w:szCs w:val="24"/>
              </w:rPr>
              <w:t xml:space="preserve"> (turpmāk – KAKL)</w:t>
            </w:r>
            <w:r w:rsidRPr="00BF0B1B">
              <w:rPr>
                <w:color w:val="000000" w:themeColor="text1"/>
                <w:sz w:val="24"/>
                <w:szCs w:val="24"/>
              </w:rPr>
              <w:t xml:space="preserve"> veikšanu un jaunu normu papildināšanu. </w:t>
            </w:r>
            <w:r w:rsidR="00556118">
              <w:rPr>
                <w:color w:val="000000" w:themeColor="text1"/>
                <w:sz w:val="24"/>
                <w:szCs w:val="24"/>
              </w:rPr>
              <w:t>Likumprojekts stāsies spēkā vispārējā kārtībā.</w:t>
            </w:r>
          </w:p>
        </w:tc>
      </w:tr>
    </w:tbl>
    <w:p w14:paraId="3279E155"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3C9A7F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C65AEA"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 Tiesību akta projekta izstrādes nepieciešamība</w:t>
            </w:r>
          </w:p>
        </w:tc>
      </w:tr>
      <w:tr w:rsidR="00287B19" w:rsidRPr="00BF0B1B" w14:paraId="67DBAD5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0AD5DA"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0BAB1A9"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53E7358" w14:textId="77777777" w:rsidR="00E5323B" w:rsidRPr="00BF0B1B" w:rsidRDefault="00BF0B1B" w:rsidP="0046225A">
            <w:pPr>
              <w:pStyle w:val="naiskr"/>
              <w:spacing w:before="0" w:after="0"/>
              <w:jc w:val="both"/>
              <w:rPr>
                <w:iCs/>
              </w:rPr>
            </w:pPr>
            <w:r w:rsidRPr="00BF0B1B">
              <w:rPr>
                <w:iCs/>
              </w:rPr>
              <w:t>Likumprojekts</w:t>
            </w:r>
            <w:r>
              <w:rPr>
                <w:iCs/>
              </w:rPr>
              <w:t xml:space="preserve"> izstrādāts pamatojoties uz nepieciešamību nodrošināt KAKL normu atbilstību aktuālajam Eiropas Savienības normatīvajam regulējumam un Eiropas Savienības Tiesas atziņām </w:t>
            </w:r>
            <w:r w:rsidR="006858AB">
              <w:t>2019.</w:t>
            </w:r>
            <w:r w:rsidR="00E206B4">
              <w:t xml:space="preserve"> </w:t>
            </w:r>
            <w:r w:rsidR="006858AB">
              <w:t>gada 5.</w:t>
            </w:r>
            <w:r w:rsidR="00E206B4">
              <w:t xml:space="preserve"> </w:t>
            </w:r>
            <w:r w:rsidR="006858AB">
              <w:t>marta spriedumā lietā Nr. C-349/17 (ECLI:EU:C:2019:172) (turpmāk – EST spriedums Nr. C-349/17)</w:t>
            </w:r>
            <w:r>
              <w:rPr>
                <w:iCs/>
              </w:rPr>
              <w:t>.</w:t>
            </w:r>
          </w:p>
        </w:tc>
      </w:tr>
      <w:tr w:rsidR="00287B19" w:rsidRPr="00BF0B1B" w14:paraId="2DEE4B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96C40A"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FEBAC1E" w14:textId="7842D3E8" w:rsidR="00505386"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60864CE" w14:textId="77777777" w:rsidR="00505386" w:rsidRPr="00505386" w:rsidRDefault="00505386" w:rsidP="007914F5">
            <w:pPr>
              <w:rPr>
                <w:rFonts w:ascii="Times New Roman" w:eastAsia="Times New Roman" w:hAnsi="Times New Roman" w:cs="Times New Roman"/>
                <w:sz w:val="24"/>
                <w:szCs w:val="24"/>
                <w:lang w:eastAsia="lv-LV"/>
              </w:rPr>
            </w:pPr>
          </w:p>
          <w:p w14:paraId="78A80B2F" w14:textId="77777777" w:rsidR="00505386" w:rsidRPr="00F7001B" w:rsidRDefault="00505386" w:rsidP="007914F5">
            <w:pPr>
              <w:rPr>
                <w:rFonts w:ascii="Times New Roman" w:eastAsia="Times New Roman" w:hAnsi="Times New Roman" w:cs="Times New Roman"/>
                <w:sz w:val="24"/>
                <w:szCs w:val="24"/>
                <w:lang w:eastAsia="lv-LV"/>
              </w:rPr>
            </w:pPr>
          </w:p>
          <w:p w14:paraId="6D4A695E" w14:textId="77777777" w:rsidR="00505386" w:rsidRPr="005D27B0" w:rsidRDefault="00505386" w:rsidP="007914F5">
            <w:pPr>
              <w:rPr>
                <w:rFonts w:ascii="Times New Roman" w:eastAsia="Times New Roman" w:hAnsi="Times New Roman" w:cs="Times New Roman"/>
                <w:sz w:val="24"/>
                <w:szCs w:val="24"/>
                <w:lang w:eastAsia="lv-LV"/>
              </w:rPr>
            </w:pPr>
          </w:p>
          <w:p w14:paraId="0B020D3E" w14:textId="77777777" w:rsidR="00505386" w:rsidRPr="00556118" w:rsidRDefault="00505386" w:rsidP="007914F5">
            <w:pPr>
              <w:rPr>
                <w:rFonts w:ascii="Times New Roman" w:eastAsia="Times New Roman" w:hAnsi="Times New Roman" w:cs="Times New Roman"/>
                <w:sz w:val="24"/>
                <w:szCs w:val="24"/>
                <w:lang w:eastAsia="lv-LV"/>
              </w:rPr>
            </w:pPr>
          </w:p>
          <w:p w14:paraId="10E4ED52" w14:textId="77777777" w:rsidR="00505386" w:rsidRPr="00556118" w:rsidRDefault="00505386" w:rsidP="007914F5">
            <w:pPr>
              <w:rPr>
                <w:rFonts w:ascii="Times New Roman" w:eastAsia="Times New Roman" w:hAnsi="Times New Roman" w:cs="Times New Roman"/>
                <w:sz w:val="24"/>
                <w:szCs w:val="24"/>
                <w:lang w:eastAsia="lv-LV"/>
              </w:rPr>
            </w:pPr>
          </w:p>
          <w:p w14:paraId="45753D96" w14:textId="77777777" w:rsidR="00505386" w:rsidRPr="00C21E81" w:rsidRDefault="00505386" w:rsidP="007914F5">
            <w:pPr>
              <w:rPr>
                <w:rFonts w:ascii="Times New Roman" w:eastAsia="Times New Roman" w:hAnsi="Times New Roman" w:cs="Times New Roman"/>
                <w:sz w:val="24"/>
                <w:szCs w:val="24"/>
                <w:lang w:eastAsia="lv-LV"/>
              </w:rPr>
            </w:pPr>
          </w:p>
          <w:p w14:paraId="50041179" w14:textId="77777777" w:rsidR="00505386" w:rsidRPr="00C21E81" w:rsidRDefault="00505386" w:rsidP="007914F5">
            <w:pPr>
              <w:rPr>
                <w:rFonts w:ascii="Times New Roman" w:eastAsia="Times New Roman" w:hAnsi="Times New Roman" w:cs="Times New Roman"/>
                <w:sz w:val="24"/>
                <w:szCs w:val="24"/>
                <w:lang w:eastAsia="lv-LV"/>
              </w:rPr>
            </w:pPr>
          </w:p>
          <w:p w14:paraId="1113CFCB" w14:textId="77777777" w:rsidR="00505386" w:rsidRPr="0096441C" w:rsidRDefault="00505386" w:rsidP="007914F5">
            <w:pPr>
              <w:rPr>
                <w:rFonts w:ascii="Times New Roman" w:eastAsia="Times New Roman" w:hAnsi="Times New Roman" w:cs="Times New Roman"/>
                <w:sz w:val="24"/>
                <w:szCs w:val="24"/>
                <w:lang w:eastAsia="lv-LV"/>
              </w:rPr>
            </w:pPr>
          </w:p>
          <w:p w14:paraId="5B8EB14C" w14:textId="77777777" w:rsidR="00505386" w:rsidRPr="004A2919" w:rsidRDefault="00505386" w:rsidP="007914F5">
            <w:pPr>
              <w:rPr>
                <w:rFonts w:ascii="Times New Roman" w:eastAsia="Times New Roman" w:hAnsi="Times New Roman" w:cs="Times New Roman"/>
                <w:sz w:val="24"/>
                <w:szCs w:val="24"/>
                <w:lang w:eastAsia="lv-LV"/>
              </w:rPr>
            </w:pPr>
          </w:p>
          <w:p w14:paraId="59706FC3" w14:textId="77777777" w:rsidR="00505386" w:rsidRPr="00D15A00" w:rsidRDefault="00505386" w:rsidP="007914F5">
            <w:pPr>
              <w:rPr>
                <w:rFonts w:ascii="Times New Roman" w:eastAsia="Times New Roman" w:hAnsi="Times New Roman" w:cs="Times New Roman"/>
                <w:sz w:val="24"/>
                <w:szCs w:val="24"/>
                <w:lang w:eastAsia="lv-LV"/>
              </w:rPr>
            </w:pPr>
          </w:p>
          <w:p w14:paraId="482F8986" w14:textId="77777777" w:rsidR="00505386" w:rsidRPr="00CF34BE" w:rsidRDefault="00505386" w:rsidP="007914F5">
            <w:pPr>
              <w:rPr>
                <w:rFonts w:ascii="Times New Roman" w:eastAsia="Times New Roman" w:hAnsi="Times New Roman" w:cs="Times New Roman"/>
                <w:sz w:val="24"/>
                <w:szCs w:val="24"/>
                <w:lang w:eastAsia="lv-LV"/>
              </w:rPr>
            </w:pPr>
          </w:p>
          <w:p w14:paraId="56B49D8C" w14:textId="77777777" w:rsidR="00505386" w:rsidRPr="00AD0202" w:rsidRDefault="00505386" w:rsidP="007914F5">
            <w:pPr>
              <w:rPr>
                <w:rFonts w:ascii="Times New Roman" w:eastAsia="Times New Roman" w:hAnsi="Times New Roman" w:cs="Times New Roman"/>
                <w:sz w:val="24"/>
                <w:szCs w:val="24"/>
                <w:lang w:eastAsia="lv-LV"/>
              </w:rPr>
            </w:pPr>
          </w:p>
          <w:p w14:paraId="0B798401" w14:textId="77777777" w:rsidR="00505386" w:rsidRPr="007914F5" w:rsidRDefault="00505386" w:rsidP="007914F5">
            <w:pPr>
              <w:rPr>
                <w:rFonts w:ascii="Times New Roman" w:eastAsia="Times New Roman" w:hAnsi="Times New Roman" w:cs="Times New Roman"/>
                <w:sz w:val="24"/>
                <w:szCs w:val="24"/>
                <w:lang w:eastAsia="lv-LV"/>
              </w:rPr>
            </w:pPr>
          </w:p>
          <w:p w14:paraId="36C867AA" w14:textId="6A0CE351" w:rsidR="00E5323B" w:rsidRPr="007914F5" w:rsidRDefault="00E5323B" w:rsidP="007914F5">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4F36D7BC" w14:textId="0BB56EA6" w:rsidR="006858AB" w:rsidRPr="007914F5" w:rsidRDefault="00E91901" w:rsidP="0046225A">
            <w:pPr>
              <w:spacing w:after="0" w:line="240" w:lineRule="auto"/>
              <w:jc w:val="both"/>
              <w:rPr>
                <w:rFonts w:ascii="Times New Roman" w:hAnsi="Times New Roman" w:cs="Times New Roman"/>
                <w:bCs/>
                <w:sz w:val="24"/>
                <w:szCs w:val="24"/>
              </w:rPr>
            </w:pPr>
            <w:r w:rsidRPr="00F750D4">
              <w:rPr>
                <w:rFonts w:ascii="Times New Roman" w:hAnsi="Times New Roman" w:cs="Times New Roman"/>
                <w:b/>
                <w:bCs/>
                <w:sz w:val="24"/>
                <w:szCs w:val="24"/>
              </w:rPr>
              <w:lastRenderedPageBreak/>
              <w:t xml:space="preserve">Ņemot vērā </w:t>
            </w:r>
            <w:r w:rsidR="00312F0B">
              <w:rPr>
                <w:rFonts w:ascii="Times New Roman" w:hAnsi="Times New Roman" w:cs="Times New Roman"/>
                <w:b/>
                <w:bCs/>
                <w:sz w:val="24"/>
                <w:szCs w:val="24"/>
              </w:rPr>
              <w:t>EST spriedumā</w:t>
            </w:r>
            <w:r w:rsidR="006858AB" w:rsidRPr="00F750D4">
              <w:rPr>
                <w:rFonts w:ascii="Times New Roman" w:hAnsi="Times New Roman" w:cs="Times New Roman"/>
                <w:b/>
                <w:bCs/>
                <w:sz w:val="24"/>
                <w:szCs w:val="24"/>
              </w:rPr>
              <w:t xml:space="preserve"> Nr. C-349/17</w:t>
            </w:r>
            <w:r w:rsidR="00312F0B">
              <w:rPr>
                <w:rFonts w:ascii="Times New Roman" w:hAnsi="Times New Roman" w:cs="Times New Roman"/>
                <w:b/>
                <w:bCs/>
                <w:sz w:val="24"/>
                <w:szCs w:val="24"/>
              </w:rPr>
              <w:t xml:space="preserve"> paustās</w:t>
            </w:r>
            <w:r w:rsidR="006858AB" w:rsidRPr="00F750D4">
              <w:rPr>
                <w:rFonts w:ascii="Times New Roman" w:hAnsi="Times New Roman" w:cs="Times New Roman"/>
                <w:b/>
                <w:bCs/>
                <w:sz w:val="24"/>
                <w:szCs w:val="24"/>
              </w:rPr>
              <w:t xml:space="preserve"> </w:t>
            </w:r>
            <w:r w:rsidRPr="00F750D4">
              <w:rPr>
                <w:rFonts w:ascii="Times New Roman" w:hAnsi="Times New Roman" w:cs="Times New Roman"/>
                <w:b/>
                <w:bCs/>
                <w:sz w:val="24"/>
                <w:szCs w:val="24"/>
              </w:rPr>
              <w:t>atziņas</w:t>
            </w:r>
            <w:r w:rsidR="00312F0B">
              <w:rPr>
                <w:rFonts w:ascii="Times New Roman" w:hAnsi="Times New Roman" w:cs="Times New Roman"/>
                <w:b/>
                <w:bCs/>
                <w:sz w:val="24"/>
                <w:szCs w:val="24"/>
              </w:rPr>
              <w:t>,</w:t>
            </w:r>
            <w:r w:rsidRPr="00F750D4">
              <w:rPr>
                <w:rFonts w:ascii="Times New Roman" w:hAnsi="Times New Roman" w:cs="Times New Roman"/>
                <w:b/>
                <w:bCs/>
                <w:sz w:val="24"/>
                <w:szCs w:val="24"/>
              </w:rPr>
              <w:t xml:space="preserve"> spēkā esošā KAKL normas nepieciešams papildināt ar normām, kas noteiktu pienākumu atgūt nelikumīgo komercdarbības atbalstu gadījumos, kad </w:t>
            </w:r>
            <w:r w:rsidR="00DA08F6" w:rsidRPr="00F750D4">
              <w:rPr>
                <w:rFonts w:ascii="Times New Roman" w:hAnsi="Times New Roman" w:cs="Times New Roman"/>
                <w:b/>
                <w:bCs/>
                <w:sz w:val="24"/>
                <w:szCs w:val="24"/>
              </w:rPr>
              <w:t>Eiropas Komisija nav pieņēmusi lēmumu par nelikumīga un nesaderīga ar Eiropas Savienības iekšējo tirgu atbalsta atgūšanu</w:t>
            </w:r>
            <w:r w:rsidR="00976F78">
              <w:rPr>
                <w:rFonts w:ascii="Times New Roman" w:hAnsi="Times New Roman" w:cs="Times New Roman"/>
                <w:b/>
                <w:bCs/>
                <w:sz w:val="24"/>
                <w:szCs w:val="24"/>
              </w:rPr>
              <w:t xml:space="preserve"> (likumprojekta V nodaļa)</w:t>
            </w:r>
            <w:r w:rsidR="00DA08F6" w:rsidRPr="00F750D4">
              <w:rPr>
                <w:rFonts w:ascii="Times New Roman" w:hAnsi="Times New Roman" w:cs="Times New Roman"/>
                <w:b/>
                <w:bCs/>
                <w:sz w:val="24"/>
                <w:szCs w:val="24"/>
              </w:rPr>
              <w:t>.</w:t>
            </w:r>
            <w:r w:rsidR="004A2919">
              <w:rPr>
                <w:rFonts w:ascii="Times New Roman" w:hAnsi="Times New Roman" w:cs="Times New Roman"/>
                <w:bCs/>
                <w:sz w:val="24"/>
                <w:szCs w:val="24"/>
              </w:rPr>
              <w:t xml:space="preserve"> Vienlaikus likumprojektā tiek paredzēts, ka a</w:t>
            </w:r>
            <w:r w:rsidR="004A2919" w:rsidRPr="004A2919">
              <w:rPr>
                <w:rFonts w:ascii="Times New Roman" w:hAnsi="Times New Roman" w:cs="Times New Roman"/>
                <w:bCs/>
                <w:sz w:val="24"/>
                <w:szCs w:val="24"/>
              </w:rPr>
              <w:t xml:space="preserve">tbalsta sniedzējam ir pienākums nodrošināt nelikumīga komercdarbības atbalsta atgūšanu, izņemot gadījumus, kad atbalsta sniedzējs nodrošina atbalsta programmas, individuālā atbalsta vai </w:t>
            </w:r>
            <w:proofErr w:type="spellStart"/>
            <w:r w:rsidR="004A2919" w:rsidRPr="004A2919">
              <w:rPr>
                <w:rFonts w:ascii="Times New Roman" w:hAnsi="Times New Roman" w:cs="Times New Roman"/>
                <w:bCs/>
                <w:sz w:val="24"/>
                <w:szCs w:val="24"/>
              </w:rPr>
              <w:t>ad-hoc</w:t>
            </w:r>
            <w:proofErr w:type="spellEnd"/>
            <w:r w:rsidR="004A2919" w:rsidRPr="004A2919">
              <w:rPr>
                <w:rFonts w:ascii="Times New Roman" w:hAnsi="Times New Roman" w:cs="Times New Roman"/>
                <w:bCs/>
                <w:sz w:val="24"/>
                <w:szCs w:val="24"/>
              </w:rPr>
              <w:t xml:space="preserve"> atbalsta atbilstību nosacījumiem par komercdarbības atbalsta saderību ar Eiropas Savienības iekšējo tirgu</w:t>
            </w:r>
            <w:r w:rsidR="00D15A00">
              <w:rPr>
                <w:rFonts w:ascii="Times New Roman" w:hAnsi="Times New Roman" w:cs="Times New Roman"/>
                <w:bCs/>
                <w:sz w:val="24"/>
                <w:szCs w:val="24"/>
              </w:rPr>
              <w:t>. Tas</w:t>
            </w:r>
            <w:r w:rsidR="004A2919">
              <w:rPr>
                <w:rFonts w:ascii="Times New Roman" w:hAnsi="Times New Roman" w:cs="Times New Roman"/>
                <w:bCs/>
                <w:sz w:val="24"/>
                <w:szCs w:val="24"/>
              </w:rPr>
              <w:t xml:space="preserve"> nozīmē, ka atbalsta sniedzējs, izvērtējot konkrētā gadījuma tiesiskos un faktiskos apstākļus, t.sk. piemērojamos komercdarbības atbalsta regulējuma nosacījumus un citus attiecīgajam atbalsta pasākumam (t.i. atbalsta programmai vai </w:t>
            </w:r>
            <w:proofErr w:type="spellStart"/>
            <w:r w:rsidR="004A2919" w:rsidRPr="007914F5">
              <w:rPr>
                <w:rFonts w:ascii="Times New Roman" w:hAnsi="Times New Roman" w:cs="Times New Roman"/>
                <w:bCs/>
                <w:i/>
                <w:sz w:val="24"/>
                <w:szCs w:val="24"/>
              </w:rPr>
              <w:t>ad-hoc</w:t>
            </w:r>
            <w:proofErr w:type="spellEnd"/>
            <w:r w:rsidR="004A2919">
              <w:rPr>
                <w:rFonts w:ascii="Times New Roman" w:hAnsi="Times New Roman" w:cs="Times New Roman"/>
                <w:bCs/>
                <w:sz w:val="24"/>
                <w:szCs w:val="24"/>
              </w:rPr>
              <w:t xml:space="preserve"> atbalstam) piemērojamos nosacījumus, var nodrošināt piešķirtā komercdarbības atbalsta saderību ar Eiropas Savienības iekšējo tirgu, piemēram, paziņojot to Eiropas Komisijai</w:t>
            </w:r>
            <w:r w:rsidR="00D15A00">
              <w:rPr>
                <w:rFonts w:ascii="Times New Roman" w:hAnsi="Times New Roman" w:cs="Times New Roman"/>
                <w:bCs/>
                <w:sz w:val="24"/>
                <w:szCs w:val="24"/>
              </w:rPr>
              <w:t>.</w:t>
            </w:r>
          </w:p>
          <w:p w14:paraId="05FF232A" w14:textId="77777777" w:rsidR="00E91901" w:rsidRPr="00F750D4" w:rsidRDefault="00DA08F6">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 xml:space="preserve">Saskaņā ar Padomes 2015. gada 13. jūlija Regulas (ES) 2015/1589, ar ko nosaka sīki izstrādātus noteikumus Līguma par Eiropas Savienības darbību 108. panta </w:t>
            </w:r>
            <w:r w:rsidRPr="00F750D4">
              <w:rPr>
                <w:rFonts w:ascii="Times New Roman" w:hAnsi="Times New Roman" w:cs="Times New Roman"/>
                <w:sz w:val="24"/>
                <w:szCs w:val="24"/>
              </w:rPr>
              <w:lastRenderedPageBreak/>
              <w:t xml:space="preserve">piemērošanai (kodificēta redakcija) </w:t>
            </w:r>
            <w:r w:rsidR="006858AB" w:rsidRPr="00F750D4">
              <w:rPr>
                <w:rFonts w:ascii="Times New Roman" w:hAnsi="Times New Roman" w:cs="Times New Roman"/>
                <w:sz w:val="24"/>
                <w:szCs w:val="24"/>
              </w:rPr>
              <w:t>(</w:t>
            </w:r>
            <w:r w:rsidRPr="00F750D4">
              <w:rPr>
                <w:rFonts w:ascii="Times New Roman" w:hAnsi="Times New Roman" w:cs="Times New Roman"/>
                <w:sz w:val="24"/>
                <w:szCs w:val="24"/>
              </w:rPr>
              <w:t>OV L 248, 24.9.2015</w:t>
            </w:r>
            <w:r w:rsidR="006858AB" w:rsidRPr="00F750D4">
              <w:rPr>
                <w:rFonts w:ascii="Times New Roman" w:hAnsi="Times New Roman" w:cs="Times New Roman"/>
                <w:sz w:val="24"/>
                <w:szCs w:val="24"/>
              </w:rPr>
              <w:t>)</w:t>
            </w:r>
            <w:r w:rsidR="00DF7562" w:rsidRPr="00F750D4">
              <w:rPr>
                <w:rFonts w:ascii="Times New Roman" w:hAnsi="Times New Roman" w:cs="Times New Roman"/>
                <w:sz w:val="24"/>
                <w:szCs w:val="24"/>
              </w:rPr>
              <w:t xml:space="preserve"> (turpmāk – Padomes regula Nr. 2015/1589)</w:t>
            </w:r>
            <w:r w:rsidR="006858AB" w:rsidRPr="00F750D4">
              <w:rPr>
                <w:rFonts w:ascii="Times New Roman" w:hAnsi="Times New Roman" w:cs="Times New Roman"/>
                <w:sz w:val="24"/>
                <w:szCs w:val="24"/>
              </w:rPr>
              <w:t xml:space="preserve"> </w:t>
            </w:r>
            <w:r w:rsidRPr="00F750D4">
              <w:rPr>
                <w:rFonts w:ascii="Times New Roman" w:hAnsi="Times New Roman" w:cs="Times New Roman"/>
                <w:sz w:val="24"/>
                <w:szCs w:val="24"/>
              </w:rPr>
              <w:t>1. panta c) apakšpunktu ikviens jauna atbalsta pasākums, kas īstenots, nepaziņojot par to Eiropas Komisijai vai pirms apstiprinājuma saņemšanas, ir nelikumīgs.</w:t>
            </w:r>
            <w:r w:rsidR="006858AB" w:rsidRPr="00F750D4">
              <w:rPr>
                <w:rFonts w:ascii="Times New Roman" w:hAnsi="Times New Roman" w:cs="Times New Roman"/>
                <w:sz w:val="24"/>
                <w:szCs w:val="24"/>
              </w:rPr>
              <w:t xml:space="preserve"> Saskaņā ar EST sprieduma Nr. C-349/17</w:t>
            </w:r>
            <w:r w:rsidR="006858AB" w:rsidRPr="00F750D4">
              <w:rPr>
                <w:rFonts w:ascii="Times New Roman" w:hAnsi="Times New Roman" w:cs="Times New Roman"/>
              </w:rPr>
              <w:t xml:space="preserve"> </w:t>
            </w:r>
            <w:r w:rsidR="006858AB" w:rsidRPr="00F750D4">
              <w:rPr>
                <w:rFonts w:ascii="Times New Roman" w:hAnsi="Times New Roman" w:cs="Times New Roman"/>
                <w:sz w:val="24"/>
                <w:szCs w:val="24"/>
              </w:rPr>
              <w:t xml:space="preserve">86.-87.punktā minēto: </w:t>
            </w:r>
            <w:r w:rsidR="006858AB" w:rsidRPr="00F750D4">
              <w:rPr>
                <w:rFonts w:ascii="Times New Roman" w:hAnsi="Times New Roman" w:cs="Times New Roman"/>
                <w:i/>
                <w:iCs/>
                <w:sz w:val="24"/>
                <w:szCs w:val="24"/>
              </w:rPr>
              <w:t xml:space="preserve">“[..] tikai tad, ja dalībvalsts veikts atbalsta pasākums atbilst attiecīgajiem Regulā Nr. 800/2008 paredzētajiem nosacījumiem, šī dalībvalsts var atsaukties uz iespēju tikt atbrīvotai no minētās regulas 3. pantā paredzētā paziņošanas pienākuma, un otrādi – valsts atbalstam, uz kuru šī regula neattiecas, joprojām ir piemērojams LESD 108. panta 3. punktā noteiktais paziņošanas pienākums. No tā izriet, ka – </w:t>
            </w:r>
            <w:r w:rsidR="006858AB" w:rsidRPr="00F750D4">
              <w:rPr>
                <w:rFonts w:ascii="Times New Roman" w:hAnsi="Times New Roman" w:cs="Times New Roman"/>
                <w:i/>
                <w:iCs/>
                <w:sz w:val="24"/>
                <w:szCs w:val="24"/>
                <w:u w:val="single"/>
              </w:rPr>
              <w:t>ja atbalsts ir piešķirts, piemērojot Regulu Nr. 800/2008, lai gan nosacījumi atbrīvojuma saņemšanai atbilstoši šai regulai nav izpildīti, – minētais atbalsts ir piešķirts, neizpildot paziņošanas pienākumu, un līdz ar to ir atzīstams par nelikumīgu</w:t>
            </w:r>
            <w:r w:rsidR="006858AB" w:rsidRPr="00F750D4">
              <w:rPr>
                <w:rFonts w:ascii="Times New Roman" w:hAnsi="Times New Roman" w:cs="Times New Roman"/>
                <w:i/>
                <w:iCs/>
                <w:sz w:val="24"/>
                <w:szCs w:val="24"/>
              </w:rPr>
              <w:t>.</w:t>
            </w:r>
            <w:r w:rsidR="006858AB" w:rsidRPr="00F750D4">
              <w:rPr>
                <w:rFonts w:ascii="Times New Roman" w:hAnsi="Times New Roman" w:cs="Times New Roman"/>
                <w:sz w:val="24"/>
                <w:szCs w:val="24"/>
              </w:rPr>
              <w:t>”</w:t>
            </w:r>
          </w:p>
          <w:p w14:paraId="12F1AEC3" w14:textId="34025EA7" w:rsidR="00E91901" w:rsidRDefault="006C0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Savukārt, s</w:t>
            </w:r>
            <w:r w:rsidRPr="00F750D4">
              <w:rPr>
                <w:rFonts w:ascii="Times New Roman" w:hAnsi="Times New Roman" w:cs="Times New Roman"/>
                <w:sz w:val="24"/>
                <w:szCs w:val="24"/>
              </w:rPr>
              <w:t>askaņā ar EST sprieduma Nr. C-349/17</w:t>
            </w:r>
            <w:r w:rsidRPr="00355C7B">
              <w:rPr>
                <w:rFonts w:ascii="Times New Roman" w:hAnsi="Times New Roman" w:cs="Times New Roman"/>
                <w:sz w:val="24"/>
                <w:szCs w:val="24"/>
              </w:rPr>
              <w:t xml:space="preserve"> rezolutīvās daļas 2. punktu</w:t>
            </w:r>
            <w:r w:rsidRPr="00F750D4">
              <w:rPr>
                <w:rFonts w:ascii="Times New Roman" w:hAnsi="Times New Roman" w:cs="Times New Roman"/>
                <w:sz w:val="24"/>
                <w:szCs w:val="24"/>
              </w:rPr>
              <w:t>:</w:t>
            </w:r>
            <w:r>
              <w:rPr>
                <w:rFonts w:ascii="Times New Roman" w:hAnsi="Times New Roman" w:cs="Times New Roman"/>
                <w:sz w:val="24"/>
                <w:szCs w:val="24"/>
              </w:rPr>
              <w:t xml:space="preserve"> “</w:t>
            </w:r>
            <w:r w:rsidRPr="00355C7B">
              <w:rPr>
                <w:rFonts w:ascii="Times New Roman" w:hAnsi="Times New Roman" w:cs="Times New Roman"/>
                <w:i/>
                <w:sz w:val="24"/>
                <w:szCs w:val="24"/>
              </w:rPr>
              <w:t xml:space="preserve">LESD 108. panta 3. punkts ir jāinterpretē tādējādi, ka atbilstoši šai tiesību normai </w:t>
            </w:r>
            <w:r w:rsidRPr="00355C7B">
              <w:rPr>
                <w:rFonts w:ascii="Times New Roman" w:hAnsi="Times New Roman" w:cs="Times New Roman"/>
                <w:i/>
                <w:sz w:val="24"/>
                <w:szCs w:val="24"/>
                <w:u w:val="single"/>
              </w:rPr>
              <w:t>valsts iestādei pašai pēc savas iniciatīvas ir jāatgūst atbalsts</w:t>
            </w:r>
            <w:r w:rsidRPr="00355C7B">
              <w:rPr>
                <w:rFonts w:ascii="Times New Roman" w:hAnsi="Times New Roman" w:cs="Times New Roman"/>
                <w:i/>
                <w:sz w:val="24"/>
                <w:szCs w:val="24"/>
              </w:rPr>
              <w:t>, kuru tā ir piešķīrusi, piemērojot Regulu Nr. 800/2008, ja vēlāk tā ir konstatējusi, ka šajā regulā paredzētie nosacījumi nav izpildīti.</w:t>
            </w:r>
            <w:r>
              <w:rPr>
                <w:rFonts w:ascii="Times New Roman" w:hAnsi="Times New Roman" w:cs="Times New Roman"/>
                <w:sz w:val="24"/>
                <w:szCs w:val="24"/>
              </w:rPr>
              <w:t>”</w:t>
            </w:r>
            <w:r w:rsidR="004E1870">
              <w:rPr>
                <w:rFonts w:ascii="Times New Roman" w:hAnsi="Times New Roman" w:cs="Times New Roman"/>
                <w:sz w:val="24"/>
                <w:szCs w:val="24"/>
              </w:rPr>
              <w:t xml:space="preserve"> No </w:t>
            </w:r>
            <w:r w:rsidR="0040563D">
              <w:rPr>
                <w:rFonts w:ascii="Times New Roman" w:hAnsi="Times New Roman" w:cs="Times New Roman"/>
                <w:sz w:val="24"/>
                <w:szCs w:val="24"/>
              </w:rPr>
              <w:t xml:space="preserve">Eiropas Kopienu tiesas judikatūras izriet, ka </w:t>
            </w:r>
            <w:r w:rsidR="0040563D" w:rsidRPr="0040563D">
              <w:rPr>
                <w:rFonts w:ascii="Times New Roman" w:hAnsi="Times New Roman" w:cs="Times New Roman"/>
                <w:sz w:val="24"/>
                <w:szCs w:val="24"/>
              </w:rPr>
              <w:t xml:space="preserve">atmaksājot </w:t>
            </w:r>
            <w:r w:rsidR="0040563D" w:rsidRPr="00355C7B">
              <w:rPr>
                <w:rFonts w:ascii="Times New Roman" w:hAnsi="Times New Roman" w:cs="Times New Roman"/>
                <w:sz w:val="24"/>
                <w:szCs w:val="24"/>
              </w:rPr>
              <w:t>nelikumīgo un nesaderīgo</w:t>
            </w:r>
            <w:r w:rsidR="0040563D" w:rsidRPr="0040563D">
              <w:rPr>
                <w:rFonts w:ascii="Times New Roman" w:hAnsi="Times New Roman" w:cs="Times New Roman"/>
                <w:sz w:val="24"/>
                <w:szCs w:val="24"/>
              </w:rPr>
              <w:t xml:space="preserve"> atbalstu, </w:t>
            </w:r>
            <w:r w:rsidR="0040563D">
              <w:rPr>
                <w:rFonts w:ascii="Times New Roman" w:hAnsi="Times New Roman" w:cs="Times New Roman"/>
                <w:sz w:val="24"/>
                <w:szCs w:val="24"/>
              </w:rPr>
              <w:t xml:space="preserve">tā </w:t>
            </w:r>
            <w:r w:rsidR="0040563D" w:rsidRPr="0040563D">
              <w:rPr>
                <w:rFonts w:ascii="Times New Roman" w:hAnsi="Times New Roman" w:cs="Times New Roman"/>
                <w:sz w:val="24"/>
                <w:szCs w:val="24"/>
              </w:rPr>
              <w:t xml:space="preserve">saņēmējs </w:t>
            </w:r>
            <w:r w:rsidR="006858AB" w:rsidRPr="00355C7B">
              <w:rPr>
                <w:rFonts w:ascii="Times New Roman" w:hAnsi="Times New Roman" w:cs="Times New Roman"/>
                <w:sz w:val="24"/>
                <w:szCs w:val="24"/>
              </w:rPr>
              <w:t>zaudē tās priekšrocības, kādas viņam bija attiecībā pret saviem konkurentiem tirgū, un ir atjaunota situācija, kāda pastāvēja pirms atbalsta piešķiršanas</w:t>
            </w:r>
            <w:r w:rsidR="0040563D" w:rsidRPr="00355C7B">
              <w:rPr>
                <w:rFonts w:ascii="Times New Roman" w:hAnsi="Times New Roman" w:cs="Times New Roman"/>
                <w:sz w:val="24"/>
                <w:szCs w:val="24"/>
              </w:rPr>
              <w:t xml:space="preserve"> (sk.</w:t>
            </w:r>
            <w:r>
              <w:rPr>
                <w:rFonts w:ascii="Times New Roman" w:hAnsi="Times New Roman" w:cs="Times New Roman"/>
                <w:sz w:val="24"/>
                <w:szCs w:val="24"/>
              </w:rPr>
              <w:t xml:space="preserve"> </w:t>
            </w:r>
            <w:r w:rsidRPr="006858AB">
              <w:rPr>
                <w:rFonts w:ascii="Times New Roman" w:hAnsi="Times New Roman" w:cs="Times New Roman"/>
                <w:sz w:val="24"/>
                <w:szCs w:val="24"/>
              </w:rPr>
              <w:t>Eiropas Kopienu Pirmās instances tiesas</w:t>
            </w:r>
            <w:r>
              <w:rPr>
                <w:rFonts w:ascii="Times New Roman" w:hAnsi="Times New Roman" w:cs="Times New Roman"/>
                <w:sz w:val="24"/>
                <w:szCs w:val="24"/>
              </w:rPr>
              <w:t xml:space="preserve"> sprieduma lietā</w:t>
            </w:r>
            <w:r w:rsidR="0040563D" w:rsidRPr="00355C7B">
              <w:rPr>
                <w:rFonts w:ascii="Times New Roman" w:hAnsi="Times New Roman" w:cs="Times New Roman"/>
                <w:sz w:val="24"/>
                <w:szCs w:val="24"/>
              </w:rPr>
              <w:t>C-348/93, Komisija pret Itāliju, [1995] ECR I-673, 27. punkt</w:t>
            </w:r>
            <w:r>
              <w:rPr>
                <w:rFonts w:ascii="Times New Roman" w:hAnsi="Times New Roman" w:cs="Times New Roman"/>
                <w:sz w:val="24"/>
                <w:szCs w:val="24"/>
              </w:rPr>
              <w:t>u</w:t>
            </w:r>
            <w:r w:rsidR="0040563D" w:rsidRPr="00355C7B">
              <w:rPr>
                <w:rFonts w:ascii="Times New Roman" w:hAnsi="Times New Roman" w:cs="Times New Roman"/>
                <w:sz w:val="24"/>
                <w:szCs w:val="24"/>
              </w:rPr>
              <w:t>.)</w:t>
            </w:r>
            <w:r w:rsidR="006858AB" w:rsidRPr="006858AB">
              <w:rPr>
                <w:rFonts w:ascii="Times New Roman" w:hAnsi="Times New Roman" w:cs="Times New Roman"/>
                <w:i/>
                <w:sz w:val="24"/>
                <w:szCs w:val="24"/>
              </w:rPr>
              <w:t xml:space="preserve"> </w:t>
            </w:r>
            <w:r w:rsidR="006858AB" w:rsidRPr="00355C7B">
              <w:rPr>
                <w:rFonts w:ascii="Times New Roman" w:hAnsi="Times New Roman" w:cs="Times New Roman"/>
                <w:sz w:val="24"/>
                <w:szCs w:val="24"/>
                <w:u w:val="single"/>
              </w:rPr>
              <w:t>Lai novērstu jebkādas finansiālas priekšrocības, kas izriet no nelikumīga atbalsta, par nelikumīgi piešķirtajām summām ir jāiekasē procenti</w:t>
            </w:r>
            <w:r w:rsidR="004A766A">
              <w:rPr>
                <w:rFonts w:ascii="Times New Roman" w:hAnsi="Times New Roman" w:cs="Times New Roman"/>
                <w:sz w:val="24"/>
                <w:szCs w:val="24"/>
                <w:u w:val="single"/>
              </w:rPr>
              <w:t xml:space="preserve">. </w:t>
            </w:r>
            <w:r w:rsidR="004A766A" w:rsidRPr="004A766A">
              <w:rPr>
                <w:rFonts w:ascii="Times New Roman" w:hAnsi="Times New Roman" w:cs="Times New Roman"/>
                <w:sz w:val="24"/>
                <w:szCs w:val="24"/>
                <w:u w:val="single"/>
              </w:rPr>
              <w:t>Šiem procentiem ir jābūt līdzvērtīgiem tām finansiālajām priekšrocībām,</w:t>
            </w:r>
            <w:r w:rsidR="004A766A">
              <w:rPr>
                <w:rFonts w:ascii="Times New Roman" w:hAnsi="Times New Roman" w:cs="Times New Roman"/>
                <w:sz w:val="24"/>
                <w:szCs w:val="24"/>
                <w:u w:val="single"/>
              </w:rPr>
              <w:t xml:space="preserve"> </w:t>
            </w:r>
            <w:r w:rsidR="004A766A" w:rsidRPr="004A766A">
              <w:rPr>
                <w:rFonts w:ascii="Times New Roman" w:hAnsi="Times New Roman" w:cs="Times New Roman"/>
                <w:sz w:val="24"/>
                <w:szCs w:val="24"/>
                <w:u w:val="single"/>
              </w:rPr>
              <w:t>kas izriet no minēto līdzekļu pieejamības bez atlīdzības kādā noteiktā laika posmā</w:t>
            </w:r>
            <w:r w:rsidR="0040563D" w:rsidRPr="0040563D">
              <w:rPr>
                <w:rFonts w:ascii="Times New Roman" w:hAnsi="Times New Roman" w:cs="Times New Roman"/>
                <w:i/>
                <w:sz w:val="24"/>
                <w:szCs w:val="24"/>
              </w:rPr>
              <w:t xml:space="preserve"> </w:t>
            </w:r>
            <w:r w:rsidR="0040563D" w:rsidRPr="00355C7B">
              <w:rPr>
                <w:rFonts w:ascii="Times New Roman" w:hAnsi="Times New Roman" w:cs="Times New Roman"/>
                <w:sz w:val="24"/>
                <w:szCs w:val="24"/>
              </w:rPr>
              <w:t xml:space="preserve">(sk. </w:t>
            </w:r>
            <w:r w:rsidR="006858AB" w:rsidRPr="006858AB">
              <w:rPr>
                <w:rFonts w:ascii="Times New Roman" w:hAnsi="Times New Roman" w:cs="Times New Roman"/>
                <w:sz w:val="24"/>
                <w:szCs w:val="24"/>
              </w:rPr>
              <w:t xml:space="preserve">Eiropas Kopienu Pirmās instances tiesas 1995. gada 8. jūnija sprieduma </w:t>
            </w:r>
            <w:r w:rsidR="006858AB" w:rsidRPr="006858AB">
              <w:rPr>
                <w:rFonts w:ascii="Times New Roman" w:hAnsi="Times New Roman" w:cs="Times New Roman"/>
                <w:i/>
                <w:sz w:val="24"/>
                <w:szCs w:val="24"/>
              </w:rPr>
              <w:t>Siemens</w:t>
            </w:r>
            <w:r w:rsidR="006858AB" w:rsidRPr="006858AB">
              <w:rPr>
                <w:rFonts w:ascii="Times New Roman" w:hAnsi="Times New Roman" w:cs="Times New Roman"/>
                <w:sz w:val="24"/>
                <w:szCs w:val="24"/>
              </w:rPr>
              <w:t>/</w:t>
            </w:r>
            <w:r w:rsidR="006858AB" w:rsidRPr="006858AB">
              <w:rPr>
                <w:rFonts w:ascii="Times New Roman" w:hAnsi="Times New Roman" w:cs="Times New Roman"/>
                <w:i/>
                <w:sz w:val="24"/>
                <w:szCs w:val="24"/>
              </w:rPr>
              <w:t>Komisija</w:t>
            </w:r>
            <w:r w:rsidR="006858AB" w:rsidRPr="006858AB">
              <w:rPr>
                <w:rFonts w:ascii="Times New Roman" w:hAnsi="Times New Roman" w:cs="Times New Roman"/>
                <w:sz w:val="24"/>
                <w:szCs w:val="24"/>
              </w:rPr>
              <w:t>, T-459/93 97.-101. punkt</w:t>
            </w:r>
            <w:r w:rsidR="0040563D">
              <w:rPr>
                <w:rFonts w:ascii="Times New Roman" w:hAnsi="Times New Roman" w:cs="Times New Roman"/>
                <w:sz w:val="24"/>
                <w:szCs w:val="24"/>
              </w:rPr>
              <w:t>u).</w:t>
            </w:r>
            <w:r w:rsidR="006858AB" w:rsidRPr="006858AB">
              <w:rPr>
                <w:rFonts w:ascii="Times New Roman" w:hAnsi="Times New Roman" w:cs="Times New Roman"/>
                <w:sz w:val="24"/>
                <w:szCs w:val="24"/>
              </w:rPr>
              <w:t xml:space="preserve"> </w:t>
            </w:r>
            <w:r w:rsidR="006858AB" w:rsidRPr="00F750D4">
              <w:rPr>
                <w:rFonts w:ascii="Times New Roman" w:hAnsi="Times New Roman" w:cs="Times New Roman"/>
                <w:sz w:val="24"/>
                <w:szCs w:val="24"/>
              </w:rPr>
              <w:t>Savukārt EST sprieduma Nr. C-349/17 142. punktā minēts: “</w:t>
            </w:r>
            <w:r w:rsidR="006858AB" w:rsidRPr="00F750D4">
              <w:rPr>
                <w:rFonts w:ascii="Times New Roman" w:hAnsi="Times New Roman" w:cs="Times New Roman"/>
                <w:i/>
                <w:sz w:val="24"/>
                <w:szCs w:val="24"/>
              </w:rPr>
              <w:t xml:space="preserve">[..] gadījumā, ja valsts iestāde pati pēc savas iniciatīvas veic tā atbalsta atgūšanu, kuru tā ir kļūdaini piešķīrusi atbilstoši Regulai Nr. 800/2008, tai </w:t>
            </w:r>
            <w:r w:rsidR="006858AB" w:rsidRPr="00355C7B">
              <w:rPr>
                <w:rFonts w:ascii="Times New Roman" w:hAnsi="Times New Roman" w:cs="Times New Roman"/>
                <w:i/>
                <w:sz w:val="24"/>
                <w:szCs w:val="24"/>
                <w:u w:val="single"/>
              </w:rPr>
              <w:t>ir jāpieprasa no šī atbalsta saņēmēja procenti atbilstoši piemērojamo valsts tiesību normām</w:t>
            </w:r>
            <w:r w:rsidR="006858AB" w:rsidRPr="00F750D4">
              <w:rPr>
                <w:rFonts w:ascii="Times New Roman" w:hAnsi="Times New Roman" w:cs="Times New Roman"/>
                <w:i/>
                <w:sz w:val="24"/>
                <w:szCs w:val="24"/>
              </w:rPr>
              <w:t>.</w:t>
            </w:r>
            <w:r w:rsidR="004132EC">
              <w:rPr>
                <w:rFonts w:ascii="Times New Roman" w:hAnsi="Times New Roman" w:cs="Times New Roman"/>
                <w:i/>
                <w:sz w:val="24"/>
                <w:szCs w:val="24"/>
              </w:rPr>
              <w:t>”</w:t>
            </w:r>
            <w:r w:rsidR="006858AB" w:rsidRPr="00F750D4">
              <w:rPr>
                <w:rFonts w:ascii="Times New Roman" w:hAnsi="Times New Roman" w:cs="Times New Roman"/>
                <w:i/>
                <w:sz w:val="24"/>
                <w:szCs w:val="24"/>
              </w:rPr>
              <w:t xml:space="preserve"> </w:t>
            </w:r>
            <w:r w:rsidR="000643CD" w:rsidRPr="00F750D4">
              <w:rPr>
                <w:rFonts w:ascii="Times New Roman" w:hAnsi="Times New Roman" w:cs="Times New Roman"/>
                <w:sz w:val="24"/>
                <w:szCs w:val="24"/>
              </w:rPr>
              <w:t>EST sprieduma 137. punktā Eiropas Savienības tiesa ir skaidri norādījusi, ka “</w:t>
            </w:r>
            <w:r w:rsidR="000643CD" w:rsidRPr="00F750D4">
              <w:rPr>
                <w:rFonts w:ascii="Times New Roman" w:hAnsi="Times New Roman" w:cs="Times New Roman"/>
                <w:i/>
                <w:sz w:val="24"/>
                <w:szCs w:val="24"/>
              </w:rPr>
              <w:t xml:space="preserve">no Tiesas pastāvīgās judikatūras izriet, ka piemērojamais valsts tiesiskais regulējums nedrīkst būt nelabvēlīgāks nekā regulējums, kas reglamentē līdzīgas iekšēja rakstura </w:t>
            </w:r>
            <w:r w:rsidR="000643CD" w:rsidRPr="00F750D4">
              <w:rPr>
                <w:rFonts w:ascii="Times New Roman" w:hAnsi="Times New Roman" w:cs="Times New Roman"/>
                <w:i/>
                <w:sz w:val="24"/>
                <w:szCs w:val="24"/>
              </w:rPr>
              <w:lastRenderedPageBreak/>
              <w:t>situācijas (līdzvērtības princips), un nedrīkst būt tāds, kas padara praktiski neiespējamu vai pārmērīgi apgrūtina ar Savienības tiesību sistēmu piešķirto tiesību izmantošanu (efektivitātes princips)</w:t>
            </w:r>
            <w:r w:rsidR="000643CD" w:rsidRPr="00F750D4">
              <w:rPr>
                <w:rFonts w:ascii="Times New Roman" w:hAnsi="Times New Roman" w:cs="Times New Roman"/>
                <w:sz w:val="24"/>
                <w:szCs w:val="24"/>
              </w:rPr>
              <w:t>”. Attiecīgi secināms, ka, nosakot pienākumu samaksāt procentus par visu laikposmu, kurā atbalsta saņēmējs ir guvis labumu no nelikumīgā komercdarbības atbalsta, atgūstamo procentu apmērs nevar būt pretrunā minētajam līdzvērtības un efektivitātes principam un tādējādi, nosakot atgūstamo procentu apmēru, ir jāievēro Eiropas Savienības tiesību normas. Tādējādi nodrošinot tiesisku skaidrību, likumprojekts paredz pārņemt Eiropas Komisijas nelikumīga un nesaderīga komercdarbības atbalsta atgūšanas procentu metodiku</w:t>
            </w:r>
            <w:r w:rsidR="00DF7562" w:rsidRPr="00F750D4">
              <w:rPr>
                <w:rFonts w:ascii="Times New Roman" w:hAnsi="Times New Roman" w:cs="Times New Roman"/>
                <w:sz w:val="24"/>
                <w:szCs w:val="24"/>
              </w:rPr>
              <w:t xml:space="preserve"> atbilstoši</w:t>
            </w:r>
            <w:r w:rsidR="000643CD" w:rsidRPr="00F750D4">
              <w:rPr>
                <w:rFonts w:ascii="Times New Roman" w:hAnsi="Times New Roman" w:cs="Times New Roman"/>
                <w:sz w:val="24"/>
                <w:szCs w:val="24"/>
              </w:rPr>
              <w:t xml:space="preserve"> </w:t>
            </w:r>
            <w:r w:rsidR="00DF7562" w:rsidRPr="00F750D4">
              <w:rPr>
                <w:rFonts w:ascii="Times New Roman" w:hAnsi="Times New Roman" w:cs="Times New Roman"/>
                <w:sz w:val="24"/>
                <w:szCs w:val="24"/>
              </w:rPr>
              <w:t xml:space="preserve">Padomes regulas Nr. 2015/1589 16. panta 2. punkta un Komisijas 2004. gada 21. aprīļa regulas (EK) Nr. 794/2004, </w:t>
            </w:r>
            <w:r w:rsidR="00DF7562" w:rsidRPr="00E206B4">
              <w:rPr>
                <w:rFonts w:ascii="Times New Roman" w:hAnsi="Times New Roman" w:cs="Times New Roman"/>
                <w:i/>
                <w:iCs/>
                <w:sz w:val="24"/>
                <w:szCs w:val="24"/>
              </w:rPr>
              <w:t>ar ko īsteno Padomes Regulu (ES) 2015/1589, ar ko nosaka sīki izstrādātus noteikumus Līguma par Eiropas Savienības darbību 108. panta piemērošanai</w:t>
            </w:r>
            <w:r w:rsidR="00DF7562" w:rsidRPr="00F750D4">
              <w:rPr>
                <w:rFonts w:ascii="Times New Roman" w:hAnsi="Times New Roman" w:cs="Times New Roman"/>
                <w:sz w:val="24"/>
                <w:szCs w:val="24"/>
              </w:rPr>
              <w:t xml:space="preserve"> (turpmāk – Komisijas regula Nr. 794/2004) </w:t>
            </w:r>
            <w:r w:rsidR="008D3695" w:rsidRPr="00F750D4">
              <w:rPr>
                <w:rFonts w:ascii="Times New Roman" w:hAnsi="Times New Roman" w:cs="Times New Roman"/>
                <w:sz w:val="24"/>
                <w:szCs w:val="24"/>
              </w:rPr>
              <w:t xml:space="preserve">10. un </w:t>
            </w:r>
            <w:r w:rsidR="00DF7562" w:rsidRPr="00F750D4">
              <w:rPr>
                <w:rFonts w:ascii="Times New Roman" w:hAnsi="Times New Roman" w:cs="Times New Roman"/>
                <w:sz w:val="24"/>
                <w:szCs w:val="24"/>
              </w:rPr>
              <w:t>11. panta nosacījumiem.</w:t>
            </w:r>
            <w:r w:rsidR="006A20EC">
              <w:rPr>
                <w:rFonts w:ascii="Times New Roman" w:hAnsi="Times New Roman" w:cs="Times New Roman"/>
                <w:sz w:val="24"/>
                <w:szCs w:val="24"/>
              </w:rPr>
              <w:t xml:space="preserve"> Vienlaikus, Eiropas komisija ar 2019. gada 8. novembra vēstuli ir apstiprinājus</w:t>
            </w:r>
            <w:r w:rsidR="00FD26D7">
              <w:rPr>
                <w:rFonts w:ascii="Times New Roman" w:hAnsi="Times New Roman" w:cs="Times New Roman"/>
                <w:sz w:val="24"/>
                <w:szCs w:val="24"/>
              </w:rPr>
              <w:t>i</w:t>
            </w:r>
            <w:r w:rsidR="006A20EC">
              <w:rPr>
                <w:rFonts w:ascii="Times New Roman" w:hAnsi="Times New Roman" w:cs="Times New Roman"/>
                <w:sz w:val="24"/>
                <w:szCs w:val="24"/>
              </w:rPr>
              <w:t>, ka neiebilst iepriekš minētās metodikas piemērošanai, atgūstot nelikumīgo komercdarbības atbalstu pēc dalībvalsts iniciatīvas</w:t>
            </w:r>
            <w:r w:rsidR="00C36608">
              <w:rPr>
                <w:rFonts w:ascii="Times New Roman" w:hAnsi="Times New Roman" w:cs="Times New Roman"/>
                <w:sz w:val="24"/>
                <w:szCs w:val="24"/>
              </w:rPr>
              <w:t>, ievērojot EST spriedumā</w:t>
            </w:r>
            <w:r w:rsidR="00C36608" w:rsidRPr="00F750D4">
              <w:rPr>
                <w:rFonts w:ascii="Times New Roman" w:hAnsi="Times New Roman" w:cs="Times New Roman"/>
                <w:sz w:val="24"/>
                <w:szCs w:val="24"/>
              </w:rPr>
              <w:t xml:space="preserve"> Nr. C-349/17</w:t>
            </w:r>
            <w:r w:rsidR="00C36608">
              <w:rPr>
                <w:rFonts w:ascii="Times New Roman" w:hAnsi="Times New Roman" w:cs="Times New Roman"/>
                <w:sz w:val="24"/>
                <w:szCs w:val="24"/>
              </w:rPr>
              <w:t xml:space="preserve"> noteikto pienākumu. </w:t>
            </w:r>
            <w:r w:rsidR="00110AC6">
              <w:rPr>
                <w:rFonts w:ascii="Times New Roman" w:hAnsi="Times New Roman" w:cs="Times New Roman"/>
                <w:sz w:val="24"/>
                <w:szCs w:val="24"/>
              </w:rPr>
              <w:t xml:space="preserve">Likumprojektā </w:t>
            </w:r>
            <w:r w:rsidR="00312F0B">
              <w:rPr>
                <w:rFonts w:ascii="Times New Roman" w:hAnsi="Times New Roman" w:cs="Times New Roman"/>
                <w:sz w:val="24"/>
                <w:szCs w:val="24"/>
              </w:rPr>
              <w:t>ietvertā KAKL V nodaļa būs piemērojama tajos gadījumos, kad par</w:t>
            </w:r>
            <w:r w:rsidR="00110AC6">
              <w:rPr>
                <w:rFonts w:ascii="Times New Roman" w:hAnsi="Times New Roman" w:cs="Times New Roman"/>
                <w:sz w:val="24"/>
                <w:szCs w:val="24"/>
              </w:rPr>
              <w:t xml:space="preserve"> n</w:t>
            </w:r>
            <w:r w:rsidR="00BC2138">
              <w:rPr>
                <w:rFonts w:ascii="Times New Roman" w:hAnsi="Times New Roman" w:cs="Times New Roman"/>
                <w:sz w:val="24"/>
                <w:szCs w:val="24"/>
              </w:rPr>
              <w:t xml:space="preserve">elikumīga </w:t>
            </w:r>
            <w:r w:rsidR="00110AC6">
              <w:rPr>
                <w:rFonts w:ascii="Times New Roman" w:hAnsi="Times New Roman" w:cs="Times New Roman"/>
                <w:sz w:val="24"/>
                <w:szCs w:val="24"/>
              </w:rPr>
              <w:t>komercdarbības atbalsta atgūšan</w:t>
            </w:r>
            <w:r w:rsidR="00312F0B">
              <w:rPr>
                <w:rFonts w:ascii="Times New Roman" w:hAnsi="Times New Roman" w:cs="Times New Roman"/>
                <w:sz w:val="24"/>
                <w:szCs w:val="24"/>
              </w:rPr>
              <w:t>u nav pieņemts Eiropas Komisijas lēmums</w:t>
            </w:r>
            <w:r w:rsidR="00110AC6">
              <w:rPr>
                <w:rFonts w:ascii="Times New Roman" w:hAnsi="Times New Roman" w:cs="Times New Roman"/>
                <w:sz w:val="24"/>
                <w:szCs w:val="24"/>
              </w:rPr>
              <w:t xml:space="preserve">, savukārt ar likumprojektu precizētā KAKL IV nodaļa būs piemērojama </w:t>
            </w:r>
            <w:r w:rsidR="00312F0B">
              <w:rPr>
                <w:rFonts w:ascii="Times New Roman" w:hAnsi="Times New Roman" w:cs="Times New Roman"/>
                <w:sz w:val="24"/>
                <w:szCs w:val="24"/>
              </w:rPr>
              <w:t xml:space="preserve">tajos </w:t>
            </w:r>
            <w:r w:rsidR="00110AC6">
              <w:rPr>
                <w:rFonts w:ascii="Times New Roman" w:hAnsi="Times New Roman" w:cs="Times New Roman"/>
                <w:sz w:val="24"/>
                <w:szCs w:val="24"/>
              </w:rPr>
              <w:t>gadījumos, kad Eiropas Komisija pieņemtu lēmumu par nelikumīga un nesaderīga komercdarbības atbalsta atgūšanu</w:t>
            </w:r>
            <w:r w:rsidR="003A7896">
              <w:rPr>
                <w:rFonts w:ascii="Times New Roman" w:hAnsi="Times New Roman" w:cs="Times New Roman"/>
                <w:sz w:val="24"/>
                <w:szCs w:val="24"/>
              </w:rPr>
              <w:t xml:space="preserve"> (gadījumā, ja Eiropas Komisija pieņemtu </w:t>
            </w:r>
            <w:r w:rsidR="003A7896" w:rsidRPr="003A7896">
              <w:rPr>
                <w:rFonts w:ascii="Times New Roman" w:hAnsi="Times New Roman" w:cs="Times New Roman"/>
                <w:sz w:val="24"/>
                <w:szCs w:val="24"/>
              </w:rPr>
              <w:t>līdzekļu atgūšanas lēmum</w:t>
            </w:r>
            <w:r w:rsidR="003A7896">
              <w:rPr>
                <w:rFonts w:ascii="Times New Roman" w:hAnsi="Times New Roman" w:cs="Times New Roman"/>
                <w:sz w:val="24"/>
                <w:szCs w:val="24"/>
              </w:rPr>
              <w:t xml:space="preserve">u </w:t>
            </w:r>
            <w:r w:rsidR="003A7896" w:rsidRPr="003A7896">
              <w:rPr>
                <w:rFonts w:ascii="Times New Roman" w:hAnsi="Times New Roman" w:cs="Times New Roman"/>
                <w:sz w:val="24"/>
                <w:szCs w:val="24"/>
              </w:rPr>
              <w:t xml:space="preserve">attiecībā uz </w:t>
            </w:r>
            <w:r w:rsidR="00C36608">
              <w:rPr>
                <w:rFonts w:ascii="Times New Roman" w:hAnsi="Times New Roman" w:cs="Times New Roman"/>
                <w:sz w:val="24"/>
                <w:szCs w:val="24"/>
              </w:rPr>
              <w:t>komercsabiedrībām</w:t>
            </w:r>
            <w:r w:rsidR="003A7896" w:rsidRPr="003A7896">
              <w:rPr>
                <w:rFonts w:ascii="Times New Roman" w:hAnsi="Times New Roman" w:cs="Times New Roman"/>
                <w:sz w:val="24"/>
                <w:szCs w:val="24"/>
              </w:rPr>
              <w:t xml:space="preserve"> Latvijā, ar kuru atbalsts </w:t>
            </w:r>
            <w:r w:rsidR="00C36608">
              <w:rPr>
                <w:rFonts w:ascii="Times New Roman" w:hAnsi="Times New Roman" w:cs="Times New Roman"/>
                <w:sz w:val="24"/>
                <w:szCs w:val="24"/>
              </w:rPr>
              <w:t>komercsabiedrībām</w:t>
            </w:r>
            <w:r w:rsidR="003A7896" w:rsidRPr="003A7896">
              <w:rPr>
                <w:rFonts w:ascii="Times New Roman" w:hAnsi="Times New Roman" w:cs="Times New Roman"/>
                <w:sz w:val="24"/>
                <w:szCs w:val="24"/>
              </w:rPr>
              <w:t xml:space="preserve"> būtu atzīts par nelikumīgu un</w:t>
            </w:r>
            <w:r w:rsidR="003A7896">
              <w:rPr>
                <w:rFonts w:ascii="Times New Roman" w:hAnsi="Times New Roman" w:cs="Times New Roman"/>
                <w:sz w:val="24"/>
                <w:szCs w:val="24"/>
              </w:rPr>
              <w:t xml:space="preserve"> nesaderīgu ar ES iekšējo tirgu, informācija par to tiktu publicēta Finanšu ministrijas tīmekļa vietnes sadaļā Komercdarbības atbalsta kontrole – </w:t>
            </w:r>
            <w:r w:rsidR="003A7896" w:rsidRPr="003A7896">
              <w:rPr>
                <w:rFonts w:ascii="Times New Roman" w:hAnsi="Times New Roman" w:cs="Times New Roman"/>
                <w:sz w:val="24"/>
                <w:szCs w:val="24"/>
              </w:rPr>
              <w:t>Informācija par saimnieciskās darbības veicējiem, uz kuriem attiecas (neizpildīts) līdzekļu atgūšanas lēmums</w:t>
            </w:r>
            <w:r w:rsidR="003A7896">
              <w:rPr>
                <w:rFonts w:ascii="Times New Roman" w:hAnsi="Times New Roman" w:cs="Times New Roman"/>
                <w:sz w:val="24"/>
                <w:szCs w:val="24"/>
              </w:rPr>
              <w:t>)</w:t>
            </w:r>
            <w:r w:rsidR="00110AC6">
              <w:rPr>
                <w:rFonts w:ascii="Times New Roman" w:hAnsi="Times New Roman" w:cs="Times New Roman"/>
                <w:sz w:val="24"/>
                <w:szCs w:val="24"/>
              </w:rPr>
              <w:t>.</w:t>
            </w:r>
          </w:p>
          <w:p w14:paraId="59F60801" w14:textId="4A87613F" w:rsidR="00EA571D" w:rsidRPr="00EA571D" w:rsidRDefault="00EA57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Likumprojektā tiek paredzēts, ka nelikumīgu komercdarbības atbalstu atgūst civilprocesa vai administratīvā procesa kārtībā, ja citos normatīvajos aktos nav noteikts citādi. Piemēram, Eiropas Savienības struktūrfondu un Kohēzijas fonda 2014.—2020.gada plānošanas perioda vadības likumā (turpmāk – Vadības likums) ir noteikti speciāli nosacījumi attiecībā uz strīdu risināšanas kārtību, ja finansējuma saņēmējs ir fiziskā vai juridiskā persona (Vadības likuma 31.pants), kā arī, ja finansējuma saņēmējs ir </w:t>
            </w:r>
            <w:r>
              <w:rPr>
                <w:rFonts w:ascii="Times New Roman" w:hAnsi="Times New Roman" w:cs="Times New Roman"/>
                <w:bCs/>
                <w:sz w:val="24"/>
                <w:szCs w:val="24"/>
              </w:rPr>
              <w:lastRenderedPageBreak/>
              <w:t>tiešās vai pastarpinātās pārvaldes iestāde, atvasināta publiska persona vai cita valsts iestāde (Vadības likuma 32.pants).</w:t>
            </w:r>
          </w:p>
          <w:p w14:paraId="527944C0" w14:textId="68BBD385" w:rsidR="00C73D3F" w:rsidRPr="002928B3" w:rsidRDefault="00C73D3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Vienlaikus likumprojekts nosaka, ka gadījumos, </w:t>
            </w:r>
            <w:r w:rsidR="004E1870">
              <w:rPr>
                <w:rFonts w:ascii="Times New Roman" w:hAnsi="Times New Roman" w:cs="Times New Roman"/>
                <w:sz w:val="24"/>
                <w:szCs w:val="24"/>
              </w:rPr>
              <w:t xml:space="preserve">ja </w:t>
            </w:r>
            <w:r w:rsidR="004132EC" w:rsidRPr="00D812B2">
              <w:rPr>
                <w:rFonts w:ascii="Times New Roman" w:hAnsi="Times New Roman" w:cs="Times New Roman"/>
                <w:sz w:val="24"/>
                <w:szCs w:val="24"/>
                <w:lang w:eastAsia="ru-RU"/>
              </w:rPr>
              <w:t>lēmumu</w:t>
            </w:r>
            <w:r w:rsidR="004132EC">
              <w:rPr>
                <w:rFonts w:ascii="Times New Roman" w:hAnsi="Times New Roman" w:cs="Times New Roman"/>
                <w:sz w:val="24"/>
                <w:szCs w:val="24"/>
                <w:lang w:eastAsia="ru-RU"/>
              </w:rPr>
              <w:t xml:space="preserve"> </w:t>
            </w:r>
            <w:r w:rsidR="004132EC" w:rsidRPr="00355C7B">
              <w:rPr>
                <w:rFonts w:ascii="Times New Roman" w:eastAsia="Times New Roman" w:hAnsi="Times New Roman" w:cs="Times New Roman"/>
                <w:sz w:val="24"/>
                <w:szCs w:val="24"/>
                <w:lang w:eastAsia="ru-RU"/>
              </w:rPr>
              <w:t xml:space="preserve">sniegt komercdarbības atbalstu pieņem </w:t>
            </w:r>
            <w:r w:rsidR="004132EC" w:rsidRPr="00E5244E">
              <w:rPr>
                <w:rFonts w:ascii="Times New Roman" w:eastAsia="Times New Roman" w:hAnsi="Times New Roman" w:cs="Times New Roman"/>
                <w:sz w:val="24"/>
                <w:szCs w:val="24"/>
                <w:lang w:eastAsia="ru-RU"/>
              </w:rPr>
              <w:t xml:space="preserve">Saeima, Ministru kabinets vai tiesa, </w:t>
            </w:r>
            <w:r w:rsidR="004132EC" w:rsidRPr="00355C7B">
              <w:rPr>
                <w:rFonts w:ascii="Times New Roman" w:eastAsia="Times New Roman" w:hAnsi="Times New Roman" w:cs="Times New Roman"/>
                <w:sz w:val="24"/>
                <w:szCs w:val="24"/>
                <w:lang w:eastAsia="ru-RU"/>
              </w:rPr>
              <w:t xml:space="preserve">un komercdarbības atbalstu piešķirošajā tiesību aktā nav norādīta institūcija, kas nepieciešamības gadījumā veiktu </w:t>
            </w:r>
            <w:r w:rsidR="004132EC" w:rsidRPr="00E5244E">
              <w:rPr>
                <w:rFonts w:ascii="Times New Roman" w:eastAsia="Times New Roman" w:hAnsi="Times New Roman" w:cs="Times New Roman"/>
                <w:sz w:val="24"/>
                <w:szCs w:val="24"/>
                <w:lang w:eastAsia="ru-RU"/>
              </w:rPr>
              <w:t>nelikumīgā komercdarbības atbalsta atgūšanu</w:t>
            </w:r>
            <w:r w:rsidR="004132EC">
              <w:rPr>
                <w:rFonts w:ascii="Times New Roman" w:eastAsia="Times New Roman" w:hAnsi="Times New Roman" w:cs="Times New Roman"/>
                <w:sz w:val="24"/>
                <w:szCs w:val="24"/>
                <w:lang w:eastAsia="ru-RU"/>
              </w:rPr>
              <w:t>, to</w:t>
            </w:r>
            <w:r w:rsidR="004132EC" w:rsidRPr="00E5244E">
              <w:rPr>
                <w:rFonts w:ascii="Times New Roman" w:eastAsia="Times New Roman" w:hAnsi="Times New Roman" w:cs="Times New Roman"/>
                <w:sz w:val="24"/>
                <w:szCs w:val="24"/>
                <w:lang w:eastAsia="ru-RU"/>
              </w:rPr>
              <w:t xml:space="preserve"> nodrošina ministrija</w:t>
            </w:r>
            <w:r w:rsidR="004132EC" w:rsidRPr="001D2328">
              <w:rPr>
                <w:rFonts w:ascii="Times New Roman" w:eastAsia="Times New Roman" w:hAnsi="Times New Roman" w:cs="Times New Roman"/>
                <w:sz w:val="24"/>
                <w:szCs w:val="24"/>
                <w:lang w:eastAsia="ru-RU"/>
              </w:rPr>
              <w:t>,</w:t>
            </w:r>
            <w:r w:rsidR="004132EC" w:rsidRPr="00355C7B">
              <w:rPr>
                <w:rFonts w:ascii="Times New Roman" w:eastAsia="Times New Roman" w:hAnsi="Times New Roman" w:cs="Times New Roman"/>
                <w:sz w:val="24"/>
                <w:szCs w:val="24"/>
                <w:lang w:eastAsia="ru-RU"/>
              </w:rPr>
              <w:t xml:space="preserve"> kuras atbildības jomā lēmums pieņemts</w:t>
            </w:r>
            <w:r w:rsidR="004132EC" w:rsidRPr="001D2328">
              <w:rPr>
                <w:rFonts w:ascii="Times New Roman" w:eastAsia="Times New Roman" w:hAnsi="Times New Roman" w:cs="Times New Roman"/>
                <w:sz w:val="24"/>
                <w:szCs w:val="24"/>
                <w:lang w:eastAsia="ru-RU"/>
              </w:rPr>
              <w:t>.</w:t>
            </w:r>
            <w:r w:rsidR="004132EC">
              <w:rPr>
                <w:rFonts w:ascii="Times New Roman" w:eastAsia="Times New Roman" w:hAnsi="Times New Roman" w:cs="Times New Roman"/>
                <w:sz w:val="24"/>
                <w:szCs w:val="24"/>
                <w:lang w:eastAsia="ru-RU"/>
              </w:rPr>
              <w:t xml:space="preserve"> </w:t>
            </w:r>
            <w:r w:rsidR="00183309">
              <w:rPr>
                <w:rFonts w:ascii="Times New Roman" w:eastAsia="Times New Roman" w:hAnsi="Times New Roman" w:cs="Times New Roman"/>
                <w:sz w:val="24"/>
                <w:szCs w:val="24"/>
                <w:lang w:eastAsia="ru-RU"/>
              </w:rPr>
              <w:t xml:space="preserve">Ar </w:t>
            </w:r>
            <w:r w:rsidR="002928B3">
              <w:rPr>
                <w:rFonts w:ascii="Times New Roman" w:eastAsia="Times New Roman" w:hAnsi="Times New Roman" w:cs="Times New Roman"/>
                <w:sz w:val="24"/>
                <w:szCs w:val="24"/>
                <w:lang w:eastAsia="ru-RU"/>
              </w:rPr>
              <w:t>ministriju</w:t>
            </w:r>
            <w:r w:rsidR="004132EC">
              <w:rPr>
                <w:rFonts w:ascii="Times New Roman" w:eastAsia="Times New Roman" w:hAnsi="Times New Roman" w:cs="Times New Roman"/>
                <w:sz w:val="24"/>
                <w:szCs w:val="24"/>
                <w:lang w:eastAsia="ru-RU"/>
              </w:rPr>
              <w:t xml:space="preserve">, </w:t>
            </w:r>
            <w:r w:rsidR="004132EC" w:rsidRPr="00355C7B">
              <w:rPr>
                <w:rFonts w:ascii="Times New Roman" w:eastAsia="Times New Roman" w:hAnsi="Times New Roman" w:cs="Times New Roman"/>
                <w:sz w:val="24"/>
                <w:szCs w:val="24"/>
                <w:lang w:eastAsia="ru-RU"/>
              </w:rPr>
              <w:t>kuras atbildības jomā lēmums</w:t>
            </w:r>
            <w:r w:rsidR="004E1870" w:rsidRPr="00355C7B">
              <w:rPr>
                <w:rFonts w:ascii="Times New Roman" w:eastAsia="Times New Roman" w:hAnsi="Times New Roman" w:cs="Times New Roman"/>
                <w:sz w:val="24"/>
                <w:szCs w:val="24"/>
                <w:lang w:eastAsia="ru-RU"/>
              </w:rPr>
              <w:t xml:space="preserve"> sniegt komercdarbības atbalstu</w:t>
            </w:r>
            <w:r w:rsidR="004132EC" w:rsidRPr="00355C7B">
              <w:rPr>
                <w:rFonts w:ascii="Times New Roman" w:eastAsia="Times New Roman" w:hAnsi="Times New Roman" w:cs="Times New Roman"/>
                <w:sz w:val="24"/>
                <w:szCs w:val="24"/>
                <w:lang w:eastAsia="ru-RU"/>
              </w:rPr>
              <w:t xml:space="preserve"> pieņemts,</w:t>
            </w:r>
            <w:r w:rsidR="002928B3">
              <w:rPr>
                <w:rFonts w:ascii="Times New Roman" w:eastAsia="Times New Roman" w:hAnsi="Times New Roman" w:cs="Times New Roman"/>
                <w:sz w:val="24"/>
                <w:szCs w:val="24"/>
                <w:lang w:eastAsia="ru-RU"/>
              </w:rPr>
              <w:t xml:space="preserve"> likumprojekta ietvaros jāsaprot </w:t>
            </w:r>
            <w:r w:rsidR="004132EC">
              <w:rPr>
                <w:rFonts w:ascii="Times New Roman" w:eastAsia="Times New Roman" w:hAnsi="Times New Roman" w:cs="Times New Roman"/>
                <w:sz w:val="24"/>
                <w:szCs w:val="24"/>
                <w:lang w:eastAsia="ru-RU"/>
              </w:rPr>
              <w:t xml:space="preserve">attiecīgās nozares </w:t>
            </w:r>
            <w:r w:rsidR="002928B3">
              <w:rPr>
                <w:rFonts w:ascii="Times New Roman" w:eastAsia="Times New Roman" w:hAnsi="Times New Roman" w:cs="Times New Roman"/>
                <w:sz w:val="24"/>
                <w:szCs w:val="24"/>
                <w:lang w:eastAsia="ru-RU"/>
              </w:rPr>
              <w:t>ministrija, kuras kompetencē būtu attiecīgā komercdarbības atbalsta</w:t>
            </w:r>
            <w:r w:rsidR="004E144D">
              <w:rPr>
                <w:rFonts w:ascii="Times New Roman" w:eastAsia="Times New Roman" w:hAnsi="Times New Roman" w:cs="Times New Roman"/>
                <w:sz w:val="24"/>
                <w:szCs w:val="24"/>
                <w:lang w:eastAsia="ru-RU"/>
              </w:rPr>
              <w:t xml:space="preserve"> pasākuma ieviešana.</w:t>
            </w:r>
          </w:p>
          <w:p w14:paraId="114F62BA" w14:textId="77777777" w:rsidR="006858AB" w:rsidRPr="00F750D4" w:rsidRDefault="006858AB">
            <w:pPr>
              <w:spacing w:after="0" w:line="240" w:lineRule="auto"/>
              <w:jc w:val="both"/>
              <w:rPr>
                <w:rFonts w:ascii="Times New Roman" w:hAnsi="Times New Roman" w:cs="Times New Roman"/>
                <w:sz w:val="24"/>
                <w:szCs w:val="24"/>
              </w:rPr>
            </w:pPr>
          </w:p>
          <w:p w14:paraId="2D8B3F68" w14:textId="16CFABF0" w:rsidR="006858AB" w:rsidRDefault="004622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Vienlaikus likumprojekts paredz vairākus grozījumus, </w:t>
            </w:r>
            <w:r w:rsidR="009C1C26" w:rsidRPr="00355C7B">
              <w:rPr>
                <w:rFonts w:ascii="Times New Roman" w:hAnsi="Times New Roman" w:cs="Times New Roman"/>
                <w:b/>
                <w:bCs/>
                <w:sz w:val="24"/>
                <w:szCs w:val="24"/>
              </w:rPr>
              <w:t>nodrošin</w:t>
            </w:r>
            <w:r w:rsidRPr="00355C7B">
              <w:rPr>
                <w:rFonts w:ascii="Times New Roman" w:hAnsi="Times New Roman" w:cs="Times New Roman"/>
                <w:b/>
                <w:bCs/>
                <w:sz w:val="24"/>
                <w:szCs w:val="24"/>
              </w:rPr>
              <w:t>o</w:t>
            </w:r>
            <w:r w:rsidR="009C1C26" w:rsidRPr="00355C7B">
              <w:rPr>
                <w:rFonts w:ascii="Times New Roman" w:hAnsi="Times New Roman" w:cs="Times New Roman"/>
                <w:b/>
                <w:bCs/>
                <w:sz w:val="24"/>
                <w:szCs w:val="24"/>
              </w:rPr>
              <w:t>t atsevišķu KAKL ietverto normu skaidrību un viennozīmīgu interpretāciju</w:t>
            </w:r>
            <w:r>
              <w:rPr>
                <w:rFonts w:ascii="Times New Roman" w:hAnsi="Times New Roman" w:cs="Times New Roman"/>
                <w:b/>
                <w:bCs/>
                <w:sz w:val="24"/>
                <w:szCs w:val="24"/>
              </w:rPr>
              <w:t>:</w:t>
            </w:r>
          </w:p>
          <w:p w14:paraId="520C3758" w14:textId="77777777" w:rsidR="0046225A" w:rsidRPr="00355C7B" w:rsidRDefault="0046225A">
            <w:pPr>
              <w:spacing w:after="0" w:line="240" w:lineRule="auto"/>
              <w:jc w:val="both"/>
              <w:rPr>
                <w:rFonts w:ascii="Times New Roman" w:hAnsi="Times New Roman" w:cs="Times New Roman"/>
                <w:b/>
                <w:bCs/>
                <w:sz w:val="24"/>
                <w:szCs w:val="24"/>
              </w:rPr>
            </w:pPr>
          </w:p>
          <w:p w14:paraId="5CEE8F7A" w14:textId="6CC0E7A9" w:rsidR="00C6519B" w:rsidRPr="00355C7B" w:rsidRDefault="0046225A" w:rsidP="00355C7B">
            <w:pPr>
              <w:pStyle w:val="ListParagraph"/>
              <w:numPr>
                <w:ilvl w:val="0"/>
                <w:numId w:val="3"/>
              </w:numPr>
              <w:tabs>
                <w:tab w:val="left" w:pos="400"/>
              </w:tabs>
              <w:ind w:left="0" w:firstLine="0"/>
              <w:jc w:val="both"/>
              <w:rPr>
                <w:b/>
                <w:iCs/>
                <w:sz w:val="24"/>
                <w:szCs w:val="24"/>
              </w:rPr>
            </w:pPr>
            <w:r w:rsidRPr="00355C7B">
              <w:rPr>
                <w:b/>
                <w:iCs/>
                <w:sz w:val="24"/>
                <w:szCs w:val="24"/>
              </w:rPr>
              <w:t xml:space="preserve">Likumprojekts </w:t>
            </w:r>
            <w:r w:rsidR="009C1C26" w:rsidRPr="00355C7B">
              <w:rPr>
                <w:b/>
                <w:iCs/>
                <w:sz w:val="24"/>
                <w:szCs w:val="24"/>
              </w:rPr>
              <w:t>ievieš papildus definīcijas korektai komercdarbības atbalsta kontroles prasību piemērošanai</w:t>
            </w:r>
            <w:r w:rsidR="006A3742" w:rsidRPr="007914F5">
              <w:rPr>
                <w:iCs/>
                <w:sz w:val="24"/>
                <w:szCs w:val="24"/>
              </w:rPr>
              <w:t xml:space="preserve">, piemēram, tiek ieviesta </w:t>
            </w:r>
            <w:proofErr w:type="spellStart"/>
            <w:r w:rsidR="006A3742" w:rsidRPr="007914F5">
              <w:rPr>
                <w:i/>
                <w:iCs/>
                <w:sz w:val="24"/>
                <w:szCs w:val="24"/>
              </w:rPr>
              <w:t>ad-hoc</w:t>
            </w:r>
            <w:proofErr w:type="spellEnd"/>
            <w:r w:rsidR="006A3742" w:rsidRPr="007914F5">
              <w:rPr>
                <w:iCs/>
                <w:sz w:val="24"/>
                <w:szCs w:val="24"/>
              </w:rPr>
              <w:t xml:space="preserve"> atbalsta, individuālā atbalsta un atbalsta programmas definīcija skaidrai un viennozīmīgai minēto komercdarbības atbalsta jomas terminu izpratnei</w:t>
            </w:r>
            <w:r w:rsidR="00AD0202">
              <w:rPr>
                <w:iCs/>
                <w:sz w:val="24"/>
                <w:szCs w:val="24"/>
              </w:rPr>
              <w:t xml:space="preserve"> un nošķiršanai</w:t>
            </w:r>
            <w:r w:rsidR="006A3742" w:rsidRPr="007914F5">
              <w:rPr>
                <w:iCs/>
                <w:sz w:val="24"/>
                <w:szCs w:val="24"/>
              </w:rPr>
              <w:t>. Proti, ar terminu “</w:t>
            </w:r>
            <w:proofErr w:type="spellStart"/>
            <w:r w:rsidR="006A3742" w:rsidRPr="007914F5">
              <w:rPr>
                <w:i/>
                <w:iCs/>
                <w:sz w:val="24"/>
                <w:szCs w:val="24"/>
              </w:rPr>
              <w:t>ad-hoc</w:t>
            </w:r>
            <w:proofErr w:type="spellEnd"/>
            <w:r w:rsidR="006A3742" w:rsidRPr="007914F5">
              <w:rPr>
                <w:iCs/>
                <w:sz w:val="24"/>
                <w:szCs w:val="24"/>
              </w:rPr>
              <w:t xml:space="preserve"> atbalsts” tiek saprasts tāds komercdarbības atbalsts,</w:t>
            </w:r>
            <w:r w:rsidR="006A3742">
              <w:rPr>
                <w:iCs/>
                <w:sz w:val="24"/>
                <w:szCs w:val="24"/>
              </w:rPr>
              <w:t xml:space="preserve"> kas</w:t>
            </w:r>
            <w:r w:rsidR="006A3742" w:rsidRPr="007914F5">
              <w:rPr>
                <w:iCs/>
                <w:sz w:val="24"/>
                <w:szCs w:val="24"/>
              </w:rPr>
              <w:t xml:space="preserve"> konkrētam atbalsta saņēmējam </w:t>
            </w:r>
            <w:r w:rsidR="00D15A00">
              <w:rPr>
                <w:iCs/>
                <w:sz w:val="24"/>
                <w:szCs w:val="24"/>
              </w:rPr>
              <w:t>ne</w:t>
            </w:r>
            <w:r w:rsidR="006A3742" w:rsidRPr="007914F5">
              <w:rPr>
                <w:iCs/>
                <w:sz w:val="24"/>
                <w:szCs w:val="24"/>
              </w:rPr>
              <w:t xml:space="preserve">tiek </w:t>
            </w:r>
            <w:r w:rsidR="00D15A00">
              <w:rPr>
                <w:iCs/>
                <w:sz w:val="24"/>
                <w:szCs w:val="24"/>
              </w:rPr>
              <w:t>p</w:t>
            </w:r>
            <w:r w:rsidR="006A3742" w:rsidRPr="007914F5">
              <w:rPr>
                <w:iCs/>
                <w:sz w:val="24"/>
                <w:szCs w:val="24"/>
              </w:rPr>
              <w:t>iešķirts atbalsta programmas</w:t>
            </w:r>
            <w:r w:rsidR="00D15A00">
              <w:rPr>
                <w:iCs/>
                <w:sz w:val="24"/>
                <w:szCs w:val="24"/>
              </w:rPr>
              <w:t xml:space="preserve"> ietvaros</w:t>
            </w:r>
            <w:r w:rsidR="00B26A34">
              <w:rPr>
                <w:iCs/>
                <w:sz w:val="24"/>
                <w:szCs w:val="24"/>
              </w:rPr>
              <w:t>, piemēram, ar atsevišķu Ministru kabineta rīkojumu vai pašvaldības domes lēmumu konkrētai komercsabiedrībai piešķirts komercdarbības atbalsts</w:t>
            </w:r>
            <w:r w:rsidR="006A3742">
              <w:rPr>
                <w:iCs/>
                <w:sz w:val="24"/>
                <w:szCs w:val="24"/>
              </w:rPr>
              <w:t xml:space="preserve">. Savukārt ar terminu “atbalsta programma” saprot </w:t>
            </w:r>
            <w:r w:rsidR="006A3742">
              <w:rPr>
                <w:sz w:val="24"/>
                <w:szCs w:val="24"/>
                <w:lang w:eastAsia="ru-RU"/>
              </w:rPr>
              <w:t>normatīvo aktu vai aktus</w:t>
            </w:r>
            <w:r w:rsidR="006A3742" w:rsidRPr="004628EE">
              <w:rPr>
                <w:bCs/>
                <w:sz w:val="24"/>
                <w:szCs w:val="24"/>
                <w:lang w:eastAsia="ru-RU"/>
              </w:rPr>
              <w:t>, uz kuru pamata var piešķirt individuālu atbalstu komercsabiedrībām, pamatojoties uz tajos ietvertajiem nosacījumiem</w:t>
            </w:r>
            <w:r w:rsidR="006A3742">
              <w:rPr>
                <w:bCs/>
                <w:sz w:val="24"/>
                <w:szCs w:val="24"/>
                <w:lang w:eastAsia="ru-RU"/>
              </w:rPr>
              <w:t>; attiecīgi ar terminu “individuālais atbalsts”</w:t>
            </w:r>
            <w:r w:rsidR="006A3742">
              <w:rPr>
                <w:iCs/>
                <w:sz w:val="24"/>
                <w:szCs w:val="24"/>
              </w:rPr>
              <w:t xml:space="preserve"> saprot tādu komercdarbības atbalstu, ko piešķir atbalsta programmas ietvaros</w:t>
            </w:r>
            <w:r w:rsidR="00B26A34">
              <w:rPr>
                <w:iCs/>
                <w:sz w:val="24"/>
                <w:szCs w:val="24"/>
              </w:rPr>
              <w:t xml:space="preserve"> komercsabiedr</w:t>
            </w:r>
            <w:r w:rsidR="008218DB">
              <w:rPr>
                <w:iCs/>
                <w:sz w:val="24"/>
                <w:szCs w:val="24"/>
              </w:rPr>
              <w:t>ībām</w:t>
            </w:r>
            <w:r w:rsidR="00E01CD4">
              <w:rPr>
                <w:iCs/>
                <w:sz w:val="24"/>
                <w:szCs w:val="24"/>
              </w:rPr>
              <w:t>, t.sk. iepriekš atbalsta programmā nedefinētām.</w:t>
            </w:r>
            <w:r w:rsidR="00B26A34">
              <w:rPr>
                <w:iCs/>
                <w:sz w:val="24"/>
                <w:szCs w:val="24"/>
              </w:rPr>
              <w:t xml:space="preserve"> </w:t>
            </w:r>
            <w:r w:rsidR="00E01CD4">
              <w:rPr>
                <w:iCs/>
                <w:sz w:val="24"/>
                <w:szCs w:val="24"/>
              </w:rPr>
              <w:t>P</w:t>
            </w:r>
            <w:r w:rsidR="00B26A34">
              <w:rPr>
                <w:iCs/>
                <w:sz w:val="24"/>
                <w:szCs w:val="24"/>
              </w:rPr>
              <w:t>iemēram, nozares ministrijas izstrādāta atbalsta programma, kas ieviesta ar Ministru kabineta noteikumiem, vai pašvaldības domes izstrādāta atbalsta programma, kas ieviesta ar pašvaldības saistošajiem noteikumiem, un kuru ietvaros atbalsta programmā noteiktais atbalsta sniedzējs sniedz individuālu atbalstu komercsabiedrībām</w:t>
            </w:r>
            <w:r w:rsidR="00E01CD4">
              <w:rPr>
                <w:iCs/>
                <w:sz w:val="24"/>
                <w:szCs w:val="24"/>
              </w:rPr>
              <w:t>.</w:t>
            </w:r>
          </w:p>
          <w:p w14:paraId="60ED0269" w14:textId="19C14F45" w:rsidR="00C6519B" w:rsidRPr="00355C7B" w:rsidRDefault="0046225A" w:rsidP="00355C7B">
            <w:pPr>
              <w:pStyle w:val="ListParagraph"/>
              <w:numPr>
                <w:ilvl w:val="0"/>
                <w:numId w:val="3"/>
              </w:numPr>
              <w:tabs>
                <w:tab w:val="left" w:pos="310"/>
              </w:tabs>
              <w:ind w:left="0" w:firstLine="0"/>
              <w:jc w:val="both"/>
              <w:rPr>
                <w:b/>
                <w:iCs/>
                <w:sz w:val="24"/>
                <w:szCs w:val="24"/>
              </w:rPr>
            </w:pPr>
            <w:r w:rsidRPr="00355C7B">
              <w:rPr>
                <w:b/>
                <w:iCs/>
                <w:sz w:val="24"/>
                <w:szCs w:val="24"/>
              </w:rPr>
              <w:t>L</w:t>
            </w:r>
            <w:r w:rsidR="00C6519B" w:rsidRPr="00355C7B">
              <w:rPr>
                <w:b/>
                <w:iCs/>
                <w:sz w:val="24"/>
                <w:szCs w:val="24"/>
              </w:rPr>
              <w:t>ikumprojekts</w:t>
            </w:r>
            <w:r w:rsidR="00F750D4" w:rsidRPr="00355C7B">
              <w:rPr>
                <w:b/>
                <w:iCs/>
                <w:sz w:val="24"/>
                <w:szCs w:val="24"/>
              </w:rPr>
              <w:t xml:space="preserve"> paredz grozījumus KAKL 3. pantā</w:t>
            </w:r>
            <w:r w:rsidRPr="00355C7B">
              <w:rPr>
                <w:b/>
                <w:iCs/>
                <w:sz w:val="24"/>
                <w:szCs w:val="24"/>
              </w:rPr>
              <w:t xml:space="preserve">, </w:t>
            </w:r>
            <w:r w:rsidR="00F750D4" w:rsidRPr="00355C7B">
              <w:rPr>
                <w:b/>
                <w:iCs/>
                <w:sz w:val="24"/>
                <w:szCs w:val="24"/>
              </w:rPr>
              <w:t>skaidrāk no</w:t>
            </w:r>
            <w:r w:rsidRPr="00355C7B">
              <w:rPr>
                <w:b/>
                <w:iCs/>
                <w:sz w:val="24"/>
                <w:szCs w:val="24"/>
              </w:rPr>
              <w:t>sa</w:t>
            </w:r>
            <w:r w:rsidR="00F750D4" w:rsidRPr="00355C7B">
              <w:rPr>
                <w:b/>
                <w:iCs/>
                <w:sz w:val="24"/>
                <w:szCs w:val="24"/>
              </w:rPr>
              <w:t>k</w:t>
            </w:r>
            <w:r w:rsidRPr="00355C7B">
              <w:rPr>
                <w:b/>
                <w:iCs/>
                <w:sz w:val="24"/>
                <w:szCs w:val="24"/>
              </w:rPr>
              <w:t>ot</w:t>
            </w:r>
            <w:r w:rsidR="00F750D4" w:rsidRPr="00355C7B">
              <w:rPr>
                <w:b/>
                <w:iCs/>
                <w:sz w:val="24"/>
                <w:szCs w:val="24"/>
              </w:rPr>
              <w:t xml:space="preserve"> KAKL darbības jomu</w:t>
            </w:r>
            <w:r w:rsidRPr="00355C7B">
              <w:rPr>
                <w:b/>
                <w:iCs/>
                <w:sz w:val="24"/>
                <w:szCs w:val="24"/>
              </w:rPr>
              <w:t>.</w:t>
            </w:r>
          </w:p>
          <w:p w14:paraId="4A1470BD" w14:textId="40697FE8" w:rsidR="00F750D4" w:rsidRPr="00355C7B" w:rsidRDefault="0046225A" w:rsidP="00355C7B">
            <w:pPr>
              <w:pStyle w:val="ListParagraph"/>
              <w:numPr>
                <w:ilvl w:val="0"/>
                <w:numId w:val="3"/>
              </w:numPr>
              <w:tabs>
                <w:tab w:val="left" w:pos="310"/>
              </w:tabs>
              <w:ind w:left="0" w:hanging="34"/>
              <w:jc w:val="both"/>
              <w:rPr>
                <w:b/>
                <w:iCs/>
                <w:sz w:val="24"/>
                <w:szCs w:val="24"/>
              </w:rPr>
            </w:pPr>
            <w:r w:rsidRPr="00355C7B">
              <w:rPr>
                <w:b/>
                <w:iCs/>
                <w:sz w:val="24"/>
                <w:szCs w:val="24"/>
              </w:rPr>
              <w:t>L</w:t>
            </w:r>
            <w:r w:rsidR="00F750D4" w:rsidRPr="00355C7B">
              <w:rPr>
                <w:b/>
                <w:iCs/>
                <w:sz w:val="24"/>
                <w:szCs w:val="24"/>
              </w:rPr>
              <w:t>ikumprojekts precizē KAKL</w:t>
            </w:r>
            <w:r w:rsidR="000D7218" w:rsidRPr="00355C7B">
              <w:rPr>
                <w:b/>
                <w:iCs/>
                <w:sz w:val="24"/>
                <w:szCs w:val="24"/>
              </w:rPr>
              <w:t xml:space="preserve"> 5. pantā noteiktās komercdarbības atbalstu raksturojošās pazīmes, lai nodrošinātu to atbilstību Līguma par Eiropas </w:t>
            </w:r>
            <w:r w:rsidR="000D7218" w:rsidRPr="00355C7B">
              <w:rPr>
                <w:b/>
                <w:iCs/>
                <w:sz w:val="24"/>
                <w:szCs w:val="24"/>
              </w:rPr>
              <w:lastRenderedPageBreak/>
              <w:t>Savienības 107. panta 1. punkta aktuālajai Eiropas Savienības tiesas judikatūrai un Eiropas Komisijas lēmumu praksei.</w:t>
            </w:r>
          </w:p>
          <w:p w14:paraId="0D35D8E8" w14:textId="058D4C9C" w:rsidR="00BE3C86" w:rsidRPr="00A606E1" w:rsidRDefault="00137FD4" w:rsidP="00137FD4">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Ar l</w:t>
            </w:r>
            <w:r w:rsidR="005E6FD7" w:rsidRPr="00C36608">
              <w:rPr>
                <w:rFonts w:ascii="Times New Roman" w:hAnsi="Times New Roman" w:cs="Times New Roman"/>
                <w:iCs/>
                <w:sz w:val="24"/>
                <w:szCs w:val="24"/>
              </w:rPr>
              <w:t>ikumprojekt</w:t>
            </w:r>
            <w:r>
              <w:rPr>
                <w:rFonts w:ascii="Times New Roman" w:hAnsi="Times New Roman" w:cs="Times New Roman"/>
                <w:iCs/>
                <w:sz w:val="24"/>
                <w:szCs w:val="24"/>
              </w:rPr>
              <w:t>u</w:t>
            </w:r>
            <w:r w:rsidR="005E6FD7" w:rsidRPr="00C36608">
              <w:rPr>
                <w:rFonts w:ascii="Times New Roman" w:hAnsi="Times New Roman" w:cs="Times New Roman"/>
                <w:iCs/>
                <w:sz w:val="24"/>
                <w:szCs w:val="24"/>
              </w:rPr>
              <w:t xml:space="preserve"> precizētais KAKL 5. pants</w:t>
            </w:r>
            <w:r w:rsidR="005E6FD7" w:rsidRPr="00D01280">
              <w:rPr>
                <w:rFonts w:ascii="Times New Roman" w:hAnsi="Times New Roman" w:cs="Times New Roman"/>
                <w:iCs/>
                <w:sz w:val="24"/>
                <w:szCs w:val="24"/>
              </w:rPr>
              <w:t xml:space="preserve"> skaidrāk nosaka</w:t>
            </w:r>
            <w:r w:rsidR="005E6FD7" w:rsidRPr="00536673">
              <w:rPr>
                <w:rFonts w:ascii="Times New Roman" w:hAnsi="Times New Roman" w:cs="Times New Roman"/>
                <w:iCs/>
                <w:sz w:val="24"/>
                <w:szCs w:val="24"/>
              </w:rPr>
              <w:t xml:space="preserve">, kas likuma ietvaros tiek saprasts ar jēdzienu “komercdarbības </w:t>
            </w:r>
            <w:r w:rsidR="005E6FD7" w:rsidRPr="00137FD4">
              <w:rPr>
                <w:rFonts w:ascii="Times New Roman" w:hAnsi="Times New Roman" w:cs="Times New Roman"/>
                <w:iCs/>
                <w:sz w:val="24"/>
                <w:szCs w:val="24"/>
              </w:rPr>
              <w:t>atbalsts”</w:t>
            </w:r>
            <w:r w:rsidRPr="001B1C11">
              <w:rPr>
                <w:rFonts w:ascii="Times New Roman" w:hAnsi="Times New Roman" w:cs="Times New Roman"/>
                <w:iCs/>
                <w:sz w:val="24"/>
                <w:szCs w:val="24"/>
              </w:rPr>
              <w:t>.</w:t>
            </w:r>
            <w:r w:rsidRPr="001B1C11" w:rsidDel="00137FD4">
              <w:rPr>
                <w:rFonts w:ascii="Times New Roman" w:hAnsi="Times New Roman" w:cs="Times New Roman"/>
                <w:iCs/>
                <w:sz w:val="24"/>
                <w:szCs w:val="24"/>
              </w:rPr>
              <w:t xml:space="preserve"> </w:t>
            </w:r>
            <w:r w:rsidRPr="00137FD4">
              <w:rPr>
                <w:rFonts w:ascii="Times New Roman" w:hAnsi="Times New Roman" w:cs="Times New Roman"/>
                <w:iCs/>
                <w:sz w:val="24"/>
                <w:szCs w:val="24"/>
              </w:rPr>
              <w:t>A</w:t>
            </w:r>
            <w:r w:rsidR="006B1621" w:rsidRPr="00137FD4">
              <w:rPr>
                <w:rFonts w:ascii="Times New Roman" w:hAnsi="Times New Roman" w:cs="Times New Roman"/>
                <w:iCs/>
                <w:sz w:val="24"/>
                <w:szCs w:val="24"/>
              </w:rPr>
              <w:t>ttiecībā</w:t>
            </w:r>
            <w:r w:rsidR="006B1621">
              <w:rPr>
                <w:rFonts w:ascii="Times New Roman" w:hAnsi="Times New Roman" w:cs="Times New Roman"/>
                <w:iCs/>
                <w:sz w:val="24"/>
                <w:szCs w:val="24"/>
              </w:rPr>
              <w:t xml:space="preserve"> uz KAKL 5.panta 1.punktā ietverto pirmo komercdarbības atbalsta pazīmi jānorāda, ka, “</w:t>
            </w:r>
            <w:r w:rsidR="006B1621" w:rsidRPr="001B1C11">
              <w:rPr>
                <w:rFonts w:ascii="Times New Roman" w:hAnsi="Times New Roman" w:cs="Times New Roman"/>
                <w:i/>
                <w:iCs/>
                <w:sz w:val="24"/>
                <w:szCs w:val="24"/>
              </w:rPr>
              <w:t>lai priekšrocības varētu tikt kvalificētas par “atbalstu” LESD 107. panta 1. punkta izpratnē, pirmkārt, tām ir jābūt tieši vai netieši piešķirtām no valsts līdzekļiem un, otrkārt, tām ir jābūt attiecināmām uz valsti</w:t>
            </w:r>
            <w:r w:rsidR="006B1621">
              <w:rPr>
                <w:rFonts w:ascii="Times New Roman" w:hAnsi="Times New Roman" w:cs="Times New Roman"/>
                <w:iCs/>
                <w:sz w:val="24"/>
                <w:szCs w:val="24"/>
              </w:rPr>
              <w:t>” (skat., piemēram, 2017.gada 13.septembra Vispārējās tiesas sprieduma Lietas C-</w:t>
            </w:r>
            <w:r w:rsidR="006B1621" w:rsidRPr="006B1621">
              <w:rPr>
                <w:rFonts w:ascii="Times New Roman" w:hAnsi="Times New Roman" w:cs="Times New Roman"/>
                <w:iCs/>
                <w:sz w:val="24"/>
                <w:szCs w:val="24"/>
              </w:rPr>
              <w:t>329/15</w:t>
            </w:r>
            <w:r w:rsidR="006B1621">
              <w:rPr>
                <w:rFonts w:ascii="Times New Roman" w:hAnsi="Times New Roman" w:cs="Times New Roman"/>
                <w:iCs/>
                <w:sz w:val="24"/>
                <w:szCs w:val="24"/>
              </w:rPr>
              <w:t xml:space="preserve"> 20.punktu), līdz ar to ar</w:t>
            </w:r>
            <w:r w:rsidR="00FC68CF">
              <w:rPr>
                <w:rFonts w:ascii="Times New Roman" w:hAnsi="Times New Roman" w:cs="Times New Roman"/>
                <w:iCs/>
                <w:sz w:val="24"/>
                <w:szCs w:val="24"/>
              </w:rPr>
              <w:t xml:space="preserve"> likumprojektu</w:t>
            </w:r>
            <w:r w:rsidR="006B1621">
              <w:rPr>
                <w:rFonts w:ascii="Times New Roman" w:hAnsi="Times New Roman" w:cs="Times New Roman"/>
                <w:iCs/>
                <w:sz w:val="24"/>
                <w:szCs w:val="24"/>
              </w:rPr>
              <w:t xml:space="preserve"> tiek</w:t>
            </w:r>
            <w:r w:rsidR="00FC68CF">
              <w:rPr>
                <w:rFonts w:ascii="Times New Roman" w:hAnsi="Times New Roman" w:cs="Times New Roman"/>
                <w:iCs/>
                <w:sz w:val="24"/>
                <w:szCs w:val="24"/>
              </w:rPr>
              <w:t xml:space="preserve"> </w:t>
            </w:r>
            <w:r w:rsidR="00FC68CF" w:rsidRPr="00C36608">
              <w:rPr>
                <w:rFonts w:ascii="Times New Roman" w:hAnsi="Times New Roman" w:cs="Times New Roman"/>
                <w:iCs/>
                <w:sz w:val="24"/>
                <w:szCs w:val="24"/>
              </w:rPr>
              <w:t>precizēt</w:t>
            </w:r>
            <w:r w:rsidR="006B1621">
              <w:rPr>
                <w:rFonts w:ascii="Times New Roman" w:hAnsi="Times New Roman" w:cs="Times New Roman"/>
                <w:iCs/>
                <w:sz w:val="24"/>
                <w:szCs w:val="24"/>
              </w:rPr>
              <w:t>s</w:t>
            </w:r>
            <w:r w:rsidR="00FC68CF" w:rsidRPr="00C36608">
              <w:rPr>
                <w:rFonts w:ascii="Times New Roman" w:hAnsi="Times New Roman" w:cs="Times New Roman"/>
                <w:iCs/>
                <w:sz w:val="24"/>
                <w:szCs w:val="24"/>
              </w:rPr>
              <w:t xml:space="preserve"> KAKL 5. pant</w:t>
            </w:r>
            <w:r w:rsidR="004C7A63">
              <w:rPr>
                <w:rFonts w:ascii="Times New Roman" w:hAnsi="Times New Roman" w:cs="Times New Roman"/>
                <w:iCs/>
                <w:sz w:val="24"/>
                <w:szCs w:val="24"/>
              </w:rPr>
              <w:t>a 1. punkts</w:t>
            </w:r>
            <w:r w:rsidR="006B1621">
              <w:rPr>
                <w:rFonts w:ascii="Times New Roman" w:hAnsi="Times New Roman" w:cs="Times New Roman"/>
                <w:iCs/>
                <w:sz w:val="24"/>
                <w:szCs w:val="24"/>
              </w:rPr>
              <w:t>, papildinot to ar būtisku pazīmi</w:t>
            </w:r>
            <w:r w:rsidR="00FC68CF">
              <w:rPr>
                <w:rFonts w:ascii="Times New Roman" w:hAnsi="Times New Roman" w:cs="Times New Roman"/>
                <w:iCs/>
                <w:sz w:val="24"/>
                <w:szCs w:val="24"/>
              </w:rPr>
              <w:t xml:space="preserve"> </w:t>
            </w:r>
            <w:r w:rsidR="00FC68CF" w:rsidRPr="001838E1">
              <w:rPr>
                <w:rFonts w:ascii="Times New Roman" w:hAnsi="Times New Roman" w:cs="Times New Roman"/>
                <w:iCs/>
                <w:sz w:val="24"/>
                <w:szCs w:val="24"/>
              </w:rPr>
              <w:t xml:space="preserve">– </w:t>
            </w:r>
            <w:r w:rsidR="00FC68CF" w:rsidRPr="00E51797">
              <w:rPr>
                <w:rFonts w:ascii="Times New Roman" w:hAnsi="Times New Roman" w:cs="Times New Roman"/>
                <w:color w:val="000000"/>
                <w:sz w:val="24"/>
                <w:szCs w:val="24"/>
              </w:rPr>
              <w:t>valsts atbildība par atbalstu</w:t>
            </w:r>
            <w:r w:rsidR="006B1621">
              <w:rPr>
                <w:rFonts w:ascii="Times New Roman" w:hAnsi="Times New Roman" w:cs="Times New Roman"/>
                <w:color w:val="000000"/>
                <w:sz w:val="24"/>
                <w:szCs w:val="24"/>
              </w:rPr>
              <w:t xml:space="preserve"> – skaidrākai šīs komercdarbības atbalsta pazīmes uztveramībai</w:t>
            </w:r>
            <w:r w:rsidR="00FC68CF" w:rsidRPr="00E51797">
              <w:rPr>
                <w:rFonts w:ascii="Times New Roman" w:hAnsi="Times New Roman" w:cs="Times New Roman"/>
                <w:color w:val="000000"/>
                <w:sz w:val="24"/>
                <w:szCs w:val="24"/>
              </w:rPr>
              <w:t>.</w:t>
            </w:r>
            <w:r w:rsidR="006B1621">
              <w:rPr>
                <w:rFonts w:ascii="Times New Roman" w:hAnsi="Times New Roman" w:cs="Times New Roman"/>
                <w:color w:val="000000"/>
                <w:sz w:val="24"/>
                <w:szCs w:val="24"/>
              </w:rPr>
              <w:t xml:space="preserve"> </w:t>
            </w:r>
            <w:r w:rsidR="00FC68CF" w:rsidRPr="001838E1">
              <w:rPr>
                <w:rFonts w:ascii="Times New Roman" w:hAnsi="Times New Roman" w:cs="Times New Roman"/>
                <w:iCs/>
                <w:sz w:val="24"/>
                <w:szCs w:val="24"/>
              </w:rPr>
              <w:t xml:space="preserve"> “</w:t>
            </w:r>
            <w:r w:rsidR="00FC68CF" w:rsidRPr="00E51797">
              <w:rPr>
                <w:rFonts w:ascii="Times New Roman" w:hAnsi="Times New Roman" w:cs="Times New Roman"/>
                <w:i/>
                <w:iCs/>
                <w:sz w:val="24"/>
                <w:szCs w:val="24"/>
              </w:rPr>
              <w:t>V</w:t>
            </w:r>
            <w:r w:rsidR="00FC68CF" w:rsidRPr="00E51797">
              <w:rPr>
                <w:rFonts w:ascii="Times New Roman" w:hAnsi="Times New Roman" w:cs="Times New Roman"/>
                <w:i/>
                <w:color w:val="000000"/>
                <w:sz w:val="24"/>
                <w:szCs w:val="24"/>
              </w:rPr>
              <w:t>alsts atbildība par atbalstu ir jānodala no jautājuma par to, vai atbalsts ir piešķirts no valsts līdzekļiem. No judikatūras izriet, ka runa ir par atšķirīgiem un kumulatīviem nosacījumiem</w:t>
            </w:r>
            <w:r w:rsidR="00FC68CF" w:rsidRPr="00E51797">
              <w:rPr>
                <w:rFonts w:ascii="Times New Roman" w:hAnsi="Times New Roman" w:cs="Times New Roman"/>
                <w:color w:val="000000"/>
                <w:sz w:val="24"/>
                <w:szCs w:val="24"/>
              </w:rPr>
              <w:t xml:space="preserve">” </w:t>
            </w:r>
            <w:r w:rsidR="00FC68CF" w:rsidRPr="001838E1">
              <w:rPr>
                <w:rFonts w:ascii="Times New Roman" w:hAnsi="Times New Roman" w:cs="Times New Roman"/>
                <w:iCs/>
                <w:sz w:val="24"/>
                <w:szCs w:val="24"/>
              </w:rPr>
              <w:t xml:space="preserve">(skat., piemēram, </w:t>
            </w:r>
            <w:r w:rsidR="00FC68CF" w:rsidRPr="00E51797">
              <w:rPr>
                <w:rFonts w:ascii="Times New Roman" w:hAnsi="Times New Roman" w:cs="Times New Roman"/>
                <w:color w:val="444444"/>
                <w:sz w:val="24"/>
                <w:szCs w:val="24"/>
                <w:shd w:val="clear" w:color="auto" w:fill="FFFFFF"/>
              </w:rPr>
              <w:t>Vispārējās tiesas 2006. gada 5. aprīļa spriedumu </w:t>
            </w:r>
            <w:r w:rsidR="00FC68CF" w:rsidRPr="00E51797">
              <w:rPr>
                <w:rStyle w:val="italic"/>
                <w:rFonts w:ascii="Times New Roman" w:hAnsi="Times New Roman" w:cs="Times New Roman"/>
                <w:i/>
                <w:iCs/>
                <w:color w:val="444444"/>
                <w:sz w:val="24"/>
                <w:szCs w:val="24"/>
                <w:shd w:val="clear" w:color="auto" w:fill="FFFFFF"/>
              </w:rPr>
              <w:t>Deutsche Bahn AG</w:t>
            </w:r>
            <w:r w:rsidR="00FC68CF" w:rsidRPr="00E51797">
              <w:rPr>
                <w:rFonts w:ascii="Times New Roman" w:hAnsi="Times New Roman" w:cs="Times New Roman"/>
                <w:color w:val="444444"/>
                <w:sz w:val="24"/>
                <w:szCs w:val="24"/>
                <w:shd w:val="clear" w:color="auto" w:fill="FFFFFF"/>
              </w:rPr>
              <w:t>/Komisija, T-351/02, ECLI:EU:T:2006:104, 103. punktu</w:t>
            </w:r>
            <w:r w:rsidR="00FC68CF" w:rsidRPr="001838E1">
              <w:rPr>
                <w:rFonts w:ascii="Times New Roman" w:hAnsi="Times New Roman" w:cs="Times New Roman"/>
                <w:iCs/>
                <w:sz w:val="24"/>
                <w:szCs w:val="24"/>
              </w:rPr>
              <w:t>).</w:t>
            </w:r>
            <w:r w:rsidR="00FC68CF">
              <w:rPr>
                <w:rFonts w:ascii="Times New Roman" w:hAnsi="Times New Roman" w:cs="Times New Roman"/>
                <w:iCs/>
                <w:sz w:val="24"/>
                <w:szCs w:val="24"/>
              </w:rPr>
              <w:t xml:space="preserve"> </w:t>
            </w:r>
            <w:r w:rsidR="001E1167" w:rsidRPr="0028402E">
              <w:rPr>
                <w:rFonts w:ascii="Times New Roman" w:hAnsi="Times New Roman" w:cs="Times New Roman"/>
                <w:iCs/>
                <w:sz w:val="24"/>
                <w:szCs w:val="24"/>
              </w:rPr>
              <w:t xml:space="preserve">Gadījumos, kad publiskā iestāde piešķir priekšrocību kādam saņēmējam, pasākums pēc definīcijas ir attiecināms uz valsti, pat ja attiecīgā iestāde ir juridiski autonoma no citām publiskajām </w:t>
            </w:r>
            <w:r w:rsidR="001E1167" w:rsidRPr="00A606E1">
              <w:rPr>
                <w:rFonts w:ascii="Times New Roman" w:hAnsi="Times New Roman" w:cs="Times New Roman"/>
                <w:iCs/>
                <w:sz w:val="24"/>
                <w:szCs w:val="24"/>
              </w:rPr>
              <w:t>iestādēm. Tas pats attiecas uz gadījumiem, kad publiskā iestāde priekšrocību piešķirošā pasākuma pārvaldībai norīko privātu vai publisku subjektu </w:t>
            </w:r>
            <w:r w:rsidR="001838E1" w:rsidRPr="00A606E1">
              <w:rPr>
                <w:rFonts w:ascii="Times New Roman" w:hAnsi="Times New Roman" w:cs="Times New Roman"/>
                <w:iCs/>
                <w:sz w:val="24"/>
                <w:szCs w:val="24"/>
              </w:rPr>
              <w:t>(sk., piemēram</w:t>
            </w:r>
            <w:r w:rsidR="001838E1" w:rsidRPr="00355C7B">
              <w:rPr>
                <w:rFonts w:ascii="Times New Roman" w:hAnsi="Times New Roman" w:cs="Times New Roman"/>
                <w:sz w:val="24"/>
                <w:szCs w:val="24"/>
                <w:shd w:val="clear" w:color="auto" w:fill="FFFFFF"/>
              </w:rPr>
              <w:t>, Vispārējās tiesas 1996. gada 12. decembra sprieduma </w:t>
            </w:r>
            <w:proofErr w:type="spellStart"/>
            <w:r w:rsidR="001838E1" w:rsidRPr="00355C7B">
              <w:rPr>
                <w:rStyle w:val="italic"/>
                <w:rFonts w:ascii="Times New Roman" w:hAnsi="Times New Roman" w:cs="Times New Roman"/>
                <w:i/>
                <w:iCs/>
                <w:sz w:val="24"/>
                <w:szCs w:val="24"/>
                <w:shd w:val="clear" w:color="auto" w:fill="FFFFFF"/>
              </w:rPr>
              <w:t>Air</w:t>
            </w:r>
            <w:proofErr w:type="spellEnd"/>
            <w:r w:rsidR="001838E1" w:rsidRPr="00355C7B">
              <w:rPr>
                <w:rStyle w:val="italic"/>
                <w:rFonts w:ascii="Times New Roman" w:hAnsi="Times New Roman" w:cs="Times New Roman"/>
                <w:i/>
                <w:iCs/>
                <w:sz w:val="24"/>
                <w:szCs w:val="24"/>
                <w:shd w:val="clear" w:color="auto" w:fill="FFFFFF"/>
              </w:rPr>
              <w:t xml:space="preserve"> </w:t>
            </w:r>
            <w:proofErr w:type="spellStart"/>
            <w:r w:rsidR="001838E1" w:rsidRPr="00355C7B">
              <w:rPr>
                <w:rStyle w:val="italic"/>
                <w:rFonts w:ascii="Times New Roman" w:hAnsi="Times New Roman" w:cs="Times New Roman"/>
                <w:i/>
                <w:iCs/>
                <w:sz w:val="24"/>
                <w:szCs w:val="24"/>
                <w:shd w:val="clear" w:color="auto" w:fill="FFFFFF"/>
              </w:rPr>
              <w:t>France</w:t>
            </w:r>
            <w:proofErr w:type="spellEnd"/>
            <w:r w:rsidR="001838E1" w:rsidRPr="00355C7B">
              <w:rPr>
                <w:rFonts w:ascii="Times New Roman" w:hAnsi="Times New Roman" w:cs="Times New Roman"/>
                <w:sz w:val="24"/>
                <w:szCs w:val="24"/>
                <w:shd w:val="clear" w:color="auto" w:fill="FFFFFF"/>
              </w:rPr>
              <w:t>/Komisija, T-358/94, ECLI:EU:T:1996:194, 62. punktu).</w:t>
            </w:r>
            <w:r w:rsidR="001838E1" w:rsidRPr="00355C7B">
              <w:rPr>
                <w:sz w:val="19"/>
                <w:szCs w:val="19"/>
                <w:shd w:val="clear" w:color="auto" w:fill="FFFFFF"/>
              </w:rPr>
              <w:t xml:space="preserve"> </w:t>
            </w:r>
            <w:r w:rsidR="00770A1B" w:rsidRPr="00355C7B">
              <w:rPr>
                <w:rFonts w:ascii="Times New Roman" w:hAnsi="Times New Roman" w:cs="Times New Roman"/>
                <w:i/>
                <w:sz w:val="24"/>
                <w:szCs w:val="24"/>
                <w:shd w:val="clear" w:color="auto" w:fill="FFFFFF"/>
              </w:rPr>
              <w:t xml:space="preserve">“[..] </w:t>
            </w:r>
            <w:r w:rsidR="00770A1B" w:rsidRPr="00A606E1">
              <w:rPr>
                <w:rFonts w:ascii="Times New Roman" w:hAnsi="Times New Roman" w:cs="Times New Roman"/>
                <w:i/>
                <w:iCs/>
                <w:sz w:val="24"/>
                <w:szCs w:val="24"/>
              </w:rPr>
              <w:t>j</w:t>
            </w:r>
            <w:r w:rsidR="005E6FD7" w:rsidRPr="00A606E1">
              <w:rPr>
                <w:rFonts w:ascii="Times New Roman" w:hAnsi="Times New Roman" w:cs="Times New Roman"/>
                <w:i/>
                <w:iCs/>
                <w:sz w:val="24"/>
                <w:szCs w:val="24"/>
              </w:rPr>
              <w:t xml:space="preserve">ēdziens “valsts līdzekļi” aptver visus finanšu līdzekļus, ko valsts var izmantot, lai atbalstītu </w:t>
            </w:r>
            <w:r w:rsidR="00896C53" w:rsidRPr="00A606E1">
              <w:rPr>
                <w:rFonts w:ascii="Times New Roman" w:hAnsi="Times New Roman" w:cs="Times New Roman"/>
                <w:i/>
                <w:iCs/>
                <w:sz w:val="24"/>
                <w:szCs w:val="24"/>
              </w:rPr>
              <w:t>komercsabiedrības</w:t>
            </w:r>
            <w:r w:rsidR="005E6FD7" w:rsidRPr="00A606E1">
              <w:rPr>
                <w:rFonts w:ascii="Times New Roman" w:hAnsi="Times New Roman" w:cs="Times New Roman"/>
                <w:i/>
                <w:iCs/>
                <w:sz w:val="24"/>
                <w:szCs w:val="24"/>
              </w:rPr>
              <w:t xml:space="preserve">, – tas aptver ne tikai naudas līdzekļus, kas tieši vai netieši nāk no valsts kases, vai ieņēmumus, no kuriem valsts atsakās, bet arī līdzekļus, kas, lai gan nepārtraukti nav valsts kases rīcībā, taču pastāvīgi ir valsts kontrolē. </w:t>
            </w:r>
            <w:r w:rsidR="001E1167" w:rsidRPr="00A606E1">
              <w:rPr>
                <w:rFonts w:ascii="Times New Roman" w:hAnsi="Times New Roman" w:cs="Times New Roman"/>
                <w:i/>
                <w:iCs/>
                <w:sz w:val="24"/>
                <w:szCs w:val="24"/>
              </w:rPr>
              <w:t>Proti</w:t>
            </w:r>
            <w:r w:rsidR="005E6FD7" w:rsidRPr="00A606E1">
              <w:rPr>
                <w:rFonts w:ascii="Times New Roman" w:hAnsi="Times New Roman" w:cs="Times New Roman"/>
                <w:i/>
                <w:iCs/>
                <w:sz w:val="24"/>
                <w:szCs w:val="24"/>
              </w:rPr>
              <w:t>, tie ir līdzekļi, kurus, pat ja to izcelsme ir no privātpersonām, ir iekasējusi valsts, kuri iekasēti valsts vārdā vai valstij iesaistoties un kuri ir pieejami kompetentajām valsts iestādēm, kam ir pilnvaras lemt par to galīgo izmantošanu</w:t>
            </w:r>
            <w:r w:rsidR="00770A1B" w:rsidRPr="00A606E1">
              <w:rPr>
                <w:rFonts w:ascii="Times New Roman" w:hAnsi="Times New Roman" w:cs="Times New Roman"/>
                <w:i/>
                <w:iCs/>
                <w:sz w:val="24"/>
                <w:szCs w:val="24"/>
              </w:rPr>
              <w:t xml:space="preserve">” </w:t>
            </w:r>
            <w:r w:rsidR="00770A1B" w:rsidRPr="00A606E1">
              <w:rPr>
                <w:rFonts w:ascii="Times New Roman" w:hAnsi="Times New Roman" w:cs="Times New Roman"/>
                <w:iCs/>
                <w:sz w:val="24"/>
                <w:szCs w:val="24"/>
              </w:rPr>
              <w:t>(sk., piemēram</w:t>
            </w:r>
            <w:r w:rsidR="00770A1B" w:rsidRPr="00355C7B">
              <w:rPr>
                <w:rFonts w:ascii="Times New Roman" w:hAnsi="Times New Roman" w:cs="Times New Roman"/>
                <w:sz w:val="24"/>
                <w:szCs w:val="24"/>
                <w:shd w:val="clear" w:color="auto" w:fill="FFFFFF"/>
              </w:rPr>
              <w:t xml:space="preserve">, </w:t>
            </w:r>
            <w:r w:rsidR="00BE3C86" w:rsidRPr="00355C7B">
              <w:rPr>
                <w:rFonts w:ascii="Times New Roman" w:hAnsi="Times New Roman" w:cs="Times New Roman"/>
                <w:sz w:val="24"/>
                <w:szCs w:val="24"/>
                <w:shd w:val="clear" w:color="auto" w:fill="FFFFFF"/>
              </w:rPr>
              <w:t xml:space="preserve">ģenerāladvokāta </w:t>
            </w:r>
            <w:proofErr w:type="spellStart"/>
            <w:r w:rsidR="00BE3C86" w:rsidRPr="00355C7B">
              <w:rPr>
                <w:rFonts w:ascii="Times New Roman" w:hAnsi="Times New Roman" w:cs="Times New Roman"/>
                <w:sz w:val="24"/>
                <w:szCs w:val="24"/>
                <w:shd w:val="clear" w:color="auto" w:fill="FFFFFF"/>
              </w:rPr>
              <w:t>Nilsa</w:t>
            </w:r>
            <w:proofErr w:type="spellEnd"/>
            <w:r w:rsidR="00BE3C86" w:rsidRPr="00355C7B">
              <w:rPr>
                <w:rFonts w:ascii="Times New Roman" w:hAnsi="Times New Roman" w:cs="Times New Roman"/>
                <w:sz w:val="24"/>
                <w:szCs w:val="24"/>
                <w:shd w:val="clear" w:color="auto" w:fill="FFFFFF"/>
              </w:rPr>
              <w:t xml:space="preserve"> Vāla </w:t>
            </w:r>
            <w:r w:rsidR="00BE3C86" w:rsidRPr="00355C7B">
              <w:rPr>
                <w:rFonts w:ascii="Times New Roman" w:hAnsi="Times New Roman" w:cs="Times New Roman"/>
                <w:sz w:val="24"/>
                <w:szCs w:val="24"/>
              </w:rPr>
              <w:t>2019. gada 17. janvārī </w:t>
            </w:r>
            <w:r w:rsidR="00BE3C86" w:rsidRPr="00355C7B">
              <w:rPr>
                <w:rStyle w:val="outputecli"/>
                <w:rFonts w:ascii="Times New Roman" w:hAnsi="Times New Roman" w:cs="Times New Roman"/>
                <w:sz w:val="24"/>
                <w:szCs w:val="24"/>
              </w:rPr>
              <w:t xml:space="preserve"> sniegtos secinājumu </w:t>
            </w:r>
            <w:r w:rsidR="00BE3C86" w:rsidRPr="00355C7B">
              <w:rPr>
                <w:rFonts w:ascii="Times New Roman" w:hAnsi="Times New Roman" w:cs="Times New Roman"/>
                <w:bCs/>
                <w:sz w:val="24"/>
                <w:szCs w:val="24"/>
              </w:rPr>
              <w:t>Lieta C</w:t>
            </w:r>
            <w:r w:rsidR="00BE3C86" w:rsidRPr="00355C7B">
              <w:rPr>
                <w:rFonts w:ascii="Times New Roman" w:hAnsi="Times New Roman" w:cs="Times New Roman"/>
                <w:bCs/>
                <w:sz w:val="24"/>
                <w:szCs w:val="24"/>
              </w:rPr>
              <w:noBreakHyphen/>
              <w:t>706/17</w:t>
            </w:r>
          </w:p>
          <w:p w14:paraId="65CEF261" w14:textId="6407D4E0" w:rsidR="0028402E" w:rsidRPr="00355C7B" w:rsidRDefault="00770A1B" w:rsidP="0046225A">
            <w:pPr>
              <w:spacing w:after="0" w:line="240" w:lineRule="auto"/>
              <w:jc w:val="both"/>
              <w:rPr>
                <w:rFonts w:ascii="Times New Roman" w:hAnsi="Times New Roman" w:cs="Times New Roman"/>
                <w:sz w:val="24"/>
                <w:szCs w:val="24"/>
              </w:rPr>
            </w:pPr>
            <w:r w:rsidRPr="00355C7B">
              <w:rPr>
                <w:rStyle w:val="outputecli"/>
                <w:rFonts w:ascii="Times New Roman" w:hAnsi="Times New Roman" w:cs="Times New Roman"/>
                <w:sz w:val="24"/>
                <w:szCs w:val="24"/>
              </w:rPr>
              <w:t>ECLI:EU:C:2019:38</w:t>
            </w:r>
            <w:r w:rsidR="001E2C0E">
              <w:rPr>
                <w:rStyle w:val="outputecli"/>
                <w:rFonts w:ascii="Times New Roman" w:hAnsi="Times New Roman" w:cs="Times New Roman"/>
                <w:sz w:val="24"/>
                <w:szCs w:val="24"/>
              </w:rPr>
              <w:t xml:space="preserve"> 25. punktu</w:t>
            </w:r>
            <w:r w:rsidR="00BE3C86" w:rsidRPr="00355C7B">
              <w:rPr>
                <w:rStyle w:val="outputecli"/>
                <w:rFonts w:ascii="Times New Roman" w:hAnsi="Times New Roman" w:cs="Times New Roman"/>
                <w:sz w:val="24"/>
                <w:szCs w:val="24"/>
              </w:rPr>
              <w:t>).</w:t>
            </w:r>
            <w:r w:rsidR="00BE3C86" w:rsidRPr="00355C7B">
              <w:rPr>
                <w:rFonts w:ascii="Times New Roman" w:hAnsi="Times New Roman" w:cs="Times New Roman"/>
                <w:sz w:val="24"/>
                <w:szCs w:val="24"/>
              </w:rPr>
              <w:t xml:space="preserve"> </w:t>
            </w:r>
            <w:r w:rsidRPr="00A606E1">
              <w:rPr>
                <w:rFonts w:ascii="Times New Roman" w:hAnsi="Times New Roman" w:cs="Times New Roman"/>
                <w:iCs/>
                <w:sz w:val="24"/>
                <w:szCs w:val="24"/>
              </w:rPr>
              <w:t>“</w:t>
            </w:r>
            <w:r w:rsidR="001E1167" w:rsidRPr="00A606E1">
              <w:rPr>
                <w:rFonts w:ascii="Times New Roman" w:hAnsi="Times New Roman" w:cs="Times New Roman"/>
                <w:i/>
                <w:iCs/>
                <w:sz w:val="24"/>
                <w:szCs w:val="24"/>
              </w:rPr>
              <w:t xml:space="preserve">Līdzekļu izcelsme nav būtiska, ja vien pirms to tiešas vai netiešas piešķiršanas saņēmējiem šie līdzekļi ir valsts kontrolē un tādējādi ir pieejami publiskajām iestādēm, pat ja tie nekļūst par šo iestāžu īpašumu. Tādējādi subsīdijas, kuras finansē no </w:t>
            </w:r>
            <w:proofErr w:type="spellStart"/>
            <w:r w:rsidR="001E1167" w:rsidRPr="00A606E1">
              <w:rPr>
                <w:rFonts w:ascii="Times New Roman" w:hAnsi="Times New Roman" w:cs="Times New Roman"/>
                <w:i/>
                <w:iCs/>
                <w:sz w:val="24"/>
                <w:szCs w:val="24"/>
              </w:rPr>
              <w:t>parafiskāliem</w:t>
            </w:r>
            <w:proofErr w:type="spellEnd"/>
            <w:r w:rsidR="001E1167" w:rsidRPr="00A606E1">
              <w:rPr>
                <w:rFonts w:ascii="Times New Roman" w:hAnsi="Times New Roman" w:cs="Times New Roman"/>
                <w:i/>
                <w:iCs/>
                <w:sz w:val="24"/>
                <w:szCs w:val="24"/>
              </w:rPr>
              <w:t xml:space="preserve"> maksājumiem vai valsts </w:t>
            </w:r>
            <w:r w:rsidR="001E1167" w:rsidRPr="00A606E1">
              <w:rPr>
                <w:rFonts w:ascii="Times New Roman" w:hAnsi="Times New Roman" w:cs="Times New Roman"/>
                <w:i/>
                <w:iCs/>
                <w:sz w:val="24"/>
                <w:szCs w:val="24"/>
              </w:rPr>
              <w:lastRenderedPageBreak/>
              <w:t>noteiktām obligātajām iemaksām un kuras tiek pārvaldītas un iedalītas saskaņā ar valsts noteikumiem, paredz valsts līdzekļu piešķiršanu, pat ja tās nav publisko iestāžu pārvaldītas</w:t>
            </w:r>
            <w:r w:rsidRPr="00A606E1">
              <w:rPr>
                <w:rFonts w:ascii="Times New Roman" w:hAnsi="Times New Roman" w:cs="Times New Roman"/>
                <w:iCs/>
                <w:sz w:val="24"/>
                <w:szCs w:val="24"/>
              </w:rPr>
              <w:t>”</w:t>
            </w:r>
            <w:r w:rsidR="00D01280" w:rsidRPr="00A606E1">
              <w:rPr>
                <w:rFonts w:ascii="Times New Roman" w:hAnsi="Times New Roman" w:cs="Times New Roman"/>
                <w:iCs/>
                <w:sz w:val="24"/>
                <w:szCs w:val="24"/>
              </w:rPr>
              <w:t xml:space="preserve"> (sk., </w:t>
            </w:r>
            <w:r w:rsidRPr="00A606E1">
              <w:rPr>
                <w:rFonts w:ascii="Times New Roman" w:eastAsia="Times New Roman" w:hAnsi="Times New Roman" w:cs="Times New Roman"/>
                <w:sz w:val="24"/>
                <w:szCs w:val="24"/>
                <w:lang w:eastAsia="ru-RU"/>
              </w:rPr>
              <w:t>Komisijas paziņojuma</w:t>
            </w:r>
            <w:r w:rsidRPr="00A606E1">
              <w:rPr>
                <w:rFonts w:ascii="Arial" w:hAnsi="Arial" w:cs="Arial"/>
              </w:rPr>
              <w:t xml:space="preserve"> </w:t>
            </w:r>
            <w:r w:rsidRPr="00A606E1">
              <w:rPr>
                <w:rFonts w:ascii="Times New Roman" w:eastAsia="Times New Roman" w:hAnsi="Times New Roman" w:cs="Times New Roman"/>
                <w:i/>
                <w:iCs/>
                <w:sz w:val="24"/>
                <w:szCs w:val="24"/>
                <w:lang w:eastAsia="ru-RU"/>
              </w:rPr>
              <w:t>par Līguma par Eiropas Savienības darbību 107. panta 1. punktā minēto valsts atbalsta jēdzienu</w:t>
            </w:r>
            <w:r w:rsidRPr="00A606E1">
              <w:rPr>
                <w:rFonts w:ascii="Times New Roman" w:eastAsia="Times New Roman" w:hAnsi="Times New Roman" w:cs="Times New Roman"/>
                <w:sz w:val="24"/>
                <w:szCs w:val="24"/>
                <w:lang w:eastAsia="ru-RU"/>
              </w:rPr>
              <w:t xml:space="preserve"> (2016/C 262/01) 57., 58.punktā minēto judikatūru</w:t>
            </w:r>
            <w:r w:rsidR="00D01280" w:rsidRPr="00A606E1">
              <w:rPr>
                <w:rFonts w:ascii="Times New Roman" w:hAnsi="Times New Roman" w:cs="Times New Roman"/>
                <w:iCs/>
                <w:sz w:val="24"/>
                <w:szCs w:val="24"/>
              </w:rPr>
              <w:t>)</w:t>
            </w:r>
            <w:r w:rsidR="001E1167" w:rsidRPr="00A606E1">
              <w:rPr>
                <w:rFonts w:ascii="Times New Roman" w:hAnsi="Times New Roman" w:cs="Times New Roman"/>
                <w:iCs/>
                <w:sz w:val="24"/>
                <w:szCs w:val="24"/>
              </w:rPr>
              <w:t>.</w:t>
            </w:r>
          </w:p>
          <w:p w14:paraId="4F35529F" w14:textId="77777777" w:rsidR="0028402E" w:rsidRPr="0028402E" w:rsidRDefault="0028402E" w:rsidP="00355C7B">
            <w:pPr>
              <w:shd w:val="clear" w:color="auto" w:fill="FFFFFF"/>
              <w:spacing w:after="0" w:line="240" w:lineRule="auto"/>
              <w:jc w:val="both"/>
              <w:rPr>
                <w:rFonts w:ascii="Times New Roman" w:hAnsi="Times New Roman" w:cs="Times New Roman"/>
                <w:iCs/>
                <w:sz w:val="24"/>
                <w:szCs w:val="24"/>
              </w:rPr>
            </w:pPr>
          </w:p>
          <w:p w14:paraId="4BAF805E" w14:textId="77777777" w:rsidR="000D7218" w:rsidRDefault="000D7218" w:rsidP="00355C7B">
            <w:pPr>
              <w:pStyle w:val="ListParagraph"/>
              <w:numPr>
                <w:ilvl w:val="0"/>
                <w:numId w:val="3"/>
              </w:numPr>
              <w:tabs>
                <w:tab w:val="left" w:pos="391"/>
              </w:tabs>
              <w:ind w:left="0" w:firstLine="0"/>
              <w:jc w:val="both"/>
              <w:rPr>
                <w:b/>
                <w:iCs/>
                <w:sz w:val="24"/>
                <w:szCs w:val="24"/>
              </w:rPr>
            </w:pPr>
            <w:r w:rsidRPr="000D7218">
              <w:rPr>
                <w:b/>
                <w:iCs/>
                <w:sz w:val="24"/>
                <w:szCs w:val="24"/>
              </w:rPr>
              <w:t>Likumprojekts paredz grozījumus KAKL 9. pantā, lai nodrošinātu skaidru kompetenču sadalījumu starp komercdarbības atbalsta uzraudzības institūcijām – Finanšu ministriju un Zemkopības ministriju.</w:t>
            </w:r>
          </w:p>
          <w:p w14:paraId="26DC717D" w14:textId="77777777" w:rsidR="000D7218" w:rsidRDefault="000D7218" w:rsidP="0046225A">
            <w:pPr>
              <w:pStyle w:val="ListParagraph"/>
              <w:ind w:left="0"/>
              <w:jc w:val="both"/>
              <w:rPr>
                <w:bCs/>
                <w:sz w:val="24"/>
                <w:szCs w:val="24"/>
              </w:rPr>
            </w:pPr>
            <w:r>
              <w:rPr>
                <w:bCs/>
                <w:iCs/>
                <w:sz w:val="24"/>
                <w:szCs w:val="24"/>
              </w:rPr>
              <w:t>Likumprojekts skaidri atrunā Eiropas Savienības aktu sadalījumu, kas ietilpst Finanšu ministrijas un Zemkopības ministrijas kompetencē. Papildus likumprojekts definē detalizētākus pienākumus Finanšu ministrijai kā komercdarbības atbalsta uzraudzības institūcijai, tai skaitā</w:t>
            </w:r>
            <w:r w:rsidR="00B21088">
              <w:rPr>
                <w:bCs/>
                <w:iCs/>
                <w:sz w:val="24"/>
                <w:szCs w:val="24"/>
              </w:rPr>
              <w:t>, ka</w:t>
            </w:r>
            <w:r>
              <w:rPr>
                <w:bCs/>
                <w:iCs/>
                <w:sz w:val="24"/>
                <w:szCs w:val="24"/>
              </w:rPr>
              <w:t xml:space="preserve"> Finanšu ministrija </w:t>
            </w:r>
            <w:r>
              <w:rPr>
                <w:sz w:val="24"/>
                <w:szCs w:val="24"/>
                <w:lang w:eastAsia="ru-RU"/>
              </w:rPr>
              <w:t xml:space="preserve">sniedz konsultatīvu palīdzību komercdarbības atbalsta kontroles jomā, izņemot jautājumus, kas skar komercdarbības atbalstu, kas sniegts </w:t>
            </w:r>
            <w:r w:rsidR="00B21088">
              <w:rPr>
                <w:sz w:val="24"/>
                <w:szCs w:val="24"/>
                <w:lang w:eastAsia="ru-RU"/>
              </w:rPr>
              <w:t>KAKL 9.</w:t>
            </w:r>
            <w:r>
              <w:rPr>
                <w:sz w:val="24"/>
                <w:szCs w:val="24"/>
                <w:lang w:eastAsia="ru-RU"/>
              </w:rPr>
              <w:t xml:space="preserve"> panta otrajā daļā noteiktajām darbībām; nodrošina </w:t>
            </w:r>
            <w:proofErr w:type="spellStart"/>
            <w:r>
              <w:rPr>
                <w:i/>
                <w:sz w:val="24"/>
                <w:szCs w:val="24"/>
                <w:lang w:eastAsia="ru-RU"/>
              </w:rPr>
              <w:t>de</w:t>
            </w:r>
            <w:proofErr w:type="spellEnd"/>
            <w:r>
              <w:rPr>
                <w:i/>
                <w:sz w:val="24"/>
                <w:szCs w:val="24"/>
                <w:lang w:eastAsia="ru-RU"/>
              </w:rPr>
              <w:t xml:space="preserve"> </w:t>
            </w:r>
            <w:proofErr w:type="spellStart"/>
            <w:r>
              <w:rPr>
                <w:i/>
                <w:sz w:val="24"/>
                <w:szCs w:val="24"/>
                <w:lang w:eastAsia="ru-RU"/>
              </w:rPr>
              <w:t>minimis</w:t>
            </w:r>
            <w:proofErr w:type="spellEnd"/>
            <w:r>
              <w:rPr>
                <w:sz w:val="24"/>
                <w:szCs w:val="24"/>
                <w:lang w:eastAsia="ru-RU"/>
              </w:rPr>
              <w:t xml:space="preserve"> atbalsta uzskaites sistēmas administrēšanu; </w:t>
            </w:r>
            <w:r>
              <w:rPr>
                <w:bCs/>
                <w:sz w:val="24"/>
                <w:szCs w:val="24"/>
              </w:rPr>
              <w:t>organizē informācijas apriti ar Eiropas Komisiju par komercdarbības atbalsta jautājumiem, izmantojot Eiropas Komisijas sadarbības platformu dalībvalstīm.</w:t>
            </w:r>
          </w:p>
          <w:p w14:paraId="71FA8BFE" w14:textId="77777777" w:rsidR="000D7218" w:rsidRDefault="000D7218" w:rsidP="0046225A">
            <w:pPr>
              <w:pStyle w:val="ListParagraph"/>
              <w:ind w:left="0"/>
              <w:jc w:val="both"/>
              <w:rPr>
                <w:bCs/>
                <w:iCs/>
                <w:sz w:val="24"/>
                <w:szCs w:val="24"/>
              </w:rPr>
            </w:pPr>
          </w:p>
          <w:p w14:paraId="33D98955" w14:textId="77777777" w:rsidR="000D7218" w:rsidRPr="002A4D07" w:rsidRDefault="000D7218" w:rsidP="00355C7B">
            <w:pPr>
              <w:pStyle w:val="ListParagraph"/>
              <w:numPr>
                <w:ilvl w:val="0"/>
                <w:numId w:val="3"/>
              </w:numPr>
              <w:tabs>
                <w:tab w:val="left" w:pos="280"/>
              </w:tabs>
              <w:ind w:left="0" w:hanging="34"/>
              <w:jc w:val="both"/>
              <w:rPr>
                <w:b/>
                <w:iCs/>
                <w:sz w:val="24"/>
                <w:szCs w:val="24"/>
              </w:rPr>
            </w:pPr>
            <w:r w:rsidRPr="002A4D07">
              <w:rPr>
                <w:b/>
                <w:iCs/>
                <w:sz w:val="24"/>
                <w:szCs w:val="24"/>
              </w:rPr>
              <w:t xml:space="preserve">Ar likumprojekta </w:t>
            </w:r>
            <w:r w:rsidR="002A4D07">
              <w:rPr>
                <w:b/>
                <w:iCs/>
                <w:sz w:val="24"/>
                <w:szCs w:val="24"/>
              </w:rPr>
              <w:t xml:space="preserve">grozījumiem KAKL </w:t>
            </w:r>
            <w:r w:rsidRPr="002A4D07">
              <w:rPr>
                <w:b/>
                <w:iCs/>
                <w:sz w:val="24"/>
                <w:szCs w:val="24"/>
              </w:rPr>
              <w:t>10</w:t>
            </w:r>
            <w:r w:rsidR="002A4D07">
              <w:rPr>
                <w:b/>
                <w:iCs/>
                <w:sz w:val="24"/>
                <w:szCs w:val="24"/>
              </w:rPr>
              <w:t>.</w:t>
            </w:r>
            <w:r w:rsidRPr="002A4D07">
              <w:rPr>
                <w:b/>
                <w:iCs/>
                <w:sz w:val="24"/>
                <w:szCs w:val="24"/>
              </w:rPr>
              <w:t xml:space="preserve"> pant</w:t>
            </w:r>
            <w:r w:rsidR="002A4D07">
              <w:rPr>
                <w:b/>
                <w:iCs/>
                <w:sz w:val="24"/>
                <w:szCs w:val="24"/>
              </w:rPr>
              <w:t>ā</w:t>
            </w:r>
            <w:r w:rsidRPr="002A4D07">
              <w:rPr>
                <w:b/>
                <w:iCs/>
                <w:sz w:val="24"/>
                <w:szCs w:val="24"/>
              </w:rPr>
              <w:t xml:space="preserve"> paredzēts mazināt administratīvo slogu gan atbalsta sniedzējiem, gan Finanšu ministrijai</w:t>
            </w:r>
            <w:r w:rsidR="002A4D07">
              <w:rPr>
                <w:b/>
                <w:iCs/>
                <w:sz w:val="24"/>
                <w:szCs w:val="24"/>
              </w:rPr>
              <w:t xml:space="preserve"> kā komercdarbības </w:t>
            </w:r>
            <w:r w:rsidR="002A4D07">
              <w:rPr>
                <w:b/>
                <w:sz w:val="24"/>
                <w:szCs w:val="24"/>
                <w:lang w:eastAsia="ru-RU"/>
              </w:rPr>
              <w:t>atbalsta uzraudzības institūcijai</w:t>
            </w:r>
            <w:r w:rsidR="002A4D07" w:rsidRPr="002A4D07">
              <w:rPr>
                <w:b/>
                <w:iCs/>
                <w:sz w:val="24"/>
                <w:szCs w:val="24"/>
              </w:rPr>
              <w:t>.</w:t>
            </w:r>
          </w:p>
          <w:p w14:paraId="3B7657AC" w14:textId="320F9182" w:rsidR="006D7673" w:rsidRDefault="00E257A4" w:rsidP="00B83F6F">
            <w:pPr>
              <w:pStyle w:val="ListParagraph"/>
              <w:ind w:left="0"/>
              <w:jc w:val="both"/>
              <w:rPr>
                <w:sz w:val="24"/>
                <w:szCs w:val="24"/>
                <w:lang w:eastAsia="ru-RU"/>
              </w:rPr>
            </w:pPr>
            <w:r>
              <w:rPr>
                <w:bCs/>
                <w:iCs/>
                <w:sz w:val="24"/>
                <w:szCs w:val="24"/>
              </w:rPr>
              <w:t xml:space="preserve">Likumprojekts nosaka skaidru </w:t>
            </w:r>
            <w:r w:rsidR="00BC2138">
              <w:rPr>
                <w:bCs/>
                <w:iCs/>
                <w:sz w:val="24"/>
                <w:szCs w:val="24"/>
              </w:rPr>
              <w:t>nosacījumu</w:t>
            </w:r>
            <w:r>
              <w:rPr>
                <w:bCs/>
                <w:iCs/>
                <w:sz w:val="24"/>
                <w:szCs w:val="24"/>
              </w:rPr>
              <w:t xml:space="preserve"> uzskaitījumu, kas būtu iekļaujamas atbalsta sniedzēja</w:t>
            </w:r>
            <w:r w:rsidR="008E3DA5">
              <w:rPr>
                <w:bCs/>
                <w:iCs/>
                <w:sz w:val="24"/>
                <w:szCs w:val="24"/>
              </w:rPr>
              <w:t xml:space="preserve"> </w:t>
            </w:r>
            <w:proofErr w:type="spellStart"/>
            <w:r w:rsidR="008E3DA5">
              <w:rPr>
                <w:bCs/>
                <w:iCs/>
                <w:sz w:val="24"/>
                <w:szCs w:val="24"/>
              </w:rPr>
              <w:t>a</w:t>
            </w:r>
            <w:r w:rsidR="008E3DA5">
              <w:rPr>
                <w:i/>
                <w:sz w:val="24"/>
                <w:szCs w:val="24"/>
                <w:lang w:eastAsia="ru-RU"/>
              </w:rPr>
              <w:t>d-hoc</w:t>
            </w:r>
            <w:proofErr w:type="spellEnd"/>
            <w:r w:rsidR="008E3DA5">
              <w:rPr>
                <w:sz w:val="24"/>
                <w:szCs w:val="24"/>
                <w:lang w:eastAsia="ru-RU"/>
              </w:rPr>
              <w:t xml:space="preserve"> atbalsta projektā, </w:t>
            </w:r>
            <w:r w:rsidR="00B83F6F">
              <w:rPr>
                <w:sz w:val="24"/>
                <w:szCs w:val="24"/>
                <w:lang w:eastAsia="ru-RU"/>
              </w:rPr>
              <w:t>ja atbalstu</w:t>
            </w:r>
            <w:r w:rsidR="00BC2138">
              <w:rPr>
                <w:sz w:val="24"/>
                <w:szCs w:val="24"/>
                <w:lang w:eastAsia="ru-RU"/>
              </w:rPr>
              <w:t xml:space="preserve"> sniegtu saskaņā ar </w:t>
            </w:r>
            <w:r w:rsidR="00BC2138" w:rsidRPr="00BC2138">
              <w:rPr>
                <w:sz w:val="24"/>
                <w:szCs w:val="24"/>
                <w:lang w:eastAsia="ru-RU"/>
              </w:rPr>
              <w:t>Komisijas (ES) 2013. gada 18. decembra regul</w:t>
            </w:r>
            <w:r w:rsidR="00BC2138">
              <w:rPr>
                <w:sz w:val="24"/>
                <w:szCs w:val="24"/>
                <w:lang w:eastAsia="ru-RU"/>
              </w:rPr>
              <w:t>as</w:t>
            </w:r>
            <w:r w:rsidR="00BC2138" w:rsidRPr="00BC2138">
              <w:rPr>
                <w:sz w:val="24"/>
                <w:szCs w:val="24"/>
                <w:lang w:eastAsia="ru-RU"/>
              </w:rPr>
              <w:t xml:space="preserve"> Nr. </w:t>
            </w:r>
            <w:hyperlink r:id="rId11" w:tgtFrame="_blank" w:history="1">
              <w:r w:rsidR="00BC2138" w:rsidRPr="00BC2138">
                <w:rPr>
                  <w:rStyle w:val="Hyperlink"/>
                  <w:sz w:val="24"/>
                  <w:szCs w:val="24"/>
                  <w:lang w:eastAsia="ru-RU"/>
                </w:rPr>
                <w:t>1407/2013</w:t>
              </w:r>
            </w:hyperlink>
            <w:r w:rsidR="00BC2138" w:rsidRPr="00BC2138">
              <w:rPr>
                <w:sz w:val="24"/>
                <w:szCs w:val="24"/>
                <w:lang w:eastAsia="ru-RU"/>
              </w:rPr>
              <w:t xml:space="preserve"> par Līguma par Eiropas Savienības darbību 107. un 108. panta piemērošanu </w:t>
            </w:r>
            <w:proofErr w:type="spellStart"/>
            <w:r w:rsidR="00BC2138" w:rsidRPr="00BC2138">
              <w:rPr>
                <w:i/>
                <w:iCs/>
                <w:sz w:val="24"/>
                <w:szCs w:val="24"/>
                <w:lang w:eastAsia="ru-RU"/>
              </w:rPr>
              <w:t>de</w:t>
            </w:r>
            <w:proofErr w:type="spellEnd"/>
            <w:r w:rsidR="00BC2138" w:rsidRPr="00BC2138">
              <w:rPr>
                <w:i/>
                <w:iCs/>
                <w:sz w:val="24"/>
                <w:szCs w:val="24"/>
                <w:lang w:eastAsia="ru-RU"/>
              </w:rPr>
              <w:t xml:space="preserve"> </w:t>
            </w:r>
            <w:proofErr w:type="spellStart"/>
            <w:r w:rsidR="00BC2138" w:rsidRPr="00BC2138">
              <w:rPr>
                <w:i/>
                <w:iCs/>
                <w:sz w:val="24"/>
                <w:szCs w:val="24"/>
                <w:lang w:eastAsia="ru-RU"/>
              </w:rPr>
              <w:t>minimis</w:t>
            </w:r>
            <w:proofErr w:type="spellEnd"/>
            <w:r w:rsidR="00BC2138" w:rsidRPr="00BC2138">
              <w:rPr>
                <w:sz w:val="24"/>
                <w:szCs w:val="24"/>
                <w:lang w:eastAsia="ru-RU"/>
              </w:rPr>
              <w:t xml:space="preserve"> atbalstam (Dokuments attiecas uz EEZ) un </w:t>
            </w:r>
            <w:r w:rsidR="00B83F6F" w:rsidRPr="00355C7B">
              <w:rPr>
                <w:sz w:val="24"/>
                <w:szCs w:val="24"/>
              </w:rPr>
              <w:t>Komisijas 2011. gada 20. decembra lēmumu par Līguma par Eiropas Savienības darbību 106.panta 2. punkta piemērošanu valsts atbalstam attiecībā uz kompensāciju par sabiedriskajiem pakalpojumiem dažiem uzņēmumiem, kuriem uzticēts sniegt pakalpojumus ar vispārēju tautsaimniecisku nozīmi</w:t>
            </w:r>
            <w:r w:rsidR="00BC2138">
              <w:rPr>
                <w:sz w:val="24"/>
                <w:szCs w:val="24"/>
                <w:lang w:eastAsia="ru-RU"/>
              </w:rPr>
              <w:t xml:space="preserve">, neiesniedzot </w:t>
            </w:r>
            <w:proofErr w:type="spellStart"/>
            <w:r w:rsidR="00BC2138">
              <w:rPr>
                <w:bCs/>
                <w:iCs/>
                <w:sz w:val="24"/>
                <w:szCs w:val="24"/>
              </w:rPr>
              <w:t>a</w:t>
            </w:r>
            <w:r w:rsidR="00BC2138">
              <w:rPr>
                <w:i/>
                <w:sz w:val="24"/>
                <w:szCs w:val="24"/>
                <w:lang w:eastAsia="ru-RU"/>
              </w:rPr>
              <w:t>d-hoc</w:t>
            </w:r>
            <w:proofErr w:type="spellEnd"/>
            <w:r w:rsidR="00BC2138">
              <w:rPr>
                <w:sz w:val="24"/>
                <w:szCs w:val="24"/>
                <w:lang w:eastAsia="ru-RU"/>
              </w:rPr>
              <w:t xml:space="preserve"> atbalsta projektu Finanšu ministrijā sākotnējā </w:t>
            </w:r>
            <w:proofErr w:type="spellStart"/>
            <w:r w:rsidR="00BC2138">
              <w:rPr>
                <w:sz w:val="24"/>
                <w:szCs w:val="24"/>
                <w:lang w:eastAsia="ru-RU"/>
              </w:rPr>
              <w:t>izvērtējuma</w:t>
            </w:r>
            <w:proofErr w:type="spellEnd"/>
            <w:r w:rsidR="00BC2138">
              <w:rPr>
                <w:sz w:val="24"/>
                <w:szCs w:val="24"/>
                <w:lang w:eastAsia="ru-RU"/>
              </w:rPr>
              <w:t xml:space="preserve"> veikšanai.</w:t>
            </w:r>
            <w:r w:rsidR="00E501FA">
              <w:rPr>
                <w:sz w:val="24"/>
                <w:szCs w:val="24"/>
                <w:lang w:eastAsia="ru-RU"/>
              </w:rPr>
              <w:t xml:space="preserve"> Tādā veidā no vienas puses atbalsta sniedzējiem </w:t>
            </w:r>
            <w:r w:rsidR="006D7673">
              <w:rPr>
                <w:sz w:val="24"/>
                <w:szCs w:val="24"/>
                <w:lang w:eastAsia="ru-RU"/>
              </w:rPr>
              <w:t xml:space="preserve">vairs nebūs </w:t>
            </w:r>
            <w:r w:rsidR="00B21088">
              <w:rPr>
                <w:sz w:val="24"/>
                <w:szCs w:val="24"/>
                <w:lang w:eastAsia="ru-RU"/>
              </w:rPr>
              <w:t>jā</w:t>
            </w:r>
            <w:r w:rsidR="006D7673">
              <w:rPr>
                <w:sz w:val="24"/>
                <w:szCs w:val="24"/>
                <w:lang w:eastAsia="ru-RU"/>
              </w:rPr>
              <w:t>vei</w:t>
            </w:r>
            <w:r w:rsidR="00B21088">
              <w:rPr>
                <w:sz w:val="24"/>
                <w:szCs w:val="24"/>
                <w:lang w:eastAsia="ru-RU"/>
              </w:rPr>
              <w:t>c</w:t>
            </w:r>
            <w:r w:rsidR="006D7673">
              <w:rPr>
                <w:sz w:val="24"/>
                <w:szCs w:val="24"/>
                <w:lang w:eastAsia="ru-RU"/>
              </w:rPr>
              <w:t xml:space="preserve"> </w:t>
            </w:r>
            <w:proofErr w:type="spellStart"/>
            <w:r w:rsidR="006D7673">
              <w:rPr>
                <w:bCs/>
                <w:iCs/>
                <w:sz w:val="24"/>
                <w:szCs w:val="24"/>
              </w:rPr>
              <w:t>a</w:t>
            </w:r>
            <w:r w:rsidR="006D7673">
              <w:rPr>
                <w:i/>
                <w:sz w:val="24"/>
                <w:szCs w:val="24"/>
                <w:lang w:eastAsia="ru-RU"/>
              </w:rPr>
              <w:t>d-hoc</w:t>
            </w:r>
            <w:proofErr w:type="spellEnd"/>
            <w:r w:rsidR="006D7673">
              <w:rPr>
                <w:sz w:val="24"/>
                <w:szCs w:val="24"/>
                <w:lang w:eastAsia="ru-RU"/>
              </w:rPr>
              <w:t xml:space="preserve"> atbalsta projekta saskaņošan</w:t>
            </w:r>
            <w:r w:rsidR="00B83F6F">
              <w:rPr>
                <w:sz w:val="24"/>
                <w:szCs w:val="24"/>
                <w:lang w:eastAsia="ru-RU"/>
              </w:rPr>
              <w:t>a</w:t>
            </w:r>
            <w:r w:rsidR="006D7673">
              <w:rPr>
                <w:sz w:val="24"/>
                <w:szCs w:val="24"/>
                <w:lang w:eastAsia="ru-RU"/>
              </w:rPr>
              <w:t>, kas var ieilgt atkarībā no precizējumu specifikas un atkārtoto precizēto dokumentu saskaņošanas skaita</w:t>
            </w:r>
            <w:r w:rsidR="00B21088">
              <w:rPr>
                <w:sz w:val="24"/>
                <w:szCs w:val="24"/>
                <w:lang w:eastAsia="ru-RU"/>
              </w:rPr>
              <w:t>,</w:t>
            </w:r>
            <w:r w:rsidR="006D7673">
              <w:rPr>
                <w:sz w:val="24"/>
                <w:szCs w:val="24"/>
                <w:lang w:eastAsia="ru-RU"/>
              </w:rPr>
              <w:t xml:space="preserve"> un no otras puses, Finanšu </w:t>
            </w:r>
            <w:r w:rsidR="006D7673">
              <w:rPr>
                <w:sz w:val="24"/>
                <w:szCs w:val="24"/>
                <w:lang w:eastAsia="ru-RU"/>
              </w:rPr>
              <w:lastRenderedPageBreak/>
              <w:t xml:space="preserve">ministrija atbilstoši kompetencei varēs īstenot sākotnējo izvērtēšanu par tādiem </w:t>
            </w:r>
            <w:proofErr w:type="spellStart"/>
            <w:r w:rsidR="006D7673">
              <w:rPr>
                <w:bCs/>
                <w:iCs/>
                <w:sz w:val="24"/>
                <w:szCs w:val="24"/>
              </w:rPr>
              <w:t>a</w:t>
            </w:r>
            <w:r w:rsidR="006D7673">
              <w:rPr>
                <w:i/>
                <w:sz w:val="24"/>
                <w:szCs w:val="24"/>
                <w:lang w:eastAsia="ru-RU"/>
              </w:rPr>
              <w:t>d-hoc</w:t>
            </w:r>
            <w:proofErr w:type="spellEnd"/>
            <w:r w:rsidR="006D7673">
              <w:rPr>
                <w:sz w:val="24"/>
                <w:szCs w:val="24"/>
                <w:lang w:eastAsia="ru-RU"/>
              </w:rPr>
              <w:t xml:space="preserve"> atbalsta projektiem un atbalsta programmām, kuros komercdarbības atbalsta pārkāpuma gadījumā negatīvā ietekme uz komercsabiedrībām būtu ievērojami lielāka.</w:t>
            </w:r>
            <w:r w:rsidR="00861586">
              <w:rPr>
                <w:sz w:val="24"/>
                <w:szCs w:val="24"/>
                <w:lang w:eastAsia="ru-RU"/>
              </w:rPr>
              <w:t xml:space="preserve"> </w:t>
            </w:r>
          </w:p>
          <w:p w14:paraId="460E3A80" w14:textId="77777777" w:rsidR="00A809D8" w:rsidRDefault="00A809D8" w:rsidP="00B83F6F">
            <w:pPr>
              <w:pStyle w:val="ListParagraph"/>
              <w:ind w:left="0"/>
              <w:jc w:val="both"/>
              <w:rPr>
                <w:sz w:val="24"/>
                <w:szCs w:val="24"/>
                <w:lang w:eastAsia="ru-RU"/>
              </w:rPr>
            </w:pPr>
          </w:p>
          <w:p w14:paraId="2AE71240" w14:textId="77777777" w:rsidR="00AF33BC" w:rsidRDefault="00A809D8" w:rsidP="00355C7B">
            <w:pPr>
              <w:pStyle w:val="ListParagraph"/>
              <w:numPr>
                <w:ilvl w:val="0"/>
                <w:numId w:val="3"/>
              </w:numPr>
              <w:tabs>
                <w:tab w:val="left" w:pos="310"/>
              </w:tabs>
              <w:ind w:left="0" w:firstLine="0"/>
              <w:jc w:val="both"/>
              <w:rPr>
                <w:b/>
                <w:bCs/>
                <w:sz w:val="24"/>
                <w:szCs w:val="24"/>
                <w:lang w:eastAsia="ru-RU"/>
              </w:rPr>
            </w:pPr>
            <w:r w:rsidRPr="00AF33BC">
              <w:rPr>
                <w:b/>
                <w:bCs/>
                <w:sz w:val="24"/>
                <w:szCs w:val="24"/>
                <w:lang w:eastAsia="ru-RU"/>
              </w:rPr>
              <w:t>Likumprojekts paredz grozījumus KAKL 15. panta pirmajā daļā</w:t>
            </w:r>
            <w:r w:rsidR="00AF33BC">
              <w:rPr>
                <w:b/>
                <w:bCs/>
                <w:sz w:val="24"/>
                <w:szCs w:val="24"/>
                <w:lang w:eastAsia="ru-RU"/>
              </w:rPr>
              <w:t>.</w:t>
            </w:r>
          </w:p>
          <w:p w14:paraId="7521D4D1" w14:textId="16023B40" w:rsidR="00F867C2" w:rsidRPr="00AF33BC" w:rsidRDefault="00132C97" w:rsidP="00355C7B">
            <w:pPr>
              <w:pStyle w:val="ListParagraph"/>
              <w:tabs>
                <w:tab w:val="left" w:pos="310"/>
              </w:tabs>
              <w:ind w:left="0"/>
              <w:jc w:val="both"/>
              <w:rPr>
                <w:sz w:val="24"/>
                <w:szCs w:val="24"/>
                <w:lang w:eastAsia="ru-RU"/>
              </w:rPr>
            </w:pPr>
            <w:r>
              <w:rPr>
                <w:sz w:val="24"/>
                <w:szCs w:val="24"/>
                <w:lang w:eastAsia="ru-RU"/>
              </w:rPr>
              <w:t>Ņemot vērā Padomes regulas Nr.</w:t>
            </w:r>
            <w:r w:rsidRPr="00160643">
              <w:rPr>
                <w:sz w:val="24"/>
                <w:szCs w:val="24"/>
                <w:lang w:eastAsia="ru-RU"/>
              </w:rPr>
              <w:t xml:space="preserve"> 1893/2006</w:t>
            </w:r>
            <w:r>
              <w:rPr>
                <w:sz w:val="24"/>
                <w:szCs w:val="24"/>
                <w:lang w:eastAsia="ru-RU"/>
              </w:rPr>
              <w:t xml:space="preserve"> </w:t>
            </w:r>
            <w:r w:rsidRPr="00160643">
              <w:rPr>
                <w:sz w:val="24"/>
                <w:szCs w:val="24"/>
                <w:lang w:eastAsia="ru-RU"/>
              </w:rPr>
              <w:t>6. panta 1</w:t>
            </w:r>
            <w:r>
              <w:rPr>
                <w:sz w:val="24"/>
                <w:szCs w:val="24"/>
                <w:lang w:eastAsia="ru-RU"/>
              </w:rPr>
              <w:t>. punkta b) apakšpunktā noteikto</w:t>
            </w:r>
            <w:r w:rsidRPr="00160643">
              <w:rPr>
                <w:sz w:val="24"/>
                <w:szCs w:val="24"/>
                <w:lang w:eastAsia="ru-RU"/>
              </w:rPr>
              <w:t>, ka “</w:t>
            </w:r>
            <w:r w:rsidRPr="0001487D">
              <w:rPr>
                <w:i/>
                <w:iCs/>
                <w:sz w:val="24"/>
                <w:szCs w:val="24"/>
                <w:lang w:eastAsia="ru-RU"/>
              </w:rPr>
              <w:t xml:space="preserve">Turpmāk norādītos pasākumus NACE 2. </w:t>
            </w:r>
            <w:proofErr w:type="spellStart"/>
            <w:r w:rsidRPr="0001487D">
              <w:rPr>
                <w:i/>
                <w:iCs/>
                <w:sz w:val="24"/>
                <w:szCs w:val="24"/>
                <w:lang w:eastAsia="ru-RU"/>
              </w:rPr>
              <w:t>red</w:t>
            </w:r>
            <w:proofErr w:type="spellEnd"/>
            <w:r w:rsidRPr="0001487D">
              <w:rPr>
                <w:i/>
                <w:iCs/>
                <w:sz w:val="24"/>
                <w:szCs w:val="24"/>
                <w:lang w:eastAsia="ru-RU"/>
              </w:rPr>
              <w:t xml:space="preserve">. īstenošanai pieņem saskaņā ar 7. panta 2. punktā minēto regulatīvo procedūru:  tehniskos pasākumus, nodrošinot pilnīgi saskaņotu pāreju no NACE 1.1. </w:t>
            </w:r>
            <w:proofErr w:type="spellStart"/>
            <w:r w:rsidRPr="0001487D">
              <w:rPr>
                <w:i/>
                <w:iCs/>
                <w:sz w:val="24"/>
                <w:szCs w:val="24"/>
                <w:lang w:eastAsia="ru-RU"/>
              </w:rPr>
              <w:t>red</w:t>
            </w:r>
            <w:proofErr w:type="spellEnd"/>
            <w:r w:rsidRPr="0001487D">
              <w:rPr>
                <w:i/>
                <w:iCs/>
                <w:sz w:val="24"/>
                <w:szCs w:val="24"/>
                <w:lang w:eastAsia="ru-RU"/>
              </w:rPr>
              <w:t xml:space="preserve">. uz NACE 2. </w:t>
            </w:r>
            <w:proofErr w:type="spellStart"/>
            <w:r w:rsidRPr="0001487D">
              <w:rPr>
                <w:i/>
                <w:iCs/>
                <w:sz w:val="24"/>
                <w:szCs w:val="24"/>
                <w:lang w:eastAsia="ru-RU"/>
              </w:rPr>
              <w:t>red</w:t>
            </w:r>
            <w:proofErr w:type="spellEnd"/>
            <w:r w:rsidRPr="0001487D">
              <w:rPr>
                <w:i/>
                <w:iCs/>
                <w:sz w:val="24"/>
                <w:szCs w:val="24"/>
                <w:lang w:eastAsia="ru-RU"/>
              </w:rPr>
              <w:t xml:space="preserve">., jo īpaši attiecībā uz jautājumiem, kas saistīti ar pārtraukumiem </w:t>
            </w:r>
            <w:proofErr w:type="spellStart"/>
            <w:r w:rsidRPr="0001487D">
              <w:rPr>
                <w:i/>
                <w:iCs/>
                <w:sz w:val="24"/>
                <w:szCs w:val="24"/>
                <w:lang w:eastAsia="ru-RU"/>
              </w:rPr>
              <w:t>laikrindās</w:t>
            </w:r>
            <w:proofErr w:type="spellEnd"/>
            <w:r w:rsidRPr="0001487D">
              <w:rPr>
                <w:i/>
                <w:iCs/>
                <w:sz w:val="24"/>
                <w:szCs w:val="24"/>
                <w:lang w:eastAsia="ru-RU"/>
              </w:rPr>
              <w:t xml:space="preserve">, tostarp datu dubulto sniegšanu un </w:t>
            </w:r>
            <w:proofErr w:type="spellStart"/>
            <w:r w:rsidRPr="0001487D">
              <w:rPr>
                <w:i/>
                <w:iCs/>
                <w:sz w:val="24"/>
                <w:szCs w:val="24"/>
                <w:lang w:eastAsia="ru-RU"/>
              </w:rPr>
              <w:t>laikrindu</w:t>
            </w:r>
            <w:proofErr w:type="spellEnd"/>
            <w:r w:rsidRPr="0001487D">
              <w:rPr>
                <w:i/>
                <w:iCs/>
                <w:sz w:val="24"/>
                <w:szCs w:val="24"/>
                <w:lang w:eastAsia="ru-RU"/>
              </w:rPr>
              <w:t xml:space="preserve"> pārrēķināšanu</w:t>
            </w:r>
            <w:r w:rsidRPr="00160643">
              <w:rPr>
                <w:sz w:val="24"/>
                <w:szCs w:val="24"/>
                <w:lang w:eastAsia="ru-RU"/>
              </w:rPr>
              <w:t>”</w:t>
            </w:r>
            <w:r>
              <w:rPr>
                <w:sz w:val="24"/>
                <w:szCs w:val="24"/>
                <w:lang w:eastAsia="ru-RU"/>
              </w:rPr>
              <w:t xml:space="preserve"> ir nepieciešami g</w:t>
            </w:r>
            <w:r w:rsidR="00AF33BC" w:rsidRPr="00355C7B">
              <w:rPr>
                <w:bCs/>
                <w:sz w:val="24"/>
                <w:szCs w:val="24"/>
                <w:lang w:eastAsia="ru-RU"/>
              </w:rPr>
              <w:t>rozījumi</w:t>
            </w:r>
            <w:r>
              <w:rPr>
                <w:bCs/>
                <w:sz w:val="24"/>
                <w:szCs w:val="24"/>
                <w:lang w:eastAsia="ru-RU"/>
              </w:rPr>
              <w:t xml:space="preserve"> KAKL 15. panta pirmajā daļā</w:t>
            </w:r>
            <w:r w:rsidR="00A809D8">
              <w:rPr>
                <w:sz w:val="24"/>
                <w:szCs w:val="24"/>
                <w:lang w:eastAsia="ru-RU"/>
              </w:rPr>
              <w:t xml:space="preserve">, lai </w:t>
            </w:r>
            <w:r>
              <w:rPr>
                <w:sz w:val="24"/>
                <w:szCs w:val="24"/>
                <w:lang w:eastAsia="ru-RU"/>
              </w:rPr>
              <w:t xml:space="preserve">precizētu atsauci uz aktuālo NACE nomenklatūru, izpildot </w:t>
            </w:r>
            <w:r w:rsidR="00A809D8">
              <w:rPr>
                <w:sz w:val="24"/>
                <w:szCs w:val="24"/>
                <w:lang w:eastAsia="ru-RU"/>
              </w:rPr>
              <w:t xml:space="preserve">Komisijas </w:t>
            </w:r>
            <w:r w:rsidR="00A809D8">
              <w:t>2006. gada 16. novembra</w:t>
            </w:r>
            <w:r w:rsidR="00A809D8">
              <w:rPr>
                <w:sz w:val="24"/>
                <w:szCs w:val="24"/>
                <w:lang w:eastAsia="ru-RU"/>
              </w:rPr>
              <w:t xml:space="preserve"> direktīvas Nr. 2006/111/EK </w:t>
            </w:r>
            <w:r w:rsidR="00A809D8" w:rsidRPr="00A809D8">
              <w:rPr>
                <w:i/>
                <w:iCs/>
                <w:sz w:val="24"/>
                <w:szCs w:val="24"/>
                <w:lang w:eastAsia="ru-RU"/>
              </w:rPr>
              <w:t xml:space="preserve">par dalībvalstu un publisku uzņēmumu finansiālo attiecību </w:t>
            </w:r>
            <w:proofErr w:type="spellStart"/>
            <w:r w:rsidR="00A809D8" w:rsidRPr="00A809D8">
              <w:rPr>
                <w:i/>
                <w:iCs/>
                <w:sz w:val="24"/>
                <w:szCs w:val="24"/>
                <w:lang w:eastAsia="ru-RU"/>
              </w:rPr>
              <w:t>pārredzamību</w:t>
            </w:r>
            <w:proofErr w:type="spellEnd"/>
            <w:r w:rsidR="00A809D8" w:rsidRPr="00A809D8">
              <w:rPr>
                <w:i/>
                <w:iCs/>
                <w:sz w:val="24"/>
                <w:szCs w:val="24"/>
                <w:lang w:eastAsia="ru-RU"/>
              </w:rPr>
              <w:t xml:space="preserve">, kā arī par dažu uzņēmumu finanšu </w:t>
            </w:r>
            <w:proofErr w:type="spellStart"/>
            <w:r w:rsidR="00A809D8" w:rsidRPr="00A809D8">
              <w:rPr>
                <w:i/>
                <w:iCs/>
                <w:sz w:val="24"/>
                <w:szCs w:val="24"/>
                <w:lang w:eastAsia="ru-RU"/>
              </w:rPr>
              <w:t>pārredzamību</w:t>
            </w:r>
            <w:proofErr w:type="spellEnd"/>
            <w:r w:rsidR="00A809D8" w:rsidRPr="00A809D8">
              <w:rPr>
                <w:sz w:val="24"/>
                <w:szCs w:val="24"/>
                <w:lang w:eastAsia="ru-RU"/>
              </w:rPr>
              <w:t xml:space="preserve"> </w:t>
            </w:r>
            <w:r w:rsidR="00160643">
              <w:rPr>
                <w:sz w:val="24"/>
                <w:szCs w:val="24"/>
                <w:lang w:eastAsia="ru-RU"/>
              </w:rPr>
              <w:t xml:space="preserve"> (turpmāk - </w:t>
            </w:r>
            <w:r w:rsidR="00160643" w:rsidRPr="00160643">
              <w:rPr>
                <w:sz w:val="24"/>
                <w:szCs w:val="24"/>
                <w:lang w:eastAsia="ru-RU"/>
              </w:rPr>
              <w:t>Direktīva 2006/111/EK</w:t>
            </w:r>
            <w:r w:rsidR="00160643">
              <w:rPr>
                <w:sz w:val="24"/>
                <w:szCs w:val="24"/>
                <w:lang w:eastAsia="ru-RU"/>
              </w:rPr>
              <w:t xml:space="preserve">) </w:t>
            </w:r>
            <w:r w:rsidR="00A809D8" w:rsidRPr="00A809D8">
              <w:rPr>
                <w:sz w:val="24"/>
                <w:szCs w:val="24"/>
                <w:lang w:eastAsia="ru-RU"/>
              </w:rPr>
              <w:t xml:space="preserve">8. panta 1. punkta </w:t>
            </w:r>
            <w:r w:rsidR="00A809D8">
              <w:rPr>
                <w:sz w:val="24"/>
                <w:szCs w:val="24"/>
                <w:lang w:eastAsia="ru-RU"/>
              </w:rPr>
              <w:t>prasības</w:t>
            </w:r>
            <w:r>
              <w:rPr>
                <w:sz w:val="24"/>
                <w:szCs w:val="24"/>
                <w:lang w:eastAsia="ru-RU"/>
              </w:rPr>
              <w:t>.</w:t>
            </w:r>
          </w:p>
        </w:tc>
      </w:tr>
      <w:tr w:rsidR="00287B19" w:rsidRPr="00BF0B1B" w14:paraId="3D5798E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CFF428"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9D6636C"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B0E540" w14:textId="77777777" w:rsidR="00E5323B" w:rsidRPr="00F750D4" w:rsidRDefault="001D0E57" w:rsidP="0046225A">
            <w:pPr>
              <w:spacing w:after="0" w:line="240" w:lineRule="auto"/>
              <w:rPr>
                <w:rFonts w:ascii="Times New Roman" w:eastAsia="Times New Roman" w:hAnsi="Times New Roman" w:cs="Times New Roman"/>
                <w:iCs/>
                <w:sz w:val="24"/>
                <w:szCs w:val="24"/>
                <w:lang w:eastAsia="lv-LV"/>
              </w:rPr>
            </w:pPr>
            <w:r w:rsidRPr="00F750D4">
              <w:rPr>
                <w:rFonts w:ascii="Times New Roman" w:hAnsi="Times New Roman" w:cs="Times New Roman"/>
                <w:sz w:val="24"/>
                <w:szCs w:val="24"/>
              </w:rPr>
              <w:t>Finanšu ministrija.</w:t>
            </w:r>
          </w:p>
        </w:tc>
      </w:tr>
      <w:tr w:rsidR="00287B19" w:rsidRPr="00BF0B1B" w14:paraId="3E2F6A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908DEF"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8A1EB6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CFD51D" w14:textId="77777777" w:rsidR="00E5323B" w:rsidRPr="00BF0B1B" w:rsidRDefault="00D8360C"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sz w:val="24"/>
                <w:szCs w:val="24"/>
              </w:rPr>
              <w:t>Nav.</w:t>
            </w:r>
          </w:p>
        </w:tc>
      </w:tr>
    </w:tbl>
    <w:p w14:paraId="3C05C2CE"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171D7CC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0F397E"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87B19" w:rsidRPr="00BF0B1B" w14:paraId="2394B3A7"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47B3C1"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6C7E36F"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Sabiedrības </w:t>
            </w:r>
            <w:proofErr w:type="spellStart"/>
            <w:r w:rsidRPr="00BF0B1B">
              <w:rPr>
                <w:rFonts w:ascii="Times New Roman" w:eastAsia="Times New Roman" w:hAnsi="Times New Roman" w:cs="Times New Roman"/>
                <w:iCs/>
                <w:sz w:val="24"/>
                <w:szCs w:val="24"/>
                <w:lang w:eastAsia="lv-LV"/>
              </w:rPr>
              <w:t>mērķgrupas</w:t>
            </w:r>
            <w:proofErr w:type="spellEnd"/>
            <w:r w:rsidRPr="00BF0B1B">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5A6EEC4D" w14:textId="77777777" w:rsidR="00556118" w:rsidRPr="007914F5" w:rsidRDefault="00861586" w:rsidP="007914F5">
            <w:pPr>
              <w:pStyle w:val="ListParagraph"/>
              <w:numPr>
                <w:ilvl w:val="3"/>
                <w:numId w:val="4"/>
              </w:numPr>
              <w:ind w:left="537" w:hanging="425"/>
              <w:jc w:val="both"/>
              <w:rPr>
                <w:sz w:val="24"/>
                <w:szCs w:val="24"/>
                <w:lang w:eastAsia="ru-RU"/>
              </w:rPr>
            </w:pPr>
            <w:r w:rsidRPr="007914F5">
              <w:rPr>
                <w:sz w:val="24"/>
                <w:szCs w:val="24"/>
                <w:lang w:eastAsia="ru-RU"/>
              </w:rPr>
              <w:t>Valsts vai pašvaldības institūcijas</w:t>
            </w:r>
            <w:r w:rsidR="00556118" w:rsidRPr="007914F5">
              <w:rPr>
                <w:sz w:val="24"/>
                <w:szCs w:val="24"/>
                <w:lang w:eastAsia="ru-RU"/>
              </w:rPr>
              <w:t>,</w:t>
            </w:r>
            <w:r w:rsidRPr="007914F5">
              <w:rPr>
                <w:sz w:val="24"/>
                <w:szCs w:val="24"/>
                <w:lang w:eastAsia="ru-RU"/>
              </w:rPr>
              <w:t xml:space="preserve"> vai to pilnvarotas juridiskās personas, kas</w:t>
            </w:r>
            <w:r w:rsidR="00556118" w:rsidRPr="007914F5">
              <w:rPr>
                <w:sz w:val="24"/>
                <w:szCs w:val="24"/>
                <w:lang w:eastAsia="ru-RU"/>
              </w:rPr>
              <w:t>:</w:t>
            </w:r>
          </w:p>
          <w:p w14:paraId="71CBE9A6" w14:textId="57C5BEC7" w:rsidR="00556118" w:rsidRDefault="00861586" w:rsidP="007914F5">
            <w:pPr>
              <w:pStyle w:val="ListParagraph"/>
              <w:numPr>
                <w:ilvl w:val="1"/>
                <w:numId w:val="4"/>
              </w:numPr>
              <w:ind w:left="1104" w:hanging="284"/>
              <w:jc w:val="both"/>
              <w:rPr>
                <w:sz w:val="24"/>
                <w:szCs w:val="24"/>
              </w:rPr>
            </w:pPr>
            <w:r w:rsidRPr="007914F5">
              <w:rPr>
                <w:sz w:val="24"/>
                <w:szCs w:val="24"/>
                <w:lang w:eastAsia="ru-RU"/>
              </w:rPr>
              <w:t>pieņem lēmumu par komercdarbības atbalsta piešķiršanu vai</w:t>
            </w:r>
          </w:p>
          <w:p w14:paraId="47BB894B" w14:textId="5834B820" w:rsidR="00556118" w:rsidRDefault="00861586" w:rsidP="007914F5">
            <w:pPr>
              <w:pStyle w:val="ListParagraph"/>
              <w:numPr>
                <w:ilvl w:val="1"/>
                <w:numId w:val="4"/>
              </w:numPr>
              <w:ind w:left="1104" w:hanging="284"/>
              <w:jc w:val="both"/>
              <w:rPr>
                <w:sz w:val="24"/>
                <w:szCs w:val="24"/>
              </w:rPr>
            </w:pPr>
            <w:r w:rsidRPr="007914F5">
              <w:rPr>
                <w:sz w:val="24"/>
                <w:szCs w:val="24"/>
                <w:lang w:eastAsia="ru-RU"/>
              </w:rPr>
              <w:t xml:space="preserve">ir atbildīgas par atbalsta programmas izstrādi vai </w:t>
            </w:r>
          </w:p>
          <w:p w14:paraId="04BCAC60" w14:textId="798889AD" w:rsidR="00556118" w:rsidRDefault="00556118" w:rsidP="007914F5">
            <w:pPr>
              <w:pStyle w:val="ListParagraph"/>
              <w:numPr>
                <w:ilvl w:val="1"/>
                <w:numId w:val="4"/>
              </w:numPr>
              <w:ind w:left="1104" w:hanging="284"/>
              <w:jc w:val="both"/>
              <w:rPr>
                <w:sz w:val="24"/>
                <w:szCs w:val="24"/>
              </w:rPr>
            </w:pPr>
            <w:r>
              <w:rPr>
                <w:sz w:val="24"/>
                <w:szCs w:val="24"/>
                <w:lang w:eastAsia="ru-RU"/>
              </w:rPr>
              <w:t xml:space="preserve">ir atbildīgas par </w:t>
            </w:r>
            <w:r w:rsidR="00861586" w:rsidRPr="007914F5">
              <w:rPr>
                <w:sz w:val="24"/>
                <w:szCs w:val="24"/>
                <w:lang w:eastAsia="ru-RU"/>
              </w:rPr>
              <w:t xml:space="preserve">atbalsta programmas vai </w:t>
            </w:r>
            <w:proofErr w:type="spellStart"/>
            <w:r w:rsidRPr="007914F5">
              <w:rPr>
                <w:i/>
                <w:sz w:val="24"/>
                <w:szCs w:val="24"/>
                <w:lang w:eastAsia="ru-RU"/>
              </w:rPr>
              <w:t>ad-hoc</w:t>
            </w:r>
            <w:proofErr w:type="spellEnd"/>
            <w:r w:rsidRPr="007914F5">
              <w:rPr>
                <w:i/>
                <w:sz w:val="24"/>
                <w:szCs w:val="24"/>
                <w:lang w:eastAsia="ru-RU"/>
              </w:rPr>
              <w:t xml:space="preserve"> </w:t>
            </w:r>
            <w:r>
              <w:rPr>
                <w:sz w:val="24"/>
                <w:szCs w:val="24"/>
                <w:lang w:eastAsia="ru-RU"/>
              </w:rPr>
              <w:t>atbalsta</w:t>
            </w:r>
            <w:r w:rsidR="00861586" w:rsidRPr="007914F5">
              <w:rPr>
                <w:sz w:val="24"/>
                <w:szCs w:val="24"/>
                <w:lang w:eastAsia="ru-RU"/>
              </w:rPr>
              <w:t xml:space="preserve"> piemērošanu</w:t>
            </w:r>
            <w:r>
              <w:rPr>
                <w:sz w:val="24"/>
                <w:szCs w:val="24"/>
                <w:lang w:eastAsia="ru-RU"/>
              </w:rPr>
              <w:t>;</w:t>
            </w:r>
          </w:p>
          <w:p w14:paraId="0D6CD785" w14:textId="3D04D84D" w:rsidR="00E5323B" w:rsidRPr="007914F5" w:rsidRDefault="00861586" w:rsidP="007914F5">
            <w:pPr>
              <w:pStyle w:val="ListParagraph"/>
              <w:numPr>
                <w:ilvl w:val="0"/>
                <w:numId w:val="4"/>
              </w:numPr>
              <w:ind w:left="395" w:hanging="283"/>
              <w:jc w:val="both"/>
              <w:rPr>
                <w:sz w:val="24"/>
                <w:szCs w:val="24"/>
              </w:rPr>
            </w:pPr>
            <w:r w:rsidRPr="007914F5">
              <w:rPr>
                <w:sz w:val="24"/>
                <w:szCs w:val="24"/>
                <w:lang w:eastAsia="ru-RU"/>
              </w:rPr>
              <w:t>fiziskā</w:t>
            </w:r>
            <w:r w:rsidR="00D15A00">
              <w:rPr>
                <w:sz w:val="24"/>
                <w:szCs w:val="24"/>
                <w:lang w:eastAsia="ru-RU"/>
              </w:rPr>
              <w:t>s</w:t>
            </w:r>
            <w:r w:rsidRPr="007914F5">
              <w:rPr>
                <w:sz w:val="24"/>
                <w:szCs w:val="24"/>
                <w:lang w:eastAsia="ru-RU"/>
              </w:rPr>
              <w:t xml:space="preserve"> persona</w:t>
            </w:r>
            <w:r w:rsidR="00D15A00">
              <w:rPr>
                <w:sz w:val="24"/>
                <w:szCs w:val="24"/>
                <w:lang w:eastAsia="ru-RU"/>
              </w:rPr>
              <w:t>s</w:t>
            </w:r>
            <w:r w:rsidRPr="007914F5">
              <w:rPr>
                <w:sz w:val="24"/>
                <w:szCs w:val="24"/>
                <w:lang w:eastAsia="ru-RU"/>
              </w:rPr>
              <w:t>, juridiskā</w:t>
            </w:r>
            <w:r w:rsidR="00D15A00">
              <w:rPr>
                <w:sz w:val="24"/>
                <w:szCs w:val="24"/>
                <w:lang w:eastAsia="ru-RU"/>
              </w:rPr>
              <w:t>s</w:t>
            </w:r>
            <w:r w:rsidRPr="007914F5">
              <w:rPr>
                <w:sz w:val="24"/>
                <w:szCs w:val="24"/>
                <w:lang w:eastAsia="ru-RU"/>
              </w:rPr>
              <w:t xml:space="preserve"> persona</w:t>
            </w:r>
            <w:r w:rsidR="00D15A00">
              <w:rPr>
                <w:sz w:val="24"/>
                <w:szCs w:val="24"/>
                <w:lang w:eastAsia="ru-RU"/>
              </w:rPr>
              <w:t>s</w:t>
            </w:r>
            <w:r w:rsidRPr="007914F5">
              <w:rPr>
                <w:sz w:val="24"/>
                <w:szCs w:val="24"/>
                <w:lang w:eastAsia="ru-RU"/>
              </w:rPr>
              <w:t xml:space="preserve"> vai šādu personu apvienība</w:t>
            </w:r>
            <w:r w:rsidR="00D15A00">
              <w:rPr>
                <w:sz w:val="24"/>
                <w:szCs w:val="24"/>
                <w:lang w:eastAsia="ru-RU"/>
              </w:rPr>
              <w:t>s,</w:t>
            </w:r>
            <w:r w:rsidRPr="007914F5">
              <w:rPr>
                <w:sz w:val="24"/>
                <w:szCs w:val="24"/>
                <w:lang w:eastAsia="ru-RU"/>
              </w:rPr>
              <w:t xml:space="preserve"> </w:t>
            </w:r>
            <w:r w:rsidR="00D15A00" w:rsidRPr="00BF24A9">
              <w:rPr>
                <w:sz w:val="24"/>
                <w:szCs w:val="24"/>
                <w:lang w:eastAsia="ru-RU"/>
              </w:rPr>
              <w:t>kura</w:t>
            </w:r>
            <w:r w:rsidR="00D15A00">
              <w:rPr>
                <w:sz w:val="24"/>
                <w:szCs w:val="24"/>
                <w:lang w:eastAsia="ru-RU"/>
              </w:rPr>
              <w:t>s</w:t>
            </w:r>
            <w:r w:rsidR="00D15A00" w:rsidRPr="00BF24A9">
              <w:rPr>
                <w:sz w:val="24"/>
                <w:szCs w:val="24"/>
                <w:lang w:eastAsia="ru-RU"/>
              </w:rPr>
              <w:t xml:space="preserve"> veic vai gatavojas veikt komercdarbību</w:t>
            </w:r>
            <w:r w:rsidR="00D15A00">
              <w:rPr>
                <w:sz w:val="24"/>
                <w:szCs w:val="24"/>
                <w:lang w:eastAsia="ru-RU"/>
              </w:rPr>
              <w:t>,</w:t>
            </w:r>
            <w:r w:rsidR="00D15A00" w:rsidRPr="00D15A00">
              <w:rPr>
                <w:sz w:val="24"/>
                <w:szCs w:val="24"/>
                <w:lang w:eastAsia="ru-RU"/>
              </w:rPr>
              <w:t xml:space="preserve"> </w:t>
            </w:r>
            <w:r w:rsidRPr="007914F5">
              <w:rPr>
                <w:sz w:val="24"/>
                <w:szCs w:val="24"/>
                <w:lang w:eastAsia="ru-RU"/>
              </w:rPr>
              <w:t>neatkarīgi no t</w:t>
            </w:r>
            <w:r w:rsidR="00D15A00">
              <w:rPr>
                <w:sz w:val="24"/>
                <w:szCs w:val="24"/>
                <w:lang w:eastAsia="ru-RU"/>
              </w:rPr>
              <w:t>o</w:t>
            </w:r>
            <w:r w:rsidRPr="007914F5">
              <w:rPr>
                <w:sz w:val="24"/>
                <w:szCs w:val="24"/>
                <w:lang w:eastAsia="ru-RU"/>
              </w:rPr>
              <w:t xml:space="preserve"> īpašum formas un darbības veida</w:t>
            </w:r>
            <w:r w:rsidR="00D15A00">
              <w:rPr>
                <w:sz w:val="24"/>
                <w:szCs w:val="24"/>
                <w:lang w:eastAsia="ru-RU"/>
              </w:rPr>
              <w:t>.</w:t>
            </w:r>
            <w:r w:rsidR="00E01A12" w:rsidRPr="007914F5">
              <w:rPr>
                <w:sz w:val="24"/>
                <w:szCs w:val="24"/>
                <w:lang w:eastAsia="ru-RU"/>
              </w:rPr>
              <w:t>.</w:t>
            </w:r>
          </w:p>
        </w:tc>
      </w:tr>
      <w:tr w:rsidR="00287B19" w:rsidRPr="00BF0B1B" w14:paraId="62F17A69"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ABCD933"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9E53099"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48864AD4" w14:textId="77777777" w:rsidR="00E5323B" w:rsidRPr="00BF0B1B" w:rsidRDefault="00592848" w:rsidP="0046225A">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sz w:val="24"/>
                <w:szCs w:val="24"/>
              </w:rPr>
              <w:t>Likumprojekts noteiks vienotu kārtību nelikumīgā komercdarbības atbalsta atgūšanai, kā arī mazinās administratīvo slogu v</w:t>
            </w:r>
            <w:r>
              <w:rPr>
                <w:rFonts w:ascii="Times New Roman" w:eastAsia="Times New Roman" w:hAnsi="Times New Roman" w:cs="Times New Roman"/>
                <w:sz w:val="24"/>
                <w:szCs w:val="24"/>
                <w:lang w:eastAsia="ru-RU"/>
              </w:rPr>
              <w:t xml:space="preserve">alsts vai pašvaldības institūcijām vai to pilnvarotām juridiskajām personām, kas pieņem lēmumu par komercdarbības atbalsta piešķiršanu vai kas ir atbildīgas par atbalsta programmas izstrādi vai </w:t>
            </w:r>
            <w:r>
              <w:rPr>
                <w:rFonts w:ascii="Times New Roman" w:eastAsia="Times New Roman" w:hAnsi="Times New Roman" w:cs="Times New Roman"/>
                <w:sz w:val="24"/>
                <w:szCs w:val="24"/>
                <w:lang w:eastAsia="ru-RU"/>
              </w:rPr>
              <w:lastRenderedPageBreak/>
              <w:t xml:space="preserve">atbalsta programmas vai individuālā atbalsta projekta piemērošanu, jo samazinās šo institūciju pienākumu apjoms, kas saistīts ar plānoto atbalsta programmu un </w:t>
            </w:r>
            <w:proofErr w:type="spellStart"/>
            <w:r>
              <w:rPr>
                <w:rFonts w:ascii="Times New Roman" w:eastAsia="Times New Roman" w:hAnsi="Times New Roman" w:cs="Times New Roman"/>
                <w:i/>
                <w:sz w:val="24"/>
                <w:szCs w:val="24"/>
                <w:lang w:eastAsia="ru-RU"/>
              </w:rPr>
              <w:t>ad-hoc</w:t>
            </w:r>
            <w:proofErr w:type="spellEnd"/>
            <w:r>
              <w:rPr>
                <w:rFonts w:ascii="Times New Roman" w:eastAsia="Times New Roman" w:hAnsi="Times New Roman" w:cs="Times New Roman"/>
                <w:sz w:val="24"/>
                <w:szCs w:val="24"/>
                <w:lang w:eastAsia="ru-RU"/>
              </w:rPr>
              <w:t xml:space="preserve"> atbalstu saskaņošanu ar Finanšu ministriju.</w:t>
            </w:r>
          </w:p>
        </w:tc>
      </w:tr>
      <w:tr w:rsidR="00A57EA0" w:rsidRPr="00BF0B1B" w14:paraId="2AE9005A"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4F1EE5A"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051D53A"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E6DE670" w14:textId="77777777" w:rsidR="00A57EA0" w:rsidRDefault="00A57EA0" w:rsidP="0046225A">
            <w:pPr>
              <w:spacing w:after="0" w:line="240" w:lineRule="auto"/>
              <w:rPr>
                <w:rFonts w:ascii="Times New Roman" w:eastAsia="Times New Roman" w:hAnsi="Times New Roman" w:cs="Times New Roman"/>
                <w:iCs/>
                <w:sz w:val="24"/>
                <w:szCs w:val="24"/>
                <w:lang w:val="sv-SE" w:eastAsia="lv-LV"/>
              </w:rPr>
            </w:pPr>
            <w:r>
              <w:rPr>
                <w:rFonts w:ascii="Times New Roman" w:hAnsi="Times New Roman"/>
                <w:sz w:val="24"/>
                <w:szCs w:val="24"/>
              </w:rPr>
              <w:t>Likump</w:t>
            </w:r>
            <w:r w:rsidRPr="00287B19">
              <w:rPr>
                <w:rFonts w:ascii="Times New Roman" w:hAnsi="Times New Roman"/>
                <w:sz w:val="24"/>
                <w:szCs w:val="24"/>
              </w:rPr>
              <w:t>rojekts nepalielinās administratīvo slogu.</w:t>
            </w:r>
          </w:p>
          <w:p w14:paraId="692E44C1" w14:textId="77777777" w:rsidR="00A57EA0" w:rsidRPr="00E26287" w:rsidRDefault="00A57EA0" w:rsidP="00355C7B">
            <w:pPr>
              <w:spacing w:after="0" w:line="240" w:lineRule="auto"/>
              <w:rPr>
                <w:rFonts w:ascii="Times New Roman" w:eastAsia="Times New Roman" w:hAnsi="Times New Roman" w:cs="Times New Roman"/>
                <w:sz w:val="24"/>
                <w:szCs w:val="24"/>
                <w:lang w:val="sv-SE" w:eastAsia="lv-LV"/>
              </w:rPr>
            </w:pPr>
          </w:p>
          <w:p w14:paraId="2F1099CC"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val="sv-SE" w:eastAsia="lv-LV"/>
              </w:rPr>
              <w:tab/>
            </w:r>
          </w:p>
        </w:tc>
      </w:tr>
      <w:tr w:rsidR="00A57EA0" w:rsidRPr="00BF0B1B" w14:paraId="12C91F23"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BF3CFC"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E93638B"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75E96B9"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sz w:val="24"/>
                <w:szCs w:val="24"/>
              </w:rPr>
              <w:t>Projekts šo jomu neskar.</w:t>
            </w:r>
          </w:p>
        </w:tc>
      </w:tr>
      <w:tr w:rsidR="00A57EA0" w:rsidRPr="00BF0B1B" w14:paraId="01F536DF"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BC32B8"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76F28EBD"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25AD6F4"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3746AF87"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BF0B1B" w14:paraId="02345BF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C88F76"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III. Tiesību akta projekta ietekme uz valsts budžetu un pašvaldību budžetiem</w:t>
            </w:r>
          </w:p>
        </w:tc>
      </w:tr>
      <w:tr w:rsidR="00287B19" w:rsidRPr="00BF0B1B" w14:paraId="00C9ED5A" w14:textId="77777777" w:rsidTr="0065679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DB7D743" w14:textId="77777777" w:rsidR="00656799" w:rsidRPr="00BF0B1B" w:rsidRDefault="00656799" w:rsidP="007914F5">
            <w:pPr>
              <w:spacing w:after="0" w:line="240" w:lineRule="auto"/>
              <w:jc w:val="center"/>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bl>
    <w:p w14:paraId="5DA34F2A" w14:textId="508A726D" w:rsidR="00E5323B" w:rsidRPr="00BF0B1B" w:rsidRDefault="00E5323B" w:rsidP="007914F5">
      <w:pPr>
        <w:spacing w:after="0" w:line="240" w:lineRule="auto"/>
        <w:jc w:val="cente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BF0B1B" w14:paraId="51E39F2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0E44F"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IV. Tiesību akta projekta ietekme uz spēkā esošo tiesību normu sistēmu</w:t>
            </w:r>
          </w:p>
        </w:tc>
      </w:tr>
      <w:tr w:rsidR="00287B19" w:rsidRPr="00BF0B1B" w14:paraId="1AEC566A" w14:textId="77777777" w:rsidTr="005B1CD9">
        <w:trPr>
          <w:trHeight w:val="366"/>
          <w:tblCellSpacing w:w="15" w:type="dxa"/>
        </w:trPr>
        <w:tc>
          <w:tcPr>
            <w:tcW w:w="4967" w:type="pct"/>
            <w:tcBorders>
              <w:top w:val="outset" w:sz="6" w:space="0" w:color="auto"/>
              <w:left w:val="outset" w:sz="6" w:space="0" w:color="auto"/>
              <w:right w:val="outset" w:sz="6" w:space="0" w:color="auto"/>
            </w:tcBorders>
          </w:tcPr>
          <w:p w14:paraId="245CE5E5" w14:textId="77777777" w:rsidR="005B1CD9" w:rsidRPr="00BF0B1B" w:rsidRDefault="005B1CD9" w:rsidP="007914F5">
            <w:pPr>
              <w:spacing w:after="0" w:line="240" w:lineRule="auto"/>
              <w:jc w:val="center"/>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bl>
    <w:p w14:paraId="77BBDA46"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47EDC8B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B1B15A"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87B19" w:rsidRPr="00BF0B1B" w14:paraId="0F06A8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395060"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9CD2215"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6DA143BC" w14:textId="77777777" w:rsidR="00E5323B" w:rsidRDefault="00E206B4" w:rsidP="0046225A">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Padomes 2015. gada 13. jūlija Regulas (ES) 2015/1589, ar ko nosaka sīki izstrādātus noteikumus Līguma par Eiropas Savienības darbību 108. panta piemērošanai</w:t>
            </w:r>
            <w:r>
              <w:rPr>
                <w:rFonts w:ascii="Times New Roman" w:hAnsi="Times New Roman" w:cs="Times New Roman"/>
                <w:sz w:val="24"/>
                <w:szCs w:val="24"/>
              </w:rPr>
              <w:t>.</w:t>
            </w:r>
          </w:p>
          <w:p w14:paraId="5EB087C5" w14:textId="2392CC13" w:rsidR="00E206B4" w:rsidRDefault="00E206B4" w:rsidP="00B83F6F">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Komisijas 2004. gada 21. aprīļa regula (EK) Nr. 794/2004, ar ko īsteno Padomes Regulu (ES) 2015/1589, ar ko nosaka sīki izstrādātus noteikumus Līguma par Eiropas Savienības darbību 108. panta piemērošanai</w:t>
            </w:r>
            <w:r w:rsidR="004C7A63">
              <w:rPr>
                <w:rFonts w:ascii="Times New Roman" w:hAnsi="Times New Roman" w:cs="Times New Roman"/>
                <w:sz w:val="24"/>
                <w:szCs w:val="24"/>
              </w:rPr>
              <w:t>.</w:t>
            </w:r>
          </w:p>
          <w:p w14:paraId="1D281E3C" w14:textId="50A334D6" w:rsidR="00E206B4" w:rsidRDefault="00E206B4">
            <w:pPr>
              <w:spacing w:after="0" w:line="240" w:lineRule="auto"/>
              <w:jc w:val="both"/>
              <w:rPr>
                <w:rFonts w:ascii="Times New Roman" w:hAnsi="Times New Roman" w:cs="Times New Roman"/>
                <w:sz w:val="24"/>
                <w:szCs w:val="24"/>
              </w:rPr>
            </w:pPr>
            <w:r w:rsidRPr="00E206B4">
              <w:rPr>
                <w:rFonts w:ascii="Times New Roman" w:hAnsi="Times New Roman" w:cs="Times New Roman"/>
                <w:sz w:val="24"/>
                <w:szCs w:val="24"/>
              </w:rPr>
              <w:t xml:space="preserve">Padomes 2006. gada 20. decembra Regulas (EK) Nr. 1893/2006, ar ko izveido NACE 2. </w:t>
            </w:r>
            <w:proofErr w:type="spellStart"/>
            <w:r w:rsidRPr="00E206B4">
              <w:rPr>
                <w:rFonts w:ascii="Times New Roman" w:hAnsi="Times New Roman" w:cs="Times New Roman"/>
                <w:sz w:val="24"/>
                <w:szCs w:val="24"/>
              </w:rPr>
              <w:t>red</w:t>
            </w:r>
            <w:proofErr w:type="spellEnd"/>
            <w:r w:rsidRPr="00E206B4">
              <w:rPr>
                <w:rFonts w:ascii="Times New Roman" w:hAnsi="Times New Roman" w:cs="Times New Roman"/>
                <w:sz w:val="24"/>
                <w:szCs w:val="24"/>
              </w:rPr>
              <w:t>. saimniecisko darbību statistisko klasifikāciju, kā arī groza Padomes Regulu (EEK) Nr. 3037/90 un dažas EK regulas par īpašām statistikas jomām</w:t>
            </w:r>
            <w:r w:rsidR="001B1C11">
              <w:rPr>
                <w:rFonts w:ascii="Times New Roman" w:hAnsi="Times New Roman" w:cs="Times New Roman"/>
                <w:sz w:val="24"/>
                <w:szCs w:val="24"/>
              </w:rPr>
              <w:t>.</w:t>
            </w:r>
          </w:p>
          <w:p w14:paraId="271C982C" w14:textId="3464721F" w:rsidR="00E206B4" w:rsidRPr="00BF0B1B" w:rsidRDefault="00E206B4">
            <w:pPr>
              <w:spacing w:after="0" w:line="240" w:lineRule="auto"/>
              <w:jc w:val="both"/>
              <w:rPr>
                <w:rFonts w:ascii="Times New Roman" w:eastAsia="Times New Roman" w:hAnsi="Times New Roman" w:cs="Times New Roman"/>
                <w:iCs/>
                <w:sz w:val="24"/>
                <w:szCs w:val="24"/>
                <w:lang w:eastAsia="lv-LV"/>
              </w:rPr>
            </w:pPr>
            <w:r w:rsidRPr="00E206B4">
              <w:rPr>
                <w:rFonts w:ascii="Times New Roman" w:eastAsia="Times New Roman" w:hAnsi="Times New Roman" w:cs="Times New Roman"/>
                <w:iCs/>
                <w:sz w:val="24"/>
                <w:szCs w:val="24"/>
                <w:lang w:eastAsia="lv-LV"/>
              </w:rPr>
              <w:t>Eiropas Savienības Tiesas 2019.</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gada 5.</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marta spriedum</w:t>
            </w:r>
            <w:r>
              <w:rPr>
                <w:rFonts w:ascii="Times New Roman" w:eastAsia="Times New Roman" w:hAnsi="Times New Roman" w:cs="Times New Roman"/>
                <w:iCs/>
                <w:sz w:val="24"/>
                <w:szCs w:val="24"/>
                <w:lang w:eastAsia="lv-LV"/>
              </w:rPr>
              <w:t>s</w:t>
            </w:r>
            <w:r w:rsidRPr="00E206B4">
              <w:rPr>
                <w:rFonts w:ascii="Times New Roman" w:eastAsia="Times New Roman" w:hAnsi="Times New Roman" w:cs="Times New Roman"/>
                <w:iCs/>
                <w:sz w:val="24"/>
                <w:szCs w:val="24"/>
                <w:lang w:eastAsia="lv-LV"/>
              </w:rPr>
              <w:t xml:space="preserve"> lietā Nr. C-349/17</w:t>
            </w:r>
            <w:r w:rsidR="004C7A63">
              <w:rPr>
                <w:rFonts w:ascii="Times New Roman" w:eastAsia="Times New Roman" w:hAnsi="Times New Roman" w:cs="Times New Roman"/>
                <w:iCs/>
                <w:sz w:val="24"/>
                <w:szCs w:val="24"/>
                <w:lang w:eastAsia="lv-LV"/>
              </w:rPr>
              <w:t>.</w:t>
            </w:r>
          </w:p>
        </w:tc>
      </w:tr>
      <w:tr w:rsidR="00287B19" w:rsidRPr="00BF0B1B" w14:paraId="0E4A8B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7CF787"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E30A267"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7AD31145" w14:textId="77777777" w:rsidR="00E5323B" w:rsidRPr="00BF0B1B" w:rsidRDefault="005B1CD9"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r w:rsidR="00287B19" w:rsidRPr="00BF0B1B" w14:paraId="004DF7F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DDB015"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FB90AF8"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E690CE" w14:textId="77777777" w:rsidR="00E5323B" w:rsidRPr="00BF0B1B" w:rsidRDefault="005B1CD9"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4A2EA35C"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08"/>
        <w:gridCol w:w="1997"/>
        <w:gridCol w:w="1358"/>
        <w:gridCol w:w="1010"/>
        <w:gridCol w:w="2982"/>
      </w:tblGrid>
      <w:tr w:rsidR="00287B19" w:rsidRPr="00BF0B1B" w14:paraId="3197C026"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A3DD816"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1. tabula</w:t>
            </w:r>
            <w:r w:rsidRPr="00BF0B1B">
              <w:rPr>
                <w:rFonts w:ascii="Times New Roman" w:eastAsia="Times New Roman" w:hAnsi="Times New Roman" w:cs="Times New Roman"/>
                <w:b/>
                <w:bCs/>
                <w:iCs/>
                <w:sz w:val="24"/>
                <w:szCs w:val="24"/>
                <w:lang w:eastAsia="lv-LV"/>
              </w:rPr>
              <w:br/>
              <w:t>Tiesību akta projekta atbilstība ES tiesību aktiem</w:t>
            </w:r>
          </w:p>
        </w:tc>
      </w:tr>
      <w:tr w:rsidR="00287B19" w:rsidRPr="00BF0B1B" w14:paraId="16E08BCA"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25B34AE5"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ES tiesību akta datums, numurs un nosaukums</w:t>
            </w:r>
          </w:p>
        </w:tc>
        <w:tc>
          <w:tcPr>
            <w:tcW w:w="4032" w:type="pct"/>
            <w:gridSpan w:val="4"/>
            <w:tcBorders>
              <w:top w:val="outset" w:sz="6" w:space="0" w:color="auto"/>
              <w:left w:val="outset" w:sz="6" w:space="0" w:color="auto"/>
              <w:bottom w:val="outset" w:sz="6" w:space="0" w:color="auto"/>
              <w:right w:val="outset" w:sz="6" w:space="0" w:color="auto"/>
            </w:tcBorders>
            <w:hideMark/>
          </w:tcPr>
          <w:p w14:paraId="6A4D0BE7" w14:textId="77777777" w:rsidR="00FD12A6" w:rsidRDefault="00FD12A6" w:rsidP="0046225A">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Padomes 2015. gada 13. jūlija Regulas (ES) 2015/1589, ar ko nosaka sīki izstrādātus noteikumus Līguma par Eiropas Savienības darbību 108. panta piemērošanai</w:t>
            </w:r>
            <w:r>
              <w:rPr>
                <w:rFonts w:ascii="Times New Roman" w:hAnsi="Times New Roman" w:cs="Times New Roman"/>
                <w:sz w:val="24"/>
                <w:szCs w:val="24"/>
              </w:rPr>
              <w:t>.</w:t>
            </w:r>
          </w:p>
          <w:p w14:paraId="19CA7BCC" w14:textId="46E442EE" w:rsidR="00FD12A6" w:rsidRDefault="00FD12A6">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 xml:space="preserve">Komisijas 2004. gada 21. aprīļa regula (EK) Nr. 794/2004, ar ko īsteno Padomes Regulu (ES) 2015/1589, ar ko nosaka sīki izstrādātus noteikumus </w:t>
            </w:r>
          </w:p>
          <w:p w14:paraId="01B4F9D2" w14:textId="77777777" w:rsidR="00E5323B" w:rsidRPr="00FD12A6" w:rsidRDefault="00FD12A6">
            <w:pPr>
              <w:spacing w:after="0" w:line="240" w:lineRule="auto"/>
              <w:jc w:val="both"/>
              <w:rPr>
                <w:rFonts w:ascii="Times New Roman" w:hAnsi="Times New Roman" w:cs="Times New Roman"/>
                <w:sz w:val="24"/>
                <w:szCs w:val="24"/>
              </w:rPr>
            </w:pPr>
            <w:r w:rsidRPr="00E206B4">
              <w:rPr>
                <w:rFonts w:ascii="Times New Roman" w:hAnsi="Times New Roman" w:cs="Times New Roman"/>
                <w:sz w:val="24"/>
                <w:szCs w:val="24"/>
              </w:rPr>
              <w:t xml:space="preserve">Padomes 2006. gada 20. decembra Regulas (EK) Nr. 1893/2006, ar ko izveido NACE 2. </w:t>
            </w:r>
            <w:proofErr w:type="spellStart"/>
            <w:r w:rsidRPr="00E206B4">
              <w:rPr>
                <w:rFonts w:ascii="Times New Roman" w:hAnsi="Times New Roman" w:cs="Times New Roman"/>
                <w:sz w:val="24"/>
                <w:szCs w:val="24"/>
              </w:rPr>
              <w:t>red</w:t>
            </w:r>
            <w:proofErr w:type="spellEnd"/>
            <w:r w:rsidRPr="00E206B4">
              <w:rPr>
                <w:rFonts w:ascii="Times New Roman" w:hAnsi="Times New Roman" w:cs="Times New Roman"/>
                <w:sz w:val="24"/>
                <w:szCs w:val="24"/>
              </w:rPr>
              <w:t xml:space="preserve">. saimniecisko darbību statistisko klasifikāciju, kā arī </w:t>
            </w:r>
            <w:r w:rsidRPr="00E206B4">
              <w:rPr>
                <w:rFonts w:ascii="Times New Roman" w:hAnsi="Times New Roman" w:cs="Times New Roman"/>
                <w:sz w:val="24"/>
                <w:szCs w:val="24"/>
              </w:rPr>
              <w:lastRenderedPageBreak/>
              <w:t>groza Padomes Regulu (EEK) Nr. 3037/90 un dažas EK regulas par īpašām statistikas jomām</w:t>
            </w:r>
          </w:p>
        </w:tc>
      </w:tr>
      <w:tr w:rsidR="00287B19" w:rsidRPr="00BF0B1B" w14:paraId="4F43BAE7"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3F5F7517"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A</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C1BC062"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B</w:t>
            </w:r>
          </w:p>
        </w:tc>
        <w:tc>
          <w:tcPr>
            <w:tcW w:w="1292" w:type="pct"/>
            <w:gridSpan w:val="2"/>
            <w:tcBorders>
              <w:top w:val="outset" w:sz="6" w:space="0" w:color="auto"/>
              <w:left w:val="outset" w:sz="6" w:space="0" w:color="auto"/>
              <w:bottom w:val="outset" w:sz="6" w:space="0" w:color="auto"/>
              <w:right w:val="outset" w:sz="6" w:space="0" w:color="auto"/>
            </w:tcBorders>
            <w:vAlign w:val="center"/>
            <w:hideMark/>
          </w:tcPr>
          <w:p w14:paraId="5FB03EF3"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w:t>
            </w:r>
          </w:p>
        </w:tc>
        <w:tc>
          <w:tcPr>
            <w:tcW w:w="1607" w:type="pct"/>
            <w:tcBorders>
              <w:top w:val="outset" w:sz="6" w:space="0" w:color="auto"/>
              <w:left w:val="outset" w:sz="6" w:space="0" w:color="auto"/>
              <w:bottom w:val="outset" w:sz="6" w:space="0" w:color="auto"/>
              <w:right w:val="outset" w:sz="6" w:space="0" w:color="auto"/>
            </w:tcBorders>
            <w:vAlign w:val="center"/>
            <w:hideMark/>
          </w:tcPr>
          <w:p w14:paraId="076BD7D5" w14:textId="77777777" w:rsidR="00655F2C" w:rsidRPr="00BF0B1B" w:rsidRDefault="00E5323B" w:rsidP="00B83F6F">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D</w:t>
            </w:r>
          </w:p>
        </w:tc>
      </w:tr>
      <w:tr w:rsidR="00287B19" w:rsidRPr="00BF0B1B" w14:paraId="4D43EB7B"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7466166B"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100" w:type="pct"/>
            <w:tcBorders>
              <w:top w:val="outset" w:sz="6" w:space="0" w:color="auto"/>
              <w:left w:val="outset" w:sz="6" w:space="0" w:color="auto"/>
              <w:bottom w:val="outset" w:sz="6" w:space="0" w:color="auto"/>
              <w:right w:val="outset" w:sz="6" w:space="0" w:color="auto"/>
            </w:tcBorders>
            <w:hideMark/>
          </w:tcPr>
          <w:p w14:paraId="0B76F34C"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92" w:type="pct"/>
            <w:gridSpan w:val="2"/>
            <w:tcBorders>
              <w:top w:val="outset" w:sz="6" w:space="0" w:color="auto"/>
              <w:left w:val="outset" w:sz="6" w:space="0" w:color="auto"/>
              <w:bottom w:val="outset" w:sz="6" w:space="0" w:color="auto"/>
              <w:right w:val="outset" w:sz="6" w:space="0" w:color="auto"/>
            </w:tcBorders>
            <w:hideMark/>
          </w:tcPr>
          <w:p w14:paraId="6D6057CA"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BF0B1B">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BF0B1B">
              <w:rPr>
                <w:rFonts w:ascii="Times New Roman" w:eastAsia="Times New Roman" w:hAnsi="Times New Roman" w:cs="Times New Roman"/>
                <w:iCs/>
                <w:sz w:val="24"/>
                <w:szCs w:val="24"/>
                <w:lang w:eastAsia="lv-LV"/>
              </w:rPr>
              <w:br/>
              <w:t>Norāda institūciju, kas ir atbildīga par šo saistību izpildi pilnībā</w:t>
            </w:r>
          </w:p>
        </w:tc>
        <w:tc>
          <w:tcPr>
            <w:tcW w:w="1607" w:type="pct"/>
            <w:tcBorders>
              <w:top w:val="outset" w:sz="6" w:space="0" w:color="auto"/>
              <w:left w:val="outset" w:sz="6" w:space="0" w:color="auto"/>
              <w:bottom w:val="outset" w:sz="6" w:space="0" w:color="auto"/>
              <w:right w:val="outset" w:sz="6" w:space="0" w:color="auto"/>
            </w:tcBorders>
            <w:hideMark/>
          </w:tcPr>
          <w:p w14:paraId="2414CE88" w14:textId="77777777" w:rsidR="00E5323B" w:rsidRPr="00BF0B1B" w:rsidRDefault="00E5323B" w:rsidP="00B83F6F">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BF0B1B">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BF0B1B">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566DCE" w:rsidRPr="00BF0B1B" w14:paraId="1088777C"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41ADB0BD" w14:textId="77777777" w:rsidR="00566DCE" w:rsidRPr="00BF0B1B" w:rsidRDefault="00566DCE">
            <w:pPr>
              <w:spacing w:after="0" w:line="240" w:lineRule="auto"/>
              <w:rPr>
                <w:rFonts w:ascii="Times New Roman" w:eastAsia="Times New Roman" w:hAnsi="Times New Roman" w:cs="Times New Roman"/>
                <w:iCs/>
                <w:sz w:val="24"/>
                <w:szCs w:val="24"/>
                <w:lang w:eastAsia="lv-LV"/>
              </w:rPr>
            </w:pPr>
            <w:r w:rsidRPr="00566DCE">
              <w:rPr>
                <w:rFonts w:ascii="Times New Roman" w:eastAsia="Times New Roman" w:hAnsi="Times New Roman" w:cs="Times New Roman"/>
                <w:iCs/>
                <w:sz w:val="24"/>
                <w:szCs w:val="24"/>
                <w:lang w:eastAsia="lv-LV"/>
              </w:rPr>
              <w:t>Padomes regulas Nr. 2015</w:t>
            </w:r>
            <w:r>
              <w:rPr>
                <w:rFonts w:ascii="Times New Roman" w:eastAsia="Times New Roman" w:hAnsi="Times New Roman" w:cs="Times New Roman"/>
                <w:iCs/>
                <w:sz w:val="24"/>
                <w:szCs w:val="24"/>
                <w:lang w:eastAsia="lv-LV"/>
              </w:rPr>
              <w:t xml:space="preserve">/1589 4. panta 2. un 3. punkts, </w:t>
            </w:r>
            <w:r w:rsidRPr="00566DCE">
              <w:rPr>
                <w:rFonts w:ascii="Times New Roman" w:eastAsia="Times New Roman" w:hAnsi="Times New Roman" w:cs="Times New Roman"/>
                <w:iCs/>
                <w:sz w:val="24"/>
                <w:szCs w:val="24"/>
                <w:lang w:eastAsia="lv-LV"/>
              </w:rPr>
              <w:t>9. panta 2., 3. vai 4. punkt</w:t>
            </w:r>
            <w:r>
              <w:rPr>
                <w:rFonts w:ascii="Times New Roman" w:eastAsia="Times New Roman" w:hAnsi="Times New Roman" w:cs="Times New Roman"/>
                <w:iCs/>
                <w:sz w:val="24"/>
                <w:szCs w:val="24"/>
                <w:lang w:eastAsia="lv-LV"/>
              </w:rPr>
              <w:t>s</w:t>
            </w:r>
          </w:p>
        </w:tc>
        <w:tc>
          <w:tcPr>
            <w:tcW w:w="1100" w:type="pct"/>
            <w:tcBorders>
              <w:top w:val="outset" w:sz="6" w:space="0" w:color="auto"/>
              <w:left w:val="outset" w:sz="6" w:space="0" w:color="auto"/>
              <w:bottom w:val="outset" w:sz="6" w:space="0" w:color="auto"/>
              <w:right w:val="outset" w:sz="6" w:space="0" w:color="auto"/>
            </w:tcBorders>
          </w:tcPr>
          <w:p w14:paraId="3F622172" w14:textId="77777777" w:rsidR="00566DCE" w:rsidRPr="00BF0B1B" w:rsidRDefault="00566DCE">
            <w:pPr>
              <w:spacing w:after="0" w:line="240" w:lineRule="auto"/>
              <w:rPr>
                <w:rFonts w:ascii="Times New Roman" w:eastAsia="Times New Roman" w:hAnsi="Times New Roman" w:cs="Times New Roman"/>
                <w:iCs/>
                <w:sz w:val="24"/>
                <w:szCs w:val="24"/>
                <w:lang w:eastAsia="lv-LV"/>
              </w:rPr>
            </w:pPr>
            <w:r>
              <w:rPr>
                <w:rFonts w:ascii="Times New Roman" w:hAnsi="Times New Roman"/>
                <w:sz w:val="24"/>
                <w:szCs w:val="24"/>
              </w:rPr>
              <w:t xml:space="preserve">Likumprojekta 2. pants, ar kuru groza KAKL </w:t>
            </w:r>
            <w:r w:rsidRPr="004628EE">
              <w:rPr>
                <w:rFonts w:ascii="Times New Roman" w:eastAsia="Times New Roman" w:hAnsi="Times New Roman" w:cs="Times New Roman"/>
                <w:sz w:val="24"/>
                <w:szCs w:val="24"/>
                <w:lang w:eastAsia="ru-RU"/>
              </w:rPr>
              <w:t xml:space="preserve">1. panta </w:t>
            </w:r>
            <w:r>
              <w:rPr>
                <w:rFonts w:ascii="Times New Roman" w:eastAsia="Times New Roman" w:hAnsi="Times New Roman" w:cs="Times New Roman"/>
                <w:bCs/>
                <w:sz w:val="24"/>
                <w:szCs w:val="24"/>
                <w:lang w:eastAsia="ru-RU"/>
              </w:rPr>
              <w:t>otrās</w:t>
            </w:r>
            <w:r>
              <w:rPr>
                <w:rFonts w:ascii="Times New Roman" w:eastAsia="Times New Roman" w:hAnsi="Times New Roman" w:cs="Times New Roman"/>
                <w:sz w:val="24"/>
                <w:szCs w:val="24"/>
                <w:lang w:eastAsia="ru-RU"/>
              </w:rPr>
              <w:t xml:space="preserve"> daļas 11. punktu</w:t>
            </w:r>
          </w:p>
        </w:tc>
        <w:tc>
          <w:tcPr>
            <w:tcW w:w="1292" w:type="pct"/>
            <w:gridSpan w:val="2"/>
            <w:tcBorders>
              <w:top w:val="outset" w:sz="6" w:space="0" w:color="auto"/>
              <w:left w:val="outset" w:sz="6" w:space="0" w:color="auto"/>
              <w:bottom w:val="outset" w:sz="6" w:space="0" w:color="auto"/>
              <w:right w:val="outset" w:sz="6" w:space="0" w:color="auto"/>
            </w:tcBorders>
          </w:tcPr>
          <w:p w14:paraId="32A9E3A3" w14:textId="77777777" w:rsidR="00566DCE" w:rsidRPr="00BF0B1B" w:rsidRDefault="00566DCE" w:rsidP="00566DCE">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3A8EBA29" w14:textId="7DEADF8E" w:rsidR="00566DCE" w:rsidRPr="00BF0B1B" w:rsidRDefault="00566DCE" w:rsidP="00F7001B">
            <w:pPr>
              <w:spacing w:after="0" w:line="240" w:lineRule="auto"/>
              <w:rPr>
                <w:rFonts w:ascii="Times New Roman" w:eastAsia="Times New Roman" w:hAnsi="Times New Roman" w:cs="Times New Roman"/>
                <w:iCs/>
                <w:sz w:val="24"/>
                <w:szCs w:val="24"/>
                <w:lang w:eastAsia="lv-LV"/>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433DEF95"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E5C998D" w14:textId="77777777" w:rsidR="00132C97" w:rsidRPr="00566DCE" w:rsidRDefault="00132C97" w:rsidP="00132C97">
            <w:pPr>
              <w:spacing w:after="0" w:line="240" w:lineRule="auto"/>
              <w:rPr>
                <w:rFonts w:ascii="Times New Roman" w:eastAsia="Times New Roman" w:hAnsi="Times New Roman" w:cs="Times New Roman"/>
                <w:iCs/>
                <w:sz w:val="24"/>
                <w:szCs w:val="24"/>
                <w:lang w:eastAsia="lv-LV"/>
              </w:rPr>
            </w:pPr>
            <w:r w:rsidRPr="00E206B4">
              <w:rPr>
                <w:rFonts w:ascii="Times New Roman" w:hAnsi="Times New Roman" w:cs="Times New Roman"/>
                <w:sz w:val="24"/>
                <w:szCs w:val="24"/>
              </w:rPr>
              <w:t>Padomes 2006. gada 20. decembra Regulas (EK) Nr. 1893/2006</w:t>
            </w:r>
            <w:r>
              <w:rPr>
                <w:rFonts w:ascii="Times New Roman" w:hAnsi="Times New Roman" w:cs="Times New Roman"/>
                <w:sz w:val="24"/>
                <w:szCs w:val="24"/>
              </w:rPr>
              <w:t xml:space="preserve"> </w:t>
            </w:r>
            <w:r w:rsidRPr="00132C97">
              <w:rPr>
                <w:rFonts w:ascii="Times New Roman" w:hAnsi="Times New Roman" w:cs="Times New Roman"/>
                <w:sz w:val="24"/>
                <w:szCs w:val="24"/>
              </w:rPr>
              <w:t>6. panta 1. punkta b) apakšpunktā</w:t>
            </w:r>
          </w:p>
        </w:tc>
        <w:tc>
          <w:tcPr>
            <w:tcW w:w="1100" w:type="pct"/>
            <w:tcBorders>
              <w:top w:val="outset" w:sz="6" w:space="0" w:color="auto"/>
              <w:left w:val="outset" w:sz="6" w:space="0" w:color="auto"/>
              <w:bottom w:val="outset" w:sz="6" w:space="0" w:color="auto"/>
              <w:right w:val="outset" w:sz="6" w:space="0" w:color="auto"/>
            </w:tcBorders>
          </w:tcPr>
          <w:p w14:paraId="217B9755" w14:textId="368F45C5" w:rsidR="00132C97" w:rsidRDefault="00132C97" w:rsidP="00132C97">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0</w:t>
            </w:r>
            <w:r>
              <w:rPr>
                <w:rFonts w:ascii="Times New Roman" w:hAnsi="Times New Roman"/>
                <w:sz w:val="24"/>
                <w:szCs w:val="24"/>
              </w:rPr>
              <w:t>.pants, ar kuru groza KAKL 15.panta pirmo daļu</w:t>
            </w:r>
          </w:p>
        </w:tc>
        <w:tc>
          <w:tcPr>
            <w:tcW w:w="1292" w:type="pct"/>
            <w:gridSpan w:val="2"/>
            <w:tcBorders>
              <w:top w:val="outset" w:sz="6" w:space="0" w:color="auto"/>
              <w:left w:val="outset" w:sz="6" w:space="0" w:color="auto"/>
              <w:bottom w:val="outset" w:sz="6" w:space="0" w:color="auto"/>
              <w:right w:val="outset" w:sz="6" w:space="0" w:color="auto"/>
            </w:tcBorders>
          </w:tcPr>
          <w:p w14:paraId="1D695AF1"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6DD298D4" w14:textId="317461B8"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05B1C866"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3A1CF6A1" w14:textId="77777777" w:rsidR="00132C97" w:rsidRPr="00BF0B1B" w:rsidRDefault="00132C97" w:rsidP="00132C97">
            <w:pPr>
              <w:spacing w:after="0" w:line="240" w:lineRule="auto"/>
              <w:rPr>
                <w:rFonts w:ascii="Times New Roman" w:hAnsi="Times New Roman"/>
                <w:sz w:val="24"/>
                <w:szCs w:val="24"/>
              </w:rPr>
            </w:pPr>
            <w:r w:rsidRPr="004628EE">
              <w:rPr>
                <w:rFonts w:ascii="Times New Roman" w:eastAsia="Times New Roman" w:hAnsi="Times New Roman" w:cs="Times New Roman"/>
                <w:sz w:val="24"/>
                <w:szCs w:val="24"/>
                <w:lang w:eastAsia="ru-RU"/>
              </w:rPr>
              <w:t>Padomes regulas Nr. 2015/1589 16. panta 2. punkt</w:t>
            </w:r>
            <w:r>
              <w:rPr>
                <w:rFonts w:ascii="Times New Roman" w:eastAsia="Times New Roman" w:hAnsi="Times New Roman" w:cs="Times New Roman"/>
                <w:sz w:val="24"/>
                <w:szCs w:val="24"/>
                <w:lang w:eastAsia="ru-RU"/>
              </w:rPr>
              <w:t>s</w:t>
            </w:r>
          </w:p>
        </w:tc>
        <w:tc>
          <w:tcPr>
            <w:tcW w:w="1100" w:type="pct"/>
            <w:tcBorders>
              <w:top w:val="outset" w:sz="6" w:space="0" w:color="auto"/>
              <w:left w:val="outset" w:sz="6" w:space="0" w:color="auto"/>
              <w:bottom w:val="outset" w:sz="6" w:space="0" w:color="auto"/>
              <w:right w:val="outset" w:sz="6" w:space="0" w:color="auto"/>
            </w:tcBorders>
            <w:hideMark/>
          </w:tcPr>
          <w:p w14:paraId="042E4D9E" w14:textId="58D5B0CD" w:rsidR="00132C97" w:rsidRPr="00BF0B1B" w:rsidRDefault="00132C97" w:rsidP="00132C97">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1</w:t>
            </w:r>
            <w:r>
              <w:rPr>
                <w:rFonts w:ascii="Times New Roman" w:hAnsi="Times New Roman"/>
                <w:sz w:val="24"/>
                <w:szCs w:val="24"/>
              </w:rPr>
              <w:t>. pants, ar kuru groza KAKL 18. panta pirmo daļu</w:t>
            </w:r>
          </w:p>
        </w:tc>
        <w:tc>
          <w:tcPr>
            <w:tcW w:w="1292" w:type="pct"/>
            <w:gridSpan w:val="2"/>
            <w:tcBorders>
              <w:top w:val="outset" w:sz="6" w:space="0" w:color="auto"/>
              <w:left w:val="outset" w:sz="6" w:space="0" w:color="auto"/>
              <w:bottom w:val="outset" w:sz="6" w:space="0" w:color="auto"/>
              <w:right w:val="outset" w:sz="6" w:space="0" w:color="auto"/>
            </w:tcBorders>
            <w:hideMark/>
          </w:tcPr>
          <w:p w14:paraId="7F6452AD"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hideMark/>
          </w:tcPr>
          <w:p w14:paraId="46C4C476" w14:textId="18EC83F6" w:rsidR="00132C97" w:rsidRPr="00BF0B1B" w:rsidRDefault="00132C97" w:rsidP="00F7001B">
            <w:pPr>
              <w:spacing w:after="0" w:line="240" w:lineRule="auto"/>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7FD359F9"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1061A941" w14:textId="77777777" w:rsidR="00132C97" w:rsidRPr="004628EE" w:rsidRDefault="00132C97" w:rsidP="00132C97">
            <w:pPr>
              <w:spacing w:after="0" w:line="240" w:lineRule="auto"/>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Komisijas regula</w:t>
            </w:r>
            <w:r>
              <w:rPr>
                <w:rFonts w:ascii="Times New Roman" w:eastAsia="Times New Roman" w:hAnsi="Times New Roman" w:cs="Times New Roman"/>
                <w:sz w:val="24"/>
                <w:szCs w:val="24"/>
                <w:lang w:eastAsia="ru-RU"/>
              </w:rPr>
              <w:t>s</w:t>
            </w:r>
            <w:r w:rsidRPr="004628EE">
              <w:rPr>
                <w:rFonts w:ascii="Times New Roman" w:eastAsia="Times New Roman" w:hAnsi="Times New Roman" w:cs="Times New Roman"/>
                <w:sz w:val="24"/>
                <w:szCs w:val="24"/>
                <w:lang w:eastAsia="ru-RU"/>
              </w:rPr>
              <w:t xml:space="preserve"> Nr. 794/2004</w:t>
            </w:r>
            <w:r>
              <w:rPr>
                <w:rFonts w:ascii="Times New Roman" w:eastAsia="Times New Roman" w:hAnsi="Times New Roman" w:cs="Times New Roman"/>
                <w:sz w:val="24"/>
                <w:szCs w:val="24"/>
                <w:lang w:eastAsia="ru-RU"/>
              </w:rPr>
              <w:t xml:space="preserve"> 11. pants</w:t>
            </w:r>
          </w:p>
        </w:tc>
        <w:tc>
          <w:tcPr>
            <w:tcW w:w="1100" w:type="pct"/>
            <w:tcBorders>
              <w:top w:val="outset" w:sz="6" w:space="0" w:color="auto"/>
              <w:left w:val="outset" w:sz="6" w:space="0" w:color="auto"/>
              <w:bottom w:val="outset" w:sz="6" w:space="0" w:color="auto"/>
              <w:right w:val="outset" w:sz="6" w:space="0" w:color="auto"/>
            </w:tcBorders>
          </w:tcPr>
          <w:p w14:paraId="0DA6DEEF" w14:textId="448F45E4" w:rsidR="00132C97" w:rsidRDefault="00132C97" w:rsidP="00AD0202">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1</w:t>
            </w:r>
            <w:r>
              <w:rPr>
                <w:rFonts w:ascii="Times New Roman" w:hAnsi="Times New Roman"/>
                <w:sz w:val="24"/>
                <w:szCs w:val="24"/>
              </w:rPr>
              <w:t>. pants, ar kuru groza KAKL 18. panta pirmo daļu un Likumprojekta 14. pants, ar kuru groza KAKL 19. panta otro daļu</w:t>
            </w:r>
          </w:p>
        </w:tc>
        <w:tc>
          <w:tcPr>
            <w:tcW w:w="1292" w:type="pct"/>
            <w:gridSpan w:val="2"/>
            <w:tcBorders>
              <w:top w:val="outset" w:sz="6" w:space="0" w:color="auto"/>
              <w:left w:val="outset" w:sz="6" w:space="0" w:color="auto"/>
              <w:bottom w:val="outset" w:sz="6" w:space="0" w:color="auto"/>
              <w:right w:val="outset" w:sz="6" w:space="0" w:color="auto"/>
            </w:tcBorders>
          </w:tcPr>
          <w:p w14:paraId="55C332C4"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3C7F6F08" w14:textId="47790748"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3DB80D3C"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A2F9E04" w14:textId="77777777" w:rsidR="00132C97" w:rsidRPr="004628EE" w:rsidRDefault="00132C97" w:rsidP="00132C97">
            <w:pPr>
              <w:spacing w:after="0" w:line="240" w:lineRule="auto"/>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lastRenderedPageBreak/>
              <w:t>Padomes regulas Nr. 2015/1589 16. panta 2. punkt</w:t>
            </w:r>
            <w:r>
              <w:rPr>
                <w:rFonts w:ascii="Times New Roman" w:eastAsia="Times New Roman" w:hAnsi="Times New Roman" w:cs="Times New Roman"/>
                <w:sz w:val="24"/>
                <w:szCs w:val="24"/>
                <w:lang w:eastAsia="ru-RU"/>
              </w:rPr>
              <w:t>s</w:t>
            </w:r>
          </w:p>
        </w:tc>
        <w:tc>
          <w:tcPr>
            <w:tcW w:w="1100" w:type="pct"/>
            <w:tcBorders>
              <w:top w:val="outset" w:sz="6" w:space="0" w:color="auto"/>
              <w:left w:val="outset" w:sz="6" w:space="0" w:color="auto"/>
              <w:bottom w:val="outset" w:sz="6" w:space="0" w:color="auto"/>
              <w:right w:val="outset" w:sz="6" w:space="0" w:color="auto"/>
            </w:tcBorders>
          </w:tcPr>
          <w:p w14:paraId="3FCDE355" w14:textId="09192BA1" w:rsidR="00132C97" w:rsidRDefault="00132C97" w:rsidP="00132C97">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1</w:t>
            </w:r>
            <w:r>
              <w:rPr>
                <w:rFonts w:ascii="Times New Roman" w:hAnsi="Times New Roman"/>
                <w:sz w:val="24"/>
                <w:szCs w:val="24"/>
              </w:rPr>
              <w:t>. pants, ar kuru groza KAKL 18. panta pirmo daļu, un Likumprojekta 14. pants, ar kuru groza KAKL 19. panta otro daļu</w:t>
            </w:r>
          </w:p>
        </w:tc>
        <w:tc>
          <w:tcPr>
            <w:tcW w:w="1292" w:type="pct"/>
            <w:gridSpan w:val="2"/>
            <w:tcBorders>
              <w:top w:val="outset" w:sz="6" w:space="0" w:color="auto"/>
              <w:left w:val="outset" w:sz="6" w:space="0" w:color="auto"/>
              <w:bottom w:val="outset" w:sz="6" w:space="0" w:color="auto"/>
              <w:right w:val="outset" w:sz="6" w:space="0" w:color="auto"/>
            </w:tcBorders>
          </w:tcPr>
          <w:p w14:paraId="58971296"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36B0F51C" w14:textId="25AB6421"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1E8AFD81"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8E09D5F" w14:textId="77777777" w:rsidR="00132C97" w:rsidRPr="004628EE" w:rsidRDefault="00132C97" w:rsidP="00132C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Padomes regulas Nr. 2015/1589 17. pants</w:t>
            </w:r>
          </w:p>
        </w:tc>
        <w:tc>
          <w:tcPr>
            <w:tcW w:w="1100" w:type="pct"/>
            <w:tcBorders>
              <w:top w:val="outset" w:sz="6" w:space="0" w:color="auto"/>
              <w:left w:val="outset" w:sz="6" w:space="0" w:color="auto"/>
              <w:bottom w:val="outset" w:sz="6" w:space="0" w:color="auto"/>
              <w:right w:val="outset" w:sz="6" w:space="0" w:color="auto"/>
            </w:tcBorders>
          </w:tcPr>
          <w:p w14:paraId="3C0238E7" w14:textId="3B2D1902" w:rsidR="00132C97" w:rsidRDefault="00132C97" w:rsidP="00AD0202">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1</w:t>
            </w:r>
            <w:r>
              <w:rPr>
                <w:rFonts w:ascii="Times New Roman" w:hAnsi="Times New Roman"/>
                <w:sz w:val="24"/>
                <w:szCs w:val="24"/>
              </w:rPr>
              <w:t>. pants, ar kuru groza KAKL 18. panta astoto daļu</w:t>
            </w:r>
          </w:p>
        </w:tc>
        <w:tc>
          <w:tcPr>
            <w:tcW w:w="1292" w:type="pct"/>
            <w:gridSpan w:val="2"/>
            <w:tcBorders>
              <w:top w:val="outset" w:sz="6" w:space="0" w:color="auto"/>
              <w:left w:val="outset" w:sz="6" w:space="0" w:color="auto"/>
              <w:bottom w:val="outset" w:sz="6" w:space="0" w:color="auto"/>
              <w:right w:val="outset" w:sz="6" w:space="0" w:color="auto"/>
            </w:tcBorders>
          </w:tcPr>
          <w:p w14:paraId="3C4DC545"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0E95A942" w14:textId="4C254575"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35DC8516"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52BFE00" w14:textId="77777777" w:rsidR="00132C97" w:rsidRPr="004628EE" w:rsidRDefault="00132C97" w:rsidP="00132C97">
            <w:pPr>
              <w:spacing w:after="0" w:line="240" w:lineRule="auto"/>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Padomes r</w:t>
            </w:r>
            <w:r>
              <w:rPr>
                <w:rFonts w:ascii="Times New Roman" w:eastAsia="Times New Roman" w:hAnsi="Times New Roman" w:cs="Times New Roman"/>
                <w:sz w:val="24"/>
                <w:szCs w:val="24"/>
                <w:lang w:eastAsia="ru-RU"/>
              </w:rPr>
              <w:t>egulas Nr. 2015/1589 16. panta 3</w:t>
            </w:r>
            <w:r w:rsidRPr="004628EE">
              <w:rPr>
                <w:rFonts w:ascii="Times New Roman" w:eastAsia="Times New Roman" w:hAnsi="Times New Roman" w:cs="Times New Roman"/>
                <w:sz w:val="24"/>
                <w:szCs w:val="24"/>
                <w:lang w:eastAsia="ru-RU"/>
              </w:rPr>
              <w:t>. punkt</w:t>
            </w:r>
            <w:r>
              <w:rPr>
                <w:rFonts w:ascii="Times New Roman" w:eastAsia="Times New Roman" w:hAnsi="Times New Roman" w:cs="Times New Roman"/>
                <w:sz w:val="24"/>
                <w:szCs w:val="24"/>
                <w:lang w:eastAsia="ru-RU"/>
              </w:rPr>
              <w:t>s</w:t>
            </w:r>
          </w:p>
        </w:tc>
        <w:tc>
          <w:tcPr>
            <w:tcW w:w="1100" w:type="pct"/>
            <w:tcBorders>
              <w:top w:val="outset" w:sz="6" w:space="0" w:color="auto"/>
              <w:left w:val="outset" w:sz="6" w:space="0" w:color="auto"/>
              <w:bottom w:val="outset" w:sz="6" w:space="0" w:color="auto"/>
              <w:right w:val="outset" w:sz="6" w:space="0" w:color="auto"/>
            </w:tcBorders>
          </w:tcPr>
          <w:p w14:paraId="13BC326D" w14:textId="4CE66A47" w:rsidR="00132C97" w:rsidRDefault="00132C97" w:rsidP="00132C97">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1</w:t>
            </w:r>
            <w:r>
              <w:rPr>
                <w:rFonts w:ascii="Times New Roman" w:hAnsi="Times New Roman"/>
                <w:sz w:val="24"/>
                <w:szCs w:val="24"/>
              </w:rPr>
              <w:t>. pants, ar kuru groza KAKL 18. panta devīto daļu</w:t>
            </w:r>
          </w:p>
        </w:tc>
        <w:tc>
          <w:tcPr>
            <w:tcW w:w="1292" w:type="pct"/>
            <w:gridSpan w:val="2"/>
            <w:tcBorders>
              <w:top w:val="outset" w:sz="6" w:space="0" w:color="auto"/>
              <w:left w:val="outset" w:sz="6" w:space="0" w:color="auto"/>
              <w:bottom w:val="outset" w:sz="6" w:space="0" w:color="auto"/>
              <w:right w:val="outset" w:sz="6" w:space="0" w:color="auto"/>
            </w:tcBorders>
          </w:tcPr>
          <w:p w14:paraId="35E72CB5"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00AADC92" w14:textId="3E87F84A"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3F91BF86"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7EA71BC" w14:textId="77777777" w:rsidR="00132C97" w:rsidRPr="004628EE" w:rsidRDefault="00132C97" w:rsidP="00132C97">
            <w:pPr>
              <w:spacing w:after="0" w:line="240" w:lineRule="auto"/>
              <w:rPr>
                <w:rFonts w:ascii="Times New Roman" w:eastAsia="Times New Roman" w:hAnsi="Times New Roman" w:cs="Times New Roman"/>
                <w:sz w:val="24"/>
                <w:szCs w:val="24"/>
                <w:lang w:eastAsia="ru-RU"/>
              </w:rPr>
            </w:pPr>
            <w:r w:rsidRPr="00E206B4">
              <w:rPr>
                <w:rFonts w:ascii="Times New Roman" w:eastAsia="Times New Roman" w:hAnsi="Times New Roman" w:cs="Times New Roman"/>
                <w:iCs/>
                <w:sz w:val="24"/>
                <w:szCs w:val="24"/>
                <w:lang w:eastAsia="lv-LV"/>
              </w:rPr>
              <w:t>Eiropas Savienības Tiesas 2019.</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gada 5.</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marta spriedum</w:t>
            </w:r>
            <w:r>
              <w:rPr>
                <w:rFonts w:ascii="Times New Roman" w:eastAsia="Times New Roman" w:hAnsi="Times New Roman" w:cs="Times New Roman"/>
                <w:iCs/>
                <w:sz w:val="24"/>
                <w:szCs w:val="24"/>
                <w:lang w:eastAsia="lv-LV"/>
              </w:rPr>
              <w:t>s</w:t>
            </w:r>
            <w:r w:rsidRPr="00E206B4">
              <w:rPr>
                <w:rFonts w:ascii="Times New Roman" w:eastAsia="Times New Roman" w:hAnsi="Times New Roman" w:cs="Times New Roman"/>
                <w:iCs/>
                <w:sz w:val="24"/>
                <w:szCs w:val="24"/>
                <w:lang w:eastAsia="lv-LV"/>
              </w:rPr>
              <w:t xml:space="preserve"> lietā Nr. C-349/17</w:t>
            </w:r>
          </w:p>
        </w:tc>
        <w:tc>
          <w:tcPr>
            <w:tcW w:w="1100" w:type="pct"/>
            <w:tcBorders>
              <w:top w:val="outset" w:sz="6" w:space="0" w:color="auto"/>
              <w:left w:val="outset" w:sz="6" w:space="0" w:color="auto"/>
              <w:bottom w:val="outset" w:sz="6" w:space="0" w:color="auto"/>
              <w:right w:val="outset" w:sz="6" w:space="0" w:color="auto"/>
            </w:tcBorders>
          </w:tcPr>
          <w:p w14:paraId="281A2F50" w14:textId="014D0834" w:rsidR="00132C97" w:rsidRDefault="00132C97" w:rsidP="00132C97">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2</w:t>
            </w:r>
            <w:r>
              <w:rPr>
                <w:rFonts w:ascii="Times New Roman" w:hAnsi="Times New Roman"/>
                <w:sz w:val="24"/>
                <w:szCs w:val="24"/>
              </w:rPr>
              <w:t>.pants, ar kuru groza KAKL 19.panta pirmo daļu</w:t>
            </w:r>
          </w:p>
        </w:tc>
        <w:tc>
          <w:tcPr>
            <w:tcW w:w="1292" w:type="pct"/>
            <w:gridSpan w:val="2"/>
            <w:tcBorders>
              <w:top w:val="outset" w:sz="6" w:space="0" w:color="auto"/>
              <w:left w:val="outset" w:sz="6" w:space="0" w:color="auto"/>
              <w:bottom w:val="outset" w:sz="6" w:space="0" w:color="auto"/>
              <w:right w:val="outset" w:sz="6" w:space="0" w:color="auto"/>
            </w:tcBorders>
          </w:tcPr>
          <w:p w14:paraId="0F95C6C3" w14:textId="77777777" w:rsidR="00132C97" w:rsidRPr="00BF0B1B" w:rsidRDefault="00132C97" w:rsidP="00132C97">
            <w:pPr>
              <w:spacing w:after="0" w:line="240" w:lineRule="auto"/>
              <w:rPr>
                <w:rFonts w:ascii="Times New Roman" w:hAnsi="Times New Roman"/>
                <w:sz w:val="24"/>
                <w:szCs w:val="24"/>
              </w:rPr>
            </w:pPr>
            <w:r>
              <w:rPr>
                <w:rFonts w:ascii="Times New Roman" w:hAnsi="Times New Roman"/>
                <w:sz w:val="24"/>
                <w:szCs w:val="24"/>
              </w:rPr>
              <w:t>Tiesību akta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7FF6F13D" w14:textId="034053CA"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5332D96B"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tcPr>
          <w:p w14:paraId="556D5603" w14:textId="77777777" w:rsidR="00132C97" w:rsidRDefault="00132C97" w:rsidP="00132C97">
            <w:pPr>
              <w:spacing w:after="0" w:line="240" w:lineRule="auto"/>
              <w:rPr>
                <w:rFonts w:ascii="Times New Roman" w:hAnsi="Times New Roman"/>
                <w:sz w:val="24"/>
                <w:szCs w:val="24"/>
              </w:rPr>
            </w:pPr>
            <w:r w:rsidRPr="004628EE">
              <w:rPr>
                <w:rFonts w:ascii="Times New Roman" w:eastAsia="Times New Roman" w:hAnsi="Times New Roman" w:cs="Times New Roman"/>
                <w:sz w:val="24"/>
                <w:szCs w:val="24"/>
                <w:lang w:eastAsia="ru-RU"/>
              </w:rPr>
              <w:t>Komisijas regula</w:t>
            </w:r>
            <w:r>
              <w:rPr>
                <w:rFonts w:ascii="Times New Roman" w:eastAsia="Times New Roman" w:hAnsi="Times New Roman" w:cs="Times New Roman"/>
                <w:sz w:val="24"/>
                <w:szCs w:val="24"/>
                <w:lang w:eastAsia="ru-RU"/>
              </w:rPr>
              <w:t>s</w:t>
            </w:r>
            <w:r w:rsidRPr="004628EE">
              <w:rPr>
                <w:rFonts w:ascii="Times New Roman" w:eastAsia="Times New Roman" w:hAnsi="Times New Roman" w:cs="Times New Roman"/>
                <w:sz w:val="24"/>
                <w:szCs w:val="24"/>
                <w:lang w:eastAsia="ru-RU"/>
              </w:rPr>
              <w:t xml:space="preserve"> Nr. 794/2004</w:t>
            </w:r>
            <w:r>
              <w:rPr>
                <w:rFonts w:ascii="Times New Roman" w:eastAsia="Times New Roman" w:hAnsi="Times New Roman" w:cs="Times New Roman"/>
                <w:sz w:val="24"/>
                <w:szCs w:val="24"/>
                <w:lang w:eastAsia="ru-RU"/>
              </w:rPr>
              <w:t xml:space="preserve"> 9. un 10. pants</w:t>
            </w:r>
          </w:p>
        </w:tc>
        <w:tc>
          <w:tcPr>
            <w:tcW w:w="1100" w:type="pct"/>
            <w:tcBorders>
              <w:top w:val="outset" w:sz="6" w:space="0" w:color="auto"/>
              <w:left w:val="outset" w:sz="6" w:space="0" w:color="auto"/>
              <w:bottom w:val="outset" w:sz="6" w:space="0" w:color="auto"/>
              <w:right w:val="outset" w:sz="6" w:space="0" w:color="auto"/>
            </w:tcBorders>
          </w:tcPr>
          <w:p w14:paraId="5E89A53A" w14:textId="55DB15E5" w:rsidR="00132C97" w:rsidRPr="00BF0B1B" w:rsidRDefault="00132C97" w:rsidP="00AD0202">
            <w:pPr>
              <w:spacing w:after="0" w:line="240" w:lineRule="auto"/>
              <w:rPr>
                <w:rFonts w:ascii="Times New Roman" w:hAnsi="Times New Roman"/>
                <w:sz w:val="24"/>
                <w:szCs w:val="24"/>
              </w:rPr>
            </w:pPr>
            <w:r>
              <w:rPr>
                <w:rFonts w:ascii="Times New Roman" w:hAnsi="Times New Roman"/>
                <w:sz w:val="24"/>
                <w:szCs w:val="24"/>
              </w:rPr>
              <w:t>Likumprojekta 1</w:t>
            </w:r>
            <w:r w:rsidR="00AD0202">
              <w:rPr>
                <w:rFonts w:ascii="Times New Roman" w:hAnsi="Times New Roman"/>
                <w:sz w:val="24"/>
                <w:szCs w:val="24"/>
              </w:rPr>
              <w:t>2</w:t>
            </w:r>
            <w:r>
              <w:rPr>
                <w:rFonts w:ascii="Times New Roman" w:hAnsi="Times New Roman"/>
                <w:sz w:val="24"/>
                <w:szCs w:val="24"/>
              </w:rPr>
              <w:t>. pants, ar kuru groza KAKL 19. panta otro daļu</w:t>
            </w:r>
          </w:p>
        </w:tc>
        <w:tc>
          <w:tcPr>
            <w:tcW w:w="1292" w:type="pct"/>
            <w:gridSpan w:val="2"/>
            <w:tcBorders>
              <w:top w:val="outset" w:sz="6" w:space="0" w:color="auto"/>
              <w:left w:val="outset" w:sz="6" w:space="0" w:color="auto"/>
              <w:bottom w:val="outset" w:sz="6" w:space="0" w:color="auto"/>
              <w:right w:val="outset" w:sz="6" w:space="0" w:color="auto"/>
            </w:tcBorders>
          </w:tcPr>
          <w:p w14:paraId="619490BD" w14:textId="77777777" w:rsidR="00132C97" w:rsidRPr="00BF0B1B" w:rsidRDefault="00132C97" w:rsidP="00132C97">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07" w:type="pct"/>
            <w:tcBorders>
              <w:top w:val="outset" w:sz="6" w:space="0" w:color="auto"/>
              <w:left w:val="outset" w:sz="6" w:space="0" w:color="auto"/>
              <w:bottom w:val="outset" w:sz="6" w:space="0" w:color="auto"/>
              <w:right w:val="outset" w:sz="6" w:space="0" w:color="auto"/>
            </w:tcBorders>
          </w:tcPr>
          <w:p w14:paraId="1B81875E" w14:textId="50E3C94B" w:rsidR="00132C97" w:rsidRDefault="00132C97" w:rsidP="00F7001B">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sidR="00F7001B">
              <w:rPr>
                <w:rFonts w:ascii="Times New Roman" w:hAnsi="Times New Roman"/>
                <w:sz w:val="24"/>
                <w:szCs w:val="24"/>
              </w:rPr>
              <w:t>.</w:t>
            </w:r>
          </w:p>
        </w:tc>
      </w:tr>
      <w:tr w:rsidR="00132C97" w:rsidRPr="00BF0B1B" w14:paraId="0C961CF1" w14:textId="77777777" w:rsidTr="00BF2017">
        <w:trPr>
          <w:trHeight w:val="967"/>
          <w:tblCellSpacing w:w="15" w:type="dxa"/>
        </w:trPr>
        <w:tc>
          <w:tcPr>
            <w:tcW w:w="918" w:type="pct"/>
            <w:tcBorders>
              <w:left w:val="outset" w:sz="6" w:space="0" w:color="auto"/>
              <w:bottom w:val="outset" w:sz="6" w:space="0" w:color="auto"/>
              <w:right w:val="outset" w:sz="6" w:space="0" w:color="auto"/>
            </w:tcBorders>
          </w:tcPr>
          <w:p w14:paraId="60CBC785"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w:t>
            </w:r>
          </w:p>
        </w:tc>
        <w:tc>
          <w:tcPr>
            <w:tcW w:w="4032" w:type="pct"/>
            <w:gridSpan w:val="4"/>
            <w:tcBorders>
              <w:top w:val="outset" w:sz="6" w:space="0" w:color="auto"/>
              <w:left w:val="outset" w:sz="6" w:space="0" w:color="auto"/>
              <w:bottom w:val="outset" w:sz="6" w:space="0" w:color="auto"/>
              <w:right w:val="outset" w:sz="6" w:space="0" w:color="auto"/>
            </w:tcBorders>
          </w:tcPr>
          <w:p w14:paraId="04B21781"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3F3C6FB4" w14:textId="77777777" w:rsidR="00132C97" w:rsidRPr="00BF0B1B" w:rsidRDefault="00132C97" w:rsidP="00132C97">
            <w:pPr>
              <w:spacing w:after="0" w:line="240" w:lineRule="auto"/>
              <w:ind w:firstLine="720"/>
              <w:rPr>
                <w:rFonts w:ascii="Times New Roman" w:eastAsia="Times New Roman" w:hAnsi="Times New Roman" w:cs="Times New Roman"/>
                <w:sz w:val="24"/>
                <w:szCs w:val="24"/>
                <w:lang w:eastAsia="lv-LV"/>
              </w:rPr>
            </w:pPr>
          </w:p>
        </w:tc>
      </w:tr>
      <w:tr w:rsidR="00132C97" w:rsidRPr="00BF0B1B" w14:paraId="0745CFFC"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75E10724"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Saistības sniegt paziņojumu ES institūcijām un ES dalībvalstīm atbilstoši normatīvajiem aktiem, kas regulē informācijas sniegšanu par tehnisko noteikumu, valsts atbalsta piešķiršanas un finanšu </w:t>
            </w:r>
            <w:r w:rsidRPr="00BF0B1B">
              <w:rPr>
                <w:rFonts w:ascii="Times New Roman" w:eastAsia="Times New Roman" w:hAnsi="Times New Roman" w:cs="Times New Roman"/>
                <w:iCs/>
                <w:sz w:val="24"/>
                <w:szCs w:val="24"/>
                <w:lang w:eastAsia="lv-LV"/>
              </w:rPr>
              <w:lastRenderedPageBreak/>
              <w:t>noteikumu (attiecībā uz monetāro politiku) projektiem</w:t>
            </w:r>
          </w:p>
        </w:tc>
        <w:tc>
          <w:tcPr>
            <w:tcW w:w="4032" w:type="pct"/>
            <w:gridSpan w:val="4"/>
            <w:tcBorders>
              <w:top w:val="outset" w:sz="6" w:space="0" w:color="auto"/>
              <w:left w:val="outset" w:sz="6" w:space="0" w:color="auto"/>
              <w:bottom w:val="outset" w:sz="6" w:space="0" w:color="auto"/>
              <w:right w:val="outset" w:sz="6" w:space="0" w:color="auto"/>
            </w:tcBorders>
            <w:hideMark/>
          </w:tcPr>
          <w:p w14:paraId="54DBD5C1"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lastRenderedPageBreak/>
              <w:t>Projekts šo jomu neskar.</w:t>
            </w:r>
          </w:p>
          <w:p w14:paraId="10A439B0"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r>
      <w:tr w:rsidR="00132C97" w:rsidRPr="00BF0B1B" w14:paraId="73969A26"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1C48AF1F"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4032" w:type="pct"/>
            <w:gridSpan w:val="4"/>
            <w:tcBorders>
              <w:top w:val="outset" w:sz="6" w:space="0" w:color="auto"/>
              <w:left w:val="outset" w:sz="6" w:space="0" w:color="auto"/>
              <w:bottom w:val="outset" w:sz="6" w:space="0" w:color="auto"/>
              <w:right w:val="outset" w:sz="6" w:space="0" w:color="auto"/>
            </w:tcBorders>
            <w:hideMark/>
          </w:tcPr>
          <w:p w14:paraId="2B72F10F"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r w:rsidR="00132C97" w:rsidRPr="00BF0B1B" w14:paraId="0A88BCB1"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3A48B81" w14:textId="77777777" w:rsidR="00132C97" w:rsidRPr="00BF0B1B" w:rsidRDefault="00132C97" w:rsidP="00132C97">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2. tabula</w:t>
            </w:r>
            <w:r w:rsidRPr="00BF0B1B">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F0B1B">
              <w:rPr>
                <w:rFonts w:ascii="Times New Roman" w:eastAsia="Times New Roman" w:hAnsi="Times New Roman" w:cs="Times New Roman"/>
                <w:b/>
                <w:bCs/>
                <w:iCs/>
                <w:sz w:val="24"/>
                <w:szCs w:val="24"/>
                <w:lang w:eastAsia="lv-LV"/>
              </w:rPr>
              <w:br/>
              <w:t>Pasākumi šo saistību izpildei</w:t>
            </w:r>
          </w:p>
        </w:tc>
      </w:tr>
      <w:tr w:rsidR="00132C97" w:rsidRPr="00BF0B1B" w14:paraId="59421CA7"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3ABB8A46"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4032" w:type="pct"/>
            <w:gridSpan w:val="4"/>
            <w:tcBorders>
              <w:top w:val="outset" w:sz="6" w:space="0" w:color="auto"/>
              <w:left w:val="outset" w:sz="6" w:space="0" w:color="auto"/>
              <w:bottom w:val="outset" w:sz="6" w:space="0" w:color="auto"/>
              <w:right w:val="outset" w:sz="6" w:space="0" w:color="auto"/>
            </w:tcBorders>
            <w:hideMark/>
          </w:tcPr>
          <w:p w14:paraId="47B46D35"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6FCE528F"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r>
      <w:tr w:rsidR="00132C97" w:rsidRPr="00BF0B1B" w14:paraId="63C7171D"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5852114D"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w:t>
            </w:r>
          </w:p>
        </w:tc>
        <w:tc>
          <w:tcPr>
            <w:tcW w:w="1843" w:type="pct"/>
            <w:gridSpan w:val="2"/>
            <w:tcBorders>
              <w:top w:val="outset" w:sz="6" w:space="0" w:color="auto"/>
              <w:left w:val="outset" w:sz="6" w:space="0" w:color="auto"/>
              <w:bottom w:val="outset" w:sz="6" w:space="0" w:color="auto"/>
              <w:right w:val="outset" w:sz="6" w:space="0" w:color="auto"/>
            </w:tcBorders>
            <w:vAlign w:val="center"/>
            <w:hideMark/>
          </w:tcPr>
          <w:p w14:paraId="5F6EA09F"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B</w:t>
            </w:r>
          </w:p>
        </w:tc>
        <w:tc>
          <w:tcPr>
            <w:tcW w:w="2173" w:type="pct"/>
            <w:gridSpan w:val="2"/>
            <w:tcBorders>
              <w:top w:val="outset" w:sz="6" w:space="0" w:color="auto"/>
              <w:left w:val="outset" w:sz="6" w:space="0" w:color="auto"/>
              <w:bottom w:val="outset" w:sz="6" w:space="0" w:color="auto"/>
              <w:right w:val="outset" w:sz="6" w:space="0" w:color="auto"/>
            </w:tcBorders>
            <w:vAlign w:val="center"/>
            <w:hideMark/>
          </w:tcPr>
          <w:p w14:paraId="3214D1F3"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w:t>
            </w:r>
          </w:p>
        </w:tc>
      </w:tr>
      <w:tr w:rsidR="00132C97" w:rsidRPr="00BF0B1B" w14:paraId="41728D39"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7CEAA72"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Starptautiskās saistības (pēc būtības), kas izriet no norādītā starptautiskā dokumenta.</w:t>
            </w:r>
            <w:r w:rsidRPr="00BF0B1B">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843" w:type="pct"/>
            <w:gridSpan w:val="2"/>
            <w:tcBorders>
              <w:top w:val="outset" w:sz="6" w:space="0" w:color="auto"/>
              <w:left w:val="outset" w:sz="6" w:space="0" w:color="auto"/>
              <w:bottom w:val="outset" w:sz="6" w:space="0" w:color="auto"/>
              <w:right w:val="outset" w:sz="6" w:space="0" w:color="auto"/>
            </w:tcBorders>
            <w:hideMark/>
          </w:tcPr>
          <w:p w14:paraId="7E6DBB5D"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73" w:type="pct"/>
            <w:gridSpan w:val="2"/>
            <w:tcBorders>
              <w:top w:val="outset" w:sz="6" w:space="0" w:color="auto"/>
              <w:left w:val="outset" w:sz="6" w:space="0" w:color="auto"/>
              <w:bottom w:val="outset" w:sz="6" w:space="0" w:color="auto"/>
              <w:right w:val="outset" w:sz="6" w:space="0" w:color="auto"/>
            </w:tcBorders>
            <w:hideMark/>
          </w:tcPr>
          <w:p w14:paraId="52B9EAD3"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BF0B1B">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BF0B1B">
              <w:rPr>
                <w:rFonts w:ascii="Times New Roman" w:eastAsia="Times New Roman" w:hAnsi="Times New Roman" w:cs="Times New Roman"/>
                <w:iCs/>
                <w:sz w:val="24"/>
                <w:szCs w:val="24"/>
                <w:lang w:eastAsia="lv-LV"/>
              </w:rPr>
              <w:br/>
              <w:t>Norāda institūciju, kas ir atbildīga par šo saistību izpildi pilnībā</w:t>
            </w:r>
          </w:p>
        </w:tc>
      </w:tr>
      <w:tr w:rsidR="00132C97" w:rsidRPr="00BF0B1B" w14:paraId="466FFA98" w14:textId="77777777" w:rsidTr="00132C9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2A0A51D"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47EB2878"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c>
          <w:tcPr>
            <w:tcW w:w="1843" w:type="pct"/>
            <w:gridSpan w:val="2"/>
            <w:tcBorders>
              <w:top w:val="outset" w:sz="6" w:space="0" w:color="auto"/>
              <w:left w:val="outset" w:sz="6" w:space="0" w:color="auto"/>
              <w:bottom w:val="outset" w:sz="6" w:space="0" w:color="auto"/>
              <w:right w:val="outset" w:sz="6" w:space="0" w:color="auto"/>
            </w:tcBorders>
            <w:hideMark/>
          </w:tcPr>
          <w:p w14:paraId="237C62C1"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75E553D0"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c>
          <w:tcPr>
            <w:tcW w:w="2173" w:type="pct"/>
            <w:gridSpan w:val="2"/>
            <w:tcBorders>
              <w:top w:val="outset" w:sz="6" w:space="0" w:color="auto"/>
              <w:left w:val="outset" w:sz="6" w:space="0" w:color="auto"/>
              <w:bottom w:val="outset" w:sz="6" w:space="0" w:color="auto"/>
              <w:right w:val="outset" w:sz="6" w:space="0" w:color="auto"/>
            </w:tcBorders>
            <w:hideMark/>
          </w:tcPr>
          <w:p w14:paraId="79CD3A43"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5141052A"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r>
      <w:tr w:rsidR="00132C97" w:rsidRPr="00BF0B1B" w14:paraId="6312C23F"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50ED66FE"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Vai starptautiskajā dokumentā paredzētās saistības nav pretrunā ar jau esošajām Latvijas </w:t>
            </w:r>
            <w:r w:rsidRPr="00BF0B1B">
              <w:rPr>
                <w:rFonts w:ascii="Times New Roman" w:eastAsia="Times New Roman" w:hAnsi="Times New Roman" w:cs="Times New Roman"/>
                <w:iCs/>
                <w:sz w:val="24"/>
                <w:szCs w:val="24"/>
                <w:lang w:eastAsia="lv-LV"/>
              </w:rPr>
              <w:lastRenderedPageBreak/>
              <w:t>Republikas starptautiskajām saistībām</w:t>
            </w:r>
          </w:p>
        </w:tc>
        <w:tc>
          <w:tcPr>
            <w:tcW w:w="4032" w:type="pct"/>
            <w:gridSpan w:val="4"/>
            <w:tcBorders>
              <w:top w:val="outset" w:sz="6" w:space="0" w:color="auto"/>
              <w:left w:val="outset" w:sz="6" w:space="0" w:color="auto"/>
              <w:bottom w:val="outset" w:sz="6" w:space="0" w:color="auto"/>
              <w:right w:val="outset" w:sz="6" w:space="0" w:color="auto"/>
            </w:tcBorders>
            <w:hideMark/>
          </w:tcPr>
          <w:p w14:paraId="3E950CF1" w14:textId="77777777" w:rsidR="00132C97" w:rsidRPr="00BF0B1B" w:rsidRDefault="00132C97" w:rsidP="00132C97">
            <w:pPr>
              <w:spacing w:after="0" w:line="240" w:lineRule="auto"/>
              <w:jc w:val="both"/>
              <w:rPr>
                <w:rFonts w:ascii="Times New Roman" w:hAnsi="Times New Roman"/>
                <w:sz w:val="24"/>
                <w:szCs w:val="24"/>
              </w:rPr>
            </w:pPr>
            <w:r w:rsidRPr="00BF0B1B">
              <w:rPr>
                <w:rFonts w:ascii="Times New Roman" w:hAnsi="Times New Roman"/>
                <w:sz w:val="24"/>
                <w:szCs w:val="24"/>
              </w:rPr>
              <w:lastRenderedPageBreak/>
              <w:t>Projekts šo jomu neskar.</w:t>
            </w:r>
          </w:p>
          <w:p w14:paraId="771E5E40"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p>
        </w:tc>
      </w:tr>
      <w:tr w:rsidR="00132C97" w:rsidRPr="00BF0B1B" w14:paraId="418405BC"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1B2D49C"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4032" w:type="pct"/>
            <w:gridSpan w:val="4"/>
            <w:tcBorders>
              <w:top w:val="outset" w:sz="6" w:space="0" w:color="auto"/>
              <w:left w:val="outset" w:sz="6" w:space="0" w:color="auto"/>
              <w:bottom w:val="outset" w:sz="6" w:space="0" w:color="auto"/>
              <w:right w:val="outset" w:sz="6" w:space="0" w:color="auto"/>
            </w:tcBorders>
            <w:hideMark/>
          </w:tcPr>
          <w:p w14:paraId="249349D4" w14:textId="77777777" w:rsidR="00132C97" w:rsidRPr="00BF0B1B" w:rsidRDefault="00132C97" w:rsidP="00132C97">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00DCCE39"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8"/>
        <w:gridCol w:w="994"/>
        <w:gridCol w:w="7813"/>
      </w:tblGrid>
      <w:tr w:rsidR="00287B19" w:rsidRPr="00BF0B1B" w14:paraId="7D70155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E01AC7"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VI. Sabiedrības līdzdalība un komunikācijas aktivitātes</w:t>
            </w:r>
          </w:p>
        </w:tc>
      </w:tr>
      <w:tr w:rsidR="00716B22" w:rsidRPr="00BF0B1B" w14:paraId="190BD9F3"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F08AA8"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A04269F"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6C4A8890" w14:textId="7D5F53BA" w:rsidR="00716B22" w:rsidRPr="00BF0B1B" w:rsidRDefault="00A96892" w:rsidP="0046225A">
            <w:pPr>
              <w:shd w:val="clear" w:color="auto" w:fill="FFFFFF"/>
              <w:spacing w:after="0" w:line="240" w:lineRule="auto"/>
              <w:jc w:val="both"/>
              <w:rPr>
                <w:rFonts w:ascii="Times New Roman" w:hAnsi="Times New Roman"/>
                <w:iCs/>
                <w:sz w:val="24"/>
                <w:szCs w:val="24"/>
              </w:rPr>
            </w:pPr>
            <w:r w:rsidRPr="00BF0B1B">
              <w:rPr>
                <w:rFonts w:ascii="Times New Roman" w:eastAsia="Times New Roman" w:hAnsi="Times New Roman" w:cs="Times New Roman"/>
                <w:iCs/>
                <w:sz w:val="24"/>
                <w:szCs w:val="24"/>
                <w:lang w:eastAsia="lv-LV"/>
              </w:rPr>
              <w:t xml:space="preserve">Informācija par </w:t>
            </w:r>
            <w:r w:rsidR="004E7591">
              <w:rPr>
                <w:rFonts w:ascii="Times New Roman" w:eastAsia="Times New Roman" w:hAnsi="Times New Roman" w:cs="Times New Roman"/>
                <w:iCs/>
                <w:sz w:val="24"/>
                <w:szCs w:val="24"/>
                <w:lang w:eastAsia="lv-LV"/>
              </w:rPr>
              <w:t>likumprojektu</w:t>
            </w:r>
            <w:r w:rsidRPr="00BF0B1B">
              <w:rPr>
                <w:rFonts w:ascii="Times New Roman" w:eastAsia="Times New Roman" w:hAnsi="Times New Roman" w:cs="Times New Roman"/>
                <w:iCs/>
                <w:sz w:val="24"/>
                <w:szCs w:val="24"/>
                <w:lang w:eastAsia="lv-LV"/>
              </w:rPr>
              <w:t xml:space="preserve"> ir </w:t>
            </w:r>
            <w:r w:rsidR="005D27B0">
              <w:rPr>
                <w:rFonts w:ascii="Times New Roman" w:eastAsia="Times New Roman" w:hAnsi="Times New Roman" w:cs="Times New Roman"/>
                <w:iCs/>
                <w:sz w:val="24"/>
                <w:szCs w:val="24"/>
                <w:lang w:eastAsia="lv-LV"/>
              </w:rPr>
              <w:t>publicēta</w:t>
            </w:r>
            <w:r w:rsidRPr="00BF0B1B">
              <w:rPr>
                <w:rFonts w:ascii="Times New Roman" w:eastAsia="Times New Roman" w:hAnsi="Times New Roman" w:cs="Times New Roman"/>
                <w:iCs/>
                <w:sz w:val="24"/>
                <w:szCs w:val="24"/>
                <w:lang w:eastAsia="lv-LV"/>
              </w:rPr>
              <w:t xml:space="preserve"> Finanšu ministrijas tīmekļvietnes sadaļas “Sabiedrības līdzdalība” </w:t>
            </w:r>
            <w:proofErr w:type="spellStart"/>
            <w:r w:rsidRPr="00BF0B1B">
              <w:rPr>
                <w:rFonts w:ascii="Times New Roman" w:eastAsia="Times New Roman" w:hAnsi="Times New Roman" w:cs="Times New Roman"/>
                <w:iCs/>
                <w:sz w:val="24"/>
                <w:szCs w:val="24"/>
                <w:lang w:eastAsia="lv-LV"/>
              </w:rPr>
              <w:t>apakšsadaļā</w:t>
            </w:r>
            <w:proofErr w:type="spellEnd"/>
            <w:r w:rsidRPr="00BF0B1B">
              <w:rPr>
                <w:rFonts w:ascii="Times New Roman" w:eastAsia="Times New Roman" w:hAnsi="Times New Roman" w:cs="Times New Roman"/>
                <w:iCs/>
                <w:sz w:val="24"/>
                <w:szCs w:val="24"/>
                <w:lang w:eastAsia="lv-LV"/>
              </w:rPr>
              <w:t xml:space="preserve"> “Tiesību aktu projekti” “Komercdarbības atbalsta kontroles politika”</w:t>
            </w:r>
            <w:r w:rsidR="005D27B0">
              <w:rPr>
                <w:rFonts w:ascii="Times New Roman" w:eastAsia="Times New Roman" w:hAnsi="Times New Roman" w:cs="Times New Roman"/>
                <w:iCs/>
                <w:sz w:val="24"/>
                <w:szCs w:val="24"/>
                <w:lang w:eastAsia="lv-LV"/>
              </w:rPr>
              <w:t>. L</w:t>
            </w:r>
            <w:r w:rsidRPr="00BF0B1B">
              <w:rPr>
                <w:rFonts w:ascii="Times New Roman" w:hAnsi="Times New Roman" w:cs="Times New Roman"/>
                <w:sz w:val="24"/>
                <w:szCs w:val="24"/>
              </w:rPr>
              <w:t xml:space="preserve">īdz ar to sabiedrības pārstāvji var līdzdarboties </w:t>
            </w:r>
            <w:r w:rsidR="004E7591">
              <w:rPr>
                <w:rFonts w:ascii="Times New Roman" w:hAnsi="Times New Roman" w:cs="Times New Roman"/>
                <w:sz w:val="24"/>
                <w:szCs w:val="24"/>
              </w:rPr>
              <w:t>likumprojekta</w:t>
            </w:r>
            <w:r w:rsidRPr="00BF0B1B">
              <w:rPr>
                <w:rFonts w:ascii="Times New Roman" w:hAnsi="Times New Roman" w:cs="Times New Roman"/>
                <w:sz w:val="24"/>
                <w:szCs w:val="24"/>
              </w:rPr>
              <w:t xml:space="preserve"> izstrādē, </w:t>
            </w:r>
            <w:proofErr w:type="spellStart"/>
            <w:r w:rsidRPr="00BF0B1B">
              <w:rPr>
                <w:rFonts w:ascii="Times New Roman" w:hAnsi="Times New Roman" w:cs="Times New Roman"/>
                <w:sz w:val="24"/>
                <w:szCs w:val="24"/>
              </w:rPr>
              <w:t>rakstveidā</w:t>
            </w:r>
            <w:proofErr w:type="spellEnd"/>
            <w:r w:rsidRPr="00BF0B1B">
              <w:rPr>
                <w:rFonts w:ascii="Times New Roman" w:hAnsi="Times New Roman" w:cs="Times New Roman"/>
                <w:sz w:val="24"/>
                <w:szCs w:val="24"/>
              </w:rPr>
              <w:t xml:space="preserve"> sniedzot viedokļus par </w:t>
            </w:r>
            <w:r w:rsidR="004E7591">
              <w:rPr>
                <w:rFonts w:ascii="Times New Roman" w:hAnsi="Times New Roman" w:cs="Times New Roman"/>
                <w:sz w:val="24"/>
                <w:szCs w:val="24"/>
              </w:rPr>
              <w:t>likumprojektu</w:t>
            </w:r>
            <w:r w:rsidRPr="00BF0B1B">
              <w:rPr>
                <w:rFonts w:ascii="Times New Roman" w:hAnsi="Times New Roman" w:cs="Times New Roman"/>
                <w:sz w:val="24"/>
                <w:szCs w:val="24"/>
              </w:rPr>
              <w:t>.</w:t>
            </w:r>
          </w:p>
          <w:p w14:paraId="0265DE3F" w14:textId="77777777" w:rsidR="00A96892" w:rsidRPr="00BF0B1B" w:rsidRDefault="004E7591" w:rsidP="00B83F6F">
            <w:pPr>
              <w:shd w:val="clear" w:color="auto" w:fill="FFFFFF"/>
              <w:spacing w:after="0" w:line="240" w:lineRule="auto"/>
              <w:jc w:val="both"/>
              <w:rPr>
                <w:rFonts w:ascii="Times New Roman" w:hAnsi="Times New Roman"/>
                <w:iCs/>
                <w:sz w:val="24"/>
                <w:szCs w:val="24"/>
              </w:rPr>
            </w:pPr>
            <w:r>
              <w:rPr>
                <w:rFonts w:ascii="Times New Roman" w:hAnsi="Times New Roman" w:cs="Times New Roman"/>
                <w:sz w:val="24"/>
                <w:szCs w:val="24"/>
              </w:rPr>
              <w:t>Likumprojekts</w:t>
            </w:r>
            <w:r w:rsidR="00A96892" w:rsidRPr="00BF0B1B">
              <w:rPr>
                <w:rFonts w:ascii="Times New Roman" w:hAnsi="Times New Roman" w:cs="Times New Roman"/>
                <w:sz w:val="24"/>
                <w:szCs w:val="24"/>
              </w:rPr>
              <w:t xml:space="preserve"> pēc t</w:t>
            </w:r>
            <w:r>
              <w:rPr>
                <w:rFonts w:ascii="Times New Roman" w:hAnsi="Times New Roman" w:cs="Times New Roman"/>
                <w:sz w:val="24"/>
                <w:szCs w:val="24"/>
              </w:rPr>
              <w:t>ā</w:t>
            </w:r>
            <w:r w:rsidR="00A96892" w:rsidRPr="00BF0B1B">
              <w:rPr>
                <w:rFonts w:ascii="Times New Roman" w:hAnsi="Times New Roman" w:cs="Times New Roman"/>
                <w:sz w:val="24"/>
                <w:szCs w:val="24"/>
              </w:rPr>
              <w:t xml:space="preserve"> izsludināšanas Valsts sekretāru sanāksmē </w:t>
            </w:r>
            <w:r w:rsidR="00E01A12">
              <w:rPr>
                <w:rFonts w:ascii="Times New Roman" w:hAnsi="Times New Roman" w:cs="Times New Roman"/>
                <w:sz w:val="24"/>
                <w:szCs w:val="24"/>
              </w:rPr>
              <w:t>būs</w:t>
            </w:r>
            <w:r w:rsidR="00A96892" w:rsidRPr="00BF0B1B">
              <w:rPr>
                <w:rFonts w:ascii="Times New Roman" w:hAnsi="Times New Roman" w:cs="Times New Roman"/>
                <w:sz w:val="24"/>
                <w:szCs w:val="24"/>
              </w:rPr>
              <w:t xml:space="preserve"> publiski pieejam</w:t>
            </w:r>
            <w:r>
              <w:rPr>
                <w:rFonts w:ascii="Times New Roman" w:hAnsi="Times New Roman" w:cs="Times New Roman"/>
                <w:sz w:val="24"/>
                <w:szCs w:val="24"/>
              </w:rPr>
              <w:t>s</w:t>
            </w:r>
            <w:r w:rsidR="00A96892" w:rsidRPr="00BF0B1B">
              <w:rPr>
                <w:rFonts w:ascii="Times New Roman" w:hAnsi="Times New Roman" w:cs="Times New Roman"/>
                <w:sz w:val="24"/>
                <w:szCs w:val="24"/>
              </w:rPr>
              <w:t xml:space="preserve"> Ministru kabineta tīmekļvietnes sadaļā „Tiesību aktu projekti”.</w:t>
            </w:r>
          </w:p>
        </w:tc>
      </w:tr>
      <w:tr w:rsidR="00716B22" w:rsidRPr="00BF0B1B" w14:paraId="249FE8CF"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B5088E"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A163928"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6B3B90F8" w14:textId="3F02D2AA" w:rsidR="002A6FBC" w:rsidRPr="00613E79" w:rsidRDefault="002A6FBC" w:rsidP="00613E79">
            <w:pPr>
              <w:shd w:val="clear" w:color="auto" w:fill="FFFFFF"/>
              <w:spacing w:after="0" w:line="240" w:lineRule="auto"/>
              <w:jc w:val="both"/>
              <w:rPr>
                <w:rFonts w:ascii="Times New Roman" w:hAnsi="Times New Roman"/>
                <w:sz w:val="24"/>
                <w:szCs w:val="24"/>
                <w:lang w:eastAsia="lv-LV"/>
              </w:rPr>
            </w:pPr>
            <w:r w:rsidRPr="007914F5">
              <w:rPr>
                <w:rFonts w:ascii="Times New Roman" w:hAnsi="Times New Roman"/>
                <w:iCs/>
                <w:sz w:val="24"/>
                <w:szCs w:val="24"/>
                <w:lang w:eastAsia="lv-LV"/>
              </w:rPr>
              <w:t xml:space="preserve">Sabiedrības pārstāvji varēja līdzdarboties projekta izstrādē, </w:t>
            </w:r>
            <w:proofErr w:type="spellStart"/>
            <w:r w:rsidRPr="007914F5">
              <w:rPr>
                <w:rFonts w:ascii="Times New Roman" w:hAnsi="Times New Roman"/>
                <w:iCs/>
                <w:sz w:val="24"/>
                <w:szCs w:val="24"/>
                <w:lang w:eastAsia="lv-LV"/>
              </w:rPr>
              <w:t>rakstveidā</w:t>
            </w:r>
            <w:proofErr w:type="spellEnd"/>
            <w:r w:rsidRPr="007914F5">
              <w:rPr>
                <w:rFonts w:ascii="Times New Roman" w:hAnsi="Times New Roman"/>
                <w:iCs/>
                <w:sz w:val="24"/>
                <w:szCs w:val="24"/>
                <w:lang w:eastAsia="lv-LV"/>
              </w:rPr>
              <w:t xml:space="preserve"> sniedzot viedokļus par projektu, kas 20</w:t>
            </w:r>
            <w:r>
              <w:rPr>
                <w:rFonts w:ascii="Times New Roman" w:hAnsi="Times New Roman"/>
                <w:iCs/>
                <w:sz w:val="24"/>
                <w:szCs w:val="24"/>
                <w:lang w:eastAsia="lv-LV"/>
              </w:rPr>
              <w:t>20</w:t>
            </w:r>
            <w:r w:rsidRPr="00613E79">
              <w:rPr>
                <w:rFonts w:ascii="Times New Roman" w:hAnsi="Times New Roman"/>
                <w:iCs/>
                <w:sz w:val="24"/>
                <w:szCs w:val="24"/>
                <w:lang w:eastAsia="lv-LV"/>
              </w:rPr>
              <w:t xml:space="preserve">.gada </w:t>
            </w:r>
            <w:r w:rsidR="00556118">
              <w:rPr>
                <w:rFonts w:ascii="Times New Roman" w:hAnsi="Times New Roman"/>
                <w:iCs/>
                <w:sz w:val="24"/>
                <w:szCs w:val="24"/>
                <w:lang w:eastAsia="lv-LV"/>
              </w:rPr>
              <w:t>19.jūnijā</w:t>
            </w:r>
            <w:r w:rsidRPr="007914F5">
              <w:rPr>
                <w:rFonts w:ascii="Times New Roman" w:hAnsi="Times New Roman"/>
                <w:iCs/>
                <w:sz w:val="24"/>
                <w:szCs w:val="24"/>
                <w:lang w:eastAsia="lv-LV"/>
              </w:rPr>
              <w:t xml:space="preserve"> publicēts Finanšu ministrijas tīmekļvietnē sadaļā “Sabiedrības līdzdalība” – “Tiesību aktu projekti” – “</w:t>
            </w:r>
            <w:r>
              <w:rPr>
                <w:rFonts w:ascii="Times New Roman" w:hAnsi="Times New Roman"/>
                <w:iCs/>
                <w:sz w:val="24"/>
                <w:szCs w:val="24"/>
                <w:lang w:eastAsia="lv-LV"/>
              </w:rPr>
              <w:t>Komercsabiedrības atbalsta kontroles politika</w:t>
            </w:r>
            <w:r w:rsidRPr="007914F5">
              <w:rPr>
                <w:rFonts w:ascii="Times New Roman" w:hAnsi="Times New Roman"/>
                <w:iCs/>
                <w:sz w:val="24"/>
                <w:szCs w:val="24"/>
                <w:lang w:eastAsia="lv-LV"/>
              </w:rPr>
              <w:t>”, adrese:</w:t>
            </w:r>
            <w:r w:rsidR="00556118">
              <w:rPr>
                <w:rFonts w:ascii="Times New Roman" w:hAnsi="Times New Roman"/>
                <w:iCs/>
                <w:sz w:val="24"/>
                <w:szCs w:val="24"/>
                <w:lang w:eastAsia="lv-LV"/>
              </w:rPr>
              <w:t xml:space="preserve"> </w:t>
            </w:r>
            <w:hyperlink r:id="rId12" w:anchor="project653" w:history="1">
              <w:r w:rsidR="00556118" w:rsidRPr="00417A80">
                <w:rPr>
                  <w:rStyle w:val="Hyperlink"/>
                  <w:rFonts w:ascii="Times New Roman" w:hAnsi="Times New Roman"/>
                  <w:iCs/>
                  <w:sz w:val="24"/>
                  <w:szCs w:val="24"/>
                  <w:lang w:eastAsia="lv-LV"/>
                </w:rPr>
                <w:t>https://www.fm.gov.lv/lv/sabiedribas_lidzdaliba/tiesibu_aktu_projekti/komercdarbibas_atbalsta_kontroles_politika#project653</w:t>
              </w:r>
            </w:hyperlink>
            <w:r w:rsidR="00556118">
              <w:rPr>
                <w:rFonts w:ascii="Times New Roman" w:hAnsi="Times New Roman"/>
                <w:iCs/>
                <w:sz w:val="24"/>
                <w:szCs w:val="24"/>
                <w:lang w:eastAsia="lv-LV"/>
              </w:rPr>
              <w:t xml:space="preserve">) </w:t>
            </w:r>
          </w:p>
          <w:p w14:paraId="0B501A1A" w14:textId="77777777" w:rsidR="002A6FBC" w:rsidRPr="00613E79" w:rsidRDefault="002A6FBC" w:rsidP="00613E79">
            <w:pPr>
              <w:shd w:val="clear" w:color="auto" w:fill="FFFFFF"/>
              <w:spacing w:after="0" w:line="240" w:lineRule="auto"/>
              <w:jc w:val="both"/>
              <w:rPr>
                <w:rFonts w:ascii="Times New Roman" w:hAnsi="Times New Roman"/>
                <w:sz w:val="24"/>
                <w:szCs w:val="24"/>
                <w:lang w:eastAsia="lv-LV"/>
              </w:rPr>
            </w:pPr>
            <w:r w:rsidRPr="007914F5">
              <w:rPr>
                <w:rFonts w:ascii="Times New Roman" w:hAnsi="Times New Roman"/>
                <w:iCs/>
                <w:sz w:val="24"/>
                <w:szCs w:val="24"/>
                <w:lang w:eastAsia="lv-LV"/>
              </w:rPr>
              <w:t>un Ministru kabineta tīmekļvietnē sadaļā “Valsts kanceleja” – “Sabiedrības līdzdalība</w:t>
            </w:r>
            <w:r w:rsidRPr="00613E79">
              <w:rPr>
                <w:rFonts w:ascii="Times New Roman" w:hAnsi="Times New Roman"/>
                <w:sz w:val="24"/>
                <w:szCs w:val="24"/>
                <w:lang w:eastAsia="lv-LV"/>
              </w:rPr>
              <w:t xml:space="preserve">”, </w:t>
            </w:r>
            <w:r w:rsidRPr="007914F5">
              <w:rPr>
                <w:rFonts w:ascii="Times New Roman" w:hAnsi="Times New Roman"/>
                <w:iCs/>
                <w:sz w:val="24"/>
                <w:szCs w:val="24"/>
                <w:lang w:eastAsia="lv-LV"/>
              </w:rPr>
              <w:t>adrese:</w:t>
            </w:r>
            <w:r w:rsidRPr="00613E79">
              <w:rPr>
                <w:rFonts w:ascii="Times New Roman" w:hAnsi="Times New Roman"/>
                <w:sz w:val="24"/>
                <w:szCs w:val="24"/>
                <w:lang w:eastAsia="lv-LV"/>
              </w:rPr>
              <w:t xml:space="preserve"> </w:t>
            </w:r>
            <w:hyperlink r:id="rId13" w:history="1">
              <w:r w:rsidRPr="00613E79">
                <w:rPr>
                  <w:rStyle w:val="Hyperlink"/>
                  <w:rFonts w:ascii="Times New Roman" w:hAnsi="Times New Roman"/>
                  <w:sz w:val="24"/>
                  <w:szCs w:val="24"/>
                  <w:lang w:eastAsia="lv-LV"/>
                </w:rPr>
                <w:t>https://mk.gov.lv/content/ministru-kabineta-diskusiju-dokumenti</w:t>
              </w:r>
            </w:hyperlink>
            <w:r w:rsidRPr="00613E79">
              <w:rPr>
                <w:rFonts w:ascii="Times New Roman" w:hAnsi="Times New Roman"/>
                <w:sz w:val="24"/>
                <w:szCs w:val="24"/>
                <w:u w:val="single"/>
                <w:lang w:eastAsia="lv-LV"/>
              </w:rPr>
              <w:t>.</w:t>
            </w:r>
          </w:p>
          <w:p w14:paraId="619B79E3" w14:textId="6A58A649" w:rsidR="00716B22" w:rsidRPr="00BF0B1B" w:rsidRDefault="00716B22" w:rsidP="0046225A">
            <w:pPr>
              <w:shd w:val="clear" w:color="auto" w:fill="FFFFFF"/>
              <w:spacing w:after="0" w:line="240" w:lineRule="auto"/>
              <w:jc w:val="both"/>
              <w:rPr>
                <w:rFonts w:ascii="Times New Roman" w:hAnsi="Times New Roman"/>
                <w:sz w:val="24"/>
                <w:szCs w:val="24"/>
                <w:lang w:eastAsia="lv-LV"/>
              </w:rPr>
            </w:pPr>
          </w:p>
        </w:tc>
      </w:tr>
      <w:tr w:rsidR="00716B22" w:rsidRPr="00BF0B1B" w14:paraId="23E5A648"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B323E5"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474C1BC"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6E393651" w14:textId="65F03940" w:rsidR="00716B22" w:rsidRPr="00613E79" w:rsidRDefault="00BB1CA0" w:rsidP="0046225A">
            <w:pPr>
              <w:shd w:val="clear" w:color="auto" w:fill="FFFFFF"/>
              <w:spacing w:after="0" w:line="240" w:lineRule="auto"/>
              <w:jc w:val="both"/>
              <w:rPr>
                <w:rFonts w:ascii="Times New Roman" w:hAnsi="Times New Roman"/>
                <w:sz w:val="24"/>
                <w:szCs w:val="24"/>
              </w:rPr>
            </w:pPr>
            <w:r w:rsidRPr="007914F5">
              <w:rPr>
                <w:rFonts w:ascii="Times New Roman" w:hAnsi="Times New Roman"/>
                <w:iCs/>
                <w:sz w:val="24"/>
                <w:szCs w:val="24"/>
                <w:lang w:eastAsia="lv-LV"/>
              </w:rPr>
              <w:t>Sabiedrības pārstāvju iebildumi un priekšlikumi nav saņemti</w:t>
            </w:r>
            <w:r>
              <w:rPr>
                <w:rFonts w:ascii="Times New Roman" w:hAnsi="Times New Roman"/>
                <w:iCs/>
                <w:sz w:val="24"/>
                <w:szCs w:val="24"/>
                <w:lang w:eastAsia="lv-LV"/>
              </w:rPr>
              <w:t>.</w:t>
            </w:r>
          </w:p>
        </w:tc>
      </w:tr>
      <w:tr w:rsidR="00287B19" w:rsidRPr="00BF0B1B" w14:paraId="0FB4B8DD"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28DE84"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6ED36F0"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5614584"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2324BCF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3CD9B1F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714E67"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87B19" w:rsidRPr="00BF0B1B" w14:paraId="0F6533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8E1852"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47BA5D"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EC53A95"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cs="Times New Roman"/>
                <w:iCs/>
                <w:sz w:val="24"/>
                <w:szCs w:val="24"/>
              </w:rPr>
              <w:t xml:space="preserve">Noteikumu projekta izpildi nodrošinās </w:t>
            </w:r>
            <w:r w:rsidR="00A96892" w:rsidRPr="00BF0B1B">
              <w:rPr>
                <w:rFonts w:ascii="Times New Roman" w:hAnsi="Times New Roman" w:cs="Times New Roman"/>
                <w:iCs/>
                <w:sz w:val="24"/>
                <w:szCs w:val="24"/>
              </w:rPr>
              <w:t xml:space="preserve">Finanšu </w:t>
            </w:r>
            <w:r w:rsidRPr="00BF0B1B">
              <w:rPr>
                <w:rFonts w:ascii="Times New Roman" w:hAnsi="Times New Roman" w:cs="Times New Roman"/>
                <w:iCs/>
                <w:sz w:val="24"/>
                <w:szCs w:val="24"/>
              </w:rPr>
              <w:t>ministrija.</w:t>
            </w:r>
          </w:p>
        </w:tc>
      </w:tr>
      <w:tr w:rsidR="00287B19" w:rsidRPr="00BF0B1B" w14:paraId="77F2068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8233B8"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606DC4D"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izpildes ietekme uz pārvaldes funkcijām un institucionālo struktūru.</w:t>
            </w:r>
            <w:r w:rsidRPr="00BF0B1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03E7A9A" w14:textId="4BD13A52" w:rsidR="00E5323B" w:rsidRPr="00BF0B1B" w:rsidRDefault="002468FB" w:rsidP="005D27B0">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Projekts neietekmēs pārvaldes funkcijas un institucionālo struktūru. Jaunu institūciju izveide, esošo institūciju likvidācija vai reorganizācija nav nepieciešama. Projekts tiks īstenots esošo cilvēkresursu ietvaros.</w:t>
            </w:r>
          </w:p>
        </w:tc>
      </w:tr>
      <w:tr w:rsidR="00E5323B" w:rsidRPr="00BF0B1B" w14:paraId="2730EDE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F1B680"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5F3109C"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8D10EC9"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1B231880" w14:textId="77777777" w:rsidR="00C25B49" w:rsidRPr="00BF0B1B" w:rsidRDefault="00C25B49" w:rsidP="0046225A">
      <w:pPr>
        <w:spacing w:after="0" w:line="240" w:lineRule="auto"/>
        <w:rPr>
          <w:rFonts w:ascii="Times New Roman" w:hAnsi="Times New Roman" w:cs="Times New Roman"/>
          <w:sz w:val="28"/>
          <w:szCs w:val="28"/>
        </w:rPr>
      </w:pPr>
    </w:p>
    <w:p w14:paraId="2C6FA3B8" w14:textId="77777777" w:rsidR="00E5323B" w:rsidRPr="00BF0B1B" w:rsidRDefault="00E5323B" w:rsidP="0046225A">
      <w:pPr>
        <w:spacing w:after="0" w:line="240" w:lineRule="auto"/>
        <w:rPr>
          <w:rFonts w:ascii="Times New Roman" w:hAnsi="Times New Roman" w:cs="Times New Roman"/>
          <w:sz w:val="28"/>
          <w:szCs w:val="28"/>
        </w:rPr>
      </w:pPr>
    </w:p>
    <w:p w14:paraId="51E88CAE" w14:textId="77777777" w:rsidR="00894C55" w:rsidRPr="00BF0B1B" w:rsidRDefault="00A96892" w:rsidP="0046225A">
      <w:pPr>
        <w:tabs>
          <w:tab w:val="left" w:pos="6237"/>
        </w:tabs>
        <w:spacing w:after="0" w:line="240" w:lineRule="auto"/>
        <w:ind w:firstLine="720"/>
        <w:rPr>
          <w:rFonts w:ascii="Times New Roman" w:hAnsi="Times New Roman" w:cs="Times New Roman"/>
          <w:sz w:val="24"/>
          <w:szCs w:val="24"/>
        </w:rPr>
      </w:pPr>
      <w:r w:rsidRPr="00BF0B1B">
        <w:rPr>
          <w:rFonts w:ascii="Times New Roman" w:hAnsi="Times New Roman" w:cs="Times New Roman"/>
          <w:sz w:val="24"/>
          <w:szCs w:val="24"/>
        </w:rPr>
        <w:t xml:space="preserve">Finanšu </w:t>
      </w:r>
      <w:r w:rsidR="00894C55" w:rsidRPr="00BF0B1B">
        <w:rPr>
          <w:rFonts w:ascii="Times New Roman" w:hAnsi="Times New Roman" w:cs="Times New Roman"/>
          <w:sz w:val="24"/>
          <w:szCs w:val="24"/>
        </w:rPr>
        <w:t>ministrs</w:t>
      </w:r>
      <w:r w:rsidR="00894C55" w:rsidRPr="00BF0B1B">
        <w:rPr>
          <w:rFonts w:ascii="Times New Roman" w:hAnsi="Times New Roman" w:cs="Times New Roman"/>
          <w:sz w:val="24"/>
          <w:szCs w:val="24"/>
        </w:rPr>
        <w:tab/>
      </w:r>
      <w:r w:rsidRPr="00BF0B1B">
        <w:rPr>
          <w:rFonts w:ascii="Times New Roman" w:hAnsi="Times New Roman" w:cs="Times New Roman"/>
          <w:sz w:val="24"/>
          <w:szCs w:val="24"/>
        </w:rPr>
        <w:t>Jānis Reirs</w:t>
      </w:r>
    </w:p>
    <w:p w14:paraId="6169C9F3" w14:textId="77777777" w:rsidR="00894C55" w:rsidRPr="00BF0B1B" w:rsidRDefault="00894C55" w:rsidP="00B83F6F">
      <w:pPr>
        <w:spacing w:after="0" w:line="240" w:lineRule="auto"/>
        <w:ind w:firstLine="720"/>
        <w:rPr>
          <w:rFonts w:ascii="Times New Roman" w:hAnsi="Times New Roman" w:cs="Times New Roman"/>
          <w:sz w:val="24"/>
          <w:szCs w:val="24"/>
        </w:rPr>
      </w:pPr>
    </w:p>
    <w:p w14:paraId="327547D8" w14:textId="77777777" w:rsidR="00894C55" w:rsidRPr="00BF0B1B" w:rsidRDefault="00894C55" w:rsidP="00A6528C">
      <w:pPr>
        <w:spacing w:after="0" w:line="240" w:lineRule="auto"/>
        <w:ind w:firstLine="720"/>
        <w:rPr>
          <w:rFonts w:ascii="Times New Roman" w:hAnsi="Times New Roman" w:cs="Times New Roman"/>
          <w:sz w:val="28"/>
          <w:szCs w:val="28"/>
        </w:rPr>
      </w:pPr>
    </w:p>
    <w:p w14:paraId="5851F7C5" w14:textId="77777777" w:rsidR="00894C55" w:rsidRPr="00BF0B1B" w:rsidRDefault="00894C55">
      <w:pPr>
        <w:tabs>
          <w:tab w:val="left" w:pos="6237"/>
        </w:tabs>
        <w:spacing w:after="0" w:line="240" w:lineRule="auto"/>
        <w:ind w:firstLine="720"/>
        <w:rPr>
          <w:rFonts w:ascii="Times New Roman" w:hAnsi="Times New Roman" w:cs="Times New Roman"/>
          <w:sz w:val="28"/>
          <w:szCs w:val="28"/>
        </w:rPr>
      </w:pPr>
    </w:p>
    <w:p w14:paraId="5B9B1349" w14:textId="77777777" w:rsidR="00894C55" w:rsidRPr="00BF0B1B" w:rsidRDefault="00894C55">
      <w:pPr>
        <w:tabs>
          <w:tab w:val="left" w:pos="6237"/>
        </w:tabs>
        <w:spacing w:after="0" w:line="240" w:lineRule="auto"/>
        <w:ind w:firstLine="720"/>
        <w:rPr>
          <w:rFonts w:ascii="Times New Roman" w:hAnsi="Times New Roman" w:cs="Times New Roman"/>
          <w:sz w:val="28"/>
          <w:szCs w:val="28"/>
        </w:rPr>
      </w:pPr>
    </w:p>
    <w:p w14:paraId="673FC5BD" w14:textId="77777777" w:rsidR="00894C55" w:rsidRPr="00BF0B1B" w:rsidRDefault="00894C55">
      <w:pPr>
        <w:tabs>
          <w:tab w:val="left" w:pos="6237"/>
        </w:tabs>
        <w:spacing w:after="0" w:line="240" w:lineRule="auto"/>
        <w:ind w:firstLine="720"/>
        <w:rPr>
          <w:rFonts w:ascii="Times New Roman" w:hAnsi="Times New Roman" w:cs="Times New Roman"/>
          <w:sz w:val="28"/>
          <w:szCs w:val="28"/>
        </w:rPr>
      </w:pPr>
    </w:p>
    <w:p w14:paraId="1491C4EC" w14:textId="77777777" w:rsidR="00716B22" w:rsidRPr="00BF0B1B" w:rsidRDefault="004E7591" w:rsidP="00355C7B">
      <w:pPr>
        <w:spacing w:after="0" w:line="240" w:lineRule="auto"/>
        <w:rPr>
          <w:rFonts w:ascii="Times New Roman" w:hAnsi="Times New Roman"/>
          <w:sz w:val="20"/>
          <w:szCs w:val="20"/>
        </w:rPr>
      </w:pPr>
      <w:r>
        <w:rPr>
          <w:rFonts w:ascii="Times New Roman" w:hAnsi="Times New Roman"/>
          <w:sz w:val="20"/>
          <w:szCs w:val="20"/>
        </w:rPr>
        <w:t>Jenuševskis</w:t>
      </w:r>
      <w:r w:rsidR="00716B22" w:rsidRPr="00BF0B1B">
        <w:rPr>
          <w:rFonts w:ascii="Times New Roman" w:hAnsi="Times New Roman"/>
          <w:sz w:val="20"/>
          <w:szCs w:val="20"/>
        </w:rPr>
        <w:t xml:space="preserve">, </w:t>
      </w:r>
      <w:r w:rsidR="00A96892" w:rsidRPr="00BF0B1B">
        <w:rPr>
          <w:rFonts w:ascii="Times New Roman" w:hAnsi="Times New Roman"/>
          <w:sz w:val="20"/>
          <w:szCs w:val="20"/>
        </w:rPr>
        <w:t>670</w:t>
      </w:r>
      <w:r>
        <w:rPr>
          <w:rFonts w:ascii="Times New Roman" w:hAnsi="Times New Roman"/>
          <w:sz w:val="20"/>
          <w:szCs w:val="20"/>
        </w:rPr>
        <w:t>95478</w:t>
      </w:r>
    </w:p>
    <w:p w14:paraId="373C3C5F" w14:textId="77777777" w:rsidR="00894C55" w:rsidRPr="00BF0B1B" w:rsidRDefault="004E7591" w:rsidP="0046225A">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Jurijs.Jenusevskis</w:t>
      </w:r>
      <w:r w:rsidR="00894C55" w:rsidRPr="00BF0B1B">
        <w:rPr>
          <w:rFonts w:ascii="Times New Roman" w:hAnsi="Times New Roman" w:cs="Times New Roman"/>
          <w:sz w:val="20"/>
          <w:szCs w:val="20"/>
        </w:rPr>
        <w:t>@</w:t>
      </w:r>
      <w:r w:rsidR="00A96892" w:rsidRPr="00BF0B1B">
        <w:rPr>
          <w:rFonts w:ascii="Times New Roman" w:hAnsi="Times New Roman" w:cs="Times New Roman"/>
          <w:sz w:val="20"/>
          <w:szCs w:val="20"/>
        </w:rPr>
        <w:t>fm</w:t>
      </w:r>
      <w:r w:rsidR="00894C55" w:rsidRPr="00BF0B1B">
        <w:rPr>
          <w:rFonts w:ascii="Times New Roman" w:hAnsi="Times New Roman" w:cs="Times New Roman"/>
          <w:sz w:val="20"/>
          <w:szCs w:val="20"/>
        </w:rPr>
        <w:t>.gov.lv</w:t>
      </w:r>
    </w:p>
    <w:sectPr w:rsidR="00894C55" w:rsidRPr="00BF0B1B" w:rsidSect="0021733B">
      <w:headerReference w:type="default" r:id="rId14"/>
      <w:footerReference w:type="default" r:id="rId15"/>
      <w:footerReference w:type="first" r:id="rId16"/>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D5E9" w16cex:dateUtc="2020-06-11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CAAE7" w16cid:durableId="228CD5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C00E" w14:textId="77777777" w:rsidR="000E3DFB" w:rsidRDefault="000E3DFB" w:rsidP="00894C55">
      <w:pPr>
        <w:spacing w:after="0" w:line="240" w:lineRule="auto"/>
      </w:pPr>
      <w:r>
        <w:separator/>
      </w:r>
    </w:p>
  </w:endnote>
  <w:endnote w:type="continuationSeparator" w:id="0">
    <w:p w14:paraId="7861ADDD" w14:textId="77777777" w:rsidR="000E3DFB" w:rsidRDefault="000E3DF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55A0" w14:textId="34B72F1C" w:rsidR="00505386" w:rsidRPr="007914F5" w:rsidRDefault="0096441C" w:rsidP="007914F5">
    <w:pPr>
      <w:pStyle w:val="Footer"/>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FMAnot_100120_KAKLgroz</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D8BB" w14:textId="2A7688CC" w:rsidR="00160643" w:rsidRPr="00D8360C" w:rsidRDefault="0096441C" w:rsidP="00505386">
    <w:pPr>
      <w:pStyle w:val="Footer"/>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FMAnot_100120_KAKLgroz</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DA96" w14:textId="77777777" w:rsidR="000E3DFB" w:rsidRDefault="000E3DFB" w:rsidP="00894C55">
      <w:pPr>
        <w:spacing w:after="0" w:line="240" w:lineRule="auto"/>
      </w:pPr>
      <w:r>
        <w:separator/>
      </w:r>
    </w:p>
  </w:footnote>
  <w:footnote w:type="continuationSeparator" w:id="0">
    <w:p w14:paraId="7212130D" w14:textId="77777777" w:rsidR="000E3DFB" w:rsidRDefault="000E3DF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D83D384" w14:textId="6F467B9C" w:rsidR="00160643" w:rsidRPr="00C25B49" w:rsidRDefault="0016064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C703A">
          <w:rPr>
            <w:rFonts w:ascii="Times New Roman" w:hAnsi="Times New Roman" w:cs="Times New Roman"/>
            <w:noProof/>
            <w:sz w:val="24"/>
            <w:szCs w:val="20"/>
          </w:rPr>
          <w:t>13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62CA5"/>
    <w:multiLevelType w:val="hybridMultilevel"/>
    <w:tmpl w:val="FFE23B1C"/>
    <w:lvl w:ilvl="0" w:tplc="1C60101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5E76D6"/>
    <w:multiLevelType w:val="hybridMultilevel"/>
    <w:tmpl w:val="9B9C1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501098"/>
    <w:multiLevelType w:val="hybridMultilevel"/>
    <w:tmpl w:val="8A7642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B23779"/>
    <w:multiLevelType w:val="hybridMultilevel"/>
    <w:tmpl w:val="2CC6FB64"/>
    <w:lvl w:ilvl="0" w:tplc="0426000F">
      <w:start w:val="1"/>
      <w:numFmt w:val="decimal"/>
      <w:lvlText w:val="%1."/>
      <w:lvlJc w:val="left"/>
      <w:pPr>
        <w:ind w:left="787" w:hanging="360"/>
      </w:pPr>
    </w:lvl>
    <w:lvl w:ilvl="1" w:tplc="04260019">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487D"/>
    <w:rsid w:val="00043601"/>
    <w:rsid w:val="00050427"/>
    <w:rsid w:val="00051BBB"/>
    <w:rsid w:val="000643CD"/>
    <w:rsid w:val="00070533"/>
    <w:rsid w:val="000C703A"/>
    <w:rsid w:val="000D7218"/>
    <w:rsid w:val="000E3DFB"/>
    <w:rsid w:val="00110AC6"/>
    <w:rsid w:val="001232F1"/>
    <w:rsid w:val="00123689"/>
    <w:rsid w:val="00132C97"/>
    <w:rsid w:val="001341F8"/>
    <w:rsid w:val="00137FD4"/>
    <w:rsid w:val="00141637"/>
    <w:rsid w:val="00160643"/>
    <w:rsid w:val="00181AA3"/>
    <w:rsid w:val="00183309"/>
    <w:rsid w:val="001838E1"/>
    <w:rsid w:val="00190DBB"/>
    <w:rsid w:val="001A1618"/>
    <w:rsid w:val="001B1C11"/>
    <w:rsid w:val="001C19F2"/>
    <w:rsid w:val="001D0E57"/>
    <w:rsid w:val="001D41C6"/>
    <w:rsid w:val="001E1167"/>
    <w:rsid w:val="001E2C0E"/>
    <w:rsid w:val="001E589F"/>
    <w:rsid w:val="001F207E"/>
    <w:rsid w:val="002150EB"/>
    <w:rsid w:val="0021733B"/>
    <w:rsid w:val="002257B5"/>
    <w:rsid w:val="00230D5C"/>
    <w:rsid w:val="00243426"/>
    <w:rsid w:val="002468FB"/>
    <w:rsid w:val="0028402E"/>
    <w:rsid w:val="00286C65"/>
    <w:rsid w:val="00287B19"/>
    <w:rsid w:val="002928B3"/>
    <w:rsid w:val="002A1C45"/>
    <w:rsid w:val="002A4D07"/>
    <w:rsid w:val="002A6FBC"/>
    <w:rsid w:val="002C2B3C"/>
    <w:rsid w:val="002D21D8"/>
    <w:rsid w:val="002D5BA6"/>
    <w:rsid w:val="002E1C05"/>
    <w:rsid w:val="002F03B6"/>
    <w:rsid w:val="002F2EEF"/>
    <w:rsid w:val="002F79E8"/>
    <w:rsid w:val="00312F0B"/>
    <w:rsid w:val="00330128"/>
    <w:rsid w:val="00351470"/>
    <w:rsid w:val="00352533"/>
    <w:rsid w:val="00355C7B"/>
    <w:rsid w:val="00356FB6"/>
    <w:rsid w:val="003972B1"/>
    <w:rsid w:val="003A7896"/>
    <w:rsid w:val="003B0BF9"/>
    <w:rsid w:val="003B2352"/>
    <w:rsid w:val="003E0791"/>
    <w:rsid w:val="003F0413"/>
    <w:rsid w:val="003F28AC"/>
    <w:rsid w:val="0040563D"/>
    <w:rsid w:val="004132EC"/>
    <w:rsid w:val="00415A7A"/>
    <w:rsid w:val="004454FE"/>
    <w:rsid w:val="004470FD"/>
    <w:rsid w:val="00456E40"/>
    <w:rsid w:val="0046225A"/>
    <w:rsid w:val="00471F27"/>
    <w:rsid w:val="004944DF"/>
    <w:rsid w:val="004A2919"/>
    <w:rsid w:val="004A718E"/>
    <w:rsid w:val="004A766A"/>
    <w:rsid w:val="004B008D"/>
    <w:rsid w:val="004C7A63"/>
    <w:rsid w:val="004E144D"/>
    <w:rsid w:val="004E1870"/>
    <w:rsid w:val="004E7591"/>
    <w:rsid w:val="0050178F"/>
    <w:rsid w:val="00505386"/>
    <w:rsid w:val="00520510"/>
    <w:rsid w:val="00536673"/>
    <w:rsid w:val="00556118"/>
    <w:rsid w:val="00566DCE"/>
    <w:rsid w:val="00592848"/>
    <w:rsid w:val="00596D0C"/>
    <w:rsid w:val="005A0925"/>
    <w:rsid w:val="005B1CD9"/>
    <w:rsid w:val="005D27B0"/>
    <w:rsid w:val="005E6FD7"/>
    <w:rsid w:val="005F06FB"/>
    <w:rsid w:val="005F1C38"/>
    <w:rsid w:val="00613E79"/>
    <w:rsid w:val="00617951"/>
    <w:rsid w:val="00625EEB"/>
    <w:rsid w:val="006506F2"/>
    <w:rsid w:val="00655F2C"/>
    <w:rsid w:val="00656799"/>
    <w:rsid w:val="00674FA4"/>
    <w:rsid w:val="006858AB"/>
    <w:rsid w:val="006A20EC"/>
    <w:rsid w:val="006A3742"/>
    <w:rsid w:val="006B1621"/>
    <w:rsid w:val="006C0182"/>
    <w:rsid w:val="006C049E"/>
    <w:rsid w:val="006C0806"/>
    <w:rsid w:val="006D7673"/>
    <w:rsid w:val="006E1081"/>
    <w:rsid w:val="006F1E1B"/>
    <w:rsid w:val="00716B22"/>
    <w:rsid w:val="00720585"/>
    <w:rsid w:val="00722B0C"/>
    <w:rsid w:val="007237EC"/>
    <w:rsid w:val="00731A22"/>
    <w:rsid w:val="00751585"/>
    <w:rsid w:val="00751823"/>
    <w:rsid w:val="00764432"/>
    <w:rsid w:val="00770A1B"/>
    <w:rsid w:val="00773AF6"/>
    <w:rsid w:val="007914F5"/>
    <w:rsid w:val="00795F71"/>
    <w:rsid w:val="007A620B"/>
    <w:rsid w:val="007E49AB"/>
    <w:rsid w:val="007E5F7A"/>
    <w:rsid w:val="007E73AB"/>
    <w:rsid w:val="00816C11"/>
    <w:rsid w:val="008216EE"/>
    <w:rsid w:val="008218DB"/>
    <w:rsid w:val="00841A64"/>
    <w:rsid w:val="00861586"/>
    <w:rsid w:val="00894C55"/>
    <w:rsid w:val="00896C53"/>
    <w:rsid w:val="008C240A"/>
    <w:rsid w:val="008D3695"/>
    <w:rsid w:val="008E06BD"/>
    <w:rsid w:val="008E12E5"/>
    <w:rsid w:val="008E3DA5"/>
    <w:rsid w:val="008E5447"/>
    <w:rsid w:val="00935D1E"/>
    <w:rsid w:val="009361C0"/>
    <w:rsid w:val="009429B0"/>
    <w:rsid w:val="0094488B"/>
    <w:rsid w:val="00947957"/>
    <w:rsid w:val="009618A3"/>
    <w:rsid w:val="0096441C"/>
    <w:rsid w:val="00971841"/>
    <w:rsid w:val="00976F78"/>
    <w:rsid w:val="009A04D7"/>
    <w:rsid w:val="009A2654"/>
    <w:rsid w:val="009A4B7E"/>
    <w:rsid w:val="009C05AF"/>
    <w:rsid w:val="009C1C26"/>
    <w:rsid w:val="009D31B5"/>
    <w:rsid w:val="009D53F0"/>
    <w:rsid w:val="009E3C94"/>
    <w:rsid w:val="00A023CB"/>
    <w:rsid w:val="00A10FC3"/>
    <w:rsid w:val="00A35BF5"/>
    <w:rsid w:val="00A557C9"/>
    <w:rsid w:val="00A57EA0"/>
    <w:rsid w:val="00A606E1"/>
    <w:rsid w:val="00A6073E"/>
    <w:rsid w:val="00A6528C"/>
    <w:rsid w:val="00A742AE"/>
    <w:rsid w:val="00A809D8"/>
    <w:rsid w:val="00A844F8"/>
    <w:rsid w:val="00A96892"/>
    <w:rsid w:val="00AA22BE"/>
    <w:rsid w:val="00AD0202"/>
    <w:rsid w:val="00AE5567"/>
    <w:rsid w:val="00AF1239"/>
    <w:rsid w:val="00AF33BC"/>
    <w:rsid w:val="00B06155"/>
    <w:rsid w:val="00B16480"/>
    <w:rsid w:val="00B21088"/>
    <w:rsid w:val="00B2165C"/>
    <w:rsid w:val="00B26A34"/>
    <w:rsid w:val="00B72417"/>
    <w:rsid w:val="00B725E5"/>
    <w:rsid w:val="00B83F6F"/>
    <w:rsid w:val="00BA20AA"/>
    <w:rsid w:val="00BB1CA0"/>
    <w:rsid w:val="00BC2138"/>
    <w:rsid w:val="00BD4425"/>
    <w:rsid w:val="00BE3C86"/>
    <w:rsid w:val="00BF0B1B"/>
    <w:rsid w:val="00BF1735"/>
    <w:rsid w:val="00BF2017"/>
    <w:rsid w:val="00C0223C"/>
    <w:rsid w:val="00C03ACF"/>
    <w:rsid w:val="00C149C6"/>
    <w:rsid w:val="00C21E81"/>
    <w:rsid w:val="00C25B49"/>
    <w:rsid w:val="00C31391"/>
    <w:rsid w:val="00C33040"/>
    <w:rsid w:val="00C36608"/>
    <w:rsid w:val="00C50B55"/>
    <w:rsid w:val="00C6519B"/>
    <w:rsid w:val="00C73D3F"/>
    <w:rsid w:val="00C96D96"/>
    <w:rsid w:val="00CC0D2D"/>
    <w:rsid w:val="00CC7D35"/>
    <w:rsid w:val="00CE5657"/>
    <w:rsid w:val="00CF34BE"/>
    <w:rsid w:val="00D01280"/>
    <w:rsid w:val="00D133F8"/>
    <w:rsid w:val="00D14A3E"/>
    <w:rsid w:val="00D15A00"/>
    <w:rsid w:val="00D3575B"/>
    <w:rsid w:val="00D4166E"/>
    <w:rsid w:val="00D8360C"/>
    <w:rsid w:val="00D96BE0"/>
    <w:rsid w:val="00DA08F6"/>
    <w:rsid w:val="00DC599D"/>
    <w:rsid w:val="00DE088B"/>
    <w:rsid w:val="00DE5827"/>
    <w:rsid w:val="00DF7562"/>
    <w:rsid w:val="00E01A12"/>
    <w:rsid w:val="00E01CD4"/>
    <w:rsid w:val="00E113C4"/>
    <w:rsid w:val="00E206B4"/>
    <w:rsid w:val="00E257A4"/>
    <w:rsid w:val="00E3716B"/>
    <w:rsid w:val="00E43B83"/>
    <w:rsid w:val="00E501E0"/>
    <w:rsid w:val="00E501FA"/>
    <w:rsid w:val="00E5323B"/>
    <w:rsid w:val="00E8749E"/>
    <w:rsid w:val="00E90C01"/>
    <w:rsid w:val="00E91901"/>
    <w:rsid w:val="00EA486E"/>
    <w:rsid w:val="00EA571D"/>
    <w:rsid w:val="00EB2F08"/>
    <w:rsid w:val="00EC362D"/>
    <w:rsid w:val="00ED1695"/>
    <w:rsid w:val="00F54D97"/>
    <w:rsid w:val="00F57B0C"/>
    <w:rsid w:val="00F6352C"/>
    <w:rsid w:val="00F7001B"/>
    <w:rsid w:val="00F750D4"/>
    <w:rsid w:val="00F867C2"/>
    <w:rsid w:val="00F97E52"/>
    <w:rsid w:val="00FC68CF"/>
    <w:rsid w:val="00FD12A6"/>
    <w:rsid w:val="00FD26D7"/>
    <w:rsid w:val="00FE34F4"/>
    <w:rsid w:val="00FE66B0"/>
    <w:rsid w:val="00FF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5CCF82C"/>
  <w15:docId w15:val="{EC3BE46E-60B1-4A1E-B2E3-1F46EE1B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4B008D"/>
    <w:pPr>
      <w:spacing w:before="75" w:after="75" w:line="240" w:lineRule="auto"/>
    </w:pPr>
    <w:rPr>
      <w:rFonts w:ascii="Times New Roman" w:eastAsia="Times New Roman" w:hAnsi="Times New Roman" w:cs="Times New Roman"/>
      <w:sz w:val="24"/>
      <w:szCs w:val="24"/>
      <w:lang w:eastAsia="lv-LV"/>
    </w:rPr>
  </w:style>
  <w:style w:type="paragraph" w:customStyle="1" w:styleId="naislab">
    <w:name w:val="naislab"/>
    <w:basedOn w:val="Normal"/>
    <w:uiPriority w:val="99"/>
    <w:rsid w:val="004B008D"/>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6567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H&amp;P List Paragraph,Normal bullet 2,Saraksta rindkopa1,Strip"/>
    <w:basedOn w:val="Normal"/>
    <w:link w:val="ListParagraphChar"/>
    <w:uiPriority w:val="34"/>
    <w:qFormat/>
    <w:rsid w:val="006F1E1B"/>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Bullet list Char,H&amp;P List Paragraph Char,Normal bullet 2 Char,Saraksta rindkopa1 Char,Strip Char"/>
    <w:link w:val="ListParagraph"/>
    <w:uiPriority w:val="34"/>
    <w:qFormat/>
    <w:rsid w:val="006F1E1B"/>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91901"/>
    <w:rPr>
      <w:sz w:val="16"/>
      <w:szCs w:val="16"/>
    </w:rPr>
  </w:style>
  <w:style w:type="paragraph" w:styleId="CommentText">
    <w:name w:val="annotation text"/>
    <w:basedOn w:val="Normal"/>
    <w:link w:val="CommentTextChar"/>
    <w:uiPriority w:val="99"/>
    <w:unhideWhenUsed/>
    <w:rsid w:val="00E91901"/>
    <w:pPr>
      <w:spacing w:line="240" w:lineRule="auto"/>
    </w:pPr>
    <w:rPr>
      <w:sz w:val="20"/>
      <w:szCs w:val="20"/>
    </w:rPr>
  </w:style>
  <w:style w:type="character" w:customStyle="1" w:styleId="CommentTextChar">
    <w:name w:val="Comment Text Char"/>
    <w:basedOn w:val="DefaultParagraphFont"/>
    <w:link w:val="CommentText"/>
    <w:uiPriority w:val="99"/>
    <w:rsid w:val="00E91901"/>
    <w:rPr>
      <w:sz w:val="20"/>
      <w:szCs w:val="20"/>
    </w:rPr>
  </w:style>
  <w:style w:type="paragraph" w:styleId="CommentSubject">
    <w:name w:val="annotation subject"/>
    <w:basedOn w:val="CommentText"/>
    <w:next w:val="CommentText"/>
    <w:link w:val="CommentSubjectChar"/>
    <w:uiPriority w:val="99"/>
    <w:semiHidden/>
    <w:unhideWhenUsed/>
    <w:rsid w:val="00E91901"/>
    <w:rPr>
      <w:b/>
      <w:bCs/>
    </w:rPr>
  </w:style>
  <w:style w:type="character" w:customStyle="1" w:styleId="CommentSubjectChar">
    <w:name w:val="Comment Subject Char"/>
    <w:basedOn w:val="CommentTextChar"/>
    <w:link w:val="CommentSubject"/>
    <w:uiPriority w:val="99"/>
    <w:semiHidden/>
    <w:rsid w:val="00E91901"/>
    <w:rPr>
      <w:b/>
      <w:bCs/>
      <w:sz w:val="20"/>
      <w:szCs w:val="20"/>
    </w:rPr>
  </w:style>
  <w:style w:type="character" w:customStyle="1" w:styleId="UnresolvedMention1">
    <w:name w:val="Unresolved Mention1"/>
    <w:basedOn w:val="DefaultParagraphFont"/>
    <w:uiPriority w:val="99"/>
    <w:semiHidden/>
    <w:unhideWhenUsed/>
    <w:rsid w:val="00BC2138"/>
    <w:rPr>
      <w:color w:val="605E5C"/>
      <w:shd w:val="clear" w:color="auto" w:fill="E1DFDD"/>
    </w:rPr>
  </w:style>
  <w:style w:type="paragraph" w:customStyle="1" w:styleId="ti-grseq-1">
    <w:name w:val="ti-grseq-1"/>
    <w:basedOn w:val="Normal"/>
    <w:rsid w:val="005E6F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5E6FD7"/>
  </w:style>
  <w:style w:type="paragraph" w:customStyle="1" w:styleId="Normal1">
    <w:name w:val="Normal1"/>
    <w:basedOn w:val="Normal"/>
    <w:rsid w:val="005E6F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5E6FD7"/>
  </w:style>
  <w:style w:type="character" w:customStyle="1" w:styleId="outputecli">
    <w:name w:val="outputecli"/>
    <w:basedOn w:val="DefaultParagraphFont"/>
    <w:rsid w:val="00770A1B"/>
  </w:style>
  <w:style w:type="paragraph" w:customStyle="1" w:styleId="c36centre">
    <w:name w:val="c36centre"/>
    <w:basedOn w:val="Normal"/>
    <w:rsid w:val="00770A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38centregrasgrandespacement">
    <w:name w:val="c38centregrasgrandespacement"/>
    <w:basedOn w:val="Normal"/>
    <w:rsid w:val="00770A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D27B0"/>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210">
      <w:bodyDiv w:val="1"/>
      <w:marLeft w:val="0"/>
      <w:marRight w:val="0"/>
      <w:marTop w:val="0"/>
      <w:marBottom w:val="0"/>
      <w:divBdr>
        <w:top w:val="none" w:sz="0" w:space="0" w:color="auto"/>
        <w:left w:val="none" w:sz="0" w:space="0" w:color="auto"/>
        <w:bottom w:val="none" w:sz="0" w:space="0" w:color="auto"/>
        <w:right w:val="none" w:sz="0" w:space="0" w:color="auto"/>
      </w:divBdr>
    </w:div>
    <w:div w:id="29965381">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6453796">
      <w:bodyDiv w:val="1"/>
      <w:marLeft w:val="0"/>
      <w:marRight w:val="0"/>
      <w:marTop w:val="0"/>
      <w:marBottom w:val="0"/>
      <w:divBdr>
        <w:top w:val="none" w:sz="0" w:space="0" w:color="auto"/>
        <w:left w:val="none" w:sz="0" w:space="0" w:color="auto"/>
        <w:bottom w:val="none" w:sz="0" w:space="0" w:color="auto"/>
        <w:right w:val="none" w:sz="0" w:space="0" w:color="auto"/>
      </w:divBdr>
    </w:div>
    <w:div w:id="705058434">
      <w:bodyDiv w:val="1"/>
      <w:marLeft w:val="0"/>
      <w:marRight w:val="0"/>
      <w:marTop w:val="0"/>
      <w:marBottom w:val="0"/>
      <w:divBdr>
        <w:top w:val="none" w:sz="0" w:space="0" w:color="auto"/>
        <w:left w:val="none" w:sz="0" w:space="0" w:color="auto"/>
        <w:bottom w:val="none" w:sz="0" w:space="0" w:color="auto"/>
        <w:right w:val="none" w:sz="0" w:space="0" w:color="auto"/>
      </w:divBdr>
    </w:div>
    <w:div w:id="715466239">
      <w:bodyDiv w:val="1"/>
      <w:marLeft w:val="0"/>
      <w:marRight w:val="0"/>
      <w:marTop w:val="0"/>
      <w:marBottom w:val="0"/>
      <w:divBdr>
        <w:top w:val="none" w:sz="0" w:space="0" w:color="auto"/>
        <w:left w:val="none" w:sz="0" w:space="0" w:color="auto"/>
        <w:bottom w:val="none" w:sz="0" w:space="0" w:color="auto"/>
        <w:right w:val="none" w:sz="0" w:space="0" w:color="auto"/>
      </w:divBdr>
    </w:div>
    <w:div w:id="808546733">
      <w:bodyDiv w:val="1"/>
      <w:marLeft w:val="0"/>
      <w:marRight w:val="0"/>
      <w:marTop w:val="0"/>
      <w:marBottom w:val="0"/>
      <w:divBdr>
        <w:top w:val="none" w:sz="0" w:space="0" w:color="auto"/>
        <w:left w:val="none" w:sz="0" w:space="0" w:color="auto"/>
        <w:bottom w:val="none" w:sz="0" w:space="0" w:color="auto"/>
        <w:right w:val="none" w:sz="0" w:space="0" w:color="auto"/>
      </w:divBdr>
    </w:div>
    <w:div w:id="982004654">
      <w:bodyDiv w:val="1"/>
      <w:marLeft w:val="0"/>
      <w:marRight w:val="0"/>
      <w:marTop w:val="0"/>
      <w:marBottom w:val="0"/>
      <w:divBdr>
        <w:top w:val="none" w:sz="0" w:space="0" w:color="auto"/>
        <w:left w:val="none" w:sz="0" w:space="0" w:color="auto"/>
        <w:bottom w:val="none" w:sz="0" w:space="0" w:color="auto"/>
        <w:right w:val="none" w:sz="0" w:space="0" w:color="auto"/>
      </w:divBdr>
    </w:div>
    <w:div w:id="1010446354">
      <w:bodyDiv w:val="1"/>
      <w:marLeft w:val="0"/>
      <w:marRight w:val="0"/>
      <w:marTop w:val="0"/>
      <w:marBottom w:val="0"/>
      <w:divBdr>
        <w:top w:val="none" w:sz="0" w:space="0" w:color="auto"/>
        <w:left w:val="none" w:sz="0" w:space="0" w:color="auto"/>
        <w:bottom w:val="none" w:sz="0" w:space="0" w:color="auto"/>
        <w:right w:val="none" w:sz="0" w:space="0" w:color="auto"/>
      </w:divBdr>
    </w:div>
    <w:div w:id="1132023111">
      <w:bodyDiv w:val="1"/>
      <w:marLeft w:val="0"/>
      <w:marRight w:val="0"/>
      <w:marTop w:val="0"/>
      <w:marBottom w:val="0"/>
      <w:divBdr>
        <w:top w:val="none" w:sz="0" w:space="0" w:color="auto"/>
        <w:left w:val="none" w:sz="0" w:space="0" w:color="auto"/>
        <w:bottom w:val="none" w:sz="0" w:space="0" w:color="auto"/>
        <w:right w:val="none" w:sz="0" w:space="0" w:color="auto"/>
      </w:divBdr>
      <w:divsChild>
        <w:div w:id="1838374996">
          <w:marLeft w:val="300"/>
          <w:marRight w:val="0"/>
          <w:marTop w:val="0"/>
          <w:marBottom w:val="0"/>
          <w:divBdr>
            <w:top w:val="none" w:sz="0" w:space="0" w:color="auto"/>
            <w:left w:val="none" w:sz="0" w:space="0" w:color="auto"/>
            <w:bottom w:val="none" w:sz="0" w:space="0" w:color="auto"/>
            <w:right w:val="none" w:sz="0" w:space="0" w:color="auto"/>
          </w:divBdr>
        </w:div>
        <w:div w:id="267082290">
          <w:marLeft w:val="75"/>
          <w:marRight w:val="75"/>
          <w:marTop w:val="75"/>
          <w:marBottom w:val="75"/>
          <w:divBdr>
            <w:top w:val="none" w:sz="0" w:space="0" w:color="auto"/>
            <w:left w:val="none" w:sz="0" w:space="0" w:color="auto"/>
            <w:bottom w:val="none" w:sz="0" w:space="0" w:color="auto"/>
            <w:right w:val="none" w:sz="0" w:space="0" w:color="auto"/>
          </w:divBdr>
        </w:div>
      </w:divsChild>
    </w:div>
    <w:div w:id="1191335429">
      <w:bodyDiv w:val="1"/>
      <w:marLeft w:val="0"/>
      <w:marRight w:val="0"/>
      <w:marTop w:val="0"/>
      <w:marBottom w:val="0"/>
      <w:divBdr>
        <w:top w:val="none" w:sz="0" w:space="0" w:color="auto"/>
        <w:left w:val="none" w:sz="0" w:space="0" w:color="auto"/>
        <w:bottom w:val="none" w:sz="0" w:space="0" w:color="auto"/>
        <w:right w:val="none" w:sz="0" w:space="0" w:color="auto"/>
      </w:divBdr>
    </w:div>
    <w:div w:id="120744911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97308558">
      <w:bodyDiv w:val="1"/>
      <w:marLeft w:val="0"/>
      <w:marRight w:val="0"/>
      <w:marTop w:val="0"/>
      <w:marBottom w:val="0"/>
      <w:divBdr>
        <w:top w:val="none" w:sz="0" w:space="0" w:color="auto"/>
        <w:left w:val="none" w:sz="0" w:space="0" w:color="auto"/>
        <w:bottom w:val="none" w:sz="0" w:space="0" w:color="auto"/>
        <w:right w:val="none" w:sz="0" w:space="0" w:color="auto"/>
      </w:divBdr>
    </w:div>
    <w:div w:id="1595085723">
      <w:bodyDiv w:val="1"/>
      <w:marLeft w:val="0"/>
      <w:marRight w:val="0"/>
      <w:marTop w:val="0"/>
      <w:marBottom w:val="0"/>
      <w:divBdr>
        <w:top w:val="none" w:sz="0" w:space="0" w:color="auto"/>
        <w:left w:val="none" w:sz="0" w:space="0" w:color="auto"/>
        <w:bottom w:val="none" w:sz="0" w:space="0" w:color="auto"/>
        <w:right w:val="none" w:sz="0" w:space="0" w:color="auto"/>
      </w:divBdr>
    </w:div>
    <w:div w:id="1847555518">
      <w:bodyDiv w:val="1"/>
      <w:marLeft w:val="0"/>
      <w:marRight w:val="0"/>
      <w:marTop w:val="0"/>
      <w:marBottom w:val="0"/>
      <w:divBdr>
        <w:top w:val="none" w:sz="0" w:space="0" w:color="auto"/>
        <w:left w:val="none" w:sz="0" w:space="0" w:color="auto"/>
        <w:bottom w:val="none" w:sz="0" w:space="0" w:color="auto"/>
        <w:right w:val="none" w:sz="0" w:space="0" w:color="auto"/>
      </w:divBdr>
    </w:div>
    <w:div w:id="1967002793">
      <w:bodyDiv w:val="1"/>
      <w:marLeft w:val="0"/>
      <w:marRight w:val="0"/>
      <w:marTop w:val="0"/>
      <w:marBottom w:val="0"/>
      <w:divBdr>
        <w:top w:val="none" w:sz="0" w:space="0" w:color="auto"/>
        <w:left w:val="none" w:sz="0" w:space="0" w:color="auto"/>
        <w:bottom w:val="none" w:sz="0" w:space="0" w:color="auto"/>
        <w:right w:val="none" w:sz="0" w:space="0" w:color="auto"/>
      </w:divBdr>
    </w:div>
    <w:div w:id="20925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k.gov.lv/content/ministru-kabineta-diskusiju-dokumenti"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fm.gov.lv/lv/sabiedribas_lidzdaliba/tiesibu_aktu_projekti/komercdarbibas_atbalsta_kontroles_politik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D.Berkolde (KAKD)</Vad_x012b_t_x0101_js>
    <TAP xmlns="8a8406e0-fd3e-4c97-9c6b-df4e1c510b77">87</TAP>
    <Kategorija xmlns="2e5bb04e-596e-45bd-9003-43ca78b1ba16">Anotācija</Kategorij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3C3D-187F-4A28-AD5E-F4B612BBF111}">
  <ds:schemaRefs>
    <ds:schemaRef ds:uri="http://schemas.microsoft.com/sharepoint/v3/contenttype/forms"/>
  </ds:schemaRefs>
</ds:datastoreItem>
</file>

<file path=customXml/itemProps2.xml><?xml version="1.0" encoding="utf-8"?>
<ds:datastoreItem xmlns:ds="http://schemas.openxmlformats.org/officeDocument/2006/customXml" ds:itemID="{AE340BBE-C63C-43CC-9AF6-72B61FDE2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0F473-2EEB-4AE9-93E5-C1373FEA1DBD}">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4.xml><?xml version="1.0" encoding="utf-8"?>
<ds:datastoreItem xmlns:ds="http://schemas.openxmlformats.org/officeDocument/2006/customXml" ds:itemID="{25AE476C-2A9C-4BE1-AC69-06562B1E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17313</Words>
  <Characters>9869</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Komercdarbības atbalsta kontroles likumā" sākotnējās ietekmes novērtējuma ziņojums (anotācija)</vt:lpstr>
      <vt:lpstr>Tiesību akta nosaukums</vt:lpstr>
    </vt:vector>
  </TitlesOfParts>
  <Company>LR Finanšu ministrija</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Komercdarbības atbalsta kontroles likumā" sākotnējās ietekmes novērtējuma ziņojums (anotācija)</dc:title>
  <dc:subject>Likumprojekta "Grozījumi Komercdarbības atbalsta kontroles likumā" sākotnējās ietekmes novērtējuma ziņojums (anotācija)</dc:subject>
  <dc:creator>J.Jenuševkis (KAKD)</dc:creator>
  <cp:keywords>Likumprojekts "Grozījumi Komercdarbības atbalsta kontroles likumā"</cp:keywords>
  <dc:description>67095478, jurijs.jenusevskis@fm.gov.lv</dc:description>
  <cp:lastModifiedBy>Inguna Dancīte</cp:lastModifiedBy>
  <cp:revision>2</cp:revision>
  <cp:lastPrinted>2020-07-08T09:48:00Z</cp:lastPrinted>
  <dcterms:created xsi:type="dcterms:W3CDTF">2020-07-31T06:50:00Z</dcterms:created>
  <dcterms:modified xsi:type="dcterms:W3CDTF">2020-07-31T06:50:00Z</dcterms:modified>
  <cp:category>Anotācija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